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Date"/>
      </w:pPr>
      <w:r>
        <w:t xml:space="preserve">2026-11</w:t>
      </w:r>
    </w:p>
    <w:sdt>
      <w:sdtPr>
        <w:docPartObj>
          <w:docPartGallery w:val="Table of Contents"/>
          <w:docPartUnique/>
        </w:docPartObj>
      </w:sdtPr>
      <w:sdtContent>
        <w:p>
          <w:pPr>
            <w:pStyle w:val="TOCHeading"/>
          </w:pPr>
          <w:r>
            <w:t xml:space="preserve">Indice</w:t>
          </w:r>
        </w:p>
        <w:p>
          <w:r>
            <w:fldChar w:fldCharType="begin" w:dirty="true"/>
            <w:instrText xml:space="preserve">TOC \o "1-2" \h \z \u</w:instrText>
            <w:fldChar w:fldCharType="separate"/>
            <w:fldChar w:fldCharType="end"/>
          </w:r>
        </w:p>
      </w:sdtContent>
    </w:sdt>
    <w:bookmarkStart w:id="20" w:name="colophon"/>
    <w:p>
      <w:pPr>
        <w:pStyle w:val="Heading1"/>
      </w:pPr>
      <w:r>
        <w:t xml:space="preserve">Colophon</w:t>
      </w:r>
    </w:p>
    <w:p>
      <w:pPr>
        <w:pStyle w:val="FirstParagraph"/>
      </w:pPr>
      <w:r>
        <w:rPr>
          <w:bCs/>
          <w:b/>
        </w:rPr>
        <w:t xml:space="preserve">Il manuale dei peptidi</w:t>
      </w:r>
      <w:r>
        <w:t xml:space="preserve"> </w:t>
      </w:r>
      <w:r>
        <w:t xml:space="preserve">Tutti gli studi sull’uomo a confronto – effetti, rischi, quadro normativo e prospettive</w:t>
      </w:r>
    </w:p>
    <w:p>
      <w:pPr>
        <w:pStyle w:val="BodyText"/>
      </w:pPr>
      <w:r>
        <w:t xml:space="preserve">© 2026 Josef Gallab. Tutti i diritti riservati.</w:t>
      </w:r>
    </w:p>
    <w:p>
      <w:pPr>
        <w:pStyle w:val="BodyText"/>
      </w:pPr>
      <w:r>
        <w:t xml:space="preserve">Prima edizione. Stato della ricerca: ottobre/novembre 2026. Tradotto dall’originale tedesco.</w:t>
      </w:r>
    </w:p>
    <w:p>
      <w:pPr>
        <w:pStyle w:val="BodyText"/>
      </w:pPr>
      <w:r>
        <w:t xml:space="preserve">Questo libro ha scopo esclusivamente informativo. Non sostituisce il parere, la diagnosi o il trattamento medico</w:t>
      </w:r>
      <w:r>
        <w:t xml:space="preserve"> </w:t>
      </w:r>
      <w:r>
        <w:t xml:space="preserve">e non contiene raccomandazioni d’uso. Molte delle sostanze descritte non sono autorizzate come medicinali.</w:t>
      </w:r>
    </w:p>
    <w:p>
      <w:pPr>
        <w:pStyle w:val="BodyText"/>
      </w:pPr>
      <w:r>
        <w:t xml:space="preserve">Copertina: Josef Gallab</w:t>
      </w:r>
    </w:p>
    <w:p>
      <w:pPr>
        <w:pStyle w:val="BodyText"/>
      </w:pPr>
      <w:r>
        <w:t xml:space="preserve">Le informazioni su autorizzazioni, quadro normativo e stato antidoping riflettono la situazione di ottobre/novembre 2026. Possono cambiare in qualsiasi momento: verificarle prima di ogni decisione. Le fonti di ogni affermazione sono riportate nelle note a piè di pagina e nell’indice degli studi.</w:t>
      </w:r>
    </w:p>
    <w:p>
      <w:pPr>
        <w:pStyle w:val="BodyText"/>
      </w:pPr>
      <w:r>
        <w:t xml:space="preserve">Nessuna parte di quest’opera può essere riprodotta o distribuita senza l’autorizzazione scritta dell’autore.</w:t>
      </w:r>
    </w:p>
    <w:bookmarkEnd w:id="20"/>
    <w:bookmarkStart w:id="21" w:name="prefazione"/>
    <w:p>
      <w:pPr>
        <w:pStyle w:val="Heading1"/>
      </w:pPr>
      <w:r>
        <w:t xml:space="preserve">Prefazione</w:t>
      </w:r>
    </w:p>
    <w:p>
      <w:pPr>
        <w:pStyle w:val="FirstParagraph"/>
      </w:pPr>
      <w:r>
        <w:t xml:space="preserve">Da più di cinque anni i peptidi non mi lasciano più. Tutto è cominciato come per molti: con lo sport, con il desiderio di recuperare più in fretta, di diventare più performante e di ottenere di più dal mio corpo. Attraverso il biohacking mi sono imbattuto in sostanze di cui la maggior parte delle persone non ha mai sentito parlare – BPC-157, MOTS-c, Semax, GHK-Cu, più tardi la retatrutide. Me ne sono occupato a fondo, ho letto innumerevoli resoconti di esperienze e ho parlato con molte persone che le usano.</w:t>
      </w:r>
    </w:p>
    <w:p>
      <w:pPr>
        <w:pStyle w:val="BodyText"/>
      </w:pPr>
      <w:r>
        <w:t xml:space="preserve">Ciò che mi ha sempre infastidito è questo: le informazioni che si trovano sono pubblicità oppure allarmismo. I siti dei rivenditori promettono miracoli, nei forum si alternano entusiasmo e storie dell’orrore, e dall’altra parte c’è spesso un rifiuto generalizzato. Quello che manca quasi sempre è uno sguardo sobrio agli studi. Che cosa è stato davvero studiato – sulle persone, non solo sui ratti? Quanto erano grandi gli studi? Che cosa si sa sui rischi?</w:t>
      </w:r>
    </w:p>
    <w:p>
      <w:pPr>
        <w:pStyle w:val="BodyText"/>
      </w:pPr>
      <w:r>
        <w:t xml:space="preserve">Questo libro è il libro che avrei voluto avere io stesso cinque anni fa.</w:t>
      </w:r>
    </w:p>
    <w:p>
      <w:pPr>
        <w:pStyle w:val="BodyText"/>
      </w:pPr>
      <w:r>
        <w:t xml:space="preserve">Sono convinto che i peptidi siano tra gli sviluppi più entusiasmanti della medicina. I farmaci GLP-1 hanno cambiato in pochi anni il modo in cui pensiamo al sovrappeso, al diabete e alla salute del cuore. Molti altri peptidi mostrano in laboratorio e nei primi studi un potenziale che mi entusiasma. Credo che un giorno potranno risolvere molti dei nostri problemi di salute e aiutarci a ottenere il meglio dal nostro corpo.</w:t>
      </w:r>
    </w:p>
    <w:p>
      <w:pPr>
        <w:pStyle w:val="BodyText"/>
      </w:pPr>
      <w:r>
        <w:t xml:space="preserve">Ma – ed è proprio per questo che questo libro è diventato così com’è – l’entusiasmo non sostituisce le prove. Per molti peptidi celebrati su Internet non esiste ancora oggi un solo studio significativo sull’uomo. Anche moltissimi resoconti di esperienze restano casi singoli e non una prova. Chi segue ciecamente ogni moda corre rischi che spesso nessuno conosce: prodotti contaminati del mercato grigio, effetti a lungo termine sconosciuti, problemi legali.</w:t>
      </w:r>
    </w:p>
    <w:p>
      <w:pPr>
        <w:pStyle w:val="BodyText"/>
      </w:pPr>
      <w:r>
        <w:t xml:space="preserve">Per questo in questo libro trovi, per ciascuno dei 58 peptidi, entrambe le cose: il potenziale e le domande aperte. Ogni affermazione è supportata da una fonte che puoi consultare tu stesso. I livelli di evidenza da A a D ti mostrano a colpo d’occhio quanto sono solide le conoscenze. E dove i dati sono scarsi, è scritto esplicitamente.</w:t>
      </w:r>
    </w:p>
    <w:p>
      <w:pPr>
        <w:pStyle w:val="BodyText"/>
      </w:pPr>
      <w:r>
        <w:t xml:space="preserve">Qui non troverai dosaggi né fonti di approvvigionamento. È voluto. Questo libro vuole aiutarti a farti un’opinione tua – e a porre le domande giuste quando parli con la tua medica o il tuo medico.</w:t>
      </w:r>
    </w:p>
    <w:p>
      <w:pPr>
        <w:pStyle w:val="BodyText"/>
      </w:pPr>
      <w:r>
        <w:t xml:space="preserve">La ricerca è più veloce che mai. Molto di ciò che oggi è ancora aperto avrà una risposta tra pochi anni. Non vedo l’ora – e spero che questo libro ti accompagni lungo il cammino.</w:t>
      </w:r>
    </w:p>
    <w:p>
      <w:pPr>
        <w:pStyle w:val="BodyText"/>
      </w:pPr>
      <w:r>
        <w:rPr>
          <w:iCs/>
          <w:i/>
        </w:rPr>
        <w:t xml:space="preserve">Josef Gallab</w:t>
      </w:r>
    </w:p>
    <w:bookmarkEnd w:id="21"/>
    <w:bookmarkStart w:id="28" w:name="avvertenza-importante"/>
    <w:p>
      <w:pPr>
        <w:pStyle w:val="Heading1"/>
      </w:pPr>
      <w:r>
        <w:t xml:space="preserve">Avvertenza importante</w:t>
      </w:r>
    </w:p>
    <w:bookmarkStart w:id="22" w:name="non-sostituisce-il-parere-medico"/>
    <w:p>
      <w:pPr>
        <w:pStyle w:val="Heading3"/>
      </w:pPr>
      <w:r>
        <w:t xml:space="preserve">Non sostituisce il parere medico</w:t>
      </w:r>
    </w:p>
    <w:p>
      <w:pPr>
        <w:pStyle w:val="FirstParagraph"/>
      </w:pPr>
      <w:r>
        <w:t xml:space="preserve">Questo libro ha esclusivamente scopo di informazione e formazione generale. Non sostituisce la consulenza, la diagnosi o il trattamento medico. Prima di prendere decisioni sulla tua salute, di iniziare, sospendere o modificare un farmaco, parlane con un medico o con un farmacista. In caso di disturbi acuti rivolgiti alla guardia medica o chiama il numero di emergenza.</w:t>
      </w:r>
    </w:p>
    <w:bookmarkEnd w:id="22"/>
    <w:bookmarkStart w:id="23" w:name="nessuna-raccomandazione-duso"/>
    <w:p>
      <w:pPr>
        <w:pStyle w:val="Heading3"/>
      </w:pPr>
      <w:r>
        <w:t xml:space="preserve">Nessuna raccomandazione d’uso</w:t>
      </w:r>
    </w:p>
    <w:p>
      <w:pPr>
        <w:pStyle w:val="FirstParagraph"/>
      </w:pPr>
      <w:r>
        <w:t xml:space="preserve">Questo libro non contiene deliberatamente raccomandazioni sull’uso dei peptidi, né dosaggi, istruzioni per l’assunzione o l’iniezione, cicli di utilizzo o raccomandazioni di combinazione. Quando nel testo viene indicata una dose, essa descrive esclusivamente ciò che è stato studiato in uno studio specifico. Non è una raccomandazione e non può essere trasferita alla tua situazione personale. Per i farmaci autorizzati fanno fede il Riassunto delle caratteristiche del prodotto, il foglio illustrativo e l’accompagnamento medico.</w:t>
      </w:r>
    </w:p>
    <w:bookmarkEnd w:id="23"/>
    <w:bookmarkStart w:id="24" w:name="molte-sostanze-non-sono-autorizzate"/>
    <w:p>
      <w:pPr>
        <w:pStyle w:val="Heading3"/>
      </w:pPr>
      <w:r>
        <w:t xml:space="preserve">Molte sostanze non sono autorizzate</w:t>
      </w:r>
    </w:p>
    <w:p>
      <w:pPr>
        <w:pStyle w:val="FirstParagraph"/>
      </w:pPr>
      <w:r>
        <w:t xml:space="preserve">Numerosi peptidi descritti in questo libro</w:t>
      </w:r>
      <w:r>
        <w:t xml:space="preserve"> </w:t>
      </w:r>
      <w:r>
        <w:rPr>
          <w:bCs/>
          <w:b/>
        </w:rPr>
        <w:t xml:space="preserve">non</w:t>
      </w:r>
      <w:r>
        <w:t xml:space="preserve"> </w:t>
      </w:r>
      <w:r>
        <w:t xml:space="preserve">sono autorizzati come farmaci nell’Unione europea, in Austria, in Germania e negli Stati Uniti. Per molti di essi esistono solo studi su animali o in laboratorio. La presentazione di tali sostanze in questo libro non costituisce un’affermazione sulla loro efficacia o sicurezza nell’uomo né un invito a utilizzarle. I prodotti offerti su Internet come „Research Peptides“ o „solo a scopo di ricerca“ possono essere dosati in modo errato, contaminati o contraffatti. Il loro uso può avere gravi conseguenze sanitarie e legali.</w:t>
      </w:r>
    </w:p>
    <w:bookmarkEnd w:id="24"/>
    <w:bookmarkStart w:id="25" w:name="doping"/>
    <w:p>
      <w:pPr>
        <w:pStyle w:val="Heading3"/>
      </w:pPr>
      <w:r>
        <w:t xml:space="preserve">Doping</w:t>
      </w:r>
    </w:p>
    <w:p>
      <w:pPr>
        <w:pStyle w:val="FirstParagraph"/>
      </w:pPr>
      <w:r>
        <w:t xml:space="preserve">Molti dei peptidi descritti figurano nella Lista delle sostanze proibite dell’Agenzia mondiale antidoping (WADA). Il loro uso può comportare squalifiche per atlete e atleti sottoposti a controlli antidoping. In Austria e in Germania il commercio, la cessione e in determinati casi anche il possesso di sostanze dopanti possono costituire reato.</w:t>
      </w:r>
    </w:p>
    <w:bookmarkEnd w:id="25"/>
    <w:bookmarkStart w:id="26" w:name="aggiornamento-e-garanzia"/>
    <w:p>
      <w:pPr>
        <w:pStyle w:val="Heading3"/>
      </w:pPr>
      <w:r>
        <w:t xml:space="preserve">Aggiornamento e garanzia</w:t>
      </w:r>
    </w:p>
    <w:p>
      <w:pPr>
        <w:pStyle w:val="FirstParagraph"/>
      </w:pPr>
      <w:r>
        <w:t xml:space="preserve">Le informazioni contenute in questo libro sono</w:t>
      </w:r>
      <w:r>
        <w:t xml:space="preserve"> </w:t>
      </w:r>
      <w:r>
        <w:rPr>
          <w:bCs/>
          <w:b/>
        </w:rPr>
        <w:t xml:space="preserve">aggiornate a novembre 2026</w:t>
      </w:r>
      <w:r>
        <w:t xml:space="preserve">. La ricerca nelle banche dati è stata effettuata nell’ottobre 2026. Le conoscenze mediche, le autorizzazioni, le leggi e le norme antidoping cambiano continuamente. Tutte le informazioni sono state raccolte in buona fede e con grande cura, ma senza garanzia di correttezza, completezza e attualità. È esclusa, nei limiti consentiti dalla legge, la responsabilità dell’autore per danni derivanti dall’uso delle informazioni contenute in questo libro. La descrizione del quadro normativo non costituisce consulenza legale.</w:t>
      </w:r>
    </w:p>
    <w:bookmarkEnd w:id="26"/>
    <w:bookmarkStart w:id="27" w:name="come-è-nato-questo-libro"/>
    <w:p>
      <w:pPr>
        <w:pStyle w:val="Heading3"/>
      </w:pPr>
      <w:r>
        <w:t xml:space="preserve">Come è nato questo libro</w:t>
      </w:r>
    </w:p>
    <w:p>
      <w:pPr>
        <w:pStyle w:val="FirstParagraph"/>
      </w:pPr>
      <w:r>
        <w:t xml:space="preserve">Per questo libro sono state consultate sistematicamente le banche dati PubMed e ClinicalTrials.gov e sono stati analizzati i riassunti degli studi individuati.</w:t>
      </w:r>
    </w:p>
    <w:p>
      <w:pPr>
        <w:pStyle w:val="BodyText"/>
      </w:pPr>
      <w:r>
        <w:t xml:space="preserve">Per evitare errori valgono regole rigorose: ogni studio citato è indicato con il suo numero PubMed (PMID) o con il suo numero di registrazione su ClinicalTrials.gov (numero NCT). Ogni cifra proviene dal riassunto della rispettiva pubblicazione o dalla voce di registro. Tutti i numeri citati sono stati inoltre verificati automaticamente con le banche dati. In questo modo puoi consultare personalmente ogni fonte e verificare le informazioni. Come fare è spiegato nella sezione seguente; i dettagli sulla ricerca si trovano nell’appendice „Metodologia“.</w:t>
      </w:r>
    </w:p>
    <w:bookmarkEnd w:id="27"/>
    <w:bookmarkEnd w:id="28"/>
    <w:bookmarkStart w:id="37" w:name="questo-libro"/>
    <w:p>
      <w:pPr>
        <w:pStyle w:val="Heading1"/>
      </w:pPr>
      <w:r>
        <w:t xml:space="preserve">Questo libro</w:t>
      </w:r>
    </w:p>
    <w:bookmarkStart w:id="29" w:name="a-che-cosa-serve-questo-libro"/>
    <w:p>
      <w:pPr>
        <w:pStyle w:val="Heading3"/>
      </w:pPr>
      <w:r>
        <w:t xml:space="preserve">A che cosa serve questo libro</w:t>
      </w:r>
    </w:p>
    <w:p>
      <w:pPr>
        <w:pStyle w:val="FirstParagraph"/>
      </w:pPr>
      <w:r>
        <w:t xml:space="preserve">Dei peptidi si parla ovunque. Le iniezioni dimagranti come semaglutide e tirzepatide hanno cambiato il trattamento del sovrappeso, e su Internet vengono offerti decine di altri peptidi – per una guarigione più rapida, più muscoli, una pelle migliore, più energia o una vita più lunga. Tra le promesse nei forum, sui social media e nei negozi online e ciò che è stato effettivamente studiato nell’uomo c’è spesso un grande divario.</w:t>
      </w:r>
    </w:p>
    <w:p>
      <w:pPr>
        <w:pStyle w:val="BodyText"/>
      </w:pPr>
      <w:r>
        <w:t xml:space="preserve">Questo libro vuole rendere visibile questo divario. Per ogni peptide trattato espone con sobrietà quali studi sull’uomo esistono, che cosa mostrano e che cosa no, quali rischi sono noti e qual è il quadro normativo. Mette a confronto i peptidi tra loro e valuta quanto siano solide le prove in ciascun caso. Intende aiutarti a esaminare criticamente le affermazioni e a condurre colloqui informati con medici e farmacie.</w:t>
      </w:r>
    </w:p>
    <w:bookmarkEnd w:id="29"/>
    <w:bookmarkStart w:id="30" w:name="per-chi-è-scritto-questo-libro"/>
    <w:p>
      <w:pPr>
        <w:pStyle w:val="Heading3"/>
      </w:pPr>
      <w:r>
        <w:t xml:space="preserve">Per chi è scritto questo libro</w:t>
      </w:r>
    </w:p>
    <w:p>
      <w:pPr>
        <w:numPr>
          <w:ilvl w:val="0"/>
          <w:numId w:val="1001"/>
        </w:numPr>
        <w:pStyle w:val="Compact"/>
      </w:pPr>
      <w:r>
        <w:t xml:space="preserve">Per</w:t>
      </w:r>
      <w:r>
        <w:t xml:space="preserve"> </w:t>
      </w:r>
      <w:r>
        <w:rPr>
          <w:bCs/>
          <w:b/>
        </w:rPr>
        <w:t xml:space="preserve">profani interessati</w:t>
      </w:r>
      <w:r>
        <w:t xml:space="preserve"> </w:t>
      </w:r>
      <w:r>
        <w:t xml:space="preserve">che vogliono sapere che cosa si nasconde dietro il boom dei peptidi.</w:t>
      </w:r>
    </w:p>
    <w:p>
      <w:pPr>
        <w:numPr>
          <w:ilvl w:val="0"/>
          <w:numId w:val="1001"/>
        </w:numPr>
        <w:pStyle w:val="Compact"/>
      </w:pPr>
      <w:r>
        <w:t xml:space="preserve">Per le persone a cui è stato prescritto un</w:t>
      </w:r>
      <w:r>
        <w:t xml:space="preserve"> </w:t>
      </w:r>
      <w:r>
        <w:rPr>
          <w:bCs/>
          <w:b/>
        </w:rPr>
        <w:t xml:space="preserve">farmaco peptidico autorizzato</w:t>
      </w:r>
      <w:r>
        <w:t xml:space="preserve">, o che ci stanno pensando, e che vogliono capire i dati degli studi.</w:t>
      </w:r>
    </w:p>
    <w:p>
      <w:pPr>
        <w:numPr>
          <w:ilvl w:val="0"/>
          <w:numId w:val="1001"/>
        </w:numPr>
        <w:pStyle w:val="Compact"/>
      </w:pPr>
      <w:r>
        <w:t xml:space="preserve">Per</w:t>
      </w:r>
      <w:r>
        <w:t xml:space="preserve"> </w:t>
      </w:r>
      <w:r>
        <w:rPr>
          <w:bCs/>
          <w:b/>
        </w:rPr>
        <w:t xml:space="preserve">atlete e atleti</w:t>
      </w:r>
      <w:r>
        <w:t xml:space="preserve">, allenatrici e allenatori che vogliono valutare promesse pubblicitarie e rischi di doping.</w:t>
      </w:r>
    </w:p>
    <w:p>
      <w:pPr>
        <w:numPr>
          <w:ilvl w:val="0"/>
          <w:numId w:val="1001"/>
        </w:numPr>
        <w:pStyle w:val="Compact"/>
      </w:pPr>
      <w:r>
        <w:t xml:space="preserve">Per</w:t>
      </w:r>
      <w:r>
        <w:t xml:space="preserve"> </w:t>
      </w:r>
      <w:r>
        <w:rPr>
          <w:bCs/>
          <w:b/>
        </w:rPr>
        <w:t xml:space="preserve">professionisti</w:t>
      </w:r>
      <w:r>
        <w:t xml:space="preserve"> </w:t>
      </w:r>
      <w:r>
        <w:t xml:space="preserve">di farmacia, medicina, consulenza nutrizionale, cosmesi e giornalismo che cercano una panoramica rapida e basata sulle fonti.</w:t>
      </w:r>
    </w:p>
    <w:p>
      <w:pPr>
        <w:pStyle w:val="FirstParagraph"/>
      </w:pPr>
      <w:r>
        <w:t xml:space="preserve">Non sono necessarie conoscenze preliminari. I termini tecnici vengono spiegati alla loro prima comparsa e si trovano anche nel glossario.</w:t>
      </w:r>
    </w:p>
    <w:bookmarkEnd w:id="30"/>
    <w:bookmarkStart w:id="31" w:name="come-è-strutturato-il-libro"/>
    <w:p>
      <w:pPr>
        <w:pStyle w:val="Heading3"/>
      </w:pPr>
      <w:r>
        <w:t xml:space="preserve">Come è strutturato il libro</w:t>
      </w:r>
    </w:p>
    <w:p>
      <w:pPr>
        <w:pStyle w:val="FirstParagraph"/>
      </w:pPr>
      <w:r>
        <w:t xml:space="preserve">La</w:t>
      </w:r>
      <w:r>
        <w:t xml:space="preserve"> </w:t>
      </w:r>
      <w:r>
        <w:rPr>
          <w:bCs/>
          <w:b/>
        </w:rPr>
        <w:t xml:space="preserve">Parte I – Fondamenti</w:t>
      </w:r>
      <w:r>
        <w:t xml:space="preserve"> </w:t>
      </w:r>
      <w:r>
        <w:t xml:space="preserve">spiega che cosa sono i peptidi, come si è sviluppata la medicina dei peptidi, come i peptidi entrano nell’organismo, come si leggono gli studi, che cosa accade sul mercato grigio e quale quadro giuridico si applica. Chi non ha familiarità con questi temi dovrebbe cominciare da qui.</w:t>
      </w:r>
    </w:p>
    <w:p>
      <w:pPr>
        <w:pStyle w:val="BodyText"/>
      </w:pPr>
      <w:r>
        <w:t xml:space="preserve">La</w:t>
      </w:r>
      <w:r>
        <w:t xml:space="preserve"> </w:t>
      </w:r>
      <w:r>
        <w:rPr>
          <w:bCs/>
          <w:b/>
        </w:rPr>
        <w:t xml:space="preserve">Parte II – I peptidi</w:t>
      </w:r>
      <w:r>
        <w:t xml:space="preserve"> </w:t>
      </w:r>
      <w:r>
        <w:t xml:space="preserve">presenta i singoli principi attivi in sei gruppi: metabolismo e peso; guarigione, rigenerazione e sistema immunitario; asse dell’ormone della crescita; cervello, sonno e longevità; ormoni, sessualità e pigmentazione; collagene, nutrizione e cosmesi. Ogni capitolo segue la stessa struttura: scheda, meccanismo d’azione, studi sull’uomo, studi su animali e in laboratorio, rischi ed effetti collaterali, quadro normativo, studi in corso e prospettive, conclusione. In questo modo puoi confrontare facilmente i peptidi tra loro e consultarli in modo mirato.</w:t>
      </w:r>
    </w:p>
    <w:p>
      <w:pPr>
        <w:pStyle w:val="BodyText"/>
      </w:pPr>
      <w:r>
        <w:t xml:space="preserve">La</w:t>
      </w:r>
      <w:r>
        <w:t xml:space="preserve"> </w:t>
      </w:r>
      <w:r>
        <w:rPr>
          <w:bCs/>
          <w:b/>
        </w:rPr>
        <w:t xml:space="preserve">Parte III – Il grande confronto</w:t>
      </w:r>
      <w:r>
        <w:t xml:space="preserve"> </w:t>
      </w:r>
      <w:r>
        <w:t xml:space="preserve">mette tutti i peptidi uno accanto all’altro e confronta direttamente i farmaci GLP-1.</w:t>
      </w:r>
    </w:p>
    <w:p>
      <w:pPr>
        <w:pStyle w:val="BodyText"/>
      </w:pPr>
      <w:r>
        <w:t xml:space="preserve">La</w:t>
      </w:r>
      <w:r>
        <w:t xml:space="preserve"> </w:t>
      </w:r>
      <w:r>
        <w:rPr>
          <w:bCs/>
          <w:b/>
        </w:rPr>
        <w:t xml:space="preserve">Parte IV – Rischi</w:t>
      </w:r>
      <w:r>
        <w:t xml:space="preserve"> </w:t>
      </w:r>
      <w:r>
        <w:t xml:space="preserve">riassume effetti collaterali, rischi oncologici e immunitari, problemi dei prodotti del mercato grigio e gruppi particolarmente a rischio.</w:t>
      </w:r>
    </w:p>
    <w:p>
      <w:pPr>
        <w:pStyle w:val="BodyText"/>
      </w:pPr>
      <w:r>
        <w:t xml:space="preserve">La</w:t>
      </w:r>
      <w:r>
        <w:t xml:space="preserve"> </w:t>
      </w:r>
      <w:r>
        <w:rPr>
          <w:bCs/>
          <w:b/>
        </w:rPr>
        <w:t xml:space="preserve">Parte V – Futuro</w:t>
      </w:r>
      <w:r>
        <w:t xml:space="preserve"> </w:t>
      </w:r>
      <w:r>
        <w:t xml:space="preserve">guarda alla pipeline di sviluppo, alle nuove forme farmaceutiche, alle scadenze dei brevetti e ai prezzi. Fatti accertati e valutazioni vengono tenuti chiaramente separati.</w:t>
      </w:r>
    </w:p>
    <w:p>
      <w:pPr>
        <w:pStyle w:val="BodyText"/>
      </w:pPr>
      <w:r>
        <w:t xml:space="preserve">Nell’</w:t>
      </w:r>
      <w:r>
        <w:rPr>
          <w:bCs/>
          <w:b/>
        </w:rPr>
        <w:t xml:space="preserve">Appendice</w:t>
      </w:r>
      <w:r>
        <w:t xml:space="preserve"> </w:t>
      </w:r>
      <w:r>
        <w:t xml:space="preserve">trovi il glossario, la metodologia della ricerca e l’elenco degli studi esaminati.</w:t>
      </w:r>
    </w:p>
    <w:bookmarkEnd w:id="31"/>
    <w:bookmarkStart w:id="32" w:name="i-livelli-di-evidenza"/>
    <w:p>
      <w:pPr>
        <w:pStyle w:val="Heading3"/>
      </w:pPr>
      <w:r>
        <w:t xml:space="preserve">I livelli di evidenza</w:t>
      </w:r>
    </w:p>
    <w:p>
      <w:pPr>
        <w:pStyle w:val="FirstParagraph"/>
      </w:pPr>
      <w:r>
        <w:t xml:space="preserve">Ogni peptide riceve nella scheda un livello di evidenza. Esso descrive quanto sono buoni i dati</w:t>
      </w:r>
      <w:r>
        <w:t xml:space="preserve"> </w:t>
      </w:r>
      <w:r>
        <w:rPr>
          <w:bCs/>
          <w:b/>
        </w:rPr>
        <w:t xml:space="preserve">nell’uomo</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Livello</w:t>
            </w:r>
          </w:p>
        </w:tc>
        <w:tc>
          <w:tcPr/>
          <w:p>
            <w:pPr>
              <w:pStyle w:val="Compact"/>
              <w:jc w:val="left"/>
            </w:pPr>
            <w:r>
              <w:t xml:space="preserve">Significato</w:t>
            </w:r>
          </w:p>
        </w:tc>
      </w:tr>
      <w:tr>
        <w:tc>
          <w:tcPr/>
          <w:p>
            <w:pPr>
              <w:pStyle w:val="Compact"/>
              <w:jc w:val="left"/>
            </w:pPr>
            <w:r>
              <w:t xml:space="preserve">A</w:t>
            </w:r>
          </w:p>
        </w:tc>
        <w:tc>
          <w:tcPr/>
          <w:p>
            <w:pPr>
              <w:pStyle w:val="Compact"/>
              <w:jc w:val="left"/>
            </w:pPr>
            <w:r>
              <w:t xml:space="preserve">diversi grandi studi randomizzati nell’uomo, autorizzazione come farmaco</w:t>
            </w:r>
          </w:p>
        </w:tc>
      </w:tr>
      <w:tr>
        <w:tc>
          <w:tcPr/>
          <w:p>
            <w:pPr>
              <w:pStyle w:val="Compact"/>
              <w:jc w:val="left"/>
            </w:pPr>
            <w:r>
              <w:t xml:space="preserve">B</w:t>
            </w:r>
          </w:p>
        </w:tc>
        <w:tc>
          <w:tcPr/>
          <w:p>
            <w:pPr>
              <w:pStyle w:val="Compact"/>
              <w:jc w:val="left"/>
            </w:pPr>
            <w:r>
              <w:t xml:space="preserve">singoli studi randomizzati nell’uomo</w:t>
            </w:r>
          </w:p>
        </w:tc>
      </w:tr>
      <w:tr>
        <w:tc>
          <w:tcPr/>
          <w:p>
            <w:pPr>
              <w:pStyle w:val="Compact"/>
              <w:jc w:val="left"/>
            </w:pPr>
            <w:r>
              <w:t xml:space="preserve">C</w:t>
            </w:r>
          </w:p>
        </w:tc>
        <w:tc>
          <w:tcPr/>
          <w:p>
            <w:pPr>
              <w:pStyle w:val="Compact"/>
              <w:jc w:val="left"/>
            </w:pPr>
            <w:r>
              <w:t xml:space="preserve">solo studi piccoli o non controllati nell’uomo</w:t>
            </w:r>
          </w:p>
        </w:tc>
      </w:tr>
      <w:tr>
        <w:tc>
          <w:tcPr/>
          <w:p>
            <w:pPr>
              <w:pStyle w:val="Compact"/>
              <w:jc w:val="left"/>
            </w:pPr>
            <w:r>
              <w:t xml:space="preserve">D</w:t>
            </w:r>
          </w:p>
        </w:tc>
        <w:tc>
          <w:tcPr/>
          <w:p>
            <w:pPr>
              <w:pStyle w:val="Compact"/>
              <w:jc w:val="left"/>
            </w:pPr>
            <w:r>
              <w:t xml:space="preserve">solo studi su animali e in laboratorio</w:t>
            </w:r>
          </w:p>
        </w:tc>
      </w:tr>
    </w:tbl>
    <w:p>
      <w:pPr>
        <w:pStyle w:val="BodyText"/>
      </w:pPr>
      <w:r>
        <w:t xml:space="preserve">Il livello di evidenza non è una raccomandazione né un’affermazione sulla sicurezza di una sostanza. Anche un principio attivo di livello A ha effetti collaterali, e una sostanza di livello D non è necessariamente inefficace – semplicemente non è ancora stata studiata a sufficienza nell’uomo. Che cosa si nasconde dietro i termini „randomizzato“, „controllato“ o „endpoint surrogato“ lo spiega il capitolo „Leggere correttamente gli studi“.</w:t>
      </w:r>
    </w:p>
    <w:bookmarkEnd w:id="32"/>
    <w:bookmarkStart w:id="33" w:name="come-sono-indicate-le-fonti"/>
    <w:p>
      <w:pPr>
        <w:pStyle w:val="Heading3"/>
      </w:pPr>
      <w:r>
        <w:t xml:space="preserve">Come sono indicate le fonti</w:t>
      </w:r>
    </w:p>
    <w:p>
      <w:pPr>
        <w:pStyle w:val="FirstParagraph"/>
      </w:pPr>
      <w:r>
        <w:t xml:space="preserve">Per mantenere il testo scorrevole, le fonti sono riportate nelle note a piè di pagina. Nell’e-book compare un piccolo numero in apice nel punto corrispondente; toccandolo si visualizza la fonte. Ogni nota indica il primo autore o la prima autrice, l’anno di pubblicazione e il numero PubMed, per esempio: Wilding 2021, PMID 33567185.</w:t>
      </w:r>
    </w:p>
    <w:p>
      <w:pPr>
        <w:pStyle w:val="BodyText"/>
      </w:pPr>
      <w:r>
        <w:t xml:space="preserve">Gli studi registrati, in particolare quelli in corso, sono indicati con il loro numero nel registro statunitense ClinicalTrials.gov, per esempio NCT03548935. Nelle tabelle le fonti compaiono direttamente nella prima colonna.</w:t>
      </w:r>
    </w:p>
    <w:p>
      <w:pPr>
        <w:pStyle w:val="BodyText"/>
      </w:pPr>
      <w:r>
        <w:t xml:space="preserve">Le note sono raccolte alla fine di ogni capitolo; l’indice completo degli studi si trova in appendice.</w:t>
      </w:r>
    </w:p>
    <w:bookmarkEnd w:id="33"/>
    <w:bookmarkStart w:id="34" w:name="come-consultare-una-fonte"/>
    <w:p>
      <w:pPr>
        <w:pStyle w:val="Heading3"/>
      </w:pPr>
      <w:r>
        <w:t xml:space="preserve">Come consultare una fonte</w:t>
      </w:r>
    </w:p>
    <w:p>
      <w:pPr>
        <w:pStyle w:val="FirstParagraph"/>
      </w:pPr>
      <w:r>
        <w:rPr>
          <w:bCs/>
          <w:b/>
        </w:rPr>
        <w:t xml:space="preserve">PMID</w:t>
      </w:r>
      <w:r>
        <w:t xml:space="preserve">: il numero identificativo PubMed è un numero univoco per ogni voce di PubMed, la banca dati bibliografica liberamente accessibile della National Library of Medicine statunitense.</w:t>
      </w:r>
    </w:p>
    <w:p>
      <w:pPr>
        <w:numPr>
          <w:ilvl w:val="0"/>
          <w:numId w:val="1002"/>
        </w:numPr>
        <w:pStyle w:val="Compact"/>
      </w:pPr>
      <w:r>
        <w:t xml:space="preserve">Apri nel tuo browser la pagina pubmed.ncbi.nlm.nih.gov.</w:t>
      </w:r>
    </w:p>
    <w:p>
      <w:pPr>
        <w:numPr>
          <w:ilvl w:val="0"/>
          <w:numId w:val="1002"/>
        </w:numPr>
        <w:pStyle w:val="Compact"/>
      </w:pPr>
      <w:r>
        <w:t xml:space="preserve">Inserisci il numero nel campo di ricerca, per esempio 33567185, e avvia la ricerca.</w:t>
      </w:r>
    </w:p>
    <w:p>
      <w:pPr>
        <w:numPr>
          <w:ilvl w:val="0"/>
          <w:numId w:val="1002"/>
        </w:numPr>
        <w:pStyle w:val="Compact"/>
      </w:pPr>
      <w:r>
        <w:t xml:space="preserve">Arriverai direttamente alla voce con titolo, autrici e autori, rivista scientifica e quasi sempre un riassunto (abstract).</w:t>
      </w:r>
    </w:p>
    <w:p>
      <w:pPr>
        <w:pStyle w:val="FirstParagraph"/>
      </w:pPr>
      <w:r>
        <w:t xml:space="preserve">In alternativa puoi aggiungere il numero direttamente all’indirizzo: pubmed.ncbi.nlm.nih.gov/33567185. Molte voci contengono un link al testo completo, disponibile in parte gratuitamente, in parte solo a pagamento.</w:t>
      </w:r>
    </w:p>
    <w:p>
      <w:pPr>
        <w:pStyle w:val="BodyText"/>
      </w:pPr>
      <w:r>
        <w:rPr>
          <w:bCs/>
          <w:b/>
        </w:rPr>
        <w:t xml:space="preserve">Numero NCT</w:t>
      </w:r>
      <w:r>
        <w:t xml:space="preserve">: gli studi registrati si trovano sulla pagina clinicaltrials.gov inserendo il numero nel campo di ricerca oppure aggiungendolo all’indirizzo clinicaltrials.gov/study/, per esempio clinicaltrials.gov/study/NCT03548935. Lì vedrai il disegno dello studio, il numero di partecipanti, gli endpoint e lo stato attuale.</w:t>
      </w:r>
    </w:p>
    <w:bookmarkEnd w:id="34"/>
    <w:bookmarkStart w:id="35" w:name="X7cf46efdc03b479bab23d6d4fdc20f59d903bd8"/>
    <w:p>
      <w:pPr>
        <w:pStyle w:val="Heading3"/>
      </w:pPr>
      <w:r>
        <w:t xml:space="preserve">Che cosa questo libro deliberatamente non contiene</w:t>
      </w:r>
    </w:p>
    <w:p>
      <w:pPr>
        <w:numPr>
          <w:ilvl w:val="0"/>
          <w:numId w:val="1003"/>
        </w:numPr>
        <w:pStyle w:val="Compact"/>
      </w:pPr>
      <w:r>
        <w:rPr>
          <w:bCs/>
          <w:b/>
        </w:rPr>
        <w:t xml:space="preserve">Nessun dosaggio né istruzione d’uso.</w:t>
      </w:r>
      <w:r>
        <w:t xml:space="preserve"> </w:t>
      </w:r>
      <w:r>
        <w:t xml:space="preserve">Non ci sono indicazioni su quanto, con quale frequenza o per quanto tempo usare un peptide, nessuna istruzione per sciogliere o iniettare e nessuna combinazione di più sostanze. Per i farmaci autorizzati il libro rimanda al Riassunto delle caratteristiche del prodotto e all’accompagnamento medico.</w:t>
      </w:r>
    </w:p>
    <w:p>
      <w:pPr>
        <w:numPr>
          <w:ilvl w:val="0"/>
          <w:numId w:val="1003"/>
        </w:numPr>
        <w:pStyle w:val="Compact"/>
      </w:pPr>
      <w:r>
        <w:rPr>
          <w:bCs/>
          <w:b/>
        </w:rPr>
        <w:t xml:space="preserve">Nessuna fonte di approvvigionamento.</w:t>
      </w:r>
      <w:r>
        <w:t xml:space="preserve"> </w:t>
      </w:r>
      <w:r>
        <w:t xml:space="preserve">Non vengono indicati negozi, produttori, farmacie o Paesi in cui acquistare peptidi, né suggerimenti su come aggirare i controlli.</w:t>
      </w:r>
    </w:p>
    <w:p>
      <w:pPr>
        <w:numPr>
          <w:ilvl w:val="0"/>
          <w:numId w:val="1003"/>
        </w:numPr>
        <w:pStyle w:val="Compact"/>
      </w:pPr>
      <w:r>
        <w:rPr>
          <w:bCs/>
          <w:b/>
        </w:rPr>
        <w:t xml:space="preserve">Nessuna promessa di guarigione.</w:t>
      </w:r>
      <w:r>
        <w:t xml:space="preserve"> </w:t>
      </w:r>
      <w:r>
        <w:t xml:space="preserve">Il libro riferisce ciò che è stato osservato negli studi – non ciò che una sostanza produrrà su di te.</w:t>
      </w:r>
    </w:p>
    <w:p>
      <w:pPr>
        <w:numPr>
          <w:ilvl w:val="0"/>
          <w:numId w:val="1003"/>
        </w:numPr>
        <w:pStyle w:val="Compact"/>
      </w:pPr>
      <w:r>
        <w:rPr>
          <w:bCs/>
          <w:b/>
        </w:rPr>
        <w:t xml:space="preserve">Nessuna raccomandazione di prodotti.</w:t>
      </w:r>
      <w:r>
        <w:t xml:space="preserve"> </w:t>
      </w:r>
      <w:r>
        <w:t xml:space="preserve">Non vengono raccomandati né marchi né fornitori. I nomi commerciali di farmaci autorizzati vengono citati solo quando sono necessari alla comprensione.</w:t>
      </w:r>
    </w:p>
    <w:bookmarkEnd w:id="35"/>
    <w:bookmarkStart w:id="36" w:name="una-parola-per-concludere"/>
    <w:p>
      <w:pPr>
        <w:pStyle w:val="Heading3"/>
      </w:pPr>
      <w:r>
        <w:t xml:space="preserve">Una parola per concludere</w:t>
      </w:r>
    </w:p>
    <w:p>
      <w:pPr>
        <w:pStyle w:val="FirstParagraph"/>
      </w:pPr>
      <w:r>
        <w:t xml:space="preserve">Questo libro è uno strumento per riflettere, non una guida all’autotrattamento. Se dopo la lettura avrai più domande di prima, non è un cattivo segno: spesso la risposta più onesta alla domanda „Questo peptide funziona?“ è „Nessuno lo sa ancora“.</w:t>
      </w:r>
    </w:p>
    <w:bookmarkEnd w:id="36"/>
    <w:bookmarkEnd w:id="37"/>
    <w:bookmarkStart w:id="231" w:name="parte-i-fondamenti"/>
    <w:p>
      <w:pPr>
        <w:pStyle w:val="Heading1"/>
      </w:pPr>
      <w:r>
        <w:t xml:space="preserve">Parte I – Fondamenti</w:t>
      </w:r>
    </w:p>
    <w:p>
      <w:pPr>
        <w:pStyle w:val="FirstParagraph"/>
      </w:pPr>
      <w:r>
        <w:t xml:space="preserve">Prima che la Parte II si occupi dei singoli principi attivi, questa parte getta le fondamenta. Scoprirai che cosa sia chimicamente un peptide, come un estratto di pancreas di cane sia diventato nel giro di un secolo uno dei gruppi di farmaci con il maggior fatturato al mondo, perché la maggior parte dei peptidi debba essere iniettata, come si legge uno studio senza farsi ingannare dai titoli dei giornali, che cosa contengano davvero i flaconcini del mercato grigio e quali regole giuridiche si applichino.</w:t>
      </w:r>
    </w:p>
    <w:p>
      <w:pPr>
        <w:pStyle w:val="BodyText"/>
      </w:pPr>
      <w:r>
        <w:t xml:space="preserve">Chi desidera consultare solo un determinato peptide può passare direttamente alla Parte II. I capitoli di questa parte spiegano però i concetti e i criteri che vi vengono usati di continuo – per esempio „randomizzato“, „endpoint surrogato“, „livello di evidenza B“ o „Research Peptide“. Un rapido sguardo vale quindi la pena anche per le lettrici e i lettori di fretta.</w:t>
      </w:r>
    </w:p>
    <w:bookmarkStart w:id="63" w:name="Xa70d45a323c1414fbca5841191eb849e5e24a48"/>
    <w:p>
      <w:pPr>
        <w:pStyle w:val="Heading2"/>
      </w:pPr>
      <w:r>
        <w:t xml:space="preserve">Che cosa sono i peptidi – e che cosa non sono</w:t>
      </w:r>
    </w:p>
    <w:p>
      <w:pPr>
        <w:pStyle w:val="FirstParagraph"/>
      </w:pPr>
      <w:r>
        <w:t xml:space="preserve">Negli ultimi anni la parola „peptide“ ha fatto una carriera sorprendente. Compare su creme per la pelle e proteine in polvere, nelle pubblicità delle iniezioni dimagranti e nei forum online in cui si discute di „peptidi curativi“. Eppure il termine indica innanzitutto soltanto un determinato tipo di struttura chimica – niente di più e niente di meno. Non dice nulla sul fatto che una sostanza funzioni, che sia sicura o che arrivi davvero nell’organismo. Questo capitolo chiarisce i concetti di base e sgombra il campo da alcuni equivoci diffusi.</w:t>
      </w:r>
    </w:p>
    <w:bookmarkStart w:id="38" w:name="amminoacidi-i-mattoni"/>
    <w:p>
      <w:pPr>
        <w:pStyle w:val="Heading3"/>
      </w:pPr>
      <w:r>
        <w:t xml:space="preserve">Amminoacidi: i mattoni</w:t>
      </w:r>
    </w:p>
    <w:p>
      <w:pPr>
        <w:pStyle w:val="FirstParagraph"/>
      </w:pPr>
      <w:r>
        <w:t xml:space="preserve">Tutti i peptidi e le proteine sono costituiti da amminoacidi. Un amminoacido è una piccola molecola con due componenti tipiche: un gruppo amminico (contiene azoto) e un gruppo acido (gruppo carbossilico). In mezzo si trova un atomo di carbonio centrale al quale è legata una cosiddetta catena laterale. È questa catena laterale a distinguere gli amminoacidi tra loro: può essere piccola e poco appariscente come nella glicina, oleosa e idrorepellente come nella leucina, elettricamente carica come nella lisina o contenente zolfo come nella cisteina.</w:t>
      </w:r>
    </w:p>
    <w:p>
      <w:pPr>
        <w:pStyle w:val="BodyText"/>
      </w:pPr>
      <w:r>
        <w:t xml:space="preserve">Il corpo umano costruisce le sue proteine essenzialmente a partire da 20 amminoacidi standard. Alcuni può produrli da sé, altri – gli amminoacidi „essenziali“ – deve assumerli con il cibo. Esistono inoltre centinaia di altri amminoacidi presenti in natura o prodotti in laboratorio. Per lo sviluppo dei farmaci questi amminoacidi „non naturali“ sono importanti perché possono rendere un peptide più stabile. Un esempio lo trovi più avanti a proposito della semaglutide.</w:t>
      </w:r>
    </w:p>
    <w:p>
      <w:pPr>
        <w:pStyle w:val="BodyText"/>
      </w:pPr>
      <w:r>
        <w:t xml:space="preserve">Importante per comprendere molte promesse pubblicitarie: i singoli amminoacidi non sono peptidi. Un integratore alimentare con arginina, glutammina o „BCAA“ contiene amminoacidi liberi, cioè mattoni sciolti – non un peptide.</w:t>
      </w:r>
    </w:p>
    <w:bookmarkEnd w:id="38"/>
    <w:bookmarkStart w:id="39" w:name="il-legame-peptidico"/>
    <w:p>
      <w:pPr>
        <w:pStyle w:val="Heading3"/>
      </w:pPr>
      <w:r>
        <w:t xml:space="preserve">Il legame peptidico</w:t>
      </w:r>
    </w:p>
    <w:p>
      <w:pPr>
        <w:pStyle w:val="FirstParagraph"/>
      </w:pPr>
      <w:r>
        <w:t xml:space="preserve">Quando due amminoacidi si uniscono, il gruppo acido dell’uno reagisce con il gruppo amminico dell’altro. Viene liberata una molecola d’acqua e si forma un collegamento stabile: il legame peptidico. Il risultato si chiama dipeptide. Aggiungendo un altro amminoacido si ottiene un tripeptide, poi un tetrapeptide e così via. Una catena di questo tipo ha sempre una direzione: inizia con un gruppo amminico libero (l’„N-terminale“) e termina con un gruppo acido libero (il „C-terminale“). Negli articoli scientifici gli amminoacidi vengono perciò sempre scritti da sinistra a destra, dall’estremità N a quella C – spesso con sigle di una lettera. Il tripeptide „GHK“, per esempio, sta per glicina–istidina–lisina.</w:t>
      </w:r>
    </w:p>
    <w:p>
      <w:pPr>
        <w:pStyle w:val="BodyText"/>
      </w:pPr>
      <w:r>
        <w:t xml:space="preserve">L’ordine degli amminoacidi si chiama sequenza o struttura primaria. È decisivo: due peptidi composti dagli stessi mattoni in ordine diverso sono sostanze diverse con proprietà differenti – così come „Roma“ e „amor“ sono composte dalle stesse lettere.</w:t>
      </w:r>
    </w:p>
    <w:bookmarkEnd w:id="39"/>
    <w:bookmarkStart w:id="42" w:name="Xb11a4044e408a434bfd7e45419173c38b95da4b"/>
    <w:p>
      <w:pPr>
        <w:pStyle w:val="Heading3"/>
      </w:pPr>
      <w:r>
        <w:t xml:space="preserve">Peptide o proteina? Una questione di lunghezza</w:t>
      </w:r>
    </w:p>
    <w:p>
      <w:pPr>
        <w:pStyle w:val="FirstParagraph"/>
      </w:pPr>
      <w:r>
        <w:t xml:space="preserve">Tra peptidi e proteine non esiste un confine scientifico netto, ma una convenzione. In linea di massima vale:</w:t>
      </w:r>
    </w:p>
    <w:p>
      <w:pPr>
        <w:numPr>
          <w:ilvl w:val="0"/>
          <w:numId w:val="1004"/>
        </w:numPr>
        <w:pStyle w:val="Compact"/>
      </w:pPr>
      <w:r>
        <w:rPr>
          <w:bCs/>
          <w:b/>
        </w:rPr>
        <w:t xml:space="preserve">Oligopeptidi</w:t>
      </w:r>
      <w:r>
        <w:t xml:space="preserve">: circa da 2 a 10 amminoacidi, per esempio il tripeptide glutatione o il dipeptide carnosina.</w:t>
      </w:r>
    </w:p>
    <w:p>
      <w:pPr>
        <w:numPr>
          <w:ilvl w:val="0"/>
          <w:numId w:val="1004"/>
        </w:numPr>
        <w:pStyle w:val="Compact"/>
      </w:pPr>
      <w:r>
        <w:rPr>
          <w:bCs/>
          <w:b/>
        </w:rPr>
        <w:t xml:space="preserve">Polipeptidi</w:t>
      </w:r>
      <w:r>
        <w:t xml:space="preserve">: catene più lunghe, fino a circa 50 amminoacidi.</w:t>
      </w:r>
    </w:p>
    <w:p>
      <w:pPr>
        <w:numPr>
          <w:ilvl w:val="0"/>
          <w:numId w:val="1004"/>
        </w:numPr>
        <w:pStyle w:val="Compact"/>
      </w:pPr>
      <w:r>
        <w:rPr>
          <w:bCs/>
          <w:b/>
        </w:rPr>
        <w:t xml:space="preserve">Proteine</w:t>
      </w:r>
      <w:r>
        <w:t xml:space="preserve">: molecole più grandi, per lo più con più di 50 amminoacidi e un ripiegamento spaziale stabile.</w:t>
      </w:r>
    </w:p>
    <w:p>
      <w:pPr>
        <w:pStyle w:val="FirstParagraph"/>
      </w:pPr>
      <w:r>
        <w:t xml:space="preserve">L’insulina, con 51 amminoacidi, si trova esattamente su questo confine. È composta da due catene collegate da ponti di zolfo e, a seconda del manuale, viene definita peptide o piccola proteina. L’ormone della crescita umano è invece chiaramente una proteina: la forma più frequente è composta da 191 amminoacidi e pesa circa 22.000 dalton</w:t>
      </w:r>
      <w:r>
        <w:rPr>
          <w:rStyle w:val="FootnoteReference"/>
        </w:rPr>
        <w:footnoteReference w:id="40"/>
      </w:r>
      <w:r>
        <w:t xml:space="preserve">. Il dalton è l’unità di misura della massa delle molecole; un amminoacido medio in una catena pesa poco più di 100 dalton.</w:t>
      </w:r>
    </w:p>
    <w:p>
      <w:pPr>
        <w:pStyle w:val="BodyText"/>
      </w:pPr>
      <w:r>
        <w:t xml:space="preserve">Alcuni esempi tratti da questo libro per orientarsi: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Sostanza</w:t>
            </w:r>
          </w:p>
        </w:tc>
        <w:tc>
          <w:tcPr/>
          <w:p>
            <w:pPr>
              <w:pStyle w:val="Compact"/>
              <w:jc w:val="left"/>
            </w:pPr>
            <w:r>
              <w:t xml:space="preserve">Lunghezza</w:t>
            </w:r>
          </w:p>
        </w:tc>
        <w:tc>
          <w:tcPr/>
          <w:p>
            <w:pPr>
              <w:pStyle w:val="Compact"/>
              <w:jc w:val="left"/>
            </w:pPr>
            <w:r>
              <w:t xml:space="preserve">Nota</w:t>
            </w:r>
          </w:p>
        </w:tc>
      </w:tr>
      <w:tr>
        <w:tc>
          <w:tcPr/>
          <w:p>
            <w:pPr>
              <w:pStyle w:val="Compact"/>
              <w:jc w:val="left"/>
            </w:pPr>
            <w:r>
              <w:t xml:space="preserve">Carnosina</w:t>
            </w:r>
          </w:p>
        </w:tc>
        <w:tc>
          <w:tcPr/>
          <w:p>
            <w:pPr>
              <w:pStyle w:val="Compact"/>
              <w:jc w:val="left"/>
            </w:pPr>
            <w:r>
              <w:t xml:space="preserve">2 amminoacidi</w:t>
            </w:r>
          </w:p>
        </w:tc>
        <w:tc>
          <w:tcPr/>
          <w:p>
            <w:pPr>
              <w:pStyle w:val="Compact"/>
              <w:jc w:val="left"/>
            </w:pPr>
            <w:r>
              <w:t xml:space="preserve">presente nei muscoli</w:t>
            </w:r>
          </w:p>
        </w:tc>
      </w:tr>
      <w:tr>
        <w:tc>
          <w:tcPr/>
          <w:p>
            <w:pPr>
              <w:pStyle w:val="Compact"/>
              <w:jc w:val="left"/>
            </w:pPr>
            <w:r>
              <w:t xml:space="preserve">Glutatione</w:t>
            </w:r>
          </w:p>
        </w:tc>
        <w:tc>
          <w:tcPr/>
          <w:p>
            <w:pPr>
              <w:pStyle w:val="Compact"/>
              <w:jc w:val="left"/>
            </w:pPr>
            <w:r>
              <w:t xml:space="preserve">3 amminoacidi</w:t>
            </w:r>
          </w:p>
        </w:tc>
        <w:tc>
          <w:tcPr/>
          <w:p>
            <w:pPr>
              <w:pStyle w:val="Compact"/>
              <w:jc w:val="left"/>
            </w:pPr>
            <w:r>
              <w:t xml:space="preserve">molecola protettiva endogena</w:t>
            </w:r>
          </w:p>
        </w:tc>
      </w:tr>
      <w:tr>
        <w:tc>
          <w:tcPr/>
          <w:p>
            <w:pPr>
              <w:pStyle w:val="Compact"/>
              <w:jc w:val="left"/>
            </w:pPr>
            <w:r>
              <w:t xml:space="preserve">Ossitocina</w:t>
            </w:r>
          </w:p>
        </w:tc>
        <w:tc>
          <w:tcPr/>
          <w:p>
            <w:pPr>
              <w:pStyle w:val="Compact"/>
              <w:jc w:val="left"/>
            </w:pPr>
            <w:r>
              <w:t xml:space="preserve">9 amminoacidi</w:t>
            </w:r>
          </w:p>
        </w:tc>
        <w:tc>
          <w:tcPr/>
          <w:p>
            <w:pPr>
              <w:pStyle w:val="Compact"/>
              <w:jc w:val="left"/>
            </w:pPr>
            <w:r>
              <w:t xml:space="preserve">ormone, struttura ad anello</w:t>
            </w:r>
          </w:p>
        </w:tc>
      </w:tr>
      <w:tr>
        <w:tc>
          <w:tcPr/>
          <w:p>
            <w:pPr>
              <w:pStyle w:val="Compact"/>
              <w:jc w:val="left"/>
            </w:pPr>
            <w:r>
              <w:t xml:space="preserve">GLP-1 (forma attiva)</w:t>
            </w:r>
          </w:p>
        </w:tc>
        <w:tc>
          <w:tcPr/>
          <w:p>
            <w:pPr>
              <w:pStyle w:val="Compact"/>
              <w:jc w:val="left"/>
            </w:pPr>
            <w:r>
              <w:t xml:space="preserve">30 amminoacidi</w:t>
            </w:r>
          </w:p>
        </w:tc>
        <w:tc>
          <w:tcPr/>
          <w:p>
            <w:pPr>
              <w:pStyle w:val="Compact"/>
              <w:jc w:val="left"/>
            </w:pPr>
            <w:r>
              <w:t xml:space="preserve">ormone intestinale</w:t>
            </w:r>
          </w:p>
        </w:tc>
      </w:tr>
      <w:tr>
        <w:tc>
          <w:tcPr/>
          <w:p>
            <w:pPr>
              <w:pStyle w:val="Compact"/>
              <w:jc w:val="left"/>
            </w:pPr>
            <w:r>
              <w:t xml:space="preserve">Exendina-4 (exenatide)</w:t>
            </w:r>
          </w:p>
        </w:tc>
        <w:tc>
          <w:tcPr/>
          <w:p>
            <w:pPr>
              <w:pStyle w:val="Compact"/>
              <w:jc w:val="left"/>
            </w:pPr>
            <w:r>
              <w:t xml:space="preserve">39 amminoacidi</w:t>
            </w:r>
          </w:p>
        </w:tc>
        <w:tc>
          <w:tcPr/>
          <w:p>
            <w:pPr>
              <w:pStyle w:val="Compact"/>
              <w:jc w:val="left"/>
            </w:pPr>
            <w:r>
              <w:t xml:space="preserve">dal veleno di una lucertola</w:t>
            </w:r>
          </w:p>
        </w:tc>
      </w:tr>
      <w:tr>
        <w:tc>
          <w:tcPr/>
          <w:p>
            <w:pPr>
              <w:pStyle w:val="Compact"/>
              <w:jc w:val="left"/>
            </w:pPr>
            <w:r>
              <w:t xml:space="preserve">Insulina</w:t>
            </w:r>
          </w:p>
        </w:tc>
        <w:tc>
          <w:tcPr/>
          <w:p>
            <w:pPr>
              <w:pStyle w:val="Compact"/>
              <w:jc w:val="left"/>
            </w:pPr>
            <w:r>
              <w:t xml:space="preserve">51 amminoacidi</w:t>
            </w:r>
          </w:p>
        </w:tc>
        <w:tc>
          <w:tcPr/>
          <w:p>
            <w:pPr>
              <w:pStyle w:val="Compact"/>
              <w:jc w:val="left"/>
            </w:pPr>
            <w:r>
              <w:t xml:space="preserve">due catene</w:t>
            </w:r>
          </w:p>
        </w:tc>
      </w:tr>
      <w:tr>
        <w:tc>
          <w:tcPr/>
          <w:p>
            <w:pPr>
              <w:pStyle w:val="Compact"/>
              <w:jc w:val="left"/>
            </w:pPr>
            <w:r>
              <w:t xml:space="preserve">Ormone della crescita</w:t>
            </w:r>
          </w:p>
        </w:tc>
        <w:tc>
          <w:tcPr/>
          <w:p>
            <w:pPr>
              <w:pStyle w:val="Compact"/>
              <w:jc w:val="left"/>
            </w:pPr>
            <w:r>
              <w:t xml:space="preserve">191 amminoacidi</w:t>
            </w:r>
          </w:p>
        </w:tc>
        <w:tc>
          <w:tcPr/>
          <w:p>
            <w:pPr>
              <w:pStyle w:val="Compact"/>
              <w:jc w:val="left"/>
            </w:pPr>
            <w:r>
              <w:t xml:space="preserve">proteina</w:t>
            </w:r>
          </w:p>
        </w:tc>
      </w:tr>
    </w:tbl>
    <w:p>
      <w:pPr>
        <w:pStyle w:val="BodyText"/>
      </w:pPr>
      <w:r>
        <w:t xml:space="preserve">La lunghezza dell’exendina-4 è indicata nella prima descrizione</w:t>
      </w:r>
      <w:r>
        <w:rPr>
          <w:rStyle w:val="FootnoteReference"/>
        </w:rPr>
        <w:footnoteReference w:id="41"/>
      </w:r>
      <w:r>
        <w:t xml:space="preserve">; gli altri dati corrispondono alle conoscenze dei manuali.</w:t>
      </w:r>
    </w:p>
    <w:p>
      <w:pPr>
        <w:pStyle w:val="BodyText"/>
      </w:pPr>
      <w:r>
        <w:t xml:space="preserve">Nella pratica la lunghezza è importante per diversi motivi. I peptidi corti si possono produrre chimicamente in modo più semplice ed economico. Le catene lunghe si ripiegano in forme complesse che possono essere indispensabili per l’effetto. E più una molecola è grande, più difficilmente attraversa la pelle o la parete intestinale – se ne parla di più nel capitolo sulle forme farmaceutiche.</w:t>
      </w:r>
    </w:p>
    <w:bookmarkEnd w:id="42"/>
    <w:bookmarkStart w:id="44" w:name="come-agiscono-i-peptidi-nellorganismo"/>
    <w:p>
      <w:pPr>
        <w:pStyle w:val="Heading3"/>
      </w:pPr>
      <w:r>
        <w:t xml:space="preserve">Come agiscono i peptidi nell’organismo</w:t>
      </w:r>
    </w:p>
    <w:p>
      <w:pPr>
        <w:pStyle w:val="FirstParagraph"/>
      </w:pPr>
      <w:r>
        <w:t xml:space="preserve">Il corpo umano utilizza i peptidi soprattutto come messaggeri. Un ormone peptidico viene prodotto in una cellula, rilasciato nel sangue o nel tessuto e si lega, su un’altra cellula, a un recettore adatto. I recettori sono molecole proteiche nella membrana cellulare che funzionano come una serratura: solo la chiave giusta innesca un segnale all’interno della cellula.</w:t>
      </w:r>
    </w:p>
    <w:p>
      <w:pPr>
        <w:pStyle w:val="BodyText"/>
      </w:pPr>
      <w:r>
        <w:t xml:space="preserve">Poiché i peptidi sono per lo più troppo grandi e troppo idrosolubili per attraversare la membrana cellulare grassa, la maggior parte agisce tramite recettori sulla superficie cellulare. Molti di questi appartengono alla grande famiglia dei recettori accoppiati a proteine G. Il recettore del GLP-1, attraverso il quale agiscono la semaglutide o la liraglutide, è uno di questi recettori. Non si trova solo nel pancreas, ma anche nel tratto gastrointestinale, nel cuore, nei polmoni, nei reni e nel cervello</w:t>
      </w:r>
      <w:r>
        <w:rPr>
          <w:rStyle w:val="FootnoteReference"/>
        </w:rPr>
        <w:footnoteReference w:id="43"/>
      </w:r>
      <w:r>
        <w:t xml:space="preserve"> </w:t>
      </w:r>
      <w:r>
        <w:t xml:space="preserve">– il che spiega perché questi principi attivi abbiano così tanti effetti diversi.</w:t>
      </w:r>
    </w:p>
    <w:p>
      <w:pPr>
        <w:pStyle w:val="BodyText"/>
      </w:pPr>
      <w:r>
        <w:t xml:space="preserve">Nell’organismo i peptidi svolgono compiti molto diversi:</w:t>
      </w:r>
    </w:p>
    <w:p>
      <w:pPr>
        <w:numPr>
          <w:ilvl w:val="0"/>
          <w:numId w:val="1005"/>
        </w:numPr>
        <w:pStyle w:val="Compact"/>
      </w:pPr>
      <w:r>
        <w:rPr>
          <w:bCs/>
          <w:b/>
        </w:rPr>
        <w:t xml:space="preserve">Ormoni</w:t>
      </w:r>
      <w:r>
        <w:t xml:space="preserve"> </w:t>
      </w:r>
      <w:r>
        <w:t xml:space="preserve">come insulina, glucagone, GLP-1, ossitocina o vasopressina regolano il metabolismo, il bilancio idrico e la riproduzione.</w:t>
      </w:r>
    </w:p>
    <w:p>
      <w:pPr>
        <w:numPr>
          <w:ilvl w:val="0"/>
          <w:numId w:val="1005"/>
        </w:numPr>
        <w:pStyle w:val="Compact"/>
      </w:pPr>
      <w:r>
        <w:rPr>
          <w:bCs/>
          <w:b/>
        </w:rPr>
        <w:t xml:space="preserve">Fattori di rilascio</w:t>
      </w:r>
      <w:r>
        <w:t xml:space="preserve"> </w:t>
      </w:r>
      <w:r>
        <w:t xml:space="preserve">dell’ipotalamo, per esempio l’ormone di rilascio delle gonadotropine (GnRH), danno ordini all’ipofisi.</w:t>
      </w:r>
    </w:p>
    <w:p>
      <w:pPr>
        <w:numPr>
          <w:ilvl w:val="0"/>
          <w:numId w:val="1005"/>
        </w:numPr>
        <w:pStyle w:val="Compact"/>
      </w:pPr>
      <w:r>
        <w:rPr>
          <w:bCs/>
          <w:b/>
        </w:rPr>
        <w:t xml:space="preserve">Neuropeptidi</w:t>
      </w:r>
      <w:r>
        <w:t xml:space="preserve"> </w:t>
      </w:r>
      <w:r>
        <w:t xml:space="preserve">come le endorfine agiscono come sostanze di segnalazione nel sistema nervoso.</w:t>
      </w:r>
    </w:p>
    <w:p>
      <w:pPr>
        <w:numPr>
          <w:ilvl w:val="0"/>
          <w:numId w:val="1005"/>
        </w:numPr>
        <w:pStyle w:val="Compact"/>
      </w:pPr>
      <w:r>
        <w:rPr>
          <w:bCs/>
          <w:b/>
        </w:rPr>
        <w:t xml:space="preserve">Peptidi antimicrobici</w:t>
      </w:r>
      <w:r>
        <w:t xml:space="preserve"> </w:t>
      </w:r>
      <w:r>
        <w:t xml:space="preserve">come LL-37 fanno parte della difesa immunitaria innata.</w:t>
      </w:r>
    </w:p>
    <w:p>
      <w:pPr>
        <w:numPr>
          <w:ilvl w:val="0"/>
          <w:numId w:val="1005"/>
        </w:numPr>
        <w:pStyle w:val="Compact"/>
      </w:pPr>
      <w:r>
        <w:rPr>
          <w:bCs/>
          <w:b/>
        </w:rPr>
        <w:t xml:space="preserve">Componenti strutturali e prodotti di degradazione</w:t>
      </w:r>
      <w:r>
        <w:t xml:space="preserve">: quando il collagene o le proteine del latte vengono digeriti, si formano peptidi corti, alcuni dei quali sono rilevabili nel sangue.</w:t>
      </w:r>
    </w:p>
    <w:p>
      <w:pPr>
        <w:pStyle w:val="FirstParagraph"/>
      </w:pPr>
      <w:r>
        <w:t xml:space="preserve">Questa varietà spiega perché sotto il termine „peptide“ vengano raggruppate sostanze così diverse: un farmaco antidiabetico altamente efficace e soggetto a prescrizione così come un collagene in polvere del supermercato.</w:t>
      </w:r>
    </w:p>
    <w:bookmarkEnd w:id="44"/>
    <w:bookmarkStart w:id="48" w:name="X04f41eb986356df8d0173a8fae058f41faa6153"/>
    <w:p>
      <w:pPr>
        <w:pStyle w:val="Heading3"/>
      </w:pPr>
      <w:r>
        <w:t xml:space="preserve">Vita breve: il problema di fondo dei peptidi naturali</w:t>
      </w:r>
    </w:p>
    <w:p>
      <w:pPr>
        <w:pStyle w:val="FirstParagraph"/>
      </w:pPr>
      <w:r>
        <w:t xml:space="preserve">I peptidi endogeni sono per lo più costruiti per un’azione breve e precisa. L’organismo dispone di una moltitudine di enzimi che scindono i legami peptidici – le cosiddette peptidasi o proteasi. Ciò ha senso: un segnale ormonale deve arrivare dopo il pasto e poi scomparire.</w:t>
      </w:r>
    </w:p>
    <w:p>
      <w:pPr>
        <w:pStyle w:val="BodyText"/>
      </w:pPr>
      <w:r>
        <w:t xml:space="preserve">Per un farmaco, però, questa breve durata è un problema. Il GLP-1 naturale viene rapidamente tagliato dall’enzima dipeptidil-peptidasi-4 (DPP-4). Nel plasma umano in provetta l’emivita era di circa 20 minuti</w:t>
      </w:r>
      <w:r>
        <w:rPr>
          <w:rStyle w:val="FootnoteReference"/>
        </w:rPr>
        <w:footnoteReference w:id="45"/>
      </w:r>
      <w:r>
        <w:t xml:space="preserve">; nell’organismo il GLP-1 viene inoltre rimosso rapidamente dalla circolazione. Come farmaco, il GLP-1 non modificato sarebbe quindi poco utilizzabile.</w:t>
      </w:r>
    </w:p>
    <w:p>
      <w:pPr>
        <w:pStyle w:val="BodyText"/>
      </w:pPr>
      <w:r>
        <w:t xml:space="preserve">La soluzione della ricerca farmaceutica è stata modificare la molecola in modo mirato. Nella semaglutide sono stati sostituiti due amminoacidi del GLP-1 naturale – in posizione 8 si trova l’amminoacido non naturale Aib, che protegge la molecola dalla DPP-4 – e alla catena è stato legato, tramite un elemento di collegamento, un acido grasso. L’acido grasso fa sì che la semaglutide si leghi in modo reversibile nel sangue alla proteina di trasporto albumina</w:t>
      </w:r>
      <w:r>
        <w:rPr>
          <w:rStyle w:val="FootnoteReference"/>
        </w:rPr>
        <w:footnoteReference w:id="46"/>
      </w:r>
      <w:r>
        <w:t xml:space="preserve">. Si forma così un deposito da cui il principio attivo viene rilasciato lentamente. L’emivita nell’uomo è di circa una settimana</w:t>
      </w:r>
      <w:r>
        <w:rPr>
          <w:rStyle w:val="FootnoteReference"/>
        </w:rPr>
        <w:footnoteReference w:id="47"/>
      </w:r>
      <w:r>
        <w:t xml:space="preserve"> </w:t>
      </w:r>
      <w:r>
        <w:t xml:space="preserve">– per questo basta un’iniezione alla settimana.</w:t>
      </w:r>
    </w:p>
    <w:p>
      <w:pPr>
        <w:pStyle w:val="BodyText"/>
      </w:pPr>
      <w:r>
        <w:t xml:space="preserve">Questo principio – modello naturale, stabilizzato in modo mirato – attraversa tutta la medicina peptidica moderna. Significa però anche che un farmaco peptidico</w:t>
      </w:r>
      <w:r>
        <w:t xml:space="preserve"> </w:t>
      </w:r>
      <w:r>
        <w:rPr>
          <w:bCs/>
          <w:b/>
        </w:rPr>
        <w:t xml:space="preserve">non</w:t>
      </w:r>
      <w:r>
        <w:t xml:space="preserve"> </w:t>
      </w:r>
      <w:r>
        <w:t xml:space="preserve">è per lo più una sostanza „naturale“ nel senso di endogena e non modificata. È una molecola ispirata dalla natura, ma ottimizzata in laboratorio.</w:t>
      </w:r>
    </w:p>
    <w:bookmarkEnd w:id="48"/>
    <w:bookmarkStart w:id="52" w:name="come-vengono-prodotti-i-peptidi"/>
    <w:p>
      <w:pPr>
        <w:pStyle w:val="Heading3"/>
      </w:pPr>
      <w:r>
        <w:t xml:space="preserve">Come vengono prodotti i peptidi</w:t>
      </w:r>
    </w:p>
    <w:p>
      <w:pPr>
        <w:pStyle w:val="FirstParagraph"/>
      </w:pPr>
      <w:r>
        <w:t xml:space="preserve">Esistono tre vie fondamentali per ottenere i peptidi:</w:t>
      </w:r>
    </w:p>
    <w:p>
      <w:pPr>
        <w:pStyle w:val="BodyText"/>
      </w:pPr>
      <w:r>
        <w:rPr>
          <w:bCs/>
          <w:b/>
        </w:rPr>
        <w:t xml:space="preserve">Sintesi chimica.</w:t>
      </w:r>
      <w:r>
        <w:t xml:space="preserve"> </w:t>
      </w:r>
      <w:r>
        <w:t xml:space="preserve">Dagli anni Sessanta i peptidi vengono costruiti mattone dopo mattone su un materiale di supporto solido. Questo metodo di sintesi peptidica in fase solida è stato sviluppato da Robert Bruce Merrifield</w:t>
      </w:r>
      <w:r>
        <w:rPr>
          <w:rStyle w:val="FootnoteReference"/>
        </w:rPr>
        <w:footnoteReference w:id="49"/>
      </w:r>
      <w:r>
        <w:t xml:space="preserve">, che per questo ricevette nel 1984 il premio Nobel per la chimica. Oggi queste sintesi avvengono in gran parte automaticamente. Sono la base di quasi tutti i peptidi corti, compresi quelli offerti sul mercato grigio. A ogni fase di accoppiamento possono però verificarsi errori – per esempio amminoacidi mancanti o doppi. Una fase di purificazione accurata è quindi indispensabile.</w:t>
      </w:r>
    </w:p>
    <w:p>
      <w:pPr>
        <w:pStyle w:val="BodyText"/>
      </w:pPr>
      <w:r>
        <w:rPr>
          <w:bCs/>
          <w:b/>
        </w:rPr>
        <w:t xml:space="preserve">Produzione con tecniche di ingegneria genetica (ricombinante).</w:t>
      </w:r>
      <w:r>
        <w:t xml:space="preserve"> </w:t>
      </w:r>
      <w:r>
        <w:t xml:space="preserve">Le istruzioni di costruzione del peptide vengono inserite in batteri o cellule di lievito, che poi lo producono in grandi serbatoi. L’insulina umana è stato il primo farmaco prodotto in questo modo; negli studi clinici sull’uomo è stata impiegata dal 1980</w:t>
      </w:r>
      <w:r>
        <w:rPr>
          <w:rStyle w:val="FootnoteReference"/>
        </w:rPr>
        <w:footnoteReference w:id="50"/>
      </w:r>
      <w:r>
        <w:t xml:space="preserve">. Peptidi e proteine più grandi vengono ancora oggi ottenuti prevalentemente in questo modo, in parte in combinazione con fasi di modifica chimica.</w:t>
      </w:r>
    </w:p>
    <w:p>
      <w:pPr>
        <w:pStyle w:val="BodyText"/>
      </w:pPr>
      <w:r>
        <w:rPr>
          <w:bCs/>
          <w:b/>
        </w:rPr>
        <w:t xml:space="preserve">Estrazione da fonti naturali.</w:t>
      </w:r>
      <w:r>
        <w:t xml:space="preserve"> </w:t>
      </w:r>
      <w:r>
        <w:t xml:space="preserve">Le prime insuline venivano estratte da pancreas di bovini e suini. I peptidi di collagene si ottengono oggi scomponendo con enzimi in frammenti più piccoli il collagene di pelle, ossa o squame di pesce (idrolisi). Questi idrolizzati sono miscele di molti peptidi diversi – non un principio attivo uniforme.</w:t>
      </w:r>
    </w:p>
    <w:p>
      <w:pPr>
        <w:pStyle w:val="BodyText"/>
      </w:pPr>
      <w:r>
        <w:t xml:space="preserve">La via di produzione è rilevante per la sicurezza. Un’indagine ha confrontato prodotti di imitazione di semaglutide e liraglutide con i preparati originali e ha riscontrato in alcuni principi attivi di imitazione nuove impurità, tra cui proteine ad alto peso molecolare, metalli in tracce e residui di solventi</w:t>
      </w:r>
      <w:r>
        <w:rPr>
          <w:rStyle w:val="FootnoteReference"/>
        </w:rPr>
        <w:footnoteReference w:id="51"/>
      </w:r>
      <w:r>
        <w:t xml:space="preserve">. Se tali differenze siano clinicamente rilevanti è una questione aperta – mostrano però che „lo stesso principio attivo“ non significa automaticamente „lo stesso prodotto“. L’indagine, peraltro, è stata condotta dal produttore dei preparati originali, il che andrebbe considerato nella valutazione.</w:t>
      </w:r>
    </w:p>
    <w:bookmarkEnd w:id="52"/>
    <w:bookmarkStart w:id="55" w:name="X0d2bfb8e24146a8b718b0002b10992ee3b8a822"/>
    <w:p>
      <w:pPr>
        <w:pStyle w:val="Heading3"/>
      </w:pPr>
      <w:r>
        <w:t xml:space="preserve">I peptidi come farmaci: un gruppo in crescita</w:t>
      </w:r>
    </w:p>
    <w:p>
      <w:pPr>
        <w:pStyle w:val="FirstParagraph"/>
      </w:pPr>
      <w:r>
        <w:t xml:space="preserve">I peptidi occupano una nicchia tra le classiche „piccole molecole“ (come l’aspirina o la metformina) e i grandi farmaci biologici (come gli anticorpi). Possono legarsi in modo molto mirato a un recettore, il che spesso comporta pochi effetti indesiderati in altre sedi. Allo stesso tempo è più difficile formularli in compresse e spesso la loro produzione è costosa.</w:t>
      </w:r>
    </w:p>
    <w:p>
      <w:pPr>
        <w:pStyle w:val="BodyText"/>
      </w:pPr>
      <w:r>
        <w:t xml:space="preserve">Secondo una revisione, dall’introduzione dell’insulina più di 80 farmaci peptidici hanno raggiunto il mercato, per esempio contro diabete, cancro, osteoporosi, sclerosi multipla, infezione da HIV e dolore cronico</w:t>
      </w:r>
      <w:r>
        <w:rPr>
          <w:rStyle w:val="FootnoteReference"/>
        </w:rPr>
        <w:footnoteReference w:id="53"/>
      </w:r>
      <w:r>
        <w:t xml:space="preserve">. Un’altra analisi ha contato oltre 150 peptidi in sviluppo clinico attivo</w:t>
      </w:r>
      <w:r>
        <w:rPr>
          <w:rStyle w:val="FootnoteReference"/>
        </w:rPr>
        <w:footnoteReference w:id="54"/>
      </w:r>
      <w:r>
        <w:t xml:space="preserve">. I numeri differiscono a seconda del metodo di conteggio, ma indicano la stessa direzione: i peptidi sono una parte stabile e in crescita della medicina.</w:t>
      </w:r>
    </w:p>
    <w:p>
      <w:pPr>
        <w:pStyle w:val="BodyText"/>
      </w:pPr>
      <w:r>
        <w:t xml:space="preserve">Molti peptidi farmaceutici forse li conosci senza averli percepiti come peptidi: l’insulina, il farmaco per l’osteoporosi teriparatide (un frammento dell’ormone paratiroideo di 34 amminoacidi), principi attivi contro il cancro della prostata che influenzano il sistema del GnRH, l’ossitocina usata per indurre le contrazioni o l’antibiotico vancomicina, un glicopeptide.</w:t>
      </w:r>
    </w:p>
    <w:bookmarkEnd w:id="55"/>
    <w:bookmarkStart w:id="57" w:name="che-cosa-non-sono-i-peptidi"/>
    <w:p>
      <w:pPr>
        <w:pStyle w:val="Heading3"/>
      </w:pPr>
      <w:r>
        <w:t xml:space="preserve">Che cosa non sono i peptidi</w:t>
      </w:r>
    </w:p>
    <w:p>
      <w:pPr>
        <w:pStyle w:val="FirstParagraph"/>
      </w:pPr>
      <w:r>
        <w:t xml:space="preserve">Proprio perché il termine è diventato così popolare, vale la pena esaminare alcuni equivoci diffusi.</w:t>
      </w:r>
    </w:p>
    <w:p>
      <w:pPr>
        <w:pStyle w:val="BodyText"/>
      </w:pPr>
      <w:r>
        <w:rPr>
          <w:bCs/>
          <w:b/>
        </w:rPr>
        <w:t xml:space="preserve">„Peptide“ non è un marchio di qualità.</w:t>
      </w:r>
      <w:r>
        <w:t xml:space="preserve"> </w:t>
      </w:r>
      <w:r>
        <w:t xml:space="preserve">La struttura chimica non dice nulla su benefici o rischi. L’insulina salva vite ogni giorno – in quantità sbagliata può essere mortale. Un peptide non è automaticamente più delicato di un farmaco „chimico“.</w:t>
      </w:r>
    </w:p>
    <w:p>
      <w:pPr>
        <w:pStyle w:val="BodyText"/>
      </w:pPr>
      <w:r>
        <w:rPr>
          <w:bCs/>
          <w:b/>
        </w:rPr>
        <w:t xml:space="preserve">„Endogeno“ non significa „innocuo“.</w:t>
      </w:r>
      <w:r>
        <w:t xml:space="preserve"> </w:t>
      </w:r>
      <w:r>
        <w:t xml:space="preserve">Molti peptidi del mercato grigio vengono pubblicizzati come „endogeni“ o „bioidentici“. Ma anche le sostanze prodotte dall’organismo possono nuocere se presenti in quantità innaturalmente elevate, nel posto sbagliato o per lungo tempo. Un esempio è il sistema dell’ormone della crescita: una carenza fa ammalare, un eccesso permanente anche. Inoltre molti peptidi presentati come endogeni sono in realtà varianti o frammenti che nell’organismo non esistono in questa forma. Il BPC-157, per esempio, è una sequenza di 15 amminoacidi</w:t>
      </w:r>
      <w:r>
        <w:rPr>
          <w:rStyle w:val="FootnoteReference"/>
        </w:rPr>
        <w:footnoteReference w:id="56"/>
      </w:r>
      <w:r>
        <w:t xml:space="preserve"> </w:t>
      </w:r>
      <w:r>
        <w:t xml:space="preserve">che i suoi scopritori hanno derivato dal succo gastrico; come ormone autonomo dell’uomo non è riconosciuto.</w:t>
      </w:r>
    </w:p>
    <w:p>
      <w:pPr>
        <w:pStyle w:val="BodyText"/>
      </w:pPr>
      <w:r>
        <w:rPr>
          <w:bCs/>
          <w:b/>
        </w:rPr>
        <w:t xml:space="preserve">I peptidi non sono steroidi.</w:t>
      </w:r>
      <w:r>
        <w:t xml:space="preserve"> </w:t>
      </w:r>
      <w:r>
        <w:t xml:space="preserve">Gli anabolizzanti come il testosterone sono ormoni steroidei con un’impalcatura chimica completamente diversa, fatta di anelli di carbonio. Agiscono tramite recettori all’interno della cellula. Nell’ambito del fitness i due gruppi vengono a volte messi nello stesso calderone; chimicamente e farmacologicamente hanno poco in comune.</w:t>
      </w:r>
    </w:p>
    <w:p>
      <w:pPr>
        <w:pStyle w:val="BodyText"/>
      </w:pPr>
      <w:r>
        <w:rPr>
          <w:bCs/>
          <w:b/>
        </w:rPr>
        <w:t xml:space="preserve">Non tutto ciò che agisce in modo simile è un peptide.</w:t>
      </w:r>
      <w:r>
        <w:t xml:space="preserve"> </w:t>
      </w:r>
      <w:r>
        <w:t xml:space="preserve">L’orforglipron, per esempio, attiva come la semaglutide il recettore del GLP-1, ma è una piccola molecola non peptidica. L’ibutamoren (MK-677) stimola la secrezione dell’ormone della crescita come alcuni peptidi, ma non lo è a sua volta. Entrambi vengono perciò trattati in questo libro solo a scopo di confronto.</w:t>
      </w:r>
    </w:p>
    <w:p>
      <w:pPr>
        <w:pStyle w:val="BodyText"/>
      </w:pPr>
      <w:r>
        <w:rPr>
          <w:bCs/>
          <w:b/>
        </w:rPr>
        <w:t xml:space="preserve">Un peptide in una crema non è la stessa cosa di un peptide in una siringa.</w:t>
      </w:r>
      <w:r>
        <w:t xml:space="preserve"> </w:t>
      </w:r>
      <w:r>
        <w:t xml:space="preserve">I peptidi cosmetici come il palmitoil pentapeptide-4 sono appositamente progettati per agire nello strato più superficiale della pelle. Se e quanto in profondità penetrino è un’altra questione. Viceversa, un peptide che viene iniettato come farmaco non passa semplicemente attraverso la pelle se lo si applica sulla cute.</w:t>
      </w:r>
    </w:p>
    <w:p>
      <w:pPr>
        <w:pStyle w:val="BodyText"/>
      </w:pPr>
      <w:r>
        <w:rPr>
          <w:bCs/>
          <w:b/>
        </w:rPr>
        <w:t xml:space="preserve">I peptidi ingeriti vengono per lo più digeriti.</w:t>
      </w:r>
      <w:r>
        <w:t xml:space="preserve"> </w:t>
      </w:r>
      <w:r>
        <w:t xml:space="preserve">Il tratto gastrointestinale è fatto per scomporre le proteine in amminoacidi e frammenti molto corti. Un ormone peptidico che si deglutisce viene quindi di regola degradato prima che possa agire. Le eccezioni – per esempio peptidi molto piccoli del collagene rilevabili nel sangue, o la compressa di semaglutide con il suo eccipiente – vengono spiegate nel capitolo successivo al prossimo.</w:t>
      </w:r>
    </w:p>
    <w:bookmarkEnd w:id="57"/>
    <w:bookmarkStart w:id="58" w:name="naturale-identico-al-naturale-modificato"/>
    <w:p>
      <w:pPr>
        <w:pStyle w:val="Heading3"/>
      </w:pPr>
      <w:r>
        <w:t xml:space="preserve">Naturale, identico al naturale, modificato</w:t>
      </w:r>
    </w:p>
    <w:p>
      <w:pPr>
        <w:pStyle w:val="FirstParagraph"/>
      </w:pPr>
      <w:r>
        <w:t xml:space="preserve">Per collocare i peptidi della Parte II aiuta una semplice distinzione:</w:t>
      </w:r>
    </w:p>
    <w:p>
      <w:pPr>
        <w:numPr>
          <w:ilvl w:val="0"/>
          <w:numId w:val="1006"/>
        </w:numPr>
        <w:pStyle w:val="Compact"/>
      </w:pPr>
      <w:r>
        <w:rPr>
          <w:bCs/>
          <w:b/>
        </w:rPr>
        <w:t xml:space="preserve">Peptidi identici a quelli naturali</w:t>
      </w:r>
      <w:r>
        <w:t xml:space="preserve"> </w:t>
      </w:r>
      <w:r>
        <w:t xml:space="preserve">corrispondono esattamente a una molecola endogena, per esempio l’ossitocina o il glutatione.</w:t>
      </w:r>
    </w:p>
    <w:p>
      <w:pPr>
        <w:numPr>
          <w:ilvl w:val="0"/>
          <w:numId w:val="1006"/>
        </w:numPr>
        <w:pStyle w:val="Compact"/>
      </w:pPr>
      <w:r>
        <w:rPr>
          <w:bCs/>
          <w:b/>
        </w:rPr>
        <w:t xml:space="preserve">Analoghi modificati</w:t>
      </w:r>
      <w:r>
        <w:t xml:space="preserve"> </w:t>
      </w:r>
      <w:r>
        <w:t xml:space="preserve">derivano dal modello naturale, ma sono modificati in modo mirato – tramite amminoacidi sostituiti, acidi grassi legati o strutture ad anello. Vi appartengono quasi tutti i farmaci peptidici moderni.</w:t>
      </w:r>
    </w:p>
    <w:p>
      <w:pPr>
        <w:numPr>
          <w:ilvl w:val="0"/>
          <w:numId w:val="1006"/>
        </w:numPr>
        <w:pStyle w:val="Compact"/>
      </w:pPr>
      <w:r>
        <w:rPr>
          <w:bCs/>
          <w:b/>
        </w:rPr>
        <w:t xml:space="preserve">Peptidi estranei o progettati ex novo</w:t>
      </w:r>
      <w:r>
        <w:t xml:space="preserve"> </w:t>
      </w:r>
      <w:r>
        <w:t xml:space="preserve">provengono da altri esseri viventi (come l’exendina-4 dalla saliva del mostro di Gila) o sono stati sviluppati di nuovo in laboratorio (come i peptidi cosmetici o i doppi e tripli agonisti tirzepatide e retatrutide).</w:t>
      </w:r>
    </w:p>
    <w:p>
      <w:pPr>
        <w:pStyle w:val="FirstParagraph"/>
      </w:pPr>
      <w:r>
        <w:t xml:space="preserve">Per la sicurezza questa suddivisione da sola non è decisiva. Aiuta però a capire perché gli studi sull’uomo siano indispensabili per tutti e tre i gruppi: anche una molecola identica a quella naturale si comporta diversamente se viene somministrata dall’esterno in grande quantità.</w:t>
      </w:r>
    </w:p>
    <w:bookmarkEnd w:id="58"/>
    <w:bookmarkStart w:id="61" w:name="Xed0c1c09ccd11f2333845f4d1edcb59e419fc9f"/>
    <w:p>
      <w:pPr>
        <w:pStyle w:val="Heading3"/>
      </w:pPr>
      <w:r>
        <w:t xml:space="preserve">Perché i peptidi ricevono proprio ora così tanta attenzione</w:t>
      </w:r>
    </w:p>
    <w:p>
      <w:pPr>
        <w:pStyle w:val="FirstParagraph"/>
      </w:pPr>
      <w:r>
        <w:t xml:space="preserve">Tre sviluppi spiegano il boom degli ultimi anni:</w:t>
      </w:r>
    </w:p>
    <w:p>
      <w:pPr>
        <w:pStyle w:val="BodyText"/>
      </w:pPr>
      <w:r>
        <w:rPr>
          <w:bCs/>
          <w:b/>
        </w:rPr>
        <w:t xml:space="preserve">In primo luogo i farmaci GLP-1.</w:t>
      </w:r>
      <w:r>
        <w:t xml:space="preserve"> </w:t>
      </w:r>
      <w:r>
        <w:t xml:space="preserve">I risultati di principi attivi come semaglutide e tirzepatide nel sovrappeso hanno portato i peptidi sui titoli dei giornali. Nello studio registrativo STEP 1 i partecipanti trattati con semaglutide hanno perso in media il 14,9% del loro peso corporeo, con placebo il 2,4%</w:t>
      </w:r>
      <w:r>
        <w:rPr>
          <w:rStyle w:val="FootnoteReference"/>
        </w:rPr>
        <w:footnoteReference w:id="59"/>
      </w:r>
      <w:r>
        <w:t xml:space="preserve">. Risultati simili non erano mai stati raggiunti prima con dei farmaci.</w:t>
      </w:r>
    </w:p>
    <w:p>
      <w:pPr>
        <w:pStyle w:val="BodyText"/>
      </w:pPr>
      <w:r>
        <w:rPr>
          <w:bCs/>
          <w:b/>
        </w:rPr>
        <w:t xml:space="preserve">In secondo luogo la facile disponibilità.</w:t>
      </w:r>
      <w:r>
        <w:t xml:space="preserve"> </w:t>
      </w:r>
      <w:r>
        <w:t xml:space="preserve">I peptidi corti si possono oggi sintetizzare a basso costo in molti Paesi e vengono offerti in tutto il mondo via Internet – spesso con l’etichetta „solo a scopo di ricerca“. Che cosa significhi, lo tratta il capitolo sul mercato grigio.</w:t>
      </w:r>
    </w:p>
    <w:p>
      <w:pPr>
        <w:pStyle w:val="BodyText"/>
      </w:pPr>
      <w:r>
        <w:rPr>
          <w:bCs/>
          <w:b/>
        </w:rPr>
        <w:t xml:space="preserve">In terzo luogo i social media.</w:t>
      </w:r>
      <w:r>
        <w:t xml:space="preserve"> </w:t>
      </w:r>
      <w:r>
        <w:t xml:space="preserve">Testimonianze, foto prima e dopo e raccomandazioni di influencer si diffondono più velocemente dei dati scientifici. Una revisione descrive come pubblicità digitale, accesso al mercato grigio e autoiniezione agiscano insieme e normalizzino prodotti la cui identità, purezza e sicurezza non sono chiare</w:t>
      </w:r>
      <w:r>
        <w:rPr>
          <w:rStyle w:val="FootnoteReference"/>
        </w:rPr>
        <w:footnoteReference w:id="60"/>
      </w:r>
      <w:r>
        <w:t xml:space="preserve">.</w:t>
      </w:r>
    </w:p>
    <w:p>
      <w:pPr>
        <w:pStyle w:val="BodyText"/>
      </w:pPr>
      <w:r>
        <w:t xml:space="preserve">Questo libro vuole offrire qui un contrappeso sobrio: per ogni peptide si verifica che cosa sia stato effettivamente studiato nell’uomo – e che cosa no.</w:t>
      </w:r>
    </w:p>
    <w:bookmarkEnd w:id="61"/>
    <w:bookmarkStart w:id="62" w:name="lessenziale-in-breve"/>
    <w:p>
      <w:pPr>
        <w:pStyle w:val="Heading3"/>
      </w:pPr>
      <w:r>
        <w:t xml:space="preserve">L’essenziale in breve</w:t>
      </w:r>
    </w:p>
    <w:p>
      <w:pPr>
        <w:numPr>
          <w:ilvl w:val="0"/>
          <w:numId w:val="1007"/>
        </w:numPr>
        <w:pStyle w:val="Compact"/>
      </w:pPr>
      <w:r>
        <w:t xml:space="preserve">I peptidi sono catene di amminoacidi unite da legami peptidici. A partire da circa 50 amminoacidi si parla per lo più di proteine.</w:t>
      </w:r>
    </w:p>
    <w:p>
      <w:pPr>
        <w:numPr>
          <w:ilvl w:val="0"/>
          <w:numId w:val="1007"/>
        </w:numPr>
        <w:pStyle w:val="Compact"/>
      </w:pPr>
      <w:r>
        <w:t xml:space="preserve">Nell’organismo i peptidi agiscono soprattutto come messaggeri tramite recettori sulla superficie cellulare.</w:t>
      </w:r>
    </w:p>
    <w:p>
      <w:pPr>
        <w:numPr>
          <w:ilvl w:val="0"/>
          <w:numId w:val="1007"/>
        </w:numPr>
        <w:pStyle w:val="Compact"/>
      </w:pPr>
      <w:r>
        <w:t xml:space="preserve">I peptidi naturali vengono degradati rapidamente. I farmaci peptidici moderni sono quindi quasi sempre molecole modificate in modo mirato.</w:t>
      </w:r>
    </w:p>
    <w:p>
      <w:pPr>
        <w:numPr>
          <w:ilvl w:val="0"/>
          <w:numId w:val="1007"/>
        </w:numPr>
        <w:pStyle w:val="Compact"/>
      </w:pPr>
      <w:r>
        <w:t xml:space="preserve">I peptidi vengono sintetizzati chimicamente, prodotti con tecniche di ingegneria genetica o ottenuti da fonti naturali. Via di produzione e purezza influenzano la sicurezza.</w:t>
      </w:r>
    </w:p>
    <w:p>
      <w:pPr>
        <w:numPr>
          <w:ilvl w:val="0"/>
          <w:numId w:val="1007"/>
        </w:numPr>
        <w:pStyle w:val="Compact"/>
      </w:pPr>
      <w:r>
        <w:t xml:space="preserve">„Peptide“ è una descrizione chimica, non un marchio di qualità. Se un determinato peptide funzioni e sia sicuro nell’uomo possono dimostrarlo solo buoni studi.</w:t>
      </w:r>
    </w:p>
    <w:bookmarkEnd w:id="62"/>
    <w:bookmarkEnd w:id="63"/>
    <w:bookmarkStart w:id="100" w:name="X787362c7e8536a3af04062fc1fc0fed466871bd"/>
    <w:p>
      <w:pPr>
        <w:pStyle w:val="Heading2"/>
      </w:pPr>
      <w:r>
        <w:t xml:space="preserve">Breve storia: dall’insulina ai farmaci GLP-1</w:t>
      </w:r>
    </w:p>
    <w:p>
      <w:pPr>
        <w:pStyle w:val="FirstParagraph"/>
      </w:pPr>
      <w:r>
        <w:t xml:space="preserve">La storia dei farmaci peptidici è una storia di scoperte decisive, vicoli ciechi e coincidenze sorprendenti. Comincia con un esperimento disperato a Toronto, passa per il veleno di una lucertola del deserto americano e si conclude – per ora – con iniezioni dimagranti che figurano tra i farmaci più venduti al mondo. Questo capitolo racconta le tappe più importanti. Intende aiutarti a inquadrare l’attuale fermento intorno ai peptidi: molto di ciò che viene venduto come rivoluzionario poggia sulle spalle di cento anni di faticosa ricerca.</w:t>
      </w:r>
    </w:p>
    <w:bookmarkStart w:id="64" w:name="Xbbaa4de4a0f6ff806e8916d3dae0054a7a8d7aa"/>
    <w:p>
      <w:pPr>
        <w:pStyle w:val="Heading3"/>
      </w:pPr>
      <w:r>
        <w:t xml:space="preserve">Prima del 1922: la scoperta dei messaggeri chimici</w:t>
      </w:r>
    </w:p>
    <w:p>
      <w:pPr>
        <w:pStyle w:val="FirstParagraph"/>
      </w:pPr>
      <w:r>
        <w:t xml:space="preserve">Intorno al 1900 si affermò in fisiologia una nuova idea: gli organi comunicano non solo attraverso i nervi, ma anche tramite messaggeri chimici nel sangue. I fisiologi britannici William Bayliss ed Ernest Starling descrissero nel 1902 la secretina, una sostanza della parete intestinale che stimola il pancreas a produrre succo. Per questi messaggeri Starling coniò poco dopo il termine „ormone“. La secretina è – come oggi sappiamo – un peptide. All’inizio dell’intera ricerca sugli ormoni c’era dunque un peptide.</w:t>
      </w:r>
    </w:p>
    <w:p>
      <w:pPr>
        <w:pStyle w:val="BodyText"/>
      </w:pPr>
      <w:r>
        <w:t xml:space="preserve">Al tempo stesso era noto che il diabete mellito fosse legato al pancreas. I cani a cui veniva asportato l’organo sviluppavano un diabete mortale. Molti gruppi di ricerca cercarono di estrarre dalla ghiandola la presunta sostanza ipoglicemizzante. Gli estratti, però, erano inefficaci oppure così contaminati da provocare reazioni gravi.</w:t>
      </w:r>
    </w:p>
    <w:bookmarkEnd w:id="64"/>
    <w:bookmarkStart w:id="68" w:name="linsulina-il-primo-farmaco-peptidico"/>
    <w:p>
      <w:pPr>
        <w:pStyle w:val="Heading3"/>
      </w:pPr>
      <w:r>
        <w:t xml:space="preserve">1922: l’insulina – il primo farmaco peptidico</w:t>
      </w:r>
    </w:p>
    <w:p>
      <w:pPr>
        <w:pStyle w:val="FirstParagraph"/>
      </w:pPr>
      <w:r>
        <w:t xml:space="preserve">Nell’estate del 1921 un gruppo dell’Università di Toronto compì il passo decisivo. Frederick Banting e Charles Best, sotto la direzione di John Macleod, ottennero un estratto che abbassava la glicemia nei cani privi di pancreas. Il biochimico James Collip migliorò la purificazione al punto che l’estratto poté essere sperimentato sull’uomo. Nel gennaio 1922 un ragazzo di 14 anni con diabete grave ricevette a Toronto le prime iniezioni. Nello stesso anno il gruppo riferì le sue esperienze sui pazienti</w:t>
      </w:r>
      <w:r>
        <w:rPr>
          <w:rStyle w:val="FootnoteReference"/>
        </w:rPr>
        <w:footnoteReference w:id="65"/>
      </w:r>
      <w:r>
        <w:t xml:space="preserve">.</w:t>
      </w:r>
    </w:p>
    <w:p>
      <w:pPr>
        <w:pStyle w:val="BodyText"/>
      </w:pPr>
      <w:r>
        <w:t xml:space="preserve">L’effetto fu drammatico: il diabete di tipo 1, fino ad allora mortale in breve tempo, divenne una malattia cronica curabile. Una revisione pubblicata per il centenario descrive proprio questa trasformazione come il nucleo della scoperta</w:t>
      </w:r>
      <w:r>
        <w:rPr>
          <w:rStyle w:val="FootnoteReference"/>
        </w:rPr>
        <w:footnoteReference w:id="66"/>
      </w:r>
      <w:r>
        <w:t xml:space="preserve">. Banting e Macleod ricevettero nel 1923 il premio Nobel per la medicina.</w:t>
      </w:r>
    </w:p>
    <w:p>
      <w:pPr>
        <w:pStyle w:val="BodyText"/>
      </w:pPr>
      <w:r>
        <w:t xml:space="preserve">Come riassume una rassegna storica, i decenni successivi ruotarono intorno a questioni molto pratiche: produrre abbastanza insulina, renderla più pura per evitare reazioni allergiche, stabilire standard e prolungare la durata d’azione, affinché servissero meno iniezioni</w:t>
      </w:r>
      <w:r>
        <w:rPr>
          <w:rStyle w:val="FootnoteReference"/>
        </w:rPr>
        <w:footnoteReference w:id="67"/>
      </w:r>
      <w:r>
        <w:t xml:space="preserve">. Proprio questi temi – produzione, purezza, durata d’azione, somministrazione – accompagnano la medicina peptidica ancora oggi.</w:t>
      </w:r>
    </w:p>
    <w:bookmarkEnd w:id="68"/>
    <w:bookmarkStart w:id="71" w:name="X765c64fa42127d6883ab6e5ecec5d96580b9eca"/>
    <w:p>
      <w:pPr>
        <w:pStyle w:val="Heading3"/>
      </w:pPr>
      <w:r>
        <w:t xml:space="preserve">Anni Cinquanta: i peptidi diventano leggibili e producibili</w:t>
      </w:r>
    </w:p>
    <w:p>
      <w:pPr>
        <w:pStyle w:val="FirstParagraph"/>
      </w:pPr>
      <w:r>
        <w:t xml:space="preserve">A lungo non fu chiaro come fosse costituita chimicamente l’insulina. Il biochimico britannico Frederick Sanger decifrò all’inizio degli anni Cinquanta, passo dopo passo, la sequenza degli amminoacidi nelle due catene dell’insulina</w:t>
      </w:r>
      <w:r>
        <w:rPr>
          <w:rStyle w:val="FootnoteReference"/>
        </w:rPr>
        <w:footnoteReference w:id="69"/>
      </w:r>
      <w:r>
        <w:t xml:space="preserve">. L’insulina divenne così la prima proteina di cui fosse nota la sequenza completa. Per questo Sanger ricevette nel 1958 il premio Nobel per la chimica. La scoperta che le proteine hanno una sequenza fissa e ben definita di mattoni fu fondamentale per l’intera biologia molecolare.</w:t>
      </w:r>
    </w:p>
    <w:p>
      <w:pPr>
        <w:pStyle w:val="BodyText"/>
      </w:pPr>
      <w:r>
        <w:t xml:space="preserve">Quasi contemporaneamente il chimico americano Vincent du Vigneaud realizzò la prima produzione chimica di un ormone peptidico: l’ossitocina, un ormone di nove amminoacidi che scatena le contrazioni del parto e la fuoriuscita del latte. Per questo fu insignito nel 1955 del premio Nobel per la chimica. Per la prima volta un ormone endogeno era stato „ricostruito“ in laboratorio – l’ossitocina sintetica viene impiegata in ostetricia ancora oggi.</w:t>
      </w:r>
    </w:p>
    <w:p>
      <w:pPr>
        <w:pStyle w:val="BodyText"/>
      </w:pPr>
      <w:r>
        <w:t xml:space="preserve">Negli anni Sessanta Robert Bruce Merrifield sviluppò la sintesi in fase solida, in cui una catena peptidica viene allungata mattone dopo mattone su un supporto solido</w:t>
      </w:r>
      <w:r>
        <w:rPr>
          <w:rStyle w:val="FootnoteReference"/>
        </w:rPr>
        <w:footnoteReference w:id="70"/>
      </w:r>
      <w:r>
        <w:t xml:space="preserve">. Il procedimento poteva essere automatizzato e rese davvero praticabile la produzione di qualsiasi peptide corto. Merrifield ricevette nel 1984 il premio Nobel per la chimica. Senza questa tecnica non esisterebbero né la maggior parte dei farmaci peptidici moderni né l’attuale mercato grigio.</w:t>
      </w:r>
    </w:p>
    <w:bookmarkEnd w:id="71"/>
    <w:bookmarkStart w:id="73" w:name="Xead4d5130c17df1d40241f3efa1aefccb280ac4"/>
    <w:p>
      <w:pPr>
        <w:pStyle w:val="Heading3"/>
      </w:pPr>
      <w:r>
        <w:t xml:space="preserve">Anni Sessanta e Settanta: misurare e regolare</w:t>
      </w:r>
    </w:p>
    <w:p>
      <w:pPr>
        <w:pStyle w:val="FirstParagraph"/>
      </w:pPr>
      <w:r>
        <w:t xml:space="preserve">Un altro ostacolo era la misurabilità. Gli ormoni peptidici sono presenti nel sangue in quantità minime. Rosalyn Yalow e Solomon Berson svilupparono un metodo di misura basato su anticorpi e molecole marcate radioattivamente, il dosaggio radioimmunologico (radioimmunoassay), e con esso misurarono per la prima volta l’insulina nel sangue umano</w:t>
      </w:r>
      <w:r>
        <w:rPr>
          <w:rStyle w:val="FootnoteReference"/>
        </w:rPr>
        <w:footnoteReference w:id="72"/>
      </w:r>
      <w:r>
        <w:t xml:space="preserve">. Yalow ricevette il premio Nobel nel 1977. Improvvisamente era possibile seguire quando l’organismo rilascia quali ormoni peptidici.</w:t>
      </w:r>
    </w:p>
    <w:p>
      <w:pPr>
        <w:pStyle w:val="BodyText"/>
      </w:pPr>
      <w:r>
        <w:t xml:space="preserve">Nello stesso anno furono premiati Roger Guillemin e Andrew Schally. Avevano decifrato i messaggeri peptidici dell’ipotalamo – la regione cerebrale che dà ordini all’ipofisi. Da queste scoperte nacquero intere classi di farmaci: varianti dell’ormone di rilascio delle gonadotropine (GnRH) vengono impiegate per esempio nel cancro della prostata, nell’endometriosi e nei trattamenti per l’infertilità. L’ormone somatostatina divenne il modello per l’octreotide, usato nei tumori che producono ormoni e nell’acromegalia. Anche i peptidi che rilasciano l’ormone della crescita, trattati diffusamente nella Parte II, affondano qui le loro radici.</w:t>
      </w:r>
    </w:p>
    <w:bookmarkEnd w:id="73"/>
    <w:bookmarkStart w:id="77" w:name="X527990271e0eb5c519fe16fda48bd0a065657ec"/>
    <w:p>
      <w:pPr>
        <w:pStyle w:val="Heading3"/>
      </w:pPr>
      <w:r>
        <w:t xml:space="preserve">Anni Ottanta: l’ingegneria genetica cambia tutto</w:t>
      </w:r>
    </w:p>
    <w:p>
      <w:pPr>
        <w:pStyle w:val="FirstParagraph"/>
      </w:pPr>
      <w:r>
        <w:t xml:space="preserve">Fino agli anni Ottanta l’insulina proveniva dal pancreas di animali da macello. L’ormone della crescita umano veniva estratto dalle ipofisi di persone decedute; questo periodo andò dal 1958 al 1985</w:t>
      </w:r>
      <w:r>
        <w:rPr>
          <w:rStyle w:val="FootnoteReference"/>
        </w:rPr>
        <w:footnoteReference w:id="74"/>
      </w:r>
      <w:r>
        <w:t xml:space="preserve">. Questa modalità di estrazione ebbe un rovescio tragico: alcuni bambini che avevano ricevuto tale ormone si ammalarono anni dopo della malattia di Creutzfeldt-Jakob, trasmessa da preparati contaminati. L’episodio è ancora oggi un monito sull’importanza della purezza e dell’origine dei principi attivi biologici.</w:t>
      </w:r>
    </w:p>
    <w:p>
      <w:pPr>
        <w:pStyle w:val="BodyText"/>
      </w:pPr>
      <w:r>
        <w:t xml:space="preserve">L’ingegneria genetica offrì una via d’uscita. L’insulina umana, prodotta in batteri, fu impiegata dal 1980 in studi clinici sull’uomo e fu il primo farmaco ottenuto con la tecnologia del DNA ricombinante</w:t>
      </w:r>
      <w:r>
        <w:rPr>
          <w:rStyle w:val="FootnoteReference"/>
        </w:rPr>
        <w:footnoteReference w:id="75"/>
      </w:r>
      <w:r>
        <w:t xml:space="preserve">. Pochi anni dopo seguì l’ormone della crescita ricombinante. Per la prima volta peptidi e proteine umani erano disponibili in quantità praticamente illimitate.</w:t>
      </w:r>
    </w:p>
    <w:p>
      <w:pPr>
        <w:pStyle w:val="BodyText"/>
      </w:pPr>
      <w:r>
        <w:t xml:space="preserve">Negli anni Novanta i produttori fecero un passo ulteriore: modificarono in modo mirato le molecole di insulina per farle agire più rapidamente o più lentamente. Questi „analoghi dell’insulina“ furono un precursore del principio che in seguito rese così efficaci i farmaci GLP-1: un modello naturale, ottimizzato in laboratorio per l’uso.</w:t>
      </w:r>
    </w:p>
    <w:p>
      <w:pPr>
        <w:pStyle w:val="BodyText"/>
      </w:pPr>
      <w:r>
        <w:t xml:space="preserve">Si affermarono anche altri farmaci peptidici. Un esempio è la teriparatide, un frammento dell’ormone paratiroideo. In un grande studio su 1.637 donne in postmenopausa con osteoporosi, nuove fratture vertebrali si verificarono nel 14% delle donne con placebo, ma solo nel 5% e rispettivamente nel 4% nei due gruppi con teriparatide</w:t>
      </w:r>
      <w:r>
        <w:rPr>
          <w:rStyle w:val="FootnoteReference"/>
        </w:rPr>
        <w:footnoteReference w:id="76"/>
      </w:r>
      <w:r>
        <w:t xml:space="preserve">. Studi di questo tipo con endpoint „solidi“ come le fratture ossee hanno fissato il metro di misura con cui devono confrontarsi anche i nuovi peptidi.</w:t>
      </w:r>
    </w:p>
    <w:bookmarkEnd w:id="77"/>
    <w:bookmarkStart w:id="80" w:name="le-incretine-dallintestino-al-farmaco"/>
    <w:p>
      <w:pPr>
        <w:pStyle w:val="Heading3"/>
      </w:pPr>
      <w:r>
        <w:t xml:space="preserve">Le incretine: dall’intestino al farmaco</w:t>
      </w:r>
    </w:p>
    <w:p>
      <w:pPr>
        <w:pStyle w:val="FirstParagraph"/>
      </w:pPr>
      <w:r>
        <w:t xml:space="preserve">La storia dei farmaci GLP-1 comincia con un’osservazione degli anni Sessanta: lo zucchero ingerito provoca una secrezione di insulina molto più forte della stessa quantità di zucchero iniettata direttamente nel sangue. L’intestino deve quindi inviare segnali al pancreas durante il pasto. Queste sostanze di segnalazione furono chiamate incretine.</w:t>
      </w:r>
    </w:p>
    <w:p>
      <w:pPr>
        <w:pStyle w:val="BodyText"/>
      </w:pPr>
      <w:r>
        <w:t xml:space="preserve">La prima incretina conosciuta fu il GIP (polipeptide insulinotropico glucosio-dipendente). Negli anni Ottanta se ne scoprì una seconda: il glucagon-like peptide-1, in breve GLP-1. Un gruppo britannico dimostrò nel 1987 che nell’uomo il GLP-1 aumenta nel sangue dopo un pasto, che – infuso in quantità simili a quelle post-prandiali – in sette volontari aumentava la secrezione di insulina e abbassava la glicemia, e che in questo era più efficace del GIP</w:t>
      </w:r>
      <w:r>
        <w:rPr>
          <w:rStyle w:val="FootnoteReference"/>
        </w:rPr>
        <w:footnoteReference w:id="78"/>
      </w:r>
      <w:r>
        <w:t xml:space="preserve">.</w:t>
      </w:r>
    </w:p>
    <w:p>
      <w:pPr>
        <w:pStyle w:val="BodyText"/>
      </w:pPr>
      <w:r>
        <w:t xml:space="preserve">Il problema: il GLP-1 naturale viene degradato nel sangue nel giro di minuti dall’enzima DPP-4</w:t>
      </w:r>
      <w:r>
        <w:rPr>
          <w:rStyle w:val="FootnoteReference"/>
        </w:rPr>
        <w:footnoteReference w:id="79"/>
      </w:r>
      <w:r>
        <w:t xml:space="preserve">. Come farmaco era così quasi inutilizzabile. Furono seguite due strade: inibitori dell’enzima di degradazione (le cosiddette gliptine, autorizzate come compresse e che non sono peptidi) e imitazioni stabili dello stesso GLP-1.</w:t>
      </w:r>
    </w:p>
    <w:bookmarkEnd w:id="80"/>
    <w:bookmarkStart w:id="83" w:name="il-veleno-della-lucertola-lexenatide"/>
    <w:p>
      <w:pPr>
        <w:pStyle w:val="Heading3"/>
      </w:pPr>
      <w:r>
        <w:t xml:space="preserve">Il veleno della lucertola: l’exenatide</w:t>
      </w:r>
    </w:p>
    <w:p>
      <w:pPr>
        <w:pStyle w:val="FirstParagraph"/>
      </w:pPr>
      <w:r>
        <w:t xml:space="preserve">La prima imitazione stabile arrivò da una direzione inattesa. All’inizio degli anni Novanta l’endocrinologo americano John Eng studiò il veleno del mostro di Gila (Heloderma suspectum), un rettile velenoso del sud-ovest degli Stati Uniti. Ne isolò un peptide di 39 amminoacidi che chiamò exendina-4</w:t>
      </w:r>
      <w:r>
        <w:rPr>
          <w:rStyle w:val="FootnoteReference"/>
        </w:rPr>
        <w:footnoteReference w:id="81"/>
      </w:r>
      <w:r>
        <w:t xml:space="preserve">. L’exendina-4 somiglia al GLP-1 umano, attiva lo stesso recettore, ma viene a malapena attaccata dalla DPP-4.</w:t>
      </w:r>
    </w:p>
    <w:p>
      <w:pPr>
        <w:pStyle w:val="BodyText"/>
      </w:pPr>
      <w:r>
        <w:t xml:space="preserve">L’exendina-4 sintetica ricevette il nome di exenatide e nel 2005 fu autorizzata negli Stati Uniti come primo farmaco di questa classe. In uno degli studi registrativi su 336 persone con diabete di tipo 2 che assumevano già metformina, dopo 30 settimane il valore di glicemia a lungo termine HbA1c diminuì di 0,78 punti percentuali nel gruppo a dose più alta, mentre con placebo aumentò leggermente di 0,08 punti percentuali. Al tempo stesso i partecipanti trattati con exenatide persero peso, 2,8 kg con la dose più alta</w:t>
      </w:r>
      <w:r>
        <w:rPr>
          <w:rStyle w:val="FootnoteReference"/>
        </w:rPr>
        <w:footnoteReference w:id="82"/>
      </w:r>
      <w:r>
        <w:t xml:space="preserve">. Inizialmente l’exenatide doveva essere iniettata due volte al giorno.</w:t>
      </w:r>
    </w:p>
    <w:p>
      <w:pPr>
        <w:pStyle w:val="BodyText"/>
      </w:pPr>
      <w:r>
        <w:t xml:space="preserve">All’epoca la perdita di peso era considerata un gradito effetto collaterale. Che proprio questo effetto avrebbe reso famosa l’intera classe due decenni dopo, probabilmente lo immaginavano in pochi.</w:t>
      </w:r>
    </w:p>
    <w:bookmarkEnd w:id="83"/>
    <w:bookmarkStart w:id="88" w:name="X30909b8df9956d1ad8c19466f161738602a1a88"/>
    <w:p>
      <w:pPr>
        <w:pStyle w:val="Heading3"/>
      </w:pPr>
      <w:r>
        <w:t xml:space="preserve">Azione più lunga: liraglutide e semaglutide</w:t>
      </w:r>
    </w:p>
    <w:p>
      <w:pPr>
        <w:pStyle w:val="FirstParagraph"/>
      </w:pPr>
      <w:r>
        <w:t xml:space="preserve">Il produttore danese Novo Nordisk seguì un’altra strada. Invece di usare un peptide estraneo, modificò il GLP-1 umano in modo che si legasse nel sangue alla proteina di trasporto albumina e venisse così degradato più lentamente. Il risultato fu la liraglutide, che si inietta una volta al giorno e fu autorizzata nell’UE nel 2009. Una rassegna degli sviluppatori descrive come si cercarono combinazioni adatte di acido grasso ed elemento di collegamento per massimizzare il legame all’albumina senza perdere l’effetto sul recettore</w:t>
      </w:r>
      <w:r>
        <w:rPr>
          <w:rStyle w:val="FootnoteReference"/>
        </w:rPr>
        <w:footnoteReference w:id="84"/>
      </w:r>
      <w:r>
        <w:t xml:space="preserve">.</w:t>
      </w:r>
    </w:p>
    <w:p>
      <w:pPr>
        <w:pStyle w:val="BodyText"/>
      </w:pPr>
      <w:r>
        <w:t xml:space="preserve">La liraglutide fu in seguito sperimentata a dose più alta anche per il trattamento del peso. Nello studio SCALE con 3.731 partecipanti senza diabete, le persone trattate con liraglutide persero in 56 settimane in media 8,4 kg, con placebo 2,8 kg</w:t>
      </w:r>
      <w:r>
        <w:rPr>
          <w:rStyle w:val="FootnoteReference"/>
        </w:rPr>
        <w:footnoteReference w:id="85"/>
      </w:r>
      <w:r>
        <w:t xml:space="preserve">.</w:t>
      </w:r>
    </w:p>
    <w:p>
      <w:pPr>
        <w:pStyle w:val="BodyText"/>
      </w:pPr>
      <w:r>
        <w:t xml:space="preserve">Il passo successivo fu segnato dalla semaglutide: una molecola legata ancora più fortemente all’albumina, che va iniettata solo una volta alla settimana</w:t>
      </w:r>
      <w:r>
        <w:rPr>
          <w:rStyle w:val="FootnoteReference"/>
        </w:rPr>
        <w:footnoteReference w:id="86"/>
      </w:r>
      <w:r>
        <w:t xml:space="preserve">. Nello studio registrativo STEP 1 con 1.961 adulti in sovrappeso o con obesità, il peso corporeo diminuì in 68 settimane in media del 14,9%, con placebo del 2,4%</w:t>
      </w:r>
      <w:r>
        <w:rPr>
          <w:rStyle w:val="FootnoteReference"/>
        </w:rPr>
        <w:footnoteReference w:id="87"/>
      </w:r>
      <w:r>
        <w:t xml:space="preserve">. Quest’ordine di grandezza superava nettamente tutto ciò che avevano raggiunto i precedenti farmaci dimagranti.</w:t>
      </w:r>
    </w:p>
    <w:bookmarkEnd w:id="88"/>
    <w:bookmarkStart w:id="92" w:name="dalla-glicemia-al-cuore"/>
    <w:p>
      <w:pPr>
        <w:pStyle w:val="Heading3"/>
      </w:pPr>
      <w:r>
        <w:t xml:space="preserve">Dalla glicemia al cuore</w:t>
      </w:r>
    </w:p>
    <w:p>
      <w:pPr>
        <w:pStyle w:val="FirstParagraph"/>
      </w:pPr>
      <w:r>
        <w:t xml:space="preserve">Una svolta arrivò quando, dopo i problemi con un altro antidiabetico, dal 2008 le autorità chiesero ai nuovi farmaci per il diabete di dimostrare la propria sicurezza cardiovascolare in grandi studi. Questi studi avrebbero dovuto in realtà solo dimostrare che i farmaci non mettevano in pericolo il cuore. Per i farmaci GLP-1 mostrarono di più.</w:t>
      </w:r>
    </w:p>
    <w:p>
      <w:pPr>
        <w:pStyle w:val="BodyText"/>
      </w:pPr>
      <w:r>
        <w:t xml:space="preserve">Nello studio LEADER con 9.340 persone con diabete di tipo 2 e alto rischio cardiovascolare, l’evento combinato di morte cardiovascolare, infarto miocardico non fatale o ictus si verificò con liraglutide nel 13,0%, con placebo nel 14,9%</w:t>
      </w:r>
      <w:r>
        <w:rPr>
          <w:rStyle w:val="FootnoteReference"/>
        </w:rPr>
        <w:footnoteReference w:id="89"/>
      </w:r>
      <w:r>
        <w:t xml:space="preserve">. Nello studio SUSTAIN-6 con 3.297 partecipanti le percentuali furono del 6,6% con semaglutide e dell’8,9% con placebo; con semaglutide, tuttavia, si verificarono più spesso complicanze a carico della retina</w:t>
      </w:r>
      <w:r>
        <w:rPr>
          <w:rStyle w:val="FootnoteReference"/>
        </w:rPr>
        <w:footnoteReference w:id="90"/>
      </w:r>
      <w:r>
        <w:t xml:space="preserve">.</w:t>
      </w:r>
    </w:p>
    <w:p>
      <w:pPr>
        <w:pStyle w:val="BodyText"/>
      </w:pPr>
      <w:r>
        <w:t xml:space="preserve">Nel 2023 seguì lo studio SELECT, che per la prima volta esaminò persone in sovrappeso con malattia cardiovascolare, ma senza diabete. Su 17.604 partecipanti, l’evento cardiovascolare combinato si verificò in un periodo medio di 39,8 mesi nel 6,5% con semaglutide e nell’8,0% con placebo</w:t>
      </w:r>
      <w:r>
        <w:rPr>
          <w:rStyle w:val="FootnoteReference"/>
        </w:rPr>
        <w:footnoteReference w:id="91"/>
      </w:r>
      <w:r>
        <w:t xml:space="preserve">. Era così dimostrato che un farmaco peptidico nell’obesità può influenzare non solo il peso, ma anche eventi solidi come gli infarti. Che cosa significhino queste percentuali – e perché occorra distinguere tra differenze relative e assolute – lo spiega il capitolo „Leggere correttamente gli studi“.</w:t>
      </w:r>
    </w:p>
    <w:bookmarkEnd w:id="92"/>
    <w:bookmarkStart w:id="96" w:name="la-compressa-e-gli-agonisti-multipli"/>
    <w:p>
      <w:pPr>
        <w:pStyle w:val="Heading3"/>
      </w:pPr>
      <w:r>
        <w:t xml:space="preserve">La compressa e gli agonisti multipli</w:t>
      </w:r>
    </w:p>
    <w:p>
      <w:pPr>
        <w:pStyle w:val="FirstParagraph"/>
      </w:pPr>
      <w:r>
        <w:t xml:space="preserve">Altri due sviluppi hanno segnato gli ultimi anni.</w:t>
      </w:r>
    </w:p>
    <w:p>
      <w:pPr>
        <w:pStyle w:val="BodyText"/>
      </w:pPr>
      <w:r>
        <w:rPr>
          <w:bCs/>
          <w:b/>
        </w:rPr>
        <w:t xml:space="preserve">La prima compressa peptidica di questa classe.</w:t>
      </w:r>
      <w:r>
        <w:t xml:space="preserve"> </w:t>
      </w:r>
      <w:r>
        <w:t xml:space="preserve">Grazie a un eccipiente speciale si è riusciti a rendere disponibile la semaglutide in compresse. Nello studio PIONEER 1 la semaglutide orale ha abbassato il valore di HbA1c nelle persone con diabete di tipo 2 in misura nettamente maggiore del placebo</w:t>
      </w:r>
      <w:r>
        <w:rPr>
          <w:rStyle w:val="FootnoteReference"/>
        </w:rPr>
        <w:footnoteReference w:id="93"/>
      </w:r>
      <w:r>
        <w:t xml:space="preserve">. Come funziona dal punto di vista tecnico lo spiega il prossimo capitolo.</w:t>
      </w:r>
    </w:p>
    <w:p>
      <w:pPr>
        <w:pStyle w:val="BodyText"/>
      </w:pPr>
      <w:r>
        <w:rPr>
          <w:bCs/>
          <w:b/>
        </w:rPr>
        <w:t xml:space="preserve">Principi attivi combinati.</w:t>
      </w:r>
      <w:r>
        <w:t xml:space="preserve"> </w:t>
      </w:r>
      <w:r>
        <w:t xml:space="preserve">La tirzepatide attiva contemporaneamente il recettore del GLP-1 e quello del GIP. Nello studio SURMOUNT-1 con 2.539 adulti con obesità, la perdita di peso media dopo 72 settimane è stata, a seconda della dose, dal 15,0% al 20,9%, con placebo del 3,1%</w:t>
      </w:r>
      <w:r>
        <w:rPr>
          <w:rStyle w:val="FootnoteReference"/>
        </w:rPr>
        <w:footnoteReference w:id="94"/>
      </w:r>
      <w:r>
        <w:t xml:space="preserve">. Nel frattempo tripli agonisti come la retatrutide e combinazioni con l’ormone amilina vengono valutati in grandi studi. La Parte II li presenta singolarmente, la Parte V dà uno sguardo alla pipeline.</w:t>
      </w:r>
    </w:p>
    <w:p>
      <w:pPr>
        <w:pStyle w:val="BodyText"/>
      </w:pPr>
      <w:r>
        <w:t xml:space="preserve">È degno di nota che l’incretina GIP, che negli anni Ottanta era considerata più debole del GLP-1</w:t>
      </w:r>
      <w:r>
        <w:rPr>
          <w:rStyle w:val="FootnoteReference"/>
        </w:rPr>
        <w:footnoteReference w:id="95"/>
      </w:r>
      <w:r>
        <w:t xml:space="preserve">, torni ad avere un ruolo in combinazione. La ricerca raramente procede in linea retta.</w:t>
      </w:r>
    </w:p>
    <w:bookmarkEnd w:id="96"/>
    <w:bookmarkStart w:id="97" w:name="il-rovescio-del-successo"/>
    <w:p>
      <w:pPr>
        <w:pStyle w:val="Heading3"/>
      </w:pPr>
      <w:r>
        <w:t xml:space="preserve">Il rovescio del successo</w:t>
      </w:r>
    </w:p>
    <w:p>
      <w:pPr>
        <w:pStyle w:val="FirstParagraph"/>
      </w:pPr>
      <w:r>
        <w:t xml:space="preserve">L’enorme successo dei farmaci GLP-1 ha avuto effetti collaterali al di là della farmacologia. Le carenze di approvvigionamento dal 2022 in poi hanno fatto sì che le persone con diabete a volte non ricevessero i loro farmaci. Negli Stati Uniti le farmacie si sono avvalse di una norma di eccezione per produrre preparati di imitazione. In tutto il mondo sono comparse contraffazioni che in alcuni casi contenevano insulina al posto della semaglutide. E il crescente interesse per i „peptidi“ in generale ha aperto un mercato per sostanze mai studiate in modo adeguato sull’uomo. Il capitolo sul mercato grigio approfondisce questi aspetti.</w:t>
      </w:r>
    </w:p>
    <w:bookmarkEnd w:id="97"/>
    <w:bookmarkStart w:id="98" w:name="che-cosa-insegna-la-storia"/>
    <w:p>
      <w:pPr>
        <w:pStyle w:val="Heading3"/>
      </w:pPr>
      <w:r>
        <w:t xml:space="preserve">Che cosa insegna la storia</w:t>
      </w:r>
    </w:p>
    <w:p>
      <w:pPr>
        <w:pStyle w:val="FirstParagraph"/>
      </w:pPr>
      <w:r>
        <w:t xml:space="preserve">Da cento anni di medicina peptidica si possono trarre alcune lezioni utili per valutare le sostanze di questo libro:</w:t>
      </w:r>
    </w:p>
    <w:p>
      <w:pPr>
        <w:numPr>
          <w:ilvl w:val="0"/>
          <w:numId w:val="1008"/>
        </w:numPr>
        <w:pStyle w:val="Compact"/>
      </w:pPr>
      <w:r>
        <w:rPr>
          <w:bCs/>
          <w:b/>
        </w:rPr>
        <w:t xml:space="preserve">La purezza non è un dettaglio.</w:t>
      </w:r>
      <w:r>
        <w:t xml:space="preserve"> </w:t>
      </w:r>
      <w:r>
        <w:t xml:space="preserve">Dagli estratti di insulina contaminati degli inizi all’ormone della crescita da ipofisi di cadaveri, la storia mostra che la qualità di produzione può decidere tra la vita e la morte.</w:t>
      </w:r>
    </w:p>
    <w:p>
      <w:pPr>
        <w:numPr>
          <w:ilvl w:val="0"/>
          <w:numId w:val="1008"/>
        </w:numPr>
        <w:pStyle w:val="Compact"/>
      </w:pPr>
      <w:r>
        <w:rPr>
          <w:bCs/>
          <w:b/>
        </w:rPr>
        <w:t xml:space="preserve">Meccanismo d’azione non equivale a beneficio.</w:t>
      </w:r>
      <w:r>
        <w:t xml:space="preserve"> </w:t>
      </w:r>
      <w:r>
        <w:t xml:space="preserve">Che un peptide agisca su un recettore non significa ancora che sia utile alle persone. Per i farmaci GLP-1 sono stati necessari grandi studi con migliaia di partecipanti e un’osservazione pluriennale.</w:t>
      </w:r>
    </w:p>
    <w:p>
      <w:pPr>
        <w:numPr>
          <w:ilvl w:val="0"/>
          <w:numId w:val="1008"/>
        </w:numPr>
        <w:pStyle w:val="Compact"/>
      </w:pPr>
      <w:r>
        <w:rPr>
          <w:bCs/>
          <w:b/>
        </w:rPr>
        <w:t xml:space="preserve">Le sorprese arrivano in entrambe le direzioni.</w:t>
      </w:r>
      <w:r>
        <w:t xml:space="preserve"> </w:t>
      </w:r>
      <w:r>
        <w:t xml:space="preserve">La perdita di peso con l’exenatide era inizialmente una nota a margine, gli effetti di protezione cardiaca furono scoperti in studi di sicurezza. Viceversa, nei grandi studi sono emersi anche rischi inattesi, per esempio le complicanze retiniche in SUSTAIN-6.</w:t>
      </w:r>
    </w:p>
    <w:p>
      <w:pPr>
        <w:numPr>
          <w:ilvl w:val="0"/>
          <w:numId w:val="1008"/>
        </w:numPr>
        <w:pStyle w:val="Compact"/>
      </w:pPr>
      <w:r>
        <w:rPr>
          <w:bCs/>
          <w:b/>
        </w:rPr>
        <w:t xml:space="preserve">Le buone idee richiedono tempo.</w:t>
      </w:r>
      <w:r>
        <w:t xml:space="preserve"> </w:t>
      </w:r>
      <w:r>
        <w:t xml:space="preserve">Tra la descrizione del GLP-1 nell’uomo nel 1987 e l’autorizzazione della semaglutide per il trattamento del peso sono trascorsi più di tre decenni. I peptidi che oggi su Internet vengono pubblicizzati come „svolta“ senza che esista un solo studio controllato sull’uomo si trovano, nella migliore delle ipotesi, all’inizio di un percorso simile.</w:t>
      </w:r>
    </w:p>
    <w:bookmarkEnd w:id="98"/>
    <w:bookmarkStart w:id="99" w:name="cronologia"/>
    <w:p>
      <w:pPr>
        <w:pStyle w:val="Heading3"/>
      </w:pPr>
      <w:r>
        <w:t xml:space="preserve">Cronologia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Anno</w:t>
            </w:r>
          </w:p>
        </w:tc>
        <w:tc>
          <w:tcPr/>
          <w:p>
            <w:pPr>
              <w:pStyle w:val="Compact"/>
              <w:jc w:val="left"/>
            </w:pPr>
            <w:r>
              <w:t xml:space="preserve">Evento</w:t>
            </w:r>
          </w:p>
        </w:tc>
      </w:tr>
      <w:tr>
        <w:tc>
          <w:tcPr/>
          <w:p>
            <w:pPr>
              <w:pStyle w:val="Compact"/>
              <w:jc w:val="left"/>
            </w:pPr>
            <w:r>
              <w:t xml:space="preserve">1902</w:t>
            </w:r>
          </w:p>
        </w:tc>
        <w:tc>
          <w:tcPr/>
          <w:p>
            <w:pPr>
              <w:pStyle w:val="Compact"/>
              <w:jc w:val="left"/>
            </w:pPr>
            <w:r>
              <w:t xml:space="preserve">Descritta la secretina, primo ormone (un peptide)</w:t>
            </w:r>
          </w:p>
        </w:tc>
      </w:tr>
      <w:tr>
        <w:tc>
          <w:tcPr/>
          <w:p>
            <w:pPr>
              <w:pStyle w:val="Compact"/>
              <w:jc w:val="left"/>
            </w:pPr>
            <w:r>
              <w:t xml:space="preserve">1922</w:t>
            </w:r>
          </w:p>
        </w:tc>
        <w:tc>
          <w:tcPr/>
          <w:p>
            <w:pPr>
              <w:pStyle w:val="Compact"/>
              <w:jc w:val="left"/>
            </w:pPr>
            <w:r>
              <w:t xml:space="preserve">Primo trattamento di una persona con insulina a Toronto</w:t>
            </w:r>
          </w:p>
        </w:tc>
      </w:tr>
      <w:tr>
        <w:tc>
          <w:tcPr/>
          <w:p>
            <w:pPr>
              <w:pStyle w:val="Compact"/>
              <w:jc w:val="left"/>
            </w:pPr>
            <w:r>
              <w:t xml:space="preserve">1951–1955</w:t>
            </w:r>
          </w:p>
        </w:tc>
        <w:tc>
          <w:tcPr/>
          <w:p>
            <w:pPr>
              <w:pStyle w:val="Compact"/>
              <w:jc w:val="left"/>
            </w:pPr>
            <w:r>
              <w:t xml:space="preserve">Sanger decifra la sequenza dell’insulina</w:t>
            </w:r>
          </w:p>
        </w:tc>
      </w:tr>
      <w:tr>
        <w:tc>
          <w:tcPr/>
          <w:p>
            <w:pPr>
              <w:pStyle w:val="Compact"/>
              <w:jc w:val="left"/>
            </w:pPr>
            <w:r>
              <w:t xml:space="preserve">1953</w:t>
            </w:r>
          </w:p>
        </w:tc>
        <w:tc>
          <w:tcPr/>
          <w:p>
            <w:pPr>
              <w:pStyle w:val="Compact"/>
              <w:jc w:val="left"/>
            </w:pPr>
            <w:r>
              <w:t xml:space="preserve">Prima sintesi chimica di un ormone peptidico (ossitocina)</w:t>
            </w:r>
          </w:p>
        </w:tc>
      </w:tr>
      <w:tr>
        <w:tc>
          <w:tcPr/>
          <w:p>
            <w:pPr>
              <w:pStyle w:val="Compact"/>
              <w:jc w:val="left"/>
            </w:pPr>
            <w:r>
              <w:t xml:space="preserve">Anni ’60</w:t>
            </w:r>
          </w:p>
        </w:tc>
        <w:tc>
          <w:tcPr/>
          <w:p>
            <w:pPr>
              <w:pStyle w:val="Compact"/>
              <w:jc w:val="left"/>
            </w:pPr>
            <w:r>
              <w:t xml:space="preserve">Sintesi in fase solida (Merrifield), dosaggio radioimmunologico</w:t>
            </w:r>
          </w:p>
        </w:tc>
      </w:tr>
      <w:tr>
        <w:tc>
          <w:tcPr/>
          <w:p>
            <w:pPr>
              <w:pStyle w:val="Compact"/>
              <w:jc w:val="left"/>
            </w:pPr>
            <w:r>
              <w:t xml:space="preserve">1980</w:t>
            </w:r>
          </w:p>
        </w:tc>
        <w:tc>
          <w:tcPr/>
          <w:p>
            <w:pPr>
              <w:pStyle w:val="Compact"/>
              <w:jc w:val="left"/>
            </w:pPr>
            <w:r>
              <w:t xml:space="preserve">Insulina umana da ingegneria genetica in studi clinici</w:t>
            </w:r>
          </w:p>
        </w:tc>
      </w:tr>
      <w:tr>
        <w:tc>
          <w:tcPr/>
          <w:p>
            <w:pPr>
              <w:pStyle w:val="Compact"/>
              <w:jc w:val="left"/>
            </w:pPr>
            <w:r>
              <w:t xml:space="preserve">1985</w:t>
            </w:r>
          </w:p>
        </w:tc>
        <w:tc>
          <w:tcPr/>
          <w:p>
            <w:pPr>
              <w:pStyle w:val="Compact"/>
              <w:jc w:val="left"/>
            </w:pPr>
            <w:r>
              <w:t xml:space="preserve">Fine dell’estrazione dell’ormone della crescita da ipofisi</w:t>
            </w:r>
          </w:p>
        </w:tc>
      </w:tr>
      <w:tr>
        <w:tc>
          <w:tcPr/>
          <w:p>
            <w:pPr>
              <w:pStyle w:val="Compact"/>
              <w:jc w:val="left"/>
            </w:pPr>
            <w:r>
              <w:t xml:space="preserve">1987</w:t>
            </w:r>
          </w:p>
        </w:tc>
        <w:tc>
          <w:tcPr/>
          <w:p>
            <w:pPr>
              <w:pStyle w:val="Compact"/>
              <w:jc w:val="left"/>
            </w:pPr>
            <w:r>
              <w:t xml:space="preserve">Il GLP-1 descritto come incretina nell’uomo</w:t>
            </w:r>
          </w:p>
        </w:tc>
      </w:tr>
      <w:tr>
        <w:tc>
          <w:tcPr/>
          <w:p>
            <w:pPr>
              <w:pStyle w:val="Compact"/>
              <w:jc w:val="left"/>
            </w:pPr>
            <w:r>
              <w:t xml:space="preserve">1992</w:t>
            </w:r>
          </w:p>
        </w:tc>
        <w:tc>
          <w:tcPr/>
          <w:p>
            <w:pPr>
              <w:pStyle w:val="Compact"/>
              <w:jc w:val="left"/>
            </w:pPr>
            <w:r>
              <w:t xml:space="preserve">Scoperta dell’exendina-4 nel veleno della lucertola</w:t>
            </w:r>
          </w:p>
        </w:tc>
      </w:tr>
      <w:tr>
        <w:tc>
          <w:tcPr/>
          <w:p>
            <w:pPr>
              <w:pStyle w:val="Compact"/>
              <w:jc w:val="left"/>
            </w:pPr>
            <w:r>
              <w:t xml:space="preserve">2005</w:t>
            </w:r>
          </w:p>
        </w:tc>
        <w:tc>
          <w:tcPr/>
          <w:p>
            <w:pPr>
              <w:pStyle w:val="Compact"/>
              <w:jc w:val="left"/>
            </w:pPr>
            <w:r>
              <w:t xml:space="preserve">Exenatide autorizzata negli Stati Uniti</w:t>
            </w:r>
          </w:p>
        </w:tc>
      </w:tr>
      <w:tr>
        <w:tc>
          <w:tcPr/>
          <w:p>
            <w:pPr>
              <w:pStyle w:val="Compact"/>
              <w:jc w:val="left"/>
            </w:pPr>
            <w:r>
              <w:t xml:space="preserve">2009</w:t>
            </w:r>
          </w:p>
        </w:tc>
        <w:tc>
          <w:tcPr/>
          <w:p>
            <w:pPr>
              <w:pStyle w:val="Compact"/>
              <w:jc w:val="left"/>
            </w:pPr>
            <w:r>
              <w:t xml:space="preserve">Liraglutide autorizzata nell’UE</w:t>
            </w:r>
          </w:p>
        </w:tc>
      </w:tr>
      <w:tr>
        <w:tc>
          <w:tcPr/>
          <w:p>
            <w:pPr>
              <w:pStyle w:val="Compact"/>
              <w:jc w:val="left"/>
            </w:pPr>
            <w:r>
              <w:t xml:space="preserve">2016</w:t>
            </w:r>
          </w:p>
        </w:tc>
        <w:tc>
          <w:tcPr/>
          <w:p>
            <w:pPr>
              <w:pStyle w:val="Compact"/>
              <w:jc w:val="left"/>
            </w:pPr>
            <w:r>
              <w:t xml:space="preserve">LEADER e SUSTAIN-6: meno eventi cardiovascolari</w:t>
            </w:r>
          </w:p>
        </w:tc>
      </w:tr>
      <w:tr>
        <w:tc>
          <w:tcPr/>
          <w:p>
            <w:pPr>
              <w:pStyle w:val="Compact"/>
              <w:jc w:val="left"/>
            </w:pPr>
            <w:r>
              <w:t xml:space="preserve">2019</w:t>
            </w:r>
          </w:p>
        </w:tc>
        <w:tc>
          <w:tcPr/>
          <w:p>
            <w:pPr>
              <w:pStyle w:val="Compact"/>
              <w:jc w:val="left"/>
            </w:pPr>
            <w:r>
              <w:t xml:space="preserve">Prima compressa GLP-1 (semaglutide orale)</w:t>
            </w:r>
          </w:p>
        </w:tc>
      </w:tr>
      <w:tr>
        <w:tc>
          <w:tcPr/>
          <w:p>
            <w:pPr>
              <w:pStyle w:val="Compact"/>
              <w:jc w:val="left"/>
            </w:pPr>
            <w:r>
              <w:t xml:space="preserve">2021</w:t>
            </w:r>
          </w:p>
        </w:tc>
        <w:tc>
          <w:tcPr/>
          <w:p>
            <w:pPr>
              <w:pStyle w:val="Compact"/>
              <w:jc w:val="left"/>
            </w:pPr>
            <w:r>
              <w:t xml:space="preserve">Semaglutide per il trattamento del peso (programma STEP)</w:t>
            </w:r>
          </w:p>
        </w:tc>
      </w:tr>
      <w:tr>
        <w:tc>
          <w:tcPr/>
          <w:p>
            <w:pPr>
              <w:pStyle w:val="Compact"/>
              <w:jc w:val="left"/>
            </w:pPr>
            <w:r>
              <w:t xml:space="preserve">2022</w:t>
            </w:r>
          </w:p>
        </w:tc>
        <w:tc>
          <w:tcPr/>
          <w:p>
            <w:pPr>
              <w:pStyle w:val="Compact"/>
              <w:jc w:val="left"/>
            </w:pPr>
            <w:r>
              <w:t xml:space="preserve">Tirzepatide: primo doppio agonista GIP/GLP-1</w:t>
            </w:r>
          </w:p>
        </w:tc>
      </w:tr>
      <w:tr>
        <w:tc>
          <w:tcPr/>
          <w:p>
            <w:pPr>
              <w:pStyle w:val="Compact"/>
              <w:jc w:val="left"/>
            </w:pPr>
            <w:r>
              <w:t xml:space="preserve">2023</w:t>
            </w:r>
          </w:p>
        </w:tc>
        <w:tc>
          <w:tcPr/>
          <w:p>
            <w:pPr>
              <w:pStyle w:val="Compact"/>
              <w:jc w:val="left"/>
            </w:pPr>
            <w:r>
              <w:t xml:space="preserve">SELECT: protezione cardiaca nell’obesità senza diabete</w:t>
            </w:r>
          </w:p>
        </w:tc>
      </w:tr>
    </w:tbl>
    <w:p>
      <w:pPr>
        <w:pStyle w:val="BodyText"/>
      </w:pPr>
      <w:r>
        <w:t xml:space="preserve">Gli anni di autorizzazione si riferiscono di volta in volta alla prima autorizzazione; in altri Paesi e per altre indicazioni valgono in parte date diverse. Aggiornato al 2026, da verificare se necessario.</w:t>
      </w:r>
    </w:p>
    <w:bookmarkEnd w:id="99"/>
    <w:bookmarkEnd w:id="100"/>
    <w:bookmarkStart w:id="135" w:name="X0ed60318e5ea16cae352182dd7cfeff6b7a34b6"/>
    <w:p>
      <w:pPr>
        <w:pStyle w:val="Heading2"/>
      </w:pPr>
      <w:r>
        <w:t xml:space="preserve">Come i peptidi entrano nell’organismo – e perché è difficile</w:t>
      </w:r>
    </w:p>
    <w:p>
      <w:pPr>
        <w:pStyle w:val="FirstParagraph"/>
      </w:pPr>
      <w:r>
        <w:t xml:space="preserve">Quasi tutti i farmaci peptidici che conosci vengono iniettati: insulina, semaglutide, tirzepatide, teriparatide. Non è un caso né una preferenza dell’industria farmaceutica, ma una conseguenza della biologia. Il corpo umano è bravissimo a scomporre proteine e peptidi – dopotutto vive proprio della scomposizione delle proteine alimentari nei loro mattoni. Questo capitolo spiega quali ostacoli un peptide deve superare per raggiungere il suo sito d’azione, quali vie ha trovato la medicina e perché molte promesse legate a gocce, capsule e creme vanno considerate con cautela.</w:t>
      </w:r>
    </w:p>
    <w:bookmarkStart w:id="102" w:name="il-problema-di-fondo-la-biodisponibilità"/>
    <w:p>
      <w:pPr>
        <w:pStyle w:val="Heading3"/>
      </w:pPr>
      <w:r>
        <w:t xml:space="preserve">Il problema di fondo: la biodisponibilità</w:t>
      </w:r>
    </w:p>
    <w:p>
      <w:pPr>
        <w:pStyle w:val="FirstParagraph"/>
      </w:pPr>
      <w:r>
        <w:t xml:space="preserve">Un concetto centrale di questo capitolo è la</w:t>
      </w:r>
      <w:r>
        <w:t xml:space="preserve"> </w:t>
      </w:r>
      <w:r>
        <w:rPr>
          <w:bCs/>
          <w:b/>
        </w:rPr>
        <w:t xml:space="preserve">biodisponibilità</w:t>
      </w:r>
      <w:r>
        <w:t xml:space="preserve">. Indica quale quota di una quantità somministrata arriva effettivamente immodificata nella circolazione sanguigna. Con un’infusione direttamente in vena è per definizione il 100%. Con tutte le altre vie una parte va persa – per degradazione, per barriere o perché la sostanza viene semplicemente eliminata.</w:t>
      </w:r>
    </w:p>
    <w:p>
      <w:pPr>
        <w:pStyle w:val="BodyText"/>
      </w:pPr>
      <w:r>
        <w:t xml:space="preserve">Per i peptidi la biodisponibilità è particolarmente critica perché si combinano tre caratteristiche:</w:t>
      </w:r>
    </w:p>
    <w:p>
      <w:pPr>
        <w:numPr>
          <w:ilvl w:val="0"/>
          <w:numId w:val="1009"/>
        </w:numPr>
        <w:pStyle w:val="Compact"/>
      </w:pPr>
      <w:r>
        <w:rPr>
          <w:bCs/>
          <w:b/>
        </w:rPr>
        <w:t xml:space="preserve">Sono sensibili agli enzimi.</w:t>
      </w:r>
      <w:r>
        <w:t xml:space="preserve"> </w:t>
      </w:r>
      <w:r>
        <w:t xml:space="preserve">I legami peptidici vengono scissi in modo mirato da enzimi digestivi come la pepsina nello stomaco o la tripsina nell’intestino tenue, e inoltre da numerosi enzimi nel sangue e nei tessuti.</w:t>
      </w:r>
    </w:p>
    <w:p>
      <w:pPr>
        <w:numPr>
          <w:ilvl w:val="0"/>
          <w:numId w:val="1009"/>
        </w:numPr>
        <w:pStyle w:val="Compact"/>
      </w:pPr>
      <w:r>
        <w:rPr>
          <w:bCs/>
          <w:b/>
        </w:rPr>
        <w:t xml:space="preserve">Sono grandi.</w:t>
      </w:r>
      <w:r>
        <w:t xml:space="preserve"> </w:t>
      </w:r>
      <w:r>
        <w:t xml:space="preserve">Rispetto ai farmaci classici come l’ibuprofene, la maggior parte dei peptidi è enorme. Già un peptide di dieci amminoacidi pesa più di 1.000 dalton.</w:t>
      </w:r>
    </w:p>
    <w:p>
      <w:pPr>
        <w:numPr>
          <w:ilvl w:val="0"/>
          <w:numId w:val="1009"/>
        </w:numPr>
        <w:pStyle w:val="Compact"/>
      </w:pPr>
      <w:r>
        <w:rPr>
          <w:bCs/>
          <w:b/>
        </w:rPr>
        <w:t xml:space="preserve">Sono per lo più idrosolubili e spesso elettricamente carichi.</w:t>
      </w:r>
      <w:r>
        <w:t xml:space="preserve"> </w:t>
      </w:r>
      <w:r>
        <w:t xml:space="preserve">Per questo faticano ad attraversare le membrane grasse delle cellule.</w:t>
      </w:r>
    </w:p>
    <w:p>
      <w:pPr>
        <w:pStyle w:val="FirstParagraph"/>
      </w:pPr>
      <w:r>
        <w:t xml:space="preserve">Ogni via di somministrazione è un tentativo di aggirare questi ostacoli. Una revisione sui peptidi orali riassume che i principi attivi proteici e peptidici devono di regola essere somministrati evitando il tratto digerente, il che può compromettere l’aderenza alla terapia</w:t>
      </w:r>
      <w:r>
        <w:rPr>
          <w:rStyle w:val="FootnoteReference"/>
        </w:rPr>
        <w:footnoteReference w:id="101"/>
      </w:r>
      <w:r>
        <w:t xml:space="preserve">.</w:t>
      </w:r>
    </w:p>
    <w:bookmarkEnd w:id="102"/>
    <w:bookmarkStart w:id="106" w:name="Xd09f0a4e37f9155f290307611f4785af565ece5"/>
    <w:p>
      <w:pPr>
        <w:pStyle w:val="Heading3"/>
      </w:pPr>
      <w:r>
        <w:t xml:space="preserve">L’iniezione: via standard con degli svantaggi</w:t>
      </w:r>
    </w:p>
    <w:p>
      <w:pPr>
        <w:pStyle w:val="FirstParagraph"/>
      </w:pPr>
      <w:r>
        <w:t xml:space="preserve">La maggior parte dei farmaci peptidici viene iniettata per via</w:t>
      </w:r>
      <w:r>
        <w:t xml:space="preserve"> </w:t>
      </w:r>
      <w:r>
        <w:rPr>
          <w:bCs/>
          <w:b/>
        </w:rPr>
        <w:t xml:space="preserve">sottocutanea</w:t>
      </w:r>
      <w:r>
        <w:t xml:space="preserve">, cioè nel tessuto adiposo sottocutaneo – tipicamente nell’addome, nella coscia o nella parte superiore del braccio. Da lì il principio attivo raggiunge la circolazione attraverso piccoli vasi sanguigni e vie linfatiche. La biodisponibilità è elevata e le pazienti e i pazienti, dopo un addestramento, possono farsi l’iniezione da soli. Più raramente i peptidi vengono somministrati nel muscolo (</w:t>
      </w:r>
      <w:r>
        <w:rPr>
          <w:bCs/>
          <w:b/>
        </w:rPr>
        <w:t xml:space="preserve">intramuscolare</w:t>
      </w:r>
      <w:r>
        <w:t xml:space="preserve">) o direttamente in vena (</w:t>
      </w:r>
      <w:r>
        <w:rPr>
          <w:bCs/>
          <w:b/>
        </w:rPr>
        <w:t xml:space="preserve">endovenosa</w:t>
      </w:r>
      <w:r>
        <w:t xml:space="preserve">), per esempio in ospedale.</w:t>
      </w:r>
    </w:p>
    <w:p>
      <w:pPr>
        <w:pStyle w:val="BodyText"/>
      </w:pPr>
      <w:r>
        <w:t xml:space="preserve">L’iniezione aggira il tratto digerente, ma non gli enzimi del sangue. Per questo la ricerca farmaceutica si è molto impegnata per rendere i peptidi più duraturi:</w:t>
      </w:r>
    </w:p>
    <w:p>
      <w:pPr>
        <w:numPr>
          <w:ilvl w:val="0"/>
          <w:numId w:val="1010"/>
        </w:numPr>
        <w:pStyle w:val="Compact"/>
      </w:pPr>
      <w:r>
        <w:rPr>
          <w:bCs/>
          <w:b/>
        </w:rPr>
        <w:t xml:space="preserve">Sostituzione di amminoacidi</w:t>
      </w:r>
      <w:r>
        <w:t xml:space="preserve"> </w:t>
      </w:r>
      <w:r>
        <w:t xml:space="preserve">nei punti in cui attaccano gli enzimi.</w:t>
      </w:r>
    </w:p>
    <w:p>
      <w:pPr>
        <w:numPr>
          <w:ilvl w:val="0"/>
          <w:numId w:val="1010"/>
        </w:numPr>
        <w:pStyle w:val="Compact"/>
      </w:pPr>
      <w:r>
        <w:rPr>
          <w:bCs/>
          <w:b/>
        </w:rPr>
        <w:t xml:space="preserve">Aggiunta di acidi grassi</w:t>
      </w:r>
      <w:r>
        <w:t xml:space="preserve">, affinché il peptide si leghi alla proteina del sangue albumina. Liraglutide e semaglutide sfruttano questo principio</w:t>
      </w:r>
      <w:r>
        <w:rPr>
          <w:rStyle w:val="FootnoteReference"/>
        </w:rPr>
        <w:footnoteReference w:id="103"/>
      </w:r>
      <w:r>
        <w:t xml:space="preserve">. Per la semaglutide ne risulta un’emivita di circa una settimana</w:t>
      </w:r>
      <w:r>
        <w:rPr>
          <w:rStyle w:val="FootnoteReference"/>
        </w:rPr>
        <w:footnoteReference w:id="104"/>
      </w:r>
      <w:r>
        <w:t xml:space="preserve">.</w:t>
      </w:r>
    </w:p>
    <w:p>
      <w:pPr>
        <w:numPr>
          <w:ilvl w:val="0"/>
          <w:numId w:val="1010"/>
        </w:numPr>
        <w:pStyle w:val="Compact"/>
      </w:pPr>
      <w:r>
        <w:rPr>
          <w:bCs/>
          <w:b/>
        </w:rPr>
        <w:t xml:space="preserve">Coniugazione a molecole più grandi</w:t>
      </w:r>
      <w:r>
        <w:t xml:space="preserve">, per esempio a parti di anticorpi o a polimeri come il polietilenglicole. La dulaglutide è un esempio di molecola GLP-1 legata a un frammento di anticorpo.</w:t>
      </w:r>
    </w:p>
    <w:p>
      <w:pPr>
        <w:numPr>
          <w:ilvl w:val="0"/>
          <w:numId w:val="1010"/>
        </w:numPr>
        <w:pStyle w:val="Compact"/>
      </w:pPr>
      <w:r>
        <w:rPr>
          <w:bCs/>
          <w:b/>
        </w:rPr>
        <w:t xml:space="preserve">Forme deposito</w:t>
      </w:r>
      <w:r>
        <w:t xml:space="preserve">, in cui il principio attivo è incorporato in minuscole microsfere o gel da cui viene rilasciato lentamente.</w:t>
      </w:r>
    </w:p>
    <w:p>
      <w:pPr>
        <w:pStyle w:val="FirstParagraph"/>
      </w:pPr>
      <w:r>
        <w:t xml:space="preserve">Per chi la usa, l’iniezione comporta anche degli obblighi: il prodotto deve essere sterile, l’ago può essere usato una sola volta e molti preparati devono essere conservati in frigorifero. Le penne preriempite con scatti di dose prestabiliti riducono nettamente il rischio di errori. Quanto ciò sia importante lo mostra una serie di casi di un centro antiveleni statunitense: con semaglutide dispensata in farmacia in flaconcini con siringhe si sono verificati sovradosaggi di dieci volte, tra l’altro perché venivano confusi millilitri, „unità“ e milligrammi</w:t>
      </w:r>
      <w:r>
        <w:rPr>
          <w:rStyle w:val="FootnoteReference"/>
        </w:rPr>
        <w:footnoteReference w:id="105"/>
      </w:r>
      <w:r>
        <w:t xml:space="preserve">. Se ne parla di più nel capitolo sul mercato grigio.</w:t>
      </w:r>
    </w:p>
    <w:bookmarkEnd w:id="106"/>
    <w:bookmarkStart w:id="108" w:name="la-compressa-la-via-più-difficile"/>
    <w:p>
      <w:pPr>
        <w:pStyle w:val="Heading3"/>
      </w:pPr>
      <w:r>
        <w:t xml:space="preserve">La compressa: la via più difficile</w:t>
      </w:r>
    </w:p>
    <w:p>
      <w:pPr>
        <w:pStyle w:val="FirstParagraph"/>
      </w:pPr>
      <w:r>
        <w:t xml:space="preserve">Per la maggior parte delle persone una compressa sarebbe la soluzione più comoda. Per i peptidi è al tempo stesso la più impegnativa. Lungo il percorso dalla bocca al sangue si nascondono diversi ostacoli:</w:t>
      </w:r>
    </w:p>
    <w:p>
      <w:pPr>
        <w:numPr>
          <w:ilvl w:val="0"/>
          <w:numId w:val="1011"/>
        </w:numPr>
        <w:pStyle w:val="Compact"/>
      </w:pPr>
      <w:r>
        <w:t xml:space="preserve">L’</w:t>
      </w:r>
      <w:r>
        <w:rPr>
          <w:bCs/>
          <w:b/>
        </w:rPr>
        <w:t xml:space="preserve">acido gastrico</w:t>
      </w:r>
      <w:r>
        <w:t xml:space="preserve"> </w:t>
      </w:r>
      <w:r>
        <w:t xml:space="preserve">può distruggere la struttura spaziale dei peptidi.</w:t>
      </w:r>
    </w:p>
    <w:p>
      <w:pPr>
        <w:numPr>
          <w:ilvl w:val="0"/>
          <w:numId w:val="1011"/>
        </w:numPr>
        <w:pStyle w:val="Compact"/>
      </w:pPr>
      <w:r>
        <w:t xml:space="preserve">La</w:t>
      </w:r>
      <w:r>
        <w:t xml:space="preserve"> </w:t>
      </w:r>
      <w:r>
        <w:rPr>
          <w:bCs/>
          <w:b/>
        </w:rPr>
        <w:t xml:space="preserve">pepsina</w:t>
      </w:r>
      <w:r>
        <w:t xml:space="preserve"> </w:t>
      </w:r>
      <w:r>
        <w:t xml:space="preserve">nello stomaco e gli</w:t>
      </w:r>
      <w:r>
        <w:t xml:space="preserve"> </w:t>
      </w:r>
      <w:r>
        <w:rPr>
          <w:bCs/>
          <w:b/>
        </w:rPr>
        <w:t xml:space="preserve">enzimi pancreatici</w:t>
      </w:r>
      <w:r>
        <w:t xml:space="preserve"> </w:t>
      </w:r>
      <w:r>
        <w:t xml:space="preserve">nell’intestino tenue scompongono i peptidi in piccoli frammenti.</w:t>
      </w:r>
    </w:p>
    <w:p>
      <w:pPr>
        <w:numPr>
          <w:ilvl w:val="0"/>
          <w:numId w:val="1011"/>
        </w:numPr>
        <w:pStyle w:val="Compact"/>
      </w:pPr>
      <w:r>
        <w:t xml:space="preserve">Uno</w:t>
      </w:r>
      <w:r>
        <w:t xml:space="preserve"> </w:t>
      </w:r>
      <w:r>
        <w:rPr>
          <w:bCs/>
          <w:b/>
        </w:rPr>
        <w:t xml:space="preserve">strato di muco</w:t>
      </w:r>
      <w:r>
        <w:t xml:space="preserve"> </w:t>
      </w:r>
      <w:r>
        <w:t xml:space="preserve">sopra la mucosa intestinale trattiene le molecole grandi.</w:t>
      </w:r>
    </w:p>
    <w:p>
      <w:pPr>
        <w:numPr>
          <w:ilvl w:val="0"/>
          <w:numId w:val="1011"/>
        </w:numPr>
        <w:pStyle w:val="Compact"/>
      </w:pPr>
      <w:r>
        <w:t xml:space="preserve">Le</w:t>
      </w:r>
      <w:r>
        <w:t xml:space="preserve"> </w:t>
      </w:r>
      <w:r>
        <w:rPr>
          <w:bCs/>
          <w:b/>
        </w:rPr>
        <w:t xml:space="preserve">cellule intestinali</w:t>
      </w:r>
      <w:r>
        <w:t xml:space="preserve"> </w:t>
      </w:r>
      <w:r>
        <w:t xml:space="preserve">stesse sono strettamente collegate tra loro. Le molecole grandi e idrosolubili non passano né attraverso le cellule né tra di esse.</w:t>
      </w:r>
    </w:p>
    <w:p>
      <w:pPr>
        <w:numPr>
          <w:ilvl w:val="0"/>
          <w:numId w:val="1011"/>
        </w:numPr>
        <w:pStyle w:val="Compact"/>
      </w:pPr>
      <w:r>
        <w:t xml:space="preserve">Ciò che riesce comunque a entrare nel sangue passa prima per il</w:t>
      </w:r>
      <w:r>
        <w:t xml:space="preserve"> </w:t>
      </w:r>
      <w:r>
        <w:rPr>
          <w:bCs/>
          <w:b/>
        </w:rPr>
        <w:t xml:space="preserve">fegato</w:t>
      </w:r>
      <w:r>
        <w:t xml:space="preserve">, che può degradarne un’altra parte.</w:t>
      </w:r>
    </w:p>
    <w:p>
      <w:pPr>
        <w:pStyle w:val="FirstParagraph"/>
      </w:pPr>
      <w:r>
        <w:t xml:space="preserve">La revisione di Drucker indica come possibili soluzioni sostanze che aumentano la permeabilità, inibitori degli enzimi digestivi e peptidi vettori capaci di attraversare muco e cellule. In studi clinici sono state sperimentate forme orali tra l’altro di insulina, calcitonina, ormone paratiroideo e vasopressina</w:t>
      </w:r>
      <w:r>
        <w:rPr>
          <w:rStyle w:val="FootnoteReference"/>
        </w:rPr>
        <w:footnoteReference w:id="107"/>
      </w:r>
      <w:r>
        <w:t xml:space="preserve">. La svolta per un principio attivo di largo impiego è però arrivata solo con la compressa di semaglutide.</w:t>
      </w:r>
    </w:p>
    <w:bookmarkEnd w:id="108"/>
    <w:bookmarkStart w:id="118" w:name="X4e5226de76652af536dddd13be822b1762e8412"/>
    <w:p>
      <w:pPr>
        <w:pStyle w:val="Heading3"/>
      </w:pPr>
      <w:r>
        <w:t xml:space="preserve">La tecnica SNAC: come funziona la compressa di semaglutide</w:t>
      </w:r>
    </w:p>
    <w:p>
      <w:pPr>
        <w:pStyle w:val="FirstParagraph"/>
      </w:pPr>
      <w:r>
        <w:t xml:space="preserve">La compressa di semaglutide contiene, oltre al principio attivo, un eccipiente chiamato</w:t>
      </w:r>
      <w:r>
        <w:t xml:space="preserve"> </w:t>
      </w:r>
      <w:r>
        <w:rPr>
          <w:bCs/>
          <w:b/>
        </w:rPr>
        <w:t xml:space="preserve">SNAC</w:t>
      </w:r>
      <w:r>
        <w:t xml:space="preserve"> </w:t>
      </w:r>
      <w:r>
        <w:t xml:space="preserve">(sodio N-[8-(2-idrossibenzoil)ammino]caprilato). Uno studio che ha combinato dati di indagini sull’uomo e sui cani ha chiarito che cosa succede</w:t>
      </w:r>
      <w:r>
        <w:rPr>
          <w:rStyle w:val="FootnoteReference"/>
        </w:rPr>
        <w:footnoteReference w:id="109"/>
      </w:r>
      <w:r>
        <w:t xml:space="preserve">:</w:t>
      </w:r>
    </w:p>
    <w:p>
      <w:pPr>
        <w:numPr>
          <w:ilvl w:val="0"/>
          <w:numId w:val="1012"/>
        </w:numPr>
        <w:pStyle w:val="Compact"/>
      </w:pPr>
      <w:r>
        <w:t xml:space="preserve">L’assorbimento sorprendentemente non avviene nell’intestino, ma</w:t>
      </w:r>
      <w:r>
        <w:t xml:space="preserve"> </w:t>
      </w:r>
      <w:r>
        <w:rPr>
          <w:bCs/>
          <w:b/>
        </w:rPr>
        <w:t xml:space="preserve">nello stomaco</w:t>
      </w:r>
      <w:r>
        <w:t xml:space="preserve">.</w:t>
      </w:r>
    </w:p>
    <w:p>
      <w:pPr>
        <w:numPr>
          <w:ilvl w:val="0"/>
          <w:numId w:val="1012"/>
        </w:numPr>
        <w:pStyle w:val="Compact"/>
      </w:pPr>
      <w:r>
        <w:t xml:space="preserve">È limitato a una piccola area</w:t>
      </w:r>
      <w:r>
        <w:t xml:space="preserve"> </w:t>
      </w:r>
      <w:r>
        <w:rPr>
          <w:bCs/>
          <w:b/>
        </w:rPr>
        <w:t xml:space="preserve">direttamente sulla superficie della compressa</w:t>
      </w:r>
      <w:r>
        <w:t xml:space="preserve">.</w:t>
      </w:r>
    </w:p>
    <w:p>
      <w:pPr>
        <w:numPr>
          <w:ilvl w:val="0"/>
          <w:numId w:val="1012"/>
        </w:numPr>
        <w:pStyle w:val="Compact"/>
      </w:pPr>
      <w:r>
        <w:t xml:space="preserve">Lì lo SNAC tampona localmente l’acido gastrico e</w:t>
      </w:r>
      <w:r>
        <w:t xml:space="preserve"> </w:t>
      </w:r>
      <w:r>
        <w:rPr>
          <w:bCs/>
          <w:b/>
        </w:rPr>
        <w:t xml:space="preserve">protegge</w:t>
      </w:r>
      <w:r>
        <w:t xml:space="preserve"> </w:t>
      </w:r>
      <w:r>
        <w:t xml:space="preserve">così la semaglutide dalla degradazione enzimatica.</w:t>
      </w:r>
    </w:p>
    <w:p>
      <w:pPr>
        <w:numPr>
          <w:ilvl w:val="0"/>
          <w:numId w:val="1012"/>
        </w:numPr>
        <w:pStyle w:val="Compact"/>
      </w:pPr>
      <w:r>
        <w:t xml:space="preserve">Lo SNAC aumenta la permeabilità della mucosa gastrica solo</w:t>
      </w:r>
      <w:r>
        <w:t xml:space="preserve"> </w:t>
      </w:r>
      <w:r>
        <w:rPr>
          <w:bCs/>
          <w:b/>
        </w:rPr>
        <w:t xml:space="preserve">per breve tempo</w:t>
      </w:r>
      <w:r>
        <w:t xml:space="preserve">.</w:t>
      </w:r>
    </w:p>
    <w:p>
      <w:pPr>
        <w:numPr>
          <w:ilvl w:val="0"/>
          <w:numId w:val="1012"/>
        </w:numPr>
        <w:pStyle w:val="Compact"/>
      </w:pPr>
      <w:r>
        <w:t xml:space="preserve">La semaglutide passa nel sangue</w:t>
      </w:r>
      <w:r>
        <w:t xml:space="preserve"> </w:t>
      </w:r>
      <w:r>
        <w:rPr>
          <w:bCs/>
          <w:b/>
        </w:rPr>
        <w:t xml:space="preserve">attraverso le cellule</w:t>
      </w:r>
      <w:r>
        <w:t xml:space="preserve">, senza che vengano aperte le giunzioni tra le cellule.</w:t>
      </w:r>
    </w:p>
    <w:p>
      <w:pPr>
        <w:pStyle w:val="FirstParagraph"/>
      </w:pPr>
      <w:r>
        <w:t xml:space="preserve">Una revisione più recente aggiunge che lo SNAC innalza il pH nell’ambiente immediatamente circostante, attenua l’attivazione della pepsina e contribuisce a far sì che la semaglutide si trovi in forma di singola molecola, invece di aggregarsi in complessi più grandi e meno assorbibili</w:t>
      </w:r>
      <w:r>
        <w:rPr>
          <w:rStyle w:val="FootnoteReference"/>
        </w:rPr>
        <w:footnoteReference w:id="110"/>
      </w:r>
      <w:r>
        <w:t xml:space="preserve">.</w:t>
      </w:r>
    </w:p>
    <w:p>
      <w:pPr>
        <w:pStyle w:val="BodyText"/>
      </w:pPr>
      <w:r>
        <w:t xml:space="preserve">Nonostante questa tecnica, la resa è bassa. La stessa revisione indica una biodisponibilità assoluta della semaglutide orale di appena lo 0,4–1% circa – e ciò in condizioni ottimizzate: a digiuno e con poca acqua. Dopo un pasto nel sangue non è rilevabile praticamente semaglutide</w:t>
      </w:r>
      <w:r>
        <w:rPr>
          <w:rStyle w:val="FootnoteReference"/>
        </w:rPr>
        <w:footnoteReference w:id="111"/>
      </w:r>
      <w:r>
        <w:t xml:space="preserve">. Per questo per la compressa valgono regole di assunzione rigorose, descritte nel Riassunto delle caratteristiche del prodotto, che dovrebbero essere discusse con il medico curante.</w:t>
      </w:r>
    </w:p>
    <w:p>
      <w:pPr>
        <w:pStyle w:val="BodyText"/>
      </w:pPr>
      <w:r>
        <w:t xml:space="preserve">La bassa biodisponibilità ha una conseguenza pratica: per la compressa serve una quantità di principio attivo molte volte maggiore. Nello studio SUSTAIN-6 i partecipanti ricevevano 0,5 o 1,0 mg di semaglutide una volta alla settimana tramite iniezione</w:t>
      </w:r>
      <w:r>
        <w:rPr>
          <w:rStyle w:val="FootnoteReference"/>
        </w:rPr>
        <w:footnoteReference w:id="112"/>
      </w:r>
      <w:r>
        <w:t xml:space="preserve">. Nello studio sulla compressa PIONEER 1 sono stati invece studiati 3, 7 o 14 mg al giorno</w:t>
      </w:r>
      <w:r>
        <w:rPr>
          <w:rStyle w:val="FootnoteReference"/>
        </w:rPr>
        <w:footnoteReference w:id="113"/>
      </w:r>
      <w:r>
        <w:t xml:space="preserve">. Che l’effetto a lungo termine sia comunque uniforme dipende dalla lunga emivita: le oscillazioni dell’assorbimento da un giorno all’altro si compensano in gran parte nell’arco della settimana</w:t>
      </w:r>
      <w:r>
        <w:rPr>
          <w:rStyle w:val="FootnoteReference"/>
        </w:rPr>
        <w:footnoteReference w:id="114"/>
      </w:r>
      <w:r>
        <w:t xml:space="preserve">.</w:t>
      </w:r>
    </w:p>
    <w:p>
      <w:pPr>
        <w:pStyle w:val="BodyText"/>
      </w:pPr>
      <w:r>
        <w:t xml:space="preserve">La compressa funziona, lo mostrano gli studi. In PIONEER 1, con 703 persone con diabete di tipo 2, il valore di HbA1c dopo 26 settimane si è ridotto con la dose più alta di 1,1 punti percentuali in più rispetto al placebo</w:t>
      </w:r>
      <w:r>
        <w:rPr>
          <w:rStyle w:val="FootnoteReference"/>
        </w:rPr>
        <w:footnoteReference w:id="115"/>
      </w:r>
      <w:r>
        <w:t xml:space="preserve">. Nello studio OASIS 1 è stata valutata una dose più alta, 50 mg al giorno, in 667 adulti in sovrappeso o con obesità senza diabete. Dopo 68 settimane la perdita di peso media era del 15,1%, con placebo del 2,4%</w:t>
      </w:r>
      <w:r>
        <w:rPr>
          <w:rStyle w:val="FootnoteReference"/>
        </w:rPr>
        <w:footnoteReference w:id="116"/>
      </w:r>
      <w:r>
        <w:t xml:space="preserve">. Disturbi gastrointestinali si sono verificati nell’80% dei partecipanti con semaglutide e nel 46% con placebo.</w:t>
      </w:r>
    </w:p>
    <w:p>
      <w:pPr>
        <w:pStyle w:val="BodyText"/>
      </w:pPr>
      <w:r>
        <w:t xml:space="preserve">Un’indicazione importante per la pratica: la tecnica SNAC è legata alla composizione esatta della compressa. Un’indagine su prodotti di imitazione ha riscontrato in diversi preparati orali di semaglutide molto meno principio attivo di quanto dichiarato e un diverso comportamento di rilascio di semaglutide e SNAC, il che potrebbe ridurre l’assorbimento</w:t>
      </w:r>
      <w:r>
        <w:rPr>
          <w:rStyle w:val="FootnoteReference"/>
        </w:rPr>
        <w:footnoteReference w:id="117"/>
      </w:r>
      <w:r>
        <w:t xml:space="preserve">. Una compressa che contiene „semaglutide“ non è quindi automaticamente efficace quanto il preparato autorizzato.</w:t>
      </w:r>
    </w:p>
    <w:p>
      <w:pPr>
        <w:pStyle w:val="BodyText"/>
      </w:pPr>
      <w:r>
        <w:t xml:space="preserve">Parallelamente alle compresse peptidiche vengono sviluppate piccole molecole non peptidiche che attivano lo stesso recettore e possono essere assunte come normali compresse, per esempio l’orforglipron. Sono presentate a scopo di confronto nella Parte II e trattate nella Parte V nel contesto del futuro delle terapie in compresse.</w:t>
      </w:r>
    </w:p>
    <w:bookmarkEnd w:id="118"/>
    <w:bookmarkStart w:id="120" w:name="Xd900c2d450c7bf22a3426e554067e3e6870cf1f"/>
    <w:p>
      <w:pPr>
        <w:pStyle w:val="Heading3"/>
      </w:pPr>
      <w:r>
        <w:t xml:space="preserve">L’eccezione degli alimenti: peptidi corti da collagene e latte</w:t>
      </w:r>
    </w:p>
    <w:p>
      <w:pPr>
        <w:pStyle w:val="FirstParagraph"/>
      </w:pPr>
      <w:r>
        <w:t xml:space="preserve">Se i peptidi vengono degradati nel tratto gastrointestinale, come possono agire i peptidi di collagene o di latte consumati come polvere o bevanda? La risposta è articolata.</w:t>
      </w:r>
    </w:p>
    <w:p>
      <w:pPr>
        <w:pStyle w:val="BodyText"/>
      </w:pPr>
      <w:r>
        <w:t xml:space="preserve">Durante la digestione non si formano solo singoli amminoacidi, ma anche frammenti molto corti di due o tre mattoni. Alcuni di essi sono relativamente resistenti agli enzimi e vengono assorbiti tramite propri sistemi di trasporto. Così, dopo il consumo di collagene idrolizzato da parte di cinque volontari sani, nel plasma sanguigno sono stati misurati i dipeptidi prolil-idrossiprolina e idrossiprolil-glicina</w:t>
      </w:r>
      <w:r>
        <w:rPr>
          <w:rStyle w:val="FootnoteReference"/>
        </w:rPr>
        <w:footnoteReference w:id="119"/>
      </w:r>
      <w:r>
        <w:t xml:space="preserve">.</w:t>
      </w:r>
    </w:p>
    <w:p>
      <w:pPr>
        <w:pStyle w:val="BodyText"/>
      </w:pPr>
      <w:r>
        <w:t xml:space="preserve">Da ciò non consegue però automaticamente che questi frammenti esercitino nell’organismo un determinato effetto – per esempio sulla pelle o sulle articolazioni. Se sia così può essere chiarito solo con studi controllati con endpoint clinici. Questi dati sono discussi nella Parte II nel capitolo sui peptidi di collagene. Per i peptidi più grandi come gli ormoni vale invece: se ingeriti, vengono digeriti.</w:t>
      </w:r>
    </w:p>
    <w:bookmarkEnd w:id="120"/>
    <w:bookmarkStart w:id="122" w:name="sotto-la-lingua-poche-prove"/>
    <w:p>
      <w:pPr>
        <w:pStyle w:val="Heading3"/>
      </w:pPr>
      <w:r>
        <w:t xml:space="preserve">Sotto la lingua: poche prove</w:t>
      </w:r>
    </w:p>
    <w:p>
      <w:pPr>
        <w:pStyle w:val="FirstParagraph"/>
      </w:pPr>
      <w:r>
        <w:t xml:space="preserve">La mucosa orale, soprattutto sotto la lingua, è ben irrorata. Le sostanze assorbite qui evitano stomaco e fegato. Per alcuni piccoli farmaci funziona bene, per i peptidi però la mucosa è una barriera notevole.</w:t>
      </w:r>
    </w:p>
    <w:p>
      <w:pPr>
        <w:pStyle w:val="BodyText"/>
      </w:pPr>
      <w:r>
        <w:t xml:space="preserve">Ciononostante, soprattutto negli Stati Uniti, semaglutide e tirzepatide vengono offerte come gocce o compresse orodispersibili per uso sublinguale. Un’analisi delle offerte di farmacie statunitensi che preparano farmaci in proprio ha individuato 33 prodotti che si discostano dai preparati autorizzati. Dei 17 prodotti con un solo principio attivo, l’82% era destinato all’uso sublinguale, i restanti erano compresse orodispersibili. Le autrici e gli autori ritengono una simile forma farmaceutica in linea di principio comprensibile, ma constatano che un vantaggio rispetto ai preparati autorizzati non è dimostrato e mancano dati su sicurezza ed efficacia</w:t>
      </w:r>
      <w:r>
        <w:rPr>
          <w:rStyle w:val="FootnoteReference"/>
        </w:rPr>
        <w:footnoteReference w:id="121"/>
      </w:r>
      <w:r>
        <w:t xml:space="preserve">.</w:t>
      </w:r>
    </w:p>
    <w:bookmarkEnd w:id="122"/>
    <w:bookmarkStart w:id="124" w:name="lo-spray-nasale-rapido-ma-limitato"/>
    <w:p>
      <w:pPr>
        <w:pStyle w:val="Heading3"/>
      </w:pPr>
      <w:r>
        <w:t xml:space="preserve">Lo spray nasale: rapido, ma limitato</w:t>
      </w:r>
    </w:p>
    <w:p>
      <w:pPr>
        <w:pStyle w:val="FirstParagraph"/>
      </w:pPr>
      <w:r>
        <w:t xml:space="preserve">La mucosa nasale ha una superficie ampia e ben irrorata, e da lì le sostanze passano direttamente nel sangue. Alcuni farmaci peptidici usano questa via da tempo, per esempio l’analogo della vasopressina desmopressina. Anche l’ossitocina viene studiata come spray nasale.</w:t>
      </w:r>
    </w:p>
    <w:p>
      <w:pPr>
        <w:pStyle w:val="BodyText"/>
      </w:pPr>
      <w:r>
        <w:t xml:space="preserve">I limiti sono però evidenti:</w:t>
      </w:r>
    </w:p>
    <w:p>
      <w:pPr>
        <w:numPr>
          <w:ilvl w:val="0"/>
          <w:numId w:val="1013"/>
        </w:numPr>
        <w:pStyle w:val="Compact"/>
      </w:pPr>
      <w:r>
        <w:t xml:space="preserve">Per i peptidi più grandi l’assorbimento è basso e varia molto – a seconda della tecnica di spruzzo, del raffreddore o della quantità di muco.</w:t>
      </w:r>
    </w:p>
    <w:p>
      <w:pPr>
        <w:numPr>
          <w:ilvl w:val="0"/>
          <w:numId w:val="1013"/>
        </w:numPr>
        <w:pStyle w:val="Compact"/>
      </w:pPr>
      <w:r>
        <w:t xml:space="preserve">Gran parte dello spruzzo viene deglutita o rimossa dalle ciglia vibratili.</w:t>
      </w:r>
    </w:p>
    <w:p>
      <w:pPr>
        <w:numPr>
          <w:ilvl w:val="0"/>
          <w:numId w:val="1013"/>
        </w:numPr>
        <w:pStyle w:val="Compact"/>
      </w:pPr>
      <w:r>
        <w:t xml:space="preserve">Sostanze irritanti o eccipienti usati di frequente possono affaticare la mucosa.</w:t>
      </w:r>
    </w:p>
    <w:p>
      <w:pPr>
        <w:pStyle w:val="FirstParagraph"/>
      </w:pPr>
      <w:r>
        <w:t xml:space="preserve">Particolarmente diffusa è l’idea che i peptidi possano arrivare attraverso il naso „direttamente al cervello“. Per alcune sostanze esistono indizi di tali vie attraverso i nervi olfattivi e facciali, ma i dati sono scarsi. Una revisione critica molto citata è giunta, per l’ossitocina, alla conclusione che solo pochissima ossitocina somministrata per via nasale arriva nel liquido cerebrospinale, mentre le concentrazioni nel sangue salgono a valori superiori al livello naturale – con possibili effetti su tratto gastrointestinale, cuore e organi riproduttivi</w:t>
      </w:r>
      <w:r>
        <w:rPr>
          <w:rStyle w:val="FootnoteReference"/>
        </w:rPr>
        <w:footnoteReference w:id="123"/>
      </w:r>
      <w:r>
        <w:t xml:space="preserve">. Gli autori invitano allo scetticismo verso gli studi con effetti comportamentali e chiedono studi registrati in anticipo. Ciò è rilevante per tutti i peptidi pubblicizzati come „spray nasale per il cervello“, per esempio Semax o Selank, trattati nella Parte II.</w:t>
      </w:r>
    </w:p>
    <w:bookmarkEnd w:id="124"/>
    <w:bookmarkStart w:id="126" w:name="inalazione-un-fallimento-istruttivo"/>
    <w:p>
      <w:pPr>
        <w:pStyle w:val="Heading3"/>
      </w:pPr>
      <w:r>
        <w:t xml:space="preserve">Inalazione: un fallimento istruttivo</w:t>
      </w:r>
    </w:p>
    <w:p>
      <w:pPr>
        <w:pStyle w:val="FirstParagraph"/>
      </w:pPr>
      <w:r>
        <w:t xml:space="preserve">Il polmone offre una superficie enorme con una barriera molto sottile verso il sangue. Per questo si è lavorato intensamente su un’insulina inalabile. Un primo prodotto arrivò sul mercato, ma fu presto ritirato; altri sviluppi furono interrotti. Un commento di quel periodo descrive vantaggi e svantaggi dal punto di vista di pazienti, medici, industria e finanziatori – tra cui le dimensioni dei dispositivi per inalazione e i costi</w:t>
      </w:r>
      <w:r>
        <w:rPr>
          <w:rStyle w:val="FootnoteReference"/>
        </w:rPr>
        <w:footnoteReference w:id="125"/>
      </w:r>
      <w:r>
        <w:t xml:space="preserve">. In seguito negli Stati Uniti è stata autorizzata un’altra insulina inalabile. Per la maggior parte degli altri peptidi l’inalazione finora non ha alcun ruolo.</w:t>
      </w:r>
    </w:p>
    <w:bookmarkEnd w:id="126"/>
    <w:bookmarkStart w:id="128" w:name="la-pelle-unottima-barriera"/>
    <w:p>
      <w:pPr>
        <w:pStyle w:val="Heading3"/>
      </w:pPr>
      <w:r>
        <w:t xml:space="preserve">La pelle: un’ottima barriera</w:t>
      </w:r>
    </w:p>
    <w:p>
      <w:pPr>
        <w:pStyle w:val="FirstParagraph"/>
      </w:pPr>
      <w:r>
        <w:t xml:space="preserve">La pelle è uno degli organi più compatti del corpo. Il suo strato più esterno, lo strato corneo, è composto da cellule morte immerse nei lipidi – una sorta di muratura con malta. Una nota regola empirica della dermatologia afferma che una sostanza deve essere più piccola di circa 500 dalton per attraversare la pelle in misura apprezzabile. Gli autori lo motivano tra l’altro con il fatto che praticamente tutti gli allergeni da contatto noti e tutti i farmaci impiegati nei cerotti per il rilascio di principi attivi si trovano al di sotto di questo limite</w:t>
      </w:r>
      <w:r>
        <w:rPr>
          <w:rStyle w:val="FootnoteReference"/>
        </w:rPr>
        <w:footnoteReference w:id="127"/>
      </w:r>
      <w:r>
        <w:t xml:space="preserve">.</w:t>
      </w:r>
    </w:p>
    <w:p>
      <w:pPr>
        <w:pStyle w:val="BodyText"/>
      </w:pPr>
      <w:r>
        <w:t xml:space="preserve">Per i peptidi ciò significa che già a partire da circa quattro o cinque amminoacidi si trovano di regola al di sopra di questo limite. Un tripeptide come GHK può restarne al di sotto, peptidi come il palmitoil pentapeptide-4 o l’acetil esapeptide-8 lo superano nettamente. I produttori di cosmetici cercano di migliorare la penetrazione con code di acidi grassi (come nel peptide „palmitoil“) o con sistemi di veicolazione speciali. Se in questo modo i peptidi raggiungano in quantità sufficiente le loro presunte cellule bersaglio negli strati più profondi della pelle è una questione che andrebbe studiata appositamente per ciascun prodotto. I dati degli studi su questo argomento sono discussi nella Parte II.</w:t>
      </w:r>
    </w:p>
    <w:p>
      <w:pPr>
        <w:pStyle w:val="BodyText"/>
      </w:pPr>
      <w:r>
        <w:t xml:space="preserve">Una regola empirica resta tale: esistono eccezioni, e ausili come i cerotti a microaghi possono superare la barriera. Questi cerotti portano minuscoli aghi che penetrano solo nello strato più superficiale della pelle. Per i peptidi sono ancora in gran parte in fase di sviluppo.</w:t>
      </w:r>
    </w:p>
    <w:p>
      <w:pPr>
        <w:pStyle w:val="BodyText"/>
      </w:pPr>
      <w:r>
        <w:t xml:space="preserve">Per i peptidi farmaceutici come gli analoghi del GLP-1, i secretagoghi dell’ormone della crescita o il melanotan vale: una semplice crema o un gel non li porta nel sangue in quantità apprezzabile. Le offerte su Internet che affermano il contrario vanno considerate con grande scetticismo.</w:t>
      </w:r>
    </w:p>
    <w:bookmarkEnd w:id="128"/>
    <w:bookmarkStart w:id="130" w:name="stabilità-il-problema-sottovalutato"/>
    <w:p>
      <w:pPr>
        <w:pStyle w:val="Heading3"/>
      </w:pPr>
      <w:r>
        <w:t xml:space="preserve">Stabilità: il problema sottovalutato</w:t>
      </w:r>
    </w:p>
    <w:p>
      <w:pPr>
        <w:pStyle w:val="FirstParagraph"/>
      </w:pPr>
      <w:r>
        <w:t xml:space="preserve">Anche fuori dall’organismo i peptidi sono delicati. Possono decomporsi, modificarsi chimicamente (per esempio per ossidazione) o raggrupparsi in complessi più grandi. Questi raggruppamenti – gli esperti parlano di aggregazione o formazione di fibrille – possono ridurre l’effetto e irritare il sistema immunitario. Un’indagine ha riscontrato nei preparati di imitazione della liraglutide una maggiore tendenza alla formazione di fibrille e una minore stabilità fisica rispetto all’originale</w:t>
      </w:r>
      <w:r>
        <w:rPr>
          <w:rStyle w:val="FootnoteReference"/>
        </w:rPr>
        <w:footnoteReference w:id="129"/>
      </w:r>
      <w:r>
        <w:t xml:space="preserve">.</w:t>
      </w:r>
    </w:p>
    <w:p>
      <w:pPr>
        <w:pStyle w:val="BodyText"/>
      </w:pPr>
      <w:r>
        <w:t xml:space="preserve">Per questo i farmaci peptidici autorizzati vengono prodotti in condizioni definite con precisione, confezionati, trasportati refrigerati e muniti di data di scadenza. I peptidi del mercato grigio, invece, vengono per lo più venduti come polvere liofilizzata che deve essere sciolta in proprio prima dell’uso. Ognuno di questi passaggi – trasporto senza refrigerazione, conservazione, scioglimento, aspirazione nella siringa – è una possibile fonte di errore.</w:t>
      </w:r>
    </w:p>
    <w:bookmarkEnd w:id="130"/>
    <w:bookmarkStart w:id="132" w:name="reazioni-immunitarie"/>
    <w:p>
      <w:pPr>
        <w:pStyle w:val="Heading3"/>
      </w:pPr>
      <w:r>
        <w:t xml:space="preserve">Reazioni immunitarie</w:t>
      </w:r>
    </w:p>
    <w:p>
      <w:pPr>
        <w:pStyle w:val="FirstParagraph"/>
      </w:pPr>
      <w:r>
        <w:t xml:space="preserve">I peptidi sono sostanze proteiche e possono essere riconosciuti come estranei dal sistema immunitario, soprattutto se non corrispondono esattamente a una molecola endogena o contengono impurità. Possibili conseguenze sono reazioni nel sito di iniezione, reazioni allergiche o la formazione di anticorpi che possono indebolire l’effetto. Nell’analisi della semaglutide di imitazione sono stati trovati nuovi siti di legame per il sistema immunitario, previsti al computer, che indicano un possibile rischio di reazioni immunitarie</w:t>
      </w:r>
      <w:r>
        <w:rPr>
          <w:rStyle w:val="FootnoteReference"/>
        </w:rPr>
        <w:footnoteReference w:id="131"/>
      </w:r>
      <w:r>
        <w:t xml:space="preserve">. La Parte IV tratta diffusamente le reazioni immunitarie.</w:t>
      </w:r>
    </w:p>
    <w:bookmarkEnd w:id="132"/>
    <w:bookmarkStart w:id="133" w:name="X39be49a912811b2fc9d2429633ddd89e0f467f3"/>
    <w:p>
      <w:pPr>
        <w:pStyle w:val="Heading3"/>
      </w:pPr>
      <w:r>
        <w:t xml:space="preserve">Panoramica: le vie di somministrazione a confronto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Via</w:t>
            </w:r>
          </w:p>
        </w:tc>
        <w:tc>
          <w:tcPr/>
          <w:p>
            <w:pPr>
              <w:pStyle w:val="Compact"/>
              <w:jc w:val="left"/>
            </w:pPr>
            <w:r>
              <w:t xml:space="preserve">Problema principale</w:t>
            </w:r>
          </w:p>
        </w:tc>
        <w:tc>
          <w:tcPr/>
          <w:p>
            <w:pPr>
              <w:pStyle w:val="Compact"/>
              <w:jc w:val="left"/>
            </w:pPr>
            <w:r>
              <w:t xml:space="preserve">Esempi</w:t>
            </w:r>
          </w:p>
        </w:tc>
      </w:tr>
      <w:tr>
        <w:tc>
          <w:tcPr/>
          <w:p>
            <w:pPr>
              <w:pStyle w:val="Compact"/>
              <w:jc w:val="left"/>
            </w:pPr>
            <w:r>
              <w:t xml:space="preserve">Iniezione sottocutanea</w:t>
            </w:r>
          </w:p>
        </w:tc>
        <w:tc>
          <w:tcPr/>
          <w:p>
            <w:pPr>
              <w:pStyle w:val="Compact"/>
              <w:jc w:val="left"/>
            </w:pPr>
            <w:r>
              <w:t xml:space="preserve">ago, sterilità, refrigerazione</w:t>
            </w:r>
          </w:p>
        </w:tc>
        <w:tc>
          <w:tcPr/>
          <w:p>
            <w:pPr>
              <w:pStyle w:val="Compact"/>
              <w:jc w:val="left"/>
            </w:pPr>
            <w:r>
              <w:t xml:space="preserve">insulina, semaglutide, tirzepatide</w:t>
            </w:r>
          </w:p>
        </w:tc>
      </w:tr>
      <w:tr>
        <w:tc>
          <w:tcPr/>
          <w:p>
            <w:pPr>
              <w:pStyle w:val="Compact"/>
              <w:jc w:val="left"/>
            </w:pPr>
            <w:r>
              <w:t xml:space="preserve">Compressa</w:t>
            </w:r>
          </w:p>
        </w:tc>
        <w:tc>
          <w:tcPr/>
          <w:p>
            <w:pPr>
              <w:pStyle w:val="Compact"/>
              <w:jc w:val="left"/>
            </w:pPr>
            <w:r>
              <w:t xml:space="preserve">degradazione nel tratto gastrointestinale</w:t>
            </w:r>
          </w:p>
        </w:tc>
        <w:tc>
          <w:tcPr/>
          <w:p>
            <w:pPr>
              <w:pStyle w:val="Compact"/>
              <w:jc w:val="left"/>
            </w:pPr>
            <w:r>
              <w:t xml:space="preserve">semaglutide con SNAC</w:t>
            </w:r>
          </w:p>
        </w:tc>
      </w:tr>
      <w:tr>
        <w:tc>
          <w:tcPr/>
          <w:p>
            <w:pPr>
              <w:pStyle w:val="Compact"/>
              <w:jc w:val="left"/>
            </w:pPr>
            <w:r>
              <w:t xml:space="preserve">Sublinguale</w:t>
            </w:r>
          </w:p>
        </w:tc>
        <w:tc>
          <w:tcPr/>
          <w:p>
            <w:pPr>
              <w:pStyle w:val="Compact"/>
              <w:jc w:val="left"/>
            </w:pPr>
            <w:r>
              <w:t xml:space="preserve">mucosa come barriera</w:t>
            </w:r>
          </w:p>
        </w:tc>
        <w:tc>
          <w:tcPr/>
          <w:p>
            <w:pPr>
              <w:pStyle w:val="Compact"/>
              <w:jc w:val="left"/>
            </w:pPr>
            <w:r>
              <w:t xml:space="preserve">nessun dato affidabile</w:t>
            </w:r>
          </w:p>
        </w:tc>
      </w:tr>
      <w:tr>
        <w:tc>
          <w:tcPr/>
          <w:p>
            <w:pPr>
              <w:pStyle w:val="Compact"/>
              <w:jc w:val="left"/>
            </w:pPr>
            <w:r>
              <w:t xml:space="preserve">Spray nasale</w:t>
            </w:r>
          </w:p>
        </w:tc>
        <w:tc>
          <w:tcPr/>
          <w:p>
            <w:pPr>
              <w:pStyle w:val="Compact"/>
              <w:jc w:val="left"/>
            </w:pPr>
            <w:r>
              <w:t xml:space="preserve">assorbimento basso e variabile</w:t>
            </w:r>
          </w:p>
        </w:tc>
        <w:tc>
          <w:tcPr/>
          <w:p>
            <w:pPr>
              <w:pStyle w:val="Compact"/>
              <w:jc w:val="left"/>
            </w:pPr>
            <w:r>
              <w:t xml:space="preserve">desmopressina, ossitocina</w:t>
            </w:r>
          </w:p>
        </w:tc>
      </w:tr>
      <w:tr>
        <w:tc>
          <w:tcPr/>
          <w:p>
            <w:pPr>
              <w:pStyle w:val="Compact"/>
              <w:jc w:val="left"/>
            </w:pPr>
            <w:r>
              <w:t xml:space="preserve">Inalazione</w:t>
            </w:r>
          </w:p>
        </w:tc>
        <w:tc>
          <w:tcPr/>
          <w:p>
            <w:pPr>
              <w:pStyle w:val="Compact"/>
              <w:jc w:val="left"/>
            </w:pPr>
            <w:r>
              <w:t xml:space="preserve">dispositivi, sicurezza polmonare</w:t>
            </w:r>
          </w:p>
        </w:tc>
        <w:tc>
          <w:tcPr/>
          <w:p>
            <w:pPr>
              <w:pStyle w:val="Compact"/>
              <w:jc w:val="left"/>
            </w:pPr>
            <w:r>
              <w:t xml:space="preserve">insulina inalabile</w:t>
            </w:r>
          </w:p>
        </w:tc>
      </w:tr>
      <w:tr>
        <w:tc>
          <w:tcPr/>
          <w:p>
            <w:pPr>
              <w:pStyle w:val="Compact"/>
              <w:jc w:val="left"/>
            </w:pPr>
            <w:r>
              <w:t xml:space="preserve">Pelle</w:t>
            </w:r>
          </w:p>
        </w:tc>
        <w:tc>
          <w:tcPr/>
          <w:p>
            <w:pPr>
              <w:pStyle w:val="Compact"/>
              <w:jc w:val="left"/>
            </w:pPr>
            <w:r>
              <w:t xml:space="preserve">strato corneo, dimensione della molecola</w:t>
            </w:r>
          </w:p>
        </w:tc>
        <w:tc>
          <w:tcPr/>
          <w:p>
            <w:pPr>
              <w:pStyle w:val="Compact"/>
              <w:jc w:val="left"/>
            </w:pPr>
            <w:r>
              <w:t xml:space="preserve">peptidi cosmetici</w:t>
            </w:r>
          </w:p>
        </w:tc>
      </w:tr>
    </w:tbl>
    <w:bookmarkEnd w:id="133"/>
    <w:bookmarkStart w:id="134" w:name="lessenziale-in-breve-1"/>
    <w:p>
      <w:pPr>
        <w:pStyle w:val="Heading3"/>
      </w:pPr>
      <w:r>
        <w:t xml:space="preserve">L’essenziale in breve</w:t>
      </w:r>
    </w:p>
    <w:p>
      <w:pPr>
        <w:numPr>
          <w:ilvl w:val="0"/>
          <w:numId w:val="1014"/>
        </w:numPr>
        <w:pStyle w:val="Compact"/>
      </w:pPr>
      <w:r>
        <w:t xml:space="preserve">I peptidi vengono degradati nel tratto digerente, sono grandi e attraversano male le membrane. Per questo la maggior parte dei farmaci peptidici viene iniettata.</w:t>
      </w:r>
    </w:p>
    <w:p>
      <w:pPr>
        <w:numPr>
          <w:ilvl w:val="0"/>
          <w:numId w:val="1014"/>
        </w:numPr>
        <w:pStyle w:val="Compact"/>
      </w:pPr>
      <w:r>
        <w:t xml:space="preserve">Una lunga durata d’azione si ottiene con modifiche mirate della molecola, per esempio code di acidi grassi per il legame all’albumina.</w:t>
      </w:r>
    </w:p>
    <w:p>
      <w:pPr>
        <w:numPr>
          <w:ilvl w:val="0"/>
          <w:numId w:val="1014"/>
        </w:numPr>
        <w:pStyle w:val="Compact"/>
      </w:pPr>
      <w:r>
        <w:t xml:space="preserve">La compressa di semaglutide sfrutta l’eccipiente SNAC, che consente l’assorbimento nello stomaco. La biodisponibilità resta molto bassa, circa lo 0,4–1%.</w:t>
      </w:r>
    </w:p>
    <w:p>
      <w:pPr>
        <w:numPr>
          <w:ilvl w:val="0"/>
          <w:numId w:val="1014"/>
        </w:numPr>
        <w:pStyle w:val="Compact"/>
      </w:pPr>
      <w:r>
        <w:t xml:space="preserve">Con spray nasali e creme l’assorbimento dei peptidi più grandi è limitato. Promesse come „direttamente al cervello“ o „attraverso la pelle nel sangue“ per lo più non sono dimostrate.</w:t>
      </w:r>
    </w:p>
    <w:p>
      <w:pPr>
        <w:numPr>
          <w:ilvl w:val="0"/>
          <w:numId w:val="1014"/>
        </w:numPr>
        <w:pStyle w:val="Compact"/>
      </w:pPr>
      <w:r>
        <w:t xml:space="preserve">Stabilità, sterilità e purezza non sono questioni secondarie per i peptidi, ma presupposti per sicurezza ed efficacia.</w:t>
      </w:r>
    </w:p>
    <w:bookmarkEnd w:id="134"/>
    <w:bookmarkEnd w:id="135"/>
    <w:bookmarkStart w:id="167" w:name="leggere-correttamente-gli-studi"/>
    <w:p>
      <w:pPr>
        <w:pStyle w:val="Heading2"/>
      </w:pPr>
      <w:r>
        <w:t xml:space="preserve">Leggere correttamente gli studi</w:t>
      </w:r>
    </w:p>
    <w:p>
      <w:pPr>
        <w:pStyle w:val="FirstParagraph"/>
      </w:pPr>
      <w:r>
        <w:t xml:space="preserve">„Gli studi dimostrano …“ – poche formule vengono usate così spesso nella pubblicità dei peptidi. Può significare qualsiasi cosa: un esperimento con cellule in una piastra di Petri, una prova su dodici ratti, la testimonianza di un singolo paziente o uno studio con 17.000 partecipanti durato più di tre anni. Chi vuole valutare i peptidi deve conoscere queste differenze. Questo capitolo è una sorta di cassetta degli attrezzi. Spiega i principali tipi di studio, le insidie nell’interpretazione dei risultati e come puoi verificare personalmente che cosa si nasconde dietro un’affermazione.</w:t>
      </w:r>
    </w:p>
    <w:bookmarkStart w:id="136" w:name="la-piramide-delle-evidenze"/>
    <w:p>
      <w:pPr>
        <w:pStyle w:val="Heading3"/>
      </w:pPr>
      <w:r>
        <w:t xml:space="preserve">La piramide delle evidenze</w:t>
      </w:r>
    </w:p>
    <w:p>
      <w:pPr>
        <w:pStyle w:val="FirstParagraph"/>
      </w:pPr>
      <w:r>
        <w:t xml:space="preserve">Gli esperti dispongono spesso i tipi di studio in una piramide. In basso si trovano le forme di studio che forniscono molti indizi ma poca certezza; in alto quelle che mostrano in modo più affidabile se un trattamento funziona nell’uomo. Dal basso verso l’alto:</w:t>
      </w:r>
    </w:p>
    <w:p>
      <w:pPr>
        <w:numPr>
          <w:ilvl w:val="0"/>
          <w:numId w:val="1015"/>
        </w:numPr>
        <w:pStyle w:val="Compact"/>
      </w:pPr>
      <w:r>
        <w:rPr>
          <w:bCs/>
          <w:b/>
        </w:rPr>
        <w:t xml:space="preserve">Studi di laboratorio e su cellule</w:t>
      </w:r>
      <w:r>
        <w:t xml:space="preserve"> </w:t>
      </w:r>
      <w:r>
        <w:t xml:space="preserve">(in vitro, „nel vetro“): cellule o tessuti vengono esposti a una sostanza in laboratorio.</w:t>
      </w:r>
    </w:p>
    <w:p>
      <w:pPr>
        <w:numPr>
          <w:ilvl w:val="0"/>
          <w:numId w:val="1015"/>
        </w:numPr>
        <w:pStyle w:val="Compact"/>
      </w:pPr>
      <w:r>
        <w:rPr>
          <w:bCs/>
          <w:b/>
        </w:rPr>
        <w:t xml:space="preserve">Studi su animali</w:t>
      </w:r>
      <w:r>
        <w:t xml:space="preserve"> </w:t>
      </w:r>
      <w:r>
        <w:t xml:space="preserve">(per lo più su topi o ratti).</w:t>
      </w:r>
    </w:p>
    <w:p>
      <w:pPr>
        <w:numPr>
          <w:ilvl w:val="0"/>
          <w:numId w:val="1015"/>
        </w:numPr>
        <w:pStyle w:val="Compact"/>
      </w:pPr>
      <w:r>
        <w:rPr>
          <w:bCs/>
          <w:b/>
        </w:rPr>
        <w:t xml:space="preserve">Casi clinici e serie di casi</w:t>
      </w:r>
      <w:r>
        <w:t xml:space="preserve">: descrizioni di singole o poche pazienti e pazienti.</w:t>
      </w:r>
    </w:p>
    <w:p>
      <w:pPr>
        <w:numPr>
          <w:ilvl w:val="0"/>
          <w:numId w:val="1015"/>
        </w:numPr>
        <w:pStyle w:val="Compact"/>
      </w:pPr>
      <w:r>
        <w:rPr>
          <w:bCs/>
          <w:b/>
        </w:rPr>
        <w:t xml:space="preserve">Studi osservazionali</w:t>
      </w:r>
      <w:r>
        <w:t xml:space="preserve">: si osservano persone che assumono o non assumono comunque una sostanza e si confronta che cosa accade loro.</w:t>
      </w:r>
    </w:p>
    <w:p>
      <w:pPr>
        <w:numPr>
          <w:ilvl w:val="0"/>
          <w:numId w:val="1015"/>
        </w:numPr>
        <w:pStyle w:val="Compact"/>
      </w:pPr>
      <w:r>
        <w:rPr>
          <w:bCs/>
          <w:b/>
        </w:rPr>
        <w:t xml:space="preserve">Studi controllati senza assegnazione casuale</w:t>
      </w:r>
      <w:r>
        <w:t xml:space="preserve"> </w:t>
      </w:r>
      <w:r>
        <w:t xml:space="preserve">e</w:t>
      </w:r>
      <w:r>
        <w:t xml:space="preserve"> </w:t>
      </w:r>
      <w:r>
        <w:rPr>
          <w:bCs/>
          <w:b/>
        </w:rPr>
        <w:t xml:space="preserve">studi in aperto</w:t>
      </w:r>
      <w:r>
        <w:t xml:space="preserve">.</w:t>
      </w:r>
    </w:p>
    <w:p>
      <w:pPr>
        <w:numPr>
          <w:ilvl w:val="0"/>
          <w:numId w:val="1015"/>
        </w:numPr>
        <w:pStyle w:val="Compact"/>
      </w:pPr>
      <w:r>
        <w:rPr>
          <w:bCs/>
          <w:b/>
        </w:rPr>
        <w:t xml:space="preserve">Studi randomizzati controllati</w:t>
      </w:r>
      <w:r>
        <w:t xml:space="preserve"> </w:t>
      </w:r>
      <w:r>
        <w:t xml:space="preserve">(RCT).</w:t>
      </w:r>
    </w:p>
    <w:p>
      <w:pPr>
        <w:numPr>
          <w:ilvl w:val="0"/>
          <w:numId w:val="1015"/>
        </w:numPr>
        <w:pStyle w:val="Compact"/>
      </w:pPr>
      <w:r>
        <w:rPr>
          <w:bCs/>
          <w:b/>
        </w:rPr>
        <w:t xml:space="preserve">Revisioni sistematiche e meta-analisi</w:t>
      </w:r>
      <w:r>
        <w:t xml:space="preserve">, che riassumono tutti i buoni studi disponibili su una domanda.</w:t>
      </w:r>
    </w:p>
    <w:p>
      <w:pPr>
        <w:pStyle w:val="FirstParagraph"/>
      </w:pPr>
      <w:r>
        <w:t xml:space="preserve">La piramide è una semplificazione. Un grande studio osservazionale accurato può essere più informativo di un minuscolo RCT mal condotto, e una meta-analisi è buona solo quanto gli studi che vi confluiscono. Come orientamento di massima è però utile – soprattutto per riconoscere quanto in basso nella piramide si collochino le prove per molti peptidi del mercato grigio.</w:t>
      </w:r>
    </w:p>
    <w:bookmarkEnd w:id="136"/>
    <w:bookmarkStart w:id="137" w:name="Xcae2508f35f0dfcf7ed54eeaefc79da0830a86d"/>
    <w:p>
      <w:pPr>
        <w:pStyle w:val="Heading3"/>
      </w:pPr>
      <w:r>
        <w:t xml:space="preserve">Studi di laboratorio: che cosa succede nella piastra di Petri</w:t>
      </w:r>
    </w:p>
    <w:p>
      <w:pPr>
        <w:pStyle w:val="FirstParagraph"/>
      </w:pPr>
      <w:r>
        <w:t xml:space="preserve">Nelle colture cellulari si possono studiare bene i meccanismi: quale recettore viene attivato? Quali geni vengono letti? Le cellule crescono o migrano più velocemente? Studi di questo tipo sono indispensabili per la ricerca di base.</w:t>
      </w:r>
    </w:p>
    <w:p>
      <w:pPr>
        <w:pStyle w:val="BodyText"/>
      </w:pPr>
      <w:r>
        <w:t xml:space="preserve">I loro limiti, però, sono grandi. Le cellule in una piastra non hanno circolazione sanguigna, né un fegato che degrada le sostanze, né un sistema immunitario, né una digestione. Le concentrazioni usate in laboratorio sono spesso molto più alte di quelle raggiungibili nel corpo umano. Una sostanza che in piastra uccide le cellule tumorali può essere nell’organismo inefficace o tossica. Se un testo pubblicitario si richiama a „studi“ e si tratta di colture cellulari, ciò indica un possibile meccanismo – non un beneficio nell’uomo.</w:t>
      </w:r>
    </w:p>
    <w:bookmarkEnd w:id="137"/>
    <w:bookmarkStart w:id="139" w:name="Xf61d33877d552a1fa5078b6b928182ca1a933f3"/>
    <w:p>
      <w:pPr>
        <w:pStyle w:val="Heading3"/>
      </w:pPr>
      <w:r>
        <w:t xml:space="preserve">Studi su animali: importanti, ma non trasferibili</w:t>
      </w:r>
    </w:p>
    <w:p>
      <w:pPr>
        <w:pStyle w:val="FirstParagraph"/>
      </w:pPr>
      <w:r>
        <w:t xml:space="preserve">La sperimentazione animale consente di studiare gli effetti in un organismo intero e di chiarire questioni di sicurezza prima che le persone siano esposte a una nuova sostanza. Al tempo stesso topi e ratti differiscono notevolmente dall’uomo per metabolismo, durata della vita, dimensioni corporee e sviluppo delle malattie. Inoltre negli animali le malattie vengono spesso provocate artificialmente – per esempio una lesione tendinea con un taglio – il che corrisponde solo in parte alla situazione nell’uomo.</w:t>
      </w:r>
    </w:p>
    <w:p>
      <w:pPr>
        <w:pStyle w:val="BodyText"/>
      </w:pPr>
      <w:r>
        <w:t xml:space="preserve">Quanto sia difficile il trasferimento lo mostra una revisione sistematica che ha confrontato gli effetti dei trattamenti negli esperimenti sugli animali con quelli negli studi clinici</w:t>
      </w:r>
      <w:r>
        <w:rPr>
          <w:rStyle w:val="FootnoteReference"/>
        </w:rPr>
        <w:footnoteReference w:id="138"/>
      </w:r>
      <w:r>
        <w:t xml:space="preserve">. Alcuni esempi:</w:t>
      </w:r>
    </w:p>
    <w:p>
      <w:pPr>
        <w:numPr>
          <w:ilvl w:val="0"/>
          <w:numId w:val="1016"/>
        </w:numPr>
        <w:pStyle w:val="Compact"/>
      </w:pPr>
      <w:r>
        <w:t xml:space="preserve">I preparati cortisonici miglioravano i risultati nei traumi cranici nei modelli animali, mentre negli studi clinici sull’uomo non è emerso alcun beneficio.</w:t>
      </w:r>
    </w:p>
    <w:p>
      <w:pPr>
        <w:numPr>
          <w:ilvl w:val="0"/>
          <w:numId w:val="1016"/>
        </w:numPr>
        <w:pStyle w:val="Compact"/>
      </w:pPr>
      <w:r>
        <w:t xml:space="preserve">Il principio attivo tirilazad riduceva negli animali con ictus l’area cerebrale danneggiata del 29% e migliorava i punteggi neurologici del 48%. Nelle persone con ictus era associato a un esito peggiore.</w:t>
      </w:r>
    </w:p>
    <w:p>
      <w:pPr>
        <w:numPr>
          <w:ilvl w:val="0"/>
          <w:numId w:val="1016"/>
        </w:numPr>
        <w:pStyle w:val="Compact"/>
      </w:pPr>
      <w:r>
        <w:t xml:space="preserve">Altri trattamenti, per esempio la dissoluzione dei coaguli nell’ictus, funzionavano sia negli animali sia nell’uomo.</w:t>
      </w:r>
    </w:p>
    <w:p>
      <w:pPr>
        <w:pStyle w:val="FirstParagraph"/>
      </w:pPr>
      <w:r>
        <w:t xml:space="preserve">Le autrici e gli autori attribuiscono le discrepanze a distorsioni negli studi su animali e al fatto che i modelli animali non riproducono in modo adeguato le malattie umane.</w:t>
      </w:r>
    </w:p>
    <w:p>
      <w:pPr>
        <w:pStyle w:val="BodyText"/>
      </w:pPr>
      <w:r>
        <w:t xml:space="preserve">Per questo libro ciò ha una conseguenza chiara: se per un peptide sono disponibili solo dati su animali, esso riceve il livello di evidenza D – indipendentemente da quanto impressionanti appaiano i risultati nei ratti. E nel testo si dice sempre esplicitamente quando un risultato proviene da animali o dal laboratorio.</w:t>
      </w:r>
    </w:p>
    <w:bookmarkEnd w:id="139"/>
    <w:bookmarkStart w:id="140" w:name="casi-clinici-e-studi-osservazionali"/>
    <w:p>
      <w:pPr>
        <w:pStyle w:val="Heading3"/>
      </w:pPr>
      <w:r>
        <w:t xml:space="preserve">Casi clinici e studi osservazionali</w:t>
      </w:r>
    </w:p>
    <w:p>
      <w:pPr>
        <w:pStyle w:val="FirstParagraph"/>
      </w:pPr>
      <w:r>
        <w:t xml:space="preserve">I</w:t>
      </w:r>
      <w:r>
        <w:t xml:space="preserve"> </w:t>
      </w:r>
      <w:r>
        <w:rPr>
          <w:bCs/>
          <w:b/>
        </w:rPr>
        <w:t xml:space="preserve">casi clinici</w:t>
      </w:r>
      <w:r>
        <w:t xml:space="preserve"> </w:t>
      </w:r>
      <w:r>
        <w:t xml:space="preserve">descrivono singole pazienti o singoli pazienti. Sull’efficacia dicono poco, per la sicurezza invece possono essere molto preziosi: effetti collaterali rari o inattesi emergono spesso per la prima volta nei casi clinici. Nel capitolo sul mercato grigio incontrerai diverse segnalazioni di questo tipo, per esempio di gravi ipoglicemie dovute a preparati contraffatti.</w:t>
      </w:r>
    </w:p>
    <w:p>
      <w:pPr>
        <w:pStyle w:val="BodyText"/>
      </w:pPr>
      <w:r>
        <w:t xml:space="preserve">Gli</w:t>
      </w:r>
      <w:r>
        <w:t xml:space="preserve"> </w:t>
      </w:r>
      <w:r>
        <w:rPr>
          <w:bCs/>
          <w:b/>
        </w:rPr>
        <w:t xml:space="preserve">studi osservazionali</w:t>
      </w:r>
      <w:r>
        <w:t xml:space="preserve"> </w:t>
      </w:r>
      <w:r>
        <w:t xml:space="preserve">confrontano persone che assumono una sostanza con persone che non la assumono. Il loro problema principale è il cosiddetto</w:t>
      </w:r>
      <w:r>
        <w:t xml:space="preserve"> </w:t>
      </w:r>
      <w:r>
        <w:rPr>
          <w:bCs/>
          <w:b/>
        </w:rPr>
        <w:t xml:space="preserve">fattore di confondimento</w:t>
      </w:r>
      <w:r>
        <w:t xml:space="preserve"> </w:t>
      </w:r>
      <w:r>
        <w:t xml:space="preserve">(confounding): chi assume un determinato preparato si distingue spesso anche per altri aspetti – per esempio reddito, attenzione alla salute o malattie preesistenti. Un’associazione riscontrata non deve quindi necessariamente essere un rapporto di causa-effetto.</w:t>
      </w:r>
    </w:p>
    <w:p>
      <w:pPr>
        <w:pStyle w:val="BodyText"/>
      </w:pPr>
      <w:r>
        <w:t xml:space="preserve">Una forma particolare sono le analisi dei</w:t>
      </w:r>
      <w:r>
        <w:t xml:space="preserve"> </w:t>
      </w:r>
      <w:r>
        <w:rPr>
          <w:bCs/>
          <w:b/>
        </w:rPr>
        <w:t xml:space="preserve">sistemi di segnalazione degli effetti collaterali</w:t>
      </w:r>
      <w:r>
        <w:t xml:space="preserve"> </w:t>
      </w:r>
      <w:r>
        <w:t xml:space="preserve">come la banca dati europea EudraVigilance o il FAERS statunitense. Raccolgono segnalazioni di sospette reazioni da parte di medici, pazienti e produttori. Tali dati mostrano segnali che andrebbero verificati ulteriormente, ma non dimostrano un nesso e non dicono nulla su quanto sia effettivamente frequente un effetto collaterale.</w:t>
      </w:r>
    </w:p>
    <w:bookmarkEnd w:id="140"/>
    <w:bookmarkStart w:id="141" w:name="lo-studio-randomizzato-controllato-rct"/>
    <w:p>
      <w:pPr>
        <w:pStyle w:val="Heading3"/>
      </w:pPr>
      <w:r>
        <w:t xml:space="preserve">Lo studio randomizzato controllato (RCT)</w:t>
      </w:r>
    </w:p>
    <w:p>
      <w:pPr>
        <w:pStyle w:val="FirstParagraph"/>
      </w:pPr>
      <w:r>
        <w:t xml:space="preserve">L’RCT è considerato il gold standard per verificare l’effetto di un trattamento. Lo caratterizzano tre elementi:</w:t>
      </w:r>
    </w:p>
    <w:p>
      <w:pPr>
        <w:pStyle w:val="BodyText"/>
      </w:pPr>
      <w:r>
        <w:rPr>
          <w:bCs/>
          <w:b/>
        </w:rPr>
        <w:t xml:space="preserve">Gruppo di controllo.</w:t>
      </w:r>
      <w:r>
        <w:t xml:space="preserve"> </w:t>
      </w:r>
      <w:r>
        <w:t xml:space="preserve">Oltre al gruppo che riceve il principio attivo c’è un gruppo di confronto – con placebo, un trattamento standard o nessun trattamento. Solo così si può dire se un cambiamento è dovuto al principio attivo o si sarebbe verificato anche senza.</w:t>
      </w:r>
    </w:p>
    <w:p>
      <w:pPr>
        <w:pStyle w:val="BodyText"/>
      </w:pPr>
      <w:r>
        <w:rPr>
          <w:bCs/>
          <w:b/>
        </w:rPr>
        <w:t xml:space="preserve">Randomizzazione.</w:t>
      </w:r>
      <w:r>
        <w:t xml:space="preserve"> </w:t>
      </w:r>
      <w:r>
        <w:t xml:space="preserve">Chi finisce in quale gruppo lo decide il caso. In questo modo i fattori d’influenza noti e ignoti si distribuiscono in modo uniforme tra i due gruppi. Le differenze nel risultato possono allora essere attribuite con alta probabilità al trattamento.</w:t>
      </w:r>
    </w:p>
    <w:p>
      <w:pPr>
        <w:pStyle w:val="BodyText"/>
      </w:pPr>
      <w:r>
        <w:rPr>
          <w:bCs/>
          <w:b/>
        </w:rPr>
        <w:t xml:space="preserve">Cecità.</w:t>
      </w:r>
      <w:r>
        <w:t xml:space="preserve"> </w:t>
      </w:r>
      <w:r>
        <w:t xml:space="preserve">In uno studio in</w:t>
      </w:r>
      <w:r>
        <w:t xml:space="preserve"> </w:t>
      </w:r>
      <w:r>
        <w:rPr>
          <w:bCs/>
          <w:b/>
        </w:rPr>
        <w:t xml:space="preserve">doppio cieco</w:t>
      </w:r>
      <w:r>
        <w:t xml:space="preserve"> </w:t>
      </w:r>
      <w:r>
        <w:t xml:space="preserve">né i partecipanti né il personale dello studio sanno chi riceve il principio attivo e chi il placebo. Ciò impedisce che le aspettative influenzino il risultato. In uno studio</w:t>
      </w:r>
      <w:r>
        <w:t xml:space="preserve"> </w:t>
      </w:r>
      <w:r>
        <w:rPr>
          <w:bCs/>
          <w:b/>
        </w:rPr>
        <w:t xml:space="preserve">in aperto</w:t>
      </w:r>
      <w:r>
        <w:t xml:space="preserve"> </w:t>
      </w:r>
      <w:r>
        <w:t xml:space="preserve">tutti i soggetti coinvolti sono informati; a volte non è possibile fare altrimenti, ma ciò rende i risultati più esposti a distorsioni, soprattutto per endpoint soggettivi come dolore, umore o aspetto della pelle.</w:t>
      </w:r>
    </w:p>
    <w:bookmarkEnd w:id="141"/>
    <w:bookmarkStart w:id="144" w:name="X9ecc1e27ef7307338660c7cbcd805ceb6b592d1"/>
    <w:p>
      <w:pPr>
        <w:pStyle w:val="Heading3"/>
      </w:pPr>
      <w:r>
        <w:t xml:space="preserve">L’effetto placebo e perché i gruppi di controllo sono indispensabili</w:t>
      </w:r>
    </w:p>
    <w:p>
      <w:pPr>
        <w:pStyle w:val="FirstParagraph"/>
      </w:pPr>
      <w:r>
        <w:t xml:space="preserve">Negli studi le persone stanno spesso meglio anche quando ricevono solo un preparato fittizio. Ciò dipende dalle aspettative, dall’attenzione aggiuntiva, dai cambiamenti dello stile di vita durante uno studio e dal fatto che molti disturbi migliorano comunque da soli.</w:t>
      </w:r>
    </w:p>
    <w:p>
      <w:pPr>
        <w:pStyle w:val="BodyText"/>
      </w:pPr>
      <w:r>
        <w:t xml:space="preserve">Un esempio eloquente è lo studio STEP 1: anche il gruppo placebo ha perso in 68 settimane in media il 2,4% del proprio peso corporeo, perché tutti i partecipanti ricevevano in aggiunta una consulenza sullo stile di vita</w:t>
      </w:r>
      <w:r>
        <w:rPr>
          <w:rStyle w:val="FootnoteReference"/>
        </w:rPr>
        <w:footnoteReference w:id="142"/>
      </w:r>
      <w:r>
        <w:t xml:space="preserve">. L’effetto vero e proprio del principio attivo è la differenza tra i gruppi – in questo caso 12,4 punti percentuali, non il 14,9%.</w:t>
      </w:r>
    </w:p>
    <w:p>
      <w:pPr>
        <w:pStyle w:val="BodyText"/>
      </w:pPr>
      <w:r>
        <w:t xml:space="preserve">Una revisione sui peptidi in medicina dello sport sottolinea espressamente che l’effetto placebo potrebbe spiegare una parte degli effetti riferiti per i peptidi non regolamentati e che i social media amplificano questo effetto</w:t>
      </w:r>
      <w:r>
        <w:rPr>
          <w:rStyle w:val="FootnoteReference"/>
        </w:rPr>
        <w:footnoteReference w:id="143"/>
      </w:r>
      <w:r>
        <w:t xml:space="preserve">. Le testimonianze dei forum non sostituiscono quindi gli studi controllati.</w:t>
      </w:r>
    </w:p>
    <w:bookmarkEnd w:id="144"/>
    <w:bookmarkStart w:id="145" w:name="fasi-degli-studi"/>
    <w:p>
      <w:pPr>
        <w:pStyle w:val="Heading3"/>
      </w:pPr>
      <w:r>
        <w:t xml:space="preserve">Fasi degli studi</w:t>
      </w:r>
    </w:p>
    <w:p>
      <w:pPr>
        <w:pStyle w:val="FirstParagraph"/>
      </w:pPr>
      <w:r>
        <w:t xml:space="preserve">I nuovi farmaci attraversano nell’uomo tipicamente quattro fasi: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Fase</w:t>
            </w:r>
          </w:p>
        </w:tc>
        <w:tc>
          <w:tcPr/>
          <w:p>
            <w:pPr>
              <w:pStyle w:val="Compact"/>
              <w:jc w:val="left"/>
            </w:pPr>
            <w:r>
              <w:t xml:space="preserve">Obiettivo</w:t>
            </w:r>
          </w:p>
        </w:tc>
        <w:tc>
          <w:tcPr/>
          <w:p>
            <w:pPr>
              <w:pStyle w:val="Compact"/>
              <w:jc w:val="left"/>
            </w:pPr>
            <w:r>
              <w:t xml:space="preserve">Dimensione tipica</w:t>
            </w:r>
          </w:p>
        </w:tc>
      </w:tr>
      <w:tr>
        <w:tc>
          <w:tcPr/>
          <w:p>
            <w:pPr>
              <w:pStyle w:val="Compact"/>
              <w:jc w:val="left"/>
            </w:pPr>
            <w:r>
              <w:t xml:space="preserve">Fase 1</w:t>
            </w:r>
          </w:p>
        </w:tc>
        <w:tc>
          <w:tcPr/>
          <w:p>
            <w:pPr>
              <w:pStyle w:val="Compact"/>
              <w:jc w:val="left"/>
            </w:pPr>
            <w:r>
              <w:t xml:space="preserve">tollerabilità, comportamento nell’organismo</w:t>
            </w:r>
          </w:p>
        </w:tc>
        <w:tc>
          <w:tcPr/>
          <w:p>
            <w:pPr>
              <w:pStyle w:val="Compact"/>
              <w:jc w:val="left"/>
            </w:pPr>
            <w:r>
              <w:t xml:space="preserve">poche decine di persone sane</w:t>
            </w:r>
          </w:p>
        </w:tc>
      </w:tr>
      <w:tr>
        <w:tc>
          <w:tcPr/>
          <w:p>
            <w:pPr>
              <w:pStyle w:val="Compact"/>
              <w:jc w:val="left"/>
            </w:pPr>
            <w:r>
              <w:t xml:space="preserve">Fase 2</w:t>
            </w:r>
          </w:p>
        </w:tc>
        <w:tc>
          <w:tcPr/>
          <w:p>
            <w:pPr>
              <w:pStyle w:val="Compact"/>
              <w:jc w:val="left"/>
            </w:pPr>
            <w:r>
              <w:t xml:space="preserve">prima efficacia, ricerca della dose</w:t>
            </w:r>
          </w:p>
        </w:tc>
        <w:tc>
          <w:tcPr/>
          <w:p>
            <w:pPr>
              <w:pStyle w:val="Compact"/>
              <w:jc w:val="left"/>
            </w:pPr>
            <w:r>
              <w:t xml:space="preserve">da circa 100 ad alcune centinaia</w:t>
            </w:r>
          </w:p>
        </w:tc>
      </w:tr>
      <w:tr>
        <w:tc>
          <w:tcPr/>
          <w:p>
            <w:pPr>
              <w:pStyle w:val="Compact"/>
              <w:jc w:val="left"/>
            </w:pPr>
            <w:r>
              <w:t xml:space="preserve">Fase 3</w:t>
            </w:r>
          </w:p>
        </w:tc>
        <w:tc>
          <w:tcPr/>
          <w:p>
            <w:pPr>
              <w:pStyle w:val="Compact"/>
              <w:jc w:val="left"/>
            </w:pPr>
            <w:r>
              <w:t xml:space="preserve">efficacia e sicurezza a confronto</w:t>
            </w:r>
          </w:p>
        </w:tc>
        <w:tc>
          <w:tcPr/>
          <w:p>
            <w:pPr>
              <w:pStyle w:val="Compact"/>
              <w:jc w:val="left"/>
            </w:pPr>
            <w:r>
              <w:t xml:space="preserve">da centinaia a migliaia</w:t>
            </w:r>
          </w:p>
        </w:tc>
      </w:tr>
      <w:tr>
        <w:tc>
          <w:tcPr/>
          <w:p>
            <w:pPr>
              <w:pStyle w:val="Compact"/>
              <w:jc w:val="left"/>
            </w:pPr>
            <w:r>
              <w:t xml:space="preserve">Fase 4</w:t>
            </w:r>
          </w:p>
        </w:tc>
        <w:tc>
          <w:tcPr/>
          <w:p>
            <w:pPr>
              <w:pStyle w:val="Compact"/>
              <w:jc w:val="left"/>
            </w:pPr>
            <w:r>
              <w:t xml:space="preserve">osservazione dopo l’autorizzazione</w:t>
            </w:r>
          </w:p>
        </w:tc>
        <w:tc>
          <w:tcPr/>
          <w:p>
            <w:pPr>
              <w:pStyle w:val="Compact"/>
              <w:jc w:val="left"/>
            </w:pPr>
            <w:r>
              <w:t xml:space="preserve">spesso molto grande</w:t>
            </w:r>
          </w:p>
        </w:tc>
      </w:tr>
    </w:tbl>
    <w:p>
      <w:pPr>
        <w:pStyle w:val="BodyText"/>
      </w:pPr>
      <w:r>
        <w:t xml:space="preserve">Molti principi attivi falliscono tra la fase 2 e la fase 3. Un risultato promettente di fase 2 non è quindi ancora una garanzia di una successiva autorizzazione.</w:t>
      </w:r>
    </w:p>
    <w:bookmarkEnd w:id="145"/>
    <w:bookmarkStart w:id="147" w:name="endpoint-che-cosa-si-misura-davvero"/>
    <w:p>
      <w:pPr>
        <w:pStyle w:val="Heading3"/>
      </w:pPr>
      <w:r>
        <w:t xml:space="preserve">Endpoint: che cosa si misura davvero?</w:t>
      </w:r>
    </w:p>
    <w:p>
      <w:pPr>
        <w:pStyle w:val="FirstParagraph"/>
      </w:pPr>
      <w:r>
        <w:t xml:space="preserve">Ogni studio stabilisce in anticipo un</w:t>
      </w:r>
      <w:r>
        <w:t xml:space="preserve"> </w:t>
      </w:r>
      <w:r>
        <w:rPr>
          <w:bCs/>
          <w:b/>
        </w:rPr>
        <w:t xml:space="preserve">endpoint primario</w:t>
      </w:r>
      <w:r>
        <w:t xml:space="preserve"> </w:t>
      </w:r>
      <w:r>
        <w:t xml:space="preserve">– l’obiettivo principale con cui si misura il successo. A esso si aggiungono gli endpoint secondari. Se un risultato viene messo in evidenza come importante solo a posteriori, è necessaria cautela: chi misura molti endpoint trova quasi sempre da qualche parte una differenza „significativa“.</w:t>
      </w:r>
    </w:p>
    <w:p>
      <w:pPr>
        <w:pStyle w:val="BodyText"/>
      </w:pPr>
      <w:r>
        <w:t xml:space="preserve">Particolarmente importante è la distinzione tra</w:t>
      </w:r>
      <w:r>
        <w:t xml:space="preserve"> </w:t>
      </w:r>
      <w:r>
        <w:rPr>
          <w:bCs/>
          <w:b/>
        </w:rPr>
        <w:t xml:space="preserve">endpoint solidi</w:t>
      </w:r>
      <w:r>
        <w:t xml:space="preserve"> </w:t>
      </w:r>
      <w:r>
        <w:t xml:space="preserve">ed</w:t>
      </w:r>
      <w:r>
        <w:t xml:space="preserve"> </w:t>
      </w:r>
      <w:r>
        <w:rPr>
          <w:bCs/>
          <w:b/>
        </w:rPr>
        <w:t xml:space="preserve">endpoint surrogati</w:t>
      </w:r>
      <w:r>
        <w:t xml:space="preserve">:</w:t>
      </w:r>
    </w:p>
    <w:p>
      <w:pPr>
        <w:numPr>
          <w:ilvl w:val="0"/>
          <w:numId w:val="1017"/>
        </w:numPr>
        <w:pStyle w:val="Compact"/>
      </w:pPr>
      <w:r>
        <w:t xml:space="preserve">Gli</w:t>
      </w:r>
      <w:r>
        <w:t xml:space="preserve"> </w:t>
      </w:r>
      <w:r>
        <w:rPr>
          <w:bCs/>
          <w:b/>
        </w:rPr>
        <w:t xml:space="preserve">endpoint solidi</w:t>
      </w:r>
      <w:r>
        <w:t xml:space="preserve"> </w:t>
      </w:r>
      <w:r>
        <w:t xml:space="preserve">sono eventi che contano direttamente per le pazienti e i pazienti: morte, infarto, ictus, frattura ossea, cecità, qualità della vita.</w:t>
      </w:r>
    </w:p>
    <w:p>
      <w:pPr>
        <w:numPr>
          <w:ilvl w:val="0"/>
          <w:numId w:val="1017"/>
        </w:numPr>
        <w:pStyle w:val="Compact"/>
      </w:pPr>
      <w:r>
        <w:t xml:space="preserve">Gli</w:t>
      </w:r>
      <w:r>
        <w:t xml:space="preserve"> </w:t>
      </w:r>
      <w:r>
        <w:rPr>
          <w:bCs/>
          <w:b/>
        </w:rPr>
        <w:t xml:space="preserve">endpoint surrogati</w:t>
      </w:r>
      <w:r>
        <w:t xml:space="preserve"> </w:t>
      </w:r>
      <w:r>
        <w:t xml:space="preserve">(endpoint sostitutivi) sono valori misurati che si presume siano legati agli endpoint solidi: glicemia, HbA1c, colesterolo, pressione arteriosa, densità ossea, peso corporeo o valori di laboratorio come l’IGF-1.</w:t>
      </w:r>
    </w:p>
    <w:p>
      <w:pPr>
        <w:pStyle w:val="FirstParagraph"/>
      </w:pPr>
      <w:r>
        <w:t xml:space="preserve">Gli endpoint surrogati sono pratici perché si possono misurare più rapidamente e con meno partecipanti. Ma possono essere fuorvianti. L’esempio più noto è il Cardiac Arrhythmia Suppression Trial (CAST) della fine degli anni Ottanta. Si dava per scontato che i farmaci che sopprimono determinate aritmie cardiache dopo un infarto prevenissero anche i decessi. I farmaci sopprimevano effettivamente le aritmie – l’endpoint surrogato era raggiunto. Ma nello studio randomizzato con due di questi farmaci morirono più persone che con placebo: di aritmie morirono 43 partecipanti con principio attivo contro 16 con placebo</w:t>
      </w:r>
      <w:r>
        <w:rPr>
          <w:rStyle w:val="FootnoteReference"/>
        </w:rPr>
        <w:footnoteReference w:id="146"/>
      </w:r>
      <w:r>
        <w:t xml:space="preserve">.</w:t>
      </w:r>
    </w:p>
    <w:p>
      <w:pPr>
        <w:pStyle w:val="BodyText"/>
      </w:pPr>
      <w:r>
        <w:t xml:space="preserve">Con i peptidi incontrerai di continuo endpoint surrogati. Per i secretagoghi dell’ormone della crescita spesso si misura solo se il livello di ormone della crescita o di IGF-1 aumenta – non se le persone diventano così più sane, più forti o più longeve. Per i farmaci GLP-1, invece, esistono ormai grandi studi con endpoint solidi come infarto e ictus. È uno dei motivi per cui in questo libro ricevono il livello di evidenza più alto.</w:t>
      </w:r>
    </w:p>
    <w:bookmarkEnd w:id="147"/>
    <w:bookmarkStart w:id="150" w:name="rischi-relativi-e-assoluti"/>
    <w:p>
      <w:pPr>
        <w:pStyle w:val="Heading3"/>
      </w:pPr>
      <w:r>
        <w:t xml:space="preserve">Rischi relativi e assoluti</w:t>
      </w:r>
    </w:p>
    <w:p>
      <w:pPr>
        <w:pStyle w:val="FirstParagraph"/>
      </w:pPr>
      <w:r>
        <w:t xml:space="preserve">Pochi dettagli statistici vengono fraintesi così spesso. Prendiamo lo studio SELECT: in un periodo medio di 39,8 mesi l’evento cardiovascolare combinato si è verificato nel 6,5% dei partecipanti con semaglutide e nell’8,0% con placebo. L’hazard ratio – una misura del rischio relativo nel tempo – era 0,80</w:t>
      </w:r>
      <w:r>
        <w:rPr>
          <w:rStyle w:val="FootnoteReference"/>
        </w:rPr>
        <w:footnoteReference w:id="148"/>
      </w:r>
      <w:r>
        <w:t xml:space="preserve">.</w:t>
      </w:r>
    </w:p>
    <w:p>
      <w:pPr>
        <w:pStyle w:val="BodyText"/>
      </w:pPr>
      <w:r>
        <w:t xml:space="preserve">Se ne possono ricavare due affermazioni, entrambe corrette:</w:t>
      </w:r>
    </w:p>
    <w:p>
      <w:pPr>
        <w:numPr>
          <w:ilvl w:val="0"/>
          <w:numId w:val="1018"/>
        </w:numPr>
        <w:pStyle w:val="Compact"/>
      </w:pPr>
      <w:r>
        <w:rPr>
          <w:bCs/>
          <w:b/>
        </w:rPr>
        <w:t xml:space="preserve">Relativa:</w:t>
      </w:r>
      <w:r>
        <w:t xml:space="preserve"> </w:t>
      </w:r>
      <w:r>
        <w:t xml:space="preserve">il rischio era più basso di circa il 20%.</w:t>
      </w:r>
    </w:p>
    <w:p>
      <w:pPr>
        <w:numPr>
          <w:ilvl w:val="0"/>
          <w:numId w:val="1018"/>
        </w:numPr>
        <w:pStyle w:val="Compact"/>
      </w:pPr>
      <w:r>
        <w:rPr>
          <w:bCs/>
          <w:b/>
        </w:rPr>
        <w:t xml:space="preserve">Assoluta:</w:t>
      </w:r>
      <w:r>
        <w:t xml:space="preserve"> </w:t>
      </w:r>
      <w:r>
        <w:t xml:space="preserve">la quota di persone colpite è scesa di 1,5 punti percentuali – da 8,0 a 6,5 su 100 persone.</w:t>
      </w:r>
    </w:p>
    <w:p>
      <w:pPr>
        <w:pStyle w:val="FirstParagraph"/>
      </w:pPr>
      <w:r>
        <w:t xml:space="preserve">Dalla differenza assoluta si può calcolare il</w:t>
      </w:r>
      <w:r>
        <w:t xml:space="preserve"> </w:t>
      </w:r>
      <w:r>
        <w:rPr>
          <w:bCs/>
          <w:b/>
        </w:rPr>
        <w:t xml:space="preserve">Number Needed to Treat (NNT)</w:t>
      </w:r>
      <w:r>
        <w:t xml:space="preserve">: quante persone devono essere trattate perché una eviti un evento. Qui sono, in base al calcolo, circa 67 persone in poco più di tre anni. Ciò non significa che il trattamento sia poco importante – con milioni di persone interessate l’effetto è rilevante. Ma mostra che la maggior parte dei trattati non avrebbe avuto alcun evento anche senza farmaco, e che alcuni ne hanno uno nonostante il farmaco.</w:t>
      </w:r>
    </w:p>
    <w:p>
      <w:pPr>
        <w:pStyle w:val="BodyText"/>
      </w:pPr>
      <w:r>
        <w:t xml:space="preserve">Pubblicità e titoli di giornale preferiscono i numeri relativi perché sembrano più grandi. I buoni resoconti degli studi riportano entrambi. Fai quindi sempre attenzione alla frequenza di partenza: un „dimezzamento“ del rischio da 2 a 1 su 10.000 è qualcosa di completamente diverso da 20 a 10 su 100.</w:t>
      </w:r>
    </w:p>
    <w:p>
      <w:pPr>
        <w:pStyle w:val="BodyText"/>
      </w:pPr>
      <w:r>
        <w:t xml:space="preserve">Lo stesso vale per gli effetti collaterali. In SELECT il 16,6% dei partecipanti con semaglutide ha interrotto il trattamento a causa di eventi avversi, contro l’8,2% con placebo</w:t>
      </w:r>
      <w:r>
        <w:rPr>
          <w:rStyle w:val="FootnoteReference"/>
        </w:rPr>
        <w:footnoteReference w:id="149"/>
      </w:r>
      <w:r>
        <w:t xml:space="preserve">. In termini relativi è un raddoppio, in termini assoluti una differenza di 8,4 punti percentuali.</w:t>
      </w:r>
    </w:p>
    <w:bookmarkEnd w:id="150"/>
    <w:bookmarkStart w:id="152" w:name="X12815f686e6172ba2f4bab3db7313744b578f9b"/>
    <w:p>
      <w:pPr>
        <w:pStyle w:val="Heading3"/>
      </w:pPr>
      <w:r>
        <w:t xml:space="preserve">Significatività statistica e intervalli di confidenza</w:t>
      </w:r>
    </w:p>
    <w:p>
      <w:pPr>
        <w:pStyle w:val="FirstParagraph"/>
      </w:pPr>
      <w:r>
        <w:t xml:space="preserve">Un</w:t>
      </w:r>
      <w:r>
        <w:t xml:space="preserve"> </w:t>
      </w:r>
      <w:r>
        <w:rPr>
          <w:bCs/>
          <w:b/>
        </w:rPr>
        <w:t xml:space="preserve">valore p</w:t>
      </w:r>
      <w:r>
        <w:t xml:space="preserve"> </w:t>
      </w:r>
      <w:r>
        <w:t xml:space="preserve">indica quanto sarebbe probabile una differenza almeno così grande se in realtà non esistesse alcun effetto. Se è inferiore a 0,05, un risultato viene di solito considerato „statisticamente significativo“. Ciò non significa che l’effetto sia grande o rilevante – negli studi molto grandi diventano significative anche differenze minime.</w:t>
      </w:r>
    </w:p>
    <w:p>
      <w:pPr>
        <w:pStyle w:val="BodyText"/>
      </w:pPr>
      <w:r>
        <w:t xml:space="preserve">Spesso è più informativo l’</w:t>
      </w:r>
      <w:r>
        <w:rPr>
          <w:bCs/>
          <w:b/>
        </w:rPr>
        <w:t xml:space="preserve">intervallo di confidenza al 95%</w:t>
      </w:r>
      <w:r>
        <w:t xml:space="preserve">. Indica un intervallo entro il quale si trova con alta probabilità il vero effetto. In STEP 1 la differenza di peso corporeo tra semaglutide e placebo era di 12,4 punti percentuali, con un intervallo di confidenza da 11,5 a 13,4</w:t>
      </w:r>
      <w:r>
        <w:rPr>
          <w:rStyle w:val="FootnoteReference"/>
        </w:rPr>
        <w:footnoteReference w:id="151"/>
      </w:r>
      <w:r>
        <w:t xml:space="preserve">. Un intervallo così stretto indica una stima precisa. Negli studi piccoli gli intervalli sono spesso molto ampi – segno che il vero effetto potrebbe essere grande, piccolo o perfino nullo.</w:t>
      </w:r>
    </w:p>
    <w:bookmarkEnd w:id="152"/>
    <w:bookmarkStart w:id="154" w:name="X228f4ad224b941ebe86d3d746990ed4c8f0b268"/>
    <w:p>
      <w:pPr>
        <w:pStyle w:val="Heading3"/>
      </w:pPr>
      <w:r>
        <w:t xml:space="preserve">Come si conta: la questione dello stimatore</w:t>
      </w:r>
    </w:p>
    <w:p>
      <w:pPr>
        <w:pStyle w:val="FirstParagraph"/>
      </w:pPr>
      <w:r>
        <w:t xml:space="preserve">Un dettaglio diventato importante negli studi più recenti: come vengono conteggiate le persone che interrompono il trattamento o assumono farmaci aggiuntivi? Nello studio PIONEER 1 sono state riportate due analisi. Considerando tutti i partecipanti, indipendentemente dal fatto che continuassero a prendere le compresse, il valore di HbA1c alla dose più alta è sceso di 1,1 punti percentuali in più rispetto al placebo. Considerando solo il periodo in cui le compresse venivano effettivamente assunte, i punti erano 1,4</w:t>
      </w:r>
      <w:r>
        <w:rPr>
          <w:rStyle w:val="FootnoteReference"/>
        </w:rPr>
        <w:footnoteReference w:id="153"/>
      </w:r>
      <w:r>
        <w:t xml:space="preserve">. Entrambi i numeri sono corretti, ma rispondono a domande diverse. Il primo è per lo più più realistico per la vita quotidiana.</w:t>
      </w:r>
    </w:p>
    <w:bookmarkEnd w:id="154"/>
    <w:bookmarkStart w:id="156" w:name="durata-e-dimensione"/>
    <w:p>
      <w:pPr>
        <w:pStyle w:val="Heading3"/>
      </w:pPr>
      <w:r>
        <w:t xml:space="preserve">Durata e dimensione</w:t>
      </w:r>
    </w:p>
    <w:p>
      <w:pPr>
        <w:pStyle w:val="FirstParagraph"/>
      </w:pPr>
      <w:r>
        <w:t xml:space="preserve">Molti studi sui peptidi sono brevi. Una variazione dei valori di laboratorio dopo due settimane dice poco su ciò che accade dopo due anni – né sul beneficio né su rischi come il cancro, che spesso si manifestano solo dopo anni. Altrettanto importante è la dimensione: effetti collaterali rari, che colpiscono una persona su mille, restano inevitabilmente non rilevati in uno studio con 40 partecipanti. L’assenza di effetti collaterali in un piccolo studio non è una prova di sicurezza.</w:t>
      </w:r>
    </w:p>
    <w:p>
      <w:pPr>
        <w:pStyle w:val="BodyText"/>
      </w:pPr>
      <w:r>
        <w:t xml:space="preserve">Sulla base di considerazioni teoriche e simulazioni, l’epidemiologo John Ioannidis ha dedotto che i risultati della ricerca sono tanto meno affidabili quanto più piccoli sono gli studi e gli effetti, quante più domande vengono testate senza selezione preliminare, quanto più flessibili sono disegno e analisi e quanto maggiori sono gli interessi finanziari e i pregiudizi in un campo</w:t>
      </w:r>
      <w:r>
        <w:rPr>
          <w:rStyle w:val="FootnoteReference"/>
        </w:rPr>
        <w:footnoteReference w:id="155"/>
      </w:r>
      <w:r>
        <w:t xml:space="preserve">. Molte di queste caratteristiche si applicano alla ricerca sui peptidi poco studiati.</w:t>
      </w:r>
    </w:p>
    <w:bookmarkEnd w:id="156"/>
    <w:bookmarkStart w:id="158" w:name="conflitti-di-interesse"/>
    <w:p>
      <w:pPr>
        <w:pStyle w:val="Heading3"/>
      </w:pPr>
      <w:r>
        <w:t xml:space="preserve">Conflitti di interesse</w:t>
      </w:r>
    </w:p>
    <w:p>
      <w:pPr>
        <w:pStyle w:val="FirstParagraph"/>
      </w:pPr>
      <w:r>
        <w:t xml:space="preserve">I grandi studi registrativi sono quasi sempre finanziati dai produttori. Ciò è previsto dalla legge e non è automaticamente un difetto – questi studi sono soggetti a regole rigorose, vengono registrati in anticipo e verificati dalle autorità. Vale comunque la pena guardare al finanziamento. Una revisione Cochrane ha concluso che gli studi sponsorizzati dall’industria riportavano più spesso risultati di efficacia favorevoli (rischio relativo 1,27) e più spesso conclusioni favorevoli (rischio relativo 1,34) rispetto agli studi con altri finanziamenti</w:t>
      </w:r>
      <w:r>
        <w:rPr>
          <w:rStyle w:val="FootnoteReference"/>
        </w:rPr>
        <w:footnoteReference w:id="157"/>
      </w:r>
      <w:r>
        <w:t xml:space="preserve">.</w:t>
      </w:r>
    </w:p>
    <w:p>
      <w:pPr>
        <w:pStyle w:val="BodyText"/>
      </w:pPr>
      <w:r>
        <w:t xml:space="preserve">I conflitti di interesse non riguardano solo le case farmaceutiche. Anche ricercatori che hanno scoperto una sostanza e detengono brevetti, cliniche che vendono terapie peptidiche o influencer con codici sconto hanno interesse a risultati positivi. È un segnale d’allarme quando quasi tutti gli studi su una sostanza provengono da un unico gruppo di lavoro e non sono stati confermati da team indipendenti.</w:t>
      </w:r>
    </w:p>
    <w:bookmarkEnd w:id="158"/>
    <w:bookmarkStart w:id="160" w:name="il-problema-degli-studi-scomparsi"/>
    <w:p>
      <w:pPr>
        <w:pStyle w:val="Heading3"/>
      </w:pPr>
      <w:r>
        <w:t xml:space="preserve">Il problema degli studi scomparsi</w:t>
      </w:r>
    </w:p>
    <w:p>
      <w:pPr>
        <w:pStyle w:val="FirstParagraph"/>
      </w:pPr>
      <w:r>
        <w:t xml:space="preserve">Non tutti gli studi vengono pubblicati – e sono soprattutto quelli deludenti a scomparire. Quanto ciò possa distorcere il quadro lo ha mostrato un’indagine sugli antidepressivi. Dei 74 studi registrati presso l’autorità statunitense per i farmaci FDA, il 31% non è stato pubblicato. Secondo la letteratura pubblicata il 94% degli studi era positivo, secondo l’analisi della FDA solo il 51%</w:t>
      </w:r>
      <w:r>
        <w:rPr>
          <w:rStyle w:val="FootnoteReference"/>
        </w:rPr>
        <w:footnoteReference w:id="159"/>
      </w:r>
      <w:r>
        <w:t xml:space="preserve">. Chi legge solo le riviste scientifiche ottiene un quadro troppo roseo.</w:t>
      </w:r>
    </w:p>
    <w:bookmarkEnd w:id="160"/>
    <w:bookmarkStart w:id="162" w:name="registri-degli-studi"/>
    <w:p>
      <w:pPr>
        <w:pStyle w:val="Heading3"/>
      </w:pPr>
      <w:r>
        <w:t xml:space="preserve">Registri degli studi</w:t>
      </w:r>
    </w:p>
    <w:p>
      <w:pPr>
        <w:pStyle w:val="FirstParagraph"/>
      </w:pPr>
      <w:r>
        <w:t xml:space="preserve">In risposta a tali risultati, il Comitato internazionale degli editori di riviste mediche dichiarò nel 2004 che gli studi clinici devono essere iscritti in un registro pubblico prima del loro inizio per poter essere pubblicati in seguito</w:t>
      </w:r>
      <w:r>
        <w:rPr>
          <w:rStyle w:val="FootnoteReference"/>
        </w:rPr>
        <w:footnoteReference w:id="161"/>
      </w:r>
      <w:r>
        <w:t xml:space="preserve">. Oggi i registri sono uno strumento centrale:</w:t>
      </w:r>
    </w:p>
    <w:p>
      <w:pPr>
        <w:numPr>
          <w:ilvl w:val="0"/>
          <w:numId w:val="1019"/>
        </w:numPr>
        <w:pStyle w:val="Compact"/>
      </w:pPr>
      <w:r>
        <w:rPr>
          <w:bCs/>
          <w:b/>
        </w:rPr>
        <w:t xml:space="preserve">ClinicalTrials.gov</w:t>
      </w:r>
      <w:r>
        <w:t xml:space="preserve"> </w:t>
      </w:r>
      <w:r>
        <w:t xml:space="preserve">(Stati Uniti) è il registro più grande. Ogni studio riceve un numero nel formato „NCT“ più otto cifre. Lo studio SELECT, per esempio, ha il numero NCT03574597.</w:t>
      </w:r>
    </w:p>
    <w:p>
      <w:pPr>
        <w:numPr>
          <w:ilvl w:val="0"/>
          <w:numId w:val="1019"/>
        </w:numPr>
        <w:pStyle w:val="Compact"/>
      </w:pPr>
      <w:r>
        <w:t xml:space="preserve">Nell’</w:t>
      </w:r>
      <w:r>
        <w:rPr>
          <w:bCs/>
          <w:b/>
        </w:rPr>
        <w:t xml:space="preserve">UE</w:t>
      </w:r>
      <w:r>
        <w:t xml:space="preserve"> </w:t>
      </w:r>
      <w:r>
        <w:t xml:space="preserve">le sperimentazioni cliniche vengono registrate nel Clinical Trials Information System (CTIS) dell’Agenzia europea per i medicinali; gli studi più vecchi si trovano nell’EU Clinical Trials Register.</w:t>
      </w:r>
    </w:p>
    <w:p>
      <w:pPr>
        <w:numPr>
          <w:ilvl w:val="0"/>
          <w:numId w:val="1019"/>
        </w:numPr>
        <w:pStyle w:val="Compact"/>
      </w:pPr>
      <w:r>
        <w:t xml:space="preserve">L’</w:t>
      </w:r>
      <w:r>
        <w:rPr>
          <w:bCs/>
          <w:b/>
        </w:rPr>
        <w:t xml:space="preserve">Organizzazione mondiale della sanità</w:t>
      </w:r>
      <w:r>
        <w:t xml:space="preserve"> </w:t>
      </w:r>
      <w:r>
        <w:t xml:space="preserve">riunisce molti registri nazionali in un portale di ricerca (ICTRP).</w:t>
      </w:r>
    </w:p>
    <w:p>
      <w:pPr>
        <w:pStyle w:val="FirstParagraph"/>
      </w:pPr>
      <w:r>
        <w:t xml:space="preserve">Nel registro sono riportati, tra l’altro, il disegno dello studio previsto, il numero di partecipanti, l’endpoint primario e lo stato. Così si può verificare se uno studio pubblicato riporta gli endpoint originariamente previsti – e se per una sostanza sono stati avviati studi mai pubblicati. Per questo libro i registri sono stati usati soprattutto per trovare gli studi in corso. Importante: una voce di registro non è un risultato. Il fatto che uno studio sia registrato non dice nulla sull’efficacia della sostanza.</w:t>
      </w:r>
    </w:p>
    <w:bookmarkEnd w:id="162"/>
    <w:bookmarkStart w:id="163" w:name="altri-segnali-dallarme"/>
    <w:p>
      <w:pPr>
        <w:pStyle w:val="Heading3"/>
      </w:pPr>
      <w:r>
        <w:t xml:space="preserve">Altri segnali d’allarme</w:t>
      </w:r>
    </w:p>
    <w:p>
      <w:pPr>
        <w:numPr>
          <w:ilvl w:val="0"/>
          <w:numId w:val="1020"/>
        </w:numPr>
        <w:pStyle w:val="Compact"/>
      </w:pPr>
      <w:r>
        <w:rPr>
          <w:bCs/>
          <w:b/>
        </w:rPr>
        <w:t xml:space="preserve">Solo un abstract congressuale o un preprint.</w:t>
      </w:r>
      <w:r>
        <w:t xml:space="preserve"> </w:t>
      </w:r>
      <w:r>
        <w:t xml:space="preserve">Le pubblicazioni anticipate (per esempio su medRxiv) e i contributi congressuali non sono ancora stati sottoposti a una revisione completa.</w:t>
      </w:r>
    </w:p>
    <w:p>
      <w:pPr>
        <w:numPr>
          <w:ilvl w:val="0"/>
          <w:numId w:val="1020"/>
        </w:numPr>
        <w:pStyle w:val="Compact"/>
      </w:pPr>
      <w:r>
        <w:rPr>
          <w:bCs/>
          <w:b/>
        </w:rPr>
        <w:t xml:space="preserve">Riviste scientifiche con standard discutibili.</w:t>
      </w:r>
      <w:r>
        <w:t xml:space="preserve"> </w:t>
      </w:r>
      <w:r>
        <w:t xml:space="preserve">Alcune riviste pubblicano a pagamento quasi qualsiasi cosa.</w:t>
      </w:r>
    </w:p>
    <w:p>
      <w:pPr>
        <w:numPr>
          <w:ilvl w:val="0"/>
          <w:numId w:val="1020"/>
        </w:numPr>
        <w:pStyle w:val="Compact"/>
      </w:pPr>
      <w:r>
        <w:rPr>
          <w:bCs/>
          <w:b/>
        </w:rPr>
        <w:t xml:space="preserve">Studi introvabili.</w:t>
      </w:r>
      <w:r>
        <w:t xml:space="preserve"> </w:t>
      </w:r>
      <w:r>
        <w:t xml:space="preserve">Se uno studio citato non si trova su PubMed o in un registro, è necessaria cautela.</w:t>
      </w:r>
    </w:p>
    <w:p>
      <w:pPr>
        <w:numPr>
          <w:ilvl w:val="0"/>
          <w:numId w:val="1020"/>
        </w:numPr>
        <w:pStyle w:val="Compact"/>
      </w:pPr>
      <w:r>
        <w:rPr>
          <w:bCs/>
          <w:b/>
        </w:rPr>
        <w:t xml:space="preserve">Trasferimento dai malati ai sani.</w:t>
      </w:r>
      <w:r>
        <w:t xml:space="preserve"> </w:t>
      </w:r>
      <w:r>
        <w:t xml:space="preserve">Una sostanza utile in una determinata malattia non deve necessariamente essere utile nelle persone sane – lì il rapporto rischio-beneficio è completamente diverso.</w:t>
      </w:r>
    </w:p>
    <w:p>
      <w:pPr>
        <w:numPr>
          <w:ilvl w:val="0"/>
          <w:numId w:val="1020"/>
        </w:numPr>
        <w:pStyle w:val="Compact"/>
      </w:pPr>
      <w:r>
        <w:rPr>
          <w:bCs/>
          <w:b/>
        </w:rPr>
        <w:t xml:space="preserve">Trasferimento da una sostanza a un’altra.</w:t>
      </w:r>
      <w:r>
        <w:t xml:space="preserve"> </w:t>
      </w:r>
      <w:r>
        <w:t xml:space="preserve">I risultati sulla semaglutide non valgono automaticamente per un prodotto del mercato grigio sulla cui etichetta c’è scritto „semaglutide“ – e gli studi sulla timosina beta-4 non valgono automaticamente per il frammento „TB-500“.</w:t>
      </w:r>
    </w:p>
    <w:bookmarkEnd w:id="163"/>
    <w:bookmarkStart w:id="164" w:name="dieci-domande-da-porre-a-ogni-studio"/>
    <w:p>
      <w:pPr>
        <w:pStyle w:val="Heading3"/>
      </w:pPr>
      <w:r>
        <w:t xml:space="preserve">Dieci domande da porre a ogni studio</w:t>
      </w:r>
    </w:p>
    <w:p>
      <w:pPr>
        <w:numPr>
          <w:ilvl w:val="0"/>
          <w:numId w:val="1021"/>
        </w:numPr>
        <w:pStyle w:val="Compact"/>
      </w:pPr>
      <w:r>
        <w:t xml:space="preserve">Sono state studiate persone – oppure animali o cellule?</w:t>
      </w:r>
    </w:p>
    <w:p>
      <w:pPr>
        <w:numPr>
          <w:ilvl w:val="0"/>
          <w:numId w:val="1021"/>
        </w:numPr>
        <w:pStyle w:val="Compact"/>
      </w:pPr>
      <w:r>
        <w:t xml:space="preserve">C’era un gruppo di controllo e l’assegnazione era casuale?</w:t>
      </w:r>
    </w:p>
    <w:p>
      <w:pPr>
        <w:numPr>
          <w:ilvl w:val="0"/>
          <w:numId w:val="1021"/>
        </w:numPr>
        <w:pStyle w:val="Compact"/>
      </w:pPr>
      <w:r>
        <w:t xml:space="preserve">Lo studio era in cieco?</w:t>
      </w:r>
    </w:p>
    <w:p>
      <w:pPr>
        <w:numPr>
          <w:ilvl w:val="0"/>
          <w:numId w:val="1021"/>
        </w:numPr>
        <w:pStyle w:val="Compact"/>
      </w:pPr>
      <w:r>
        <w:t xml:space="preserve">Quanti erano i partecipanti e per quanto tempo sono stati osservati?</w:t>
      </w:r>
    </w:p>
    <w:p>
      <w:pPr>
        <w:numPr>
          <w:ilvl w:val="0"/>
          <w:numId w:val="1021"/>
        </w:numPr>
        <w:pStyle w:val="Compact"/>
      </w:pPr>
      <w:r>
        <w:t xml:space="preserve">Chi è stato studiato – malati o sani, giovani o anziani?</w:t>
      </w:r>
    </w:p>
    <w:p>
      <w:pPr>
        <w:numPr>
          <w:ilvl w:val="0"/>
          <w:numId w:val="1021"/>
        </w:numPr>
        <w:pStyle w:val="Compact"/>
      </w:pPr>
      <w:r>
        <w:t xml:space="preserve">Qual era l’endpoint primario: un endpoint solido o un surrogato?</w:t>
      </w:r>
    </w:p>
    <w:p>
      <w:pPr>
        <w:numPr>
          <w:ilvl w:val="0"/>
          <w:numId w:val="1021"/>
        </w:numPr>
        <w:pStyle w:val="Compact"/>
      </w:pPr>
      <w:r>
        <w:t xml:space="preserve">Quanto era grande la differenza in termini assoluti, non solo relativi?</w:t>
      </w:r>
    </w:p>
    <w:p>
      <w:pPr>
        <w:numPr>
          <w:ilvl w:val="0"/>
          <w:numId w:val="1021"/>
        </w:numPr>
        <w:pStyle w:val="Compact"/>
      </w:pPr>
      <w:r>
        <w:t xml:space="preserve">Quanti hanno interrotto lo studio e quali effetti collaterali si sono verificati?</w:t>
      </w:r>
    </w:p>
    <w:p>
      <w:pPr>
        <w:numPr>
          <w:ilvl w:val="0"/>
          <w:numId w:val="1021"/>
        </w:numPr>
        <w:pStyle w:val="Compact"/>
      </w:pPr>
      <w:r>
        <w:t xml:space="preserve">Chi ha pagato lo studio, e i risultati sono stati confermati in modo indipendente?</w:t>
      </w:r>
    </w:p>
    <w:p>
      <w:pPr>
        <w:numPr>
          <w:ilvl w:val="0"/>
          <w:numId w:val="1021"/>
        </w:numPr>
        <w:pStyle w:val="Compact"/>
      </w:pPr>
      <w:r>
        <w:t xml:space="preserve">Lo studio era registrato in anticipo, e gli endpoint riportati coincidono con il registro?</w:t>
      </w:r>
    </w:p>
    <w:bookmarkEnd w:id="164"/>
    <w:bookmarkStart w:id="165" w:name="come-questo-libro-classifica-le-evidenze"/>
    <w:p>
      <w:pPr>
        <w:pStyle w:val="Heading3"/>
      </w:pPr>
      <w:r>
        <w:t xml:space="preserve">Come questo libro classifica le evidenze</w:t>
      </w:r>
    </w:p>
    <w:p>
      <w:pPr>
        <w:pStyle w:val="FirstParagraph"/>
      </w:pPr>
      <w:r>
        <w:t xml:space="preserve">Ogni peptide nella Parte II riceve un livello di evidenza:</w:t>
      </w:r>
    </w:p>
    <w:p>
      <w:pPr>
        <w:numPr>
          <w:ilvl w:val="0"/>
          <w:numId w:val="1022"/>
        </w:numPr>
        <w:pStyle w:val="Compact"/>
      </w:pPr>
      <w:r>
        <w:rPr>
          <w:bCs/>
          <w:b/>
        </w:rPr>
        <w:t xml:space="preserve">A</w:t>
      </w:r>
      <w:r>
        <w:t xml:space="preserve">: diversi grandi studi randomizzati nell’uomo, autorizzazione come farmaco.</w:t>
      </w:r>
    </w:p>
    <w:p>
      <w:pPr>
        <w:numPr>
          <w:ilvl w:val="0"/>
          <w:numId w:val="1022"/>
        </w:numPr>
        <w:pStyle w:val="Compact"/>
      </w:pPr>
      <w:r>
        <w:rPr>
          <w:bCs/>
          <w:b/>
        </w:rPr>
        <w:t xml:space="preserve">B</w:t>
      </w:r>
      <w:r>
        <w:t xml:space="preserve">: singoli studi randomizzati nell’uomo.</w:t>
      </w:r>
    </w:p>
    <w:p>
      <w:pPr>
        <w:numPr>
          <w:ilvl w:val="0"/>
          <w:numId w:val="1022"/>
        </w:numPr>
        <w:pStyle w:val="Compact"/>
      </w:pPr>
      <w:r>
        <w:rPr>
          <w:bCs/>
          <w:b/>
        </w:rPr>
        <w:t xml:space="preserve">C</w:t>
      </w:r>
      <w:r>
        <w:t xml:space="preserve">: solo studi piccoli o non controllati nell’uomo.</w:t>
      </w:r>
    </w:p>
    <w:p>
      <w:pPr>
        <w:numPr>
          <w:ilvl w:val="0"/>
          <w:numId w:val="1022"/>
        </w:numPr>
        <w:pStyle w:val="Compact"/>
      </w:pPr>
      <w:r>
        <w:rPr>
          <w:bCs/>
          <w:b/>
        </w:rPr>
        <w:t xml:space="preserve">D</w:t>
      </w:r>
      <w:r>
        <w:t xml:space="preserve">: solo studi su animali e in laboratorio.</w:t>
      </w:r>
    </w:p>
    <w:p>
      <w:pPr>
        <w:pStyle w:val="FirstParagraph"/>
      </w:pPr>
      <w:r>
        <w:t xml:space="preserve">Il livello valuta la</w:t>
      </w:r>
      <w:r>
        <w:t xml:space="preserve"> </w:t>
      </w:r>
      <w:r>
        <w:rPr>
          <w:bCs/>
          <w:b/>
        </w:rPr>
        <w:t xml:space="preserve">quantità e la qualità dei dati nell’uomo</w:t>
      </w:r>
      <w:r>
        <w:t xml:space="preserve">, non se una sostanza sia „buona“ o „cattiva“. Un peptide di livello A può avere effetti collaterali considerevoli, e un peptide di livello D potrebbe in futuro rivelarsi utile – semplicemente non è ancora stato studiato a sufficienza. La classificazione vale inoltre per un determinato impiego: una sostanza può essere ben documentata per una malattia e per nulla per un’altra.</w:t>
      </w:r>
    </w:p>
    <w:bookmarkEnd w:id="165"/>
    <w:bookmarkStart w:id="166" w:name="lessenziale-in-breve-2"/>
    <w:p>
      <w:pPr>
        <w:pStyle w:val="Heading3"/>
      </w:pPr>
      <w:r>
        <w:t xml:space="preserve">L’essenziale in breve</w:t>
      </w:r>
    </w:p>
    <w:p>
      <w:pPr>
        <w:numPr>
          <w:ilvl w:val="0"/>
          <w:numId w:val="1023"/>
        </w:numPr>
        <w:pStyle w:val="Compact"/>
      </w:pPr>
      <w:r>
        <w:t xml:space="preserve">Gli studi di laboratorio e su animali forniscono indizi sui meccanismi, ma non una prova di beneficio nell’uomo.</w:t>
      </w:r>
    </w:p>
    <w:p>
      <w:pPr>
        <w:numPr>
          <w:ilvl w:val="0"/>
          <w:numId w:val="1023"/>
        </w:numPr>
        <w:pStyle w:val="Compact"/>
      </w:pPr>
      <w:r>
        <w:t xml:space="preserve">Il confronto randomizzato, controllato e in cieco è la via più affidabile per dimostrare un effetto.</w:t>
      </w:r>
    </w:p>
    <w:p>
      <w:pPr>
        <w:numPr>
          <w:ilvl w:val="0"/>
          <w:numId w:val="1023"/>
        </w:numPr>
        <w:pStyle w:val="Compact"/>
      </w:pPr>
      <w:r>
        <w:t xml:space="preserve">Gli endpoint surrogati come i valori di laboratorio possono essere fuorvianti; contano gli endpoint solidi.</w:t>
      </w:r>
    </w:p>
    <w:p>
      <w:pPr>
        <w:numPr>
          <w:ilvl w:val="0"/>
          <w:numId w:val="1023"/>
        </w:numPr>
        <w:pStyle w:val="Compact"/>
      </w:pPr>
      <w:r>
        <w:t xml:space="preserve">I numeri relativi sembrano più grandi di quelli assoluti. Chiedi sempre la frequenza di partenza.</w:t>
      </w:r>
    </w:p>
    <w:p>
      <w:pPr>
        <w:numPr>
          <w:ilvl w:val="0"/>
          <w:numId w:val="1023"/>
        </w:numPr>
        <w:pStyle w:val="Compact"/>
      </w:pPr>
      <w:r>
        <w:t xml:space="preserve">Finanziamento, distorsione di pubblicazione e mancata conferma da parte di gruppi indipendenti possono distorcere il quadro. I registri degli studi aiutano a verificarlo.</w:t>
      </w:r>
    </w:p>
    <w:bookmarkEnd w:id="166"/>
    <w:bookmarkEnd w:id="167"/>
    <w:bookmarkStart w:id="212" w:name="il-mercato-grigio"/>
    <w:p>
      <w:pPr>
        <w:pStyle w:val="Heading2"/>
      </w:pPr>
      <w:r>
        <w:t xml:space="preserve">Il mercato grigio</w:t>
      </w:r>
    </w:p>
    <w:p>
      <w:pPr>
        <w:pStyle w:val="FirstParagraph"/>
      </w:pPr>
      <w:r>
        <w:t xml:space="preserve">Chi cerca peptidi su Internet approda rapidamente a negozi online con pagine dall’aspetto professionale, foto di laboratorio e certificati di purezza. Vengono offerti flaconcini di polvere bianca: BPC-157, TB-500, ipamorelin, melanotan II – e sempre più spesso anche semaglutide, tirzepatide o principi attivi non ancora autorizzati come la retatrutide. Quasi sempre compare da qualche parte la dicitura „Research Use Only“ o „not for human consumption“ – solo a scopo di ricerca, non per l’uso nell’uomo.</w:t>
      </w:r>
    </w:p>
    <w:p>
      <w:pPr>
        <w:pStyle w:val="BodyText"/>
      </w:pPr>
      <w:r>
        <w:t xml:space="preserve">Questo capitolo descrive ciò che si sa di questo mercato: da analisi di laboratorio di prodotti acquistati e sequestrati, da casi clinici di intossicazioni e da analisi delle segnalazioni di effetti collaterali. Intende aiutarti a valutare i rischi in modo realistico. In questo libro, per principio, non vengono indicate fonti di approvvigionamento.</w:t>
      </w:r>
    </w:p>
    <w:bookmarkStart w:id="170" w:name="che-cosa-sono-i-research-peptides"/>
    <w:p>
      <w:pPr>
        <w:pStyle w:val="Heading3"/>
      </w:pPr>
      <w:r>
        <w:t xml:space="preserve">Che cosa sono i „Research Peptides“</w:t>
      </w:r>
    </w:p>
    <w:p>
      <w:pPr>
        <w:pStyle w:val="FirstParagraph"/>
      </w:pPr>
      <w:r>
        <w:t xml:space="preserve">Con „Research Peptides“ o „Research Chemicals“ si indicano sostanze vendute ufficialmente solo a laboratori a scopo di ricerca. La dicitura „non per l’uso nell’uomo“ dovrebbe tutelare giuridicamente la vendita: un prodotto che non viene offerto come farmaco – questa la logica dei venditori – non ha bisogno nemmeno di un’autorizzazione come farmaco. Nella pratica, però, molti di questi negozi si rivolgono visibilmente a privati che vogliono iniettarsi le sostanze da sé. Se questa costruzione regga dal punto di vista giuridico viene discusso nel prossimo capitolo; in molti casi non regge.</w:t>
      </w:r>
    </w:p>
    <w:p>
      <w:pPr>
        <w:pStyle w:val="BodyText"/>
      </w:pPr>
      <w:r>
        <w:t xml:space="preserve">Una revisione descrive lo schema con l’esempio di semaglutide e tirzepatide: i produttori vendono flaconcini „solo a scopo di ricerca“ o „non per il consumo umano“ direttamente ai consumatori, spesso senza i materiali e le conoscenze necessarie per sciogliere, aspirare e iniettare il principio attivo. In questo modo vengono aggirati medici e farmacie – e con loro il controllo delle interazioni e la sorveglianza medica</w:t>
      </w:r>
      <w:r>
        <w:rPr>
          <w:rStyle w:val="FootnoteReference"/>
        </w:rPr>
        <w:footnoteReference w:id="168"/>
      </w:r>
      <w:r>
        <w:t xml:space="preserve">.</w:t>
      </w:r>
    </w:p>
    <w:p>
      <w:pPr>
        <w:pStyle w:val="BodyText"/>
      </w:pPr>
      <w:r>
        <w:t xml:space="preserve">Quanto sia difficile l’uso per i profani lo ha esaminato un piccolo studio in un’università statunitense. 20 adulti dovevano eseguire, sulla base di informazioni trovate su Internet, i passaggi necessari per sciogliere una polvere di semaglutide di questo tipo e preparare una siringa. Dei 34 passaggi ne hanno eseguiti correttamente in media 15. I ricercatori hanno osservato errori che potrebbero portare a un dosaggio errato, a punture accidentali con l’ago o a infezioni</w:t>
      </w:r>
      <w:r>
        <w:rPr>
          <w:rStyle w:val="FootnoteReference"/>
        </w:rPr>
        <w:footnoteReference w:id="169"/>
      </w:r>
      <w:r>
        <w:t xml:space="preserve">.</w:t>
      </w:r>
    </w:p>
    <w:bookmarkEnd w:id="170"/>
    <w:bookmarkStart w:id="185" w:name="X8a196c3255261673585666d7cca2f474725f629"/>
    <w:p>
      <w:pPr>
        <w:pStyle w:val="Heading3"/>
      </w:pPr>
      <w:r>
        <w:t xml:space="preserve">Che cosa c’è nei flaconcini: le analisi di laboratorio</w:t>
      </w:r>
    </w:p>
    <w:p>
      <w:pPr>
        <w:pStyle w:val="FirstParagraph"/>
      </w:pPr>
      <w:r>
        <w:t xml:space="preserve">Le informazioni più affidabili sui prodotti del mercato grigio provengono dalle analisi di laboratorio. Vengono effettuate soprattutto da laboratori antidoping, autorità sanitarie per i farmaci e singoli gruppi di ricerca, che acquistano i prodotti in modo mirato o li ricevono da dogana e polizia.</w:t>
      </w:r>
    </w:p>
    <w:bookmarkStart w:id="172" w:name="semaglutide-da-farmacie-online-illegali"/>
    <w:p>
      <w:pPr>
        <w:pStyle w:val="Heading4"/>
      </w:pPr>
      <w:r>
        <w:t xml:space="preserve">Semaglutide da farmacie online illegali</w:t>
      </w:r>
    </w:p>
    <w:p>
      <w:pPr>
        <w:pStyle w:val="FirstParagraph"/>
      </w:pPr>
      <w:r>
        <w:t xml:space="preserve">Un’indagine particolarmente approfondita ha combinato un’analisi di mercato con acquisti di prova</w:t>
      </w:r>
      <w:r>
        <w:rPr>
          <w:rStyle w:val="FootnoteReference"/>
        </w:rPr>
        <w:footnoteReference w:id="171"/>
      </w:r>
      <w:r>
        <w:t xml:space="preserve">. I ricercatori hanno esaminato 1.080 link provenienti da motori di ricerca. 317 portavano a farmacie online, di cui 134 a 59 diversi siti web illegali. I 30 domini principali collegati a farmacie illegali hanno registrato in tre mesi del 2023 oltre 4,7 milioni di visite.</w:t>
      </w:r>
    </w:p>
    <w:p>
      <w:pPr>
        <w:pStyle w:val="BodyText"/>
      </w:pPr>
      <w:r>
        <w:t xml:space="preserve">Presso sei venditori illegali sono stati effettuati acquisti di prova. I risultati:</w:t>
      </w:r>
    </w:p>
    <w:p>
      <w:pPr>
        <w:numPr>
          <w:ilvl w:val="0"/>
          <w:numId w:val="1024"/>
        </w:numPr>
        <w:pStyle w:val="Compact"/>
      </w:pPr>
      <w:r>
        <w:t xml:space="preserve">Tre penne preriempite di Ozempic ordinate non sono mai arrivate – si trattava di truffe senza consegna.</w:t>
      </w:r>
    </w:p>
    <w:p>
      <w:pPr>
        <w:numPr>
          <w:ilvl w:val="0"/>
          <w:numId w:val="1024"/>
        </w:numPr>
        <w:pStyle w:val="Compact"/>
      </w:pPr>
      <w:r>
        <w:t xml:space="preserve">Sono stati consegnati tre flaconcini di polvere. Tutti sono stati giudicati probabilmente di qualità scadente o contraffatti; all’ispezione visiva non soddisfacevano dal 59 al 63% dei criteri.</w:t>
      </w:r>
    </w:p>
    <w:p>
      <w:pPr>
        <w:numPr>
          <w:ilvl w:val="0"/>
          <w:numId w:val="1024"/>
        </w:numPr>
        <w:pStyle w:val="Compact"/>
      </w:pPr>
      <w:r>
        <w:t xml:space="preserve">Il contenuto di semaglutide era dal 28,6 al 38,7%</w:t>
      </w:r>
      <w:r>
        <w:t xml:space="preserve"> </w:t>
      </w:r>
      <w:r>
        <w:rPr>
          <w:bCs/>
          <w:b/>
        </w:rPr>
        <w:t xml:space="preserve">superiore</w:t>
      </w:r>
      <w:r>
        <w:t xml:space="preserve"> </w:t>
      </w:r>
      <w:r>
        <w:t xml:space="preserve">alla quantità dichiarata.</w:t>
      </w:r>
    </w:p>
    <w:p>
      <w:pPr>
        <w:numPr>
          <w:ilvl w:val="0"/>
          <w:numId w:val="1024"/>
        </w:numPr>
        <w:pStyle w:val="Compact"/>
      </w:pPr>
      <w:r>
        <w:t xml:space="preserve">La purezza misurata era solo dal 7,7 al 14,4% – invece del 99% promesso in etichetta.</w:t>
      </w:r>
    </w:p>
    <w:p>
      <w:pPr>
        <w:numPr>
          <w:ilvl w:val="0"/>
          <w:numId w:val="1024"/>
        </w:numPr>
        <w:pStyle w:val="Compact"/>
      </w:pPr>
      <w:r>
        <w:t xml:space="preserve">Non sono stati trovati germi vivi, ma in</w:t>
      </w:r>
      <w:r>
        <w:t xml:space="preserve"> </w:t>
      </w:r>
      <w:r>
        <w:rPr>
          <w:bCs/>
          <w:b/>
        </w:rPr>
        <w:t xml:space="preserve">tutti</w:t>
      </w:r>
      <w:r>
        <w:t xml:space="preserve"> </w:t>
      </w:r>
      <w:r>
        <w:t xml:space="preserve">i campioni erano rilevabili endotossine.</w:t>
      </w:r>
    </w:p>
    <w:p>
      <w:pPr>
        <w:pStyle w:val="FirstParagraph"/>
      </w:pPr>
      <w:r>
        <w:t xml:space="preserve">Questo studio mostra contemporaneamente diversi problemi tipici: quantità dichiarate errate, bassa purezza, contaminazione e semplice truffa.</w:t>
      </w:r>
    </w:p>
    <w:bookmarkEnd w:id="172"/>
    <w:bookmarkStart w:id="174" w:name="Xfe0dcba60fd613b825b9e51f2702e36a3686f39"/>
    <w:p>
      <w:pPr>
        <w:pStyle w:val="Heading4"/>
      </w:pPr>
      <w:r>
        <w:t xml:space="preserve">Prodotti di imitazione a confronto con l’originale</w:t>
      </w:r>
    </w:p>
    <w:p>
      <w:pPr>
        <w:pStyle w:val="FirstParagraph"/>
      </w:pPr>
      <w:r>
        <w:t xml:space="preserve">Un’altra indagine ha analizzato 16 prodotti di imitazione iniettabili e 8 orali di semaglutide, nonché 2 imitazioni di liraglutide, confrontandoli con i preparati originali</w:t>
      </w:r>
      <w:r>
        <w:rPr>
          <w:rStyle w:val="FootnoteReference"/>
        </w:rPr>
        <w:footnoteReference w:id="173"/>
      </w:r>
      <w:r>
        <w:t xml:space="preserve">. Sono state trovate nuove impurità, tra cui molecole proteiche più grandi, metalli in tracce e residui di solventi. Diversi preparati orali contenevano molta meno semaglutide di quanto dichiarato. Sono state inoltre trovate strutture che, secondo previsioni al computer, potrebbero essere riconosciute dal sistema immunitario. Poiché lo studio proviene dal produttore dei preparati originali, va letto con la dovuta cautela; i problemi descritti coincidono però con riscontri indipendenti.</w:t>
      </w:r>
    </w:p>
    <w:bookmarkEnd w:id="174"/>
    <w:bookmarkStart w:id="176" w:name="melanotan-ii-da-negozi-online"/>
    <w:p>
      <w:pPr>
        <w:pStyle w:val="Heading4"/>
      </w:pPr>
      <w:r>
        <w:t xml:space="preserve">Melanotan II da negozi online</w:t>
      </w:r>
    </w:p>
    <w:p>
      <w:pPr>
        <w:pStyle w:val="FirstParagraph"/>
      </w:pPr>
      <w:r>
        <w:t xml:space="preserve">Per il peptide abbronzante melanotan II un gruppo di ricerca ha esaminato flaconcini di tre negozi online. Tutti i negozi dichiaravano 10 mg per flaconcino; in realtà i flaconcini contenevano tra 4,32 e 8,84 mg. Nei prodotti di due negozi sono state trovate impurità sconosciute dal 4,1 al 5,9%</w:t>
      </w:r>
      <w:r>
        <w:rPr>
          <w:rStyle w:val="FootnoteReference"/>
        </w:rPr>
        <w:footnoteReference w:id="175"/>
      </w:r>
      <w:r>
        <w:t xml:space="preserve">.</w:t>
      </w:r>
    </w:p>
    <w:bookmarkEnd w:id="176"/>
    <w:bookmarkStart w:id="184" w:name="Xfe79182273fbfa5b11833f6c659df502e256dc5"/>
    <w:p>
      <w:pPr>
        <w:pStyle w:val="Heading4"/>
      </w:pPr>
      <w:r>
        <w:t xml:space="preserve">Prodotti sequestrati nell’ambiente del doping</w:t>
      </w:r>
    </w:p>
    <w:p>
      <w:pPr>
        <w:pStyle w:val="FirstParagraph"/>
      </w:pPr>
      <w:r>
        <w:t xml:space="preserve">Il laboratorio antidoping di Colonia analizza da anni prodotti sequestrati. In un rapporto sull’anno 2009 ha descritto, tra l’altro, flaconcini etichettati come ormone della crescita privi di qualsiasi contenuto farmacologicamente attivo, Long-R3-IGF-1 non purificato e integratori alimentari che contenevano il peptide che rilascia l’ormone della crescita GHRP-2</w:t>
      </w:r>
      <w:r>
        <w:rPr>
          <w:rStyle w:val="FootnoteReference"/>
        </w:rPr>
        <w:footnoteReference w:id="177"/>
      </w:r>
      <w:r>
        <w:t xml:space="preserve">. In compresse offerte come integratore alimentare da banco sono stati misurati circa 50 microgrammi di GHRP-2 per compressa</w:t>
      </w:r>
      <w:r>
        <w:rPr>
          <w:rStyle w:val="FootnoteReference"/>
        </w:rPr>
        <w:footnoteReference w:id="178"/>
      </w:r>
      <w:r>
        <w:t xml:space="preserve"> </w:t>
      </w:r>
      <w:r>
        <w:t xml:space="preserve">– una sostanza vietata nello sport e per la quale non esiste alcuna autorizzazione.</w:t>
      </w:r>
    </w:p>
    <w:p>
      <w:pPr>
        <w:pStyle w:val="BodyText"/>
      </w:pPr>
      <w:r>
        <w:t xml:space="preserve">Tra il 2010 e il 2013 lo stesso laboratorio ha analizzato altri 337 prodotti. Gli ormoni peptidici e i fattori di crescita rappresentavano il 12,8%, soprattutto ormone della crescita e peptidi che rilasciano l’ormone della crescita. Tra i reperti degni di nota figuravano la timosina beta-4 e una proteina di fusione con effetto biologico sconosciuto</w:t>
      </w:r>
      <w:r>
        <w:rPr>
          <w:rStyle w:val="FootnoteReference"/>
        </w:rPr>
        <w:footnoteReference w:id="179"/>
      </w:r>
      <w:r>
        <w:t xml:space="preserve">. In Norvegia il 28% dei prodotti sequestrati e analizzati tra il 2011 e il 2014 conteneva sostanze dopanti a base di peptidi o proteine</w:t>
      </w:r>
      <w:r>
        <w:rPr>
          <w:rStyle w:val="FootnoteReference"/>
        </w:rPr>
        <w:footnoteReference w:id="180"/>
      </w:r>
      <w:r>
        <w:t xml:space="preserve">.</w:t>
      </w:r>
    </w:p>
    <w:p>
      <w:pPr>
        <w:pStyle w:val="BodyText"/>
      </w:pPr>
      <w:r>
        <w:t xml:space="preserve">Un successivo rapporto di Colonia descrive varianti modificate di peptidi noti che non esistono come farmaci: Gly-GHRP-6, Gly-GHRP-2 e Gly-ipamorelin – cioè i rispettivi peptidi con un amminoacido glicina aggiuntivo all’inizio – nonché una forma leggermente modificata dell’ormone della crescita</w:t>
      </w:r>
      <w:r>
        <w:rPr>
          <w:rStyle w:val="FootnoteReference"/>
        </w:rPr>
        <w:footnoteReference w:id="181"/>
      </w:r>
      <w:r>
        <w:t xml:space="preserve">. Tali modifiche sono probabilmente tentativi di eludere i test antidoping; il loro effetto e la loro sicurezza nell’uomo sono sconosciuti.</w:t>
      </w:r>
    </w:p>
    <w:p>
      <w:pPr>
        <w:pStyle w:val="BodyText"/>
      </w:pPr>
      <w:r>
        <w:t xml:space="preserve">Anche il BPC-157 è stato identificato in flaconcini sequestrati. Un gruppo di ricerca ha quindi sviluppato un metodo di rilevamento per campioni di urina</w:t>
      </w:r>
      <w:r>
        <w:rPr>
          <w:rStyle w:val="FootnoteReference"/>
        </w:rPr>
        <w:footnoteReference w:id="182"/>
      </w:r>
      <w:r>
        <w:t xml:space="preserve">.</w:t>
      </w:r>
    </w:p>
    <w:p>
      <w:pPr>
        <w:pStyle w:val="BodyText"/>
      </w:pPr>
      <w:r>
        <w:t xml:space="preserve">Una revisione riassume che nei farmaci peptidici e proteici contraffatti sono stati ripetutamente trovati il principio attivo sbagliato, la quantità sbagliata o nessun principio attivo, che impurità tossiche e sottoprodotti di fabbricazione hanno causato danni alla salute e che nei sequestri sono comparse anche sostanze fallite negli studi clinici o ancora in fase di sperimentazione animale</w:t>
      </w:r>
      <w:r>
        <w:rPr>
          <w:rStyle w:val="FootnoteReference"/>
        </w:rPr>
        <w:footnoteReference w:id="183"/>
      </w:r>
      <w:r>
        <w:t xml:space="preserve">.</w:t>
      </w:r>
    </w:p>
    <w:bookmarkEnd w:id="184"/>
    <w:bookmarkEnd w:id="185"/>
    <w:bookmarkStart w:id="186" w:name="i-tipici-problemi-di-qualità-in-sintesi"/>
    <w:p>
      <w:pPr>
        <w:pStyle w:val="Heading3"/>
      </w:pPr>
      <w:r>
        <w:t xml:space="preserve">I tipici problemi di qualità in sintesi</w:t>
      </w:r>
    </w:p>
    <w:p>
      <w:pPr>
        <w:pStyle w:val="FirstParagraph"/>
      </w:pPr>
      <w:r>
        <w:t xml:space="preserve">Da queste analisi emerge un quadro ricorrente: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Problema</w:t>
            </w:r>
          </w:p>
        </w:tc>
        <w:tc>
          <w:tcPr/>
          <w:p>
            <w:pPr>
              <w:pStyle w:val="Compact"/>
              <w:jc w:val="left"/>
            </w:pPr>
            <w:r>
              <w:t xml:space="preserve">Conseguenza</w:t>
            </w:r>
          </w:p>
        </w:tc>
        <w:tc>
          <w:tcPr/>
          <w:p>
            <w:pPr>
              <w:pStyle w:val="Compact"/>
              <w:jc w:val="left"/>
            </w:pPr>
            <w:r>
              <w:t xml:space="preserve">Esempio</w:t>
            </w:r>
          </w:p>
        </w:tc>
      </w:tr>
      <w:tr>
        <w:tc>
          <w:tcPr/>
          <w:p>
            <w:pPr>
              <w:pStyle w:val="Compact"/>
              <w:jc w:val="left"/>
            </w:pPr>
            <w:r>
              <w:t xml:space="preserve">Troppo principio attivo</w:t>
            </w:r>
          </w:p>
        </w:tc>
        <w:tc>
          <w:tcPr/>
          <w:p>
            <w:pPr>
              <w:pStyle w:val="Compact"/>
              <w:jc w:val="left"/>
            </w:pPr>
            <w:r>
              <w:t xml:space="preserve">sovradosaggio, più effetti collaterali</w:t>
            </w:r>
          </w:p>
        </w:tc>
        <w:tc>
          <w:tcPr/>
          <w:p>
            <w:pPr>
              <w:pStyle w:val="Compact"/>
              <w:jc w:val="left"/>
            </w:pPr>
            <w:r>
              <w:t xml:space="preserve">semaglutide fino al 38,7% sopra il dichiarato</w:t>
            </w:r>
          </w:p>
        </w:tc>
      </w:tr>
      <w:tr>
        <w:tc>
          <w:tcPr/>
          <w:p>
            <w:pPr>
              <w:pStyle w:val="Compact"/>
              <w:jc w:val="left"/>
            </w:pPr>
            <w:r>
              <w:t xml:space="preserve">Troppo poco principio attivo</w:t>
            </w:r>
          </w:p>
        </w:tc>
        <w:tc>
          <w:tcPr/>
          <w:p>
            <w:pPr>
              <w:pStyle w:val="Compact"/>
              <w:jc w:val="left"/>
            </w:pPr>
            <w:r>
              <w:t xml:space="preserve">inefficacia</w:t>
            </w:r>
          </w:p>
        </w:tc>
        <w:tc>
          <w:tcPr/>
          <w:p>
            <w:pPr>
              <w:pStyle w:val="Compact"/>
              <w:jc w:val="left"/>
            </w:pPr>
            <w:r>
              <w:t xml:space="preserve">melanotan II 4,32 invece di 10 mg</w:t>
            </w:r>
          </w:p>
        </w:tc>
      </w:tr>
      <w:tr>
        <w:tc>
          <w:tcPr/>
          <w:p>
            <w:pPr>
              <w:pStyle w:val="Compact"/>
              <w:jc w:val="left"/>
            </w:pPr>
            <w:r>
              <w:t xml:space="preserve">Principio attivo sbagliato</w:t>
            </w:r>
          </w:p>
        </w:tc>
        <w:tc>
          <w:tcPr/>
          <w:p>
            <w:pPr>
              <w:pStyle w:val="Compact"/>
              <w:jc w:val="left"/>
            </w:pPr>
            <w:r>
              <w:t xml:space="preserve">effetto imprevedibile, talvolta letale</w:t>
            </w:r>
          </w:p>
        </w:tc>
        <w:tc>
          <w:tcPr/>
          <w:p>
            <w:pPr>
              <w:pStyle w:val="Compact"/>
              <w:jc w:val="left"/>
            </w:pPr>
            <w:r>
              <w:t xml:space="preserve">insulina al posto della semaglutide</w:t>
            </w:r>
          </w:p>
        </w:tc>
      </w:tr>
      <w:tr>
        <w:tc>
          <w:tcPr/>
          <w:p>
            <w:pPr>
              <w:pStyle w:val="Compact"/>
              <w:jc w:val="left"/>
            </w:pPr>
            <w:r>
              <w:t xml:space="preserve">Nessun principio attivo</w:t>
            </w:r>
          </w:p>
        </w:tc>
        <w:tc>
          <w:tcPr/>
          <w:p>
            <w:pPr>
              <w:pStyle w:val="Compact"/>
              <w:jc w:val="left"/>
            </w:pPr>
            <w:r>
              <w:t xml:space="preserve">truffa, inefficacia</w:t>
            </w:r>
          </w:p>
        </w:tc>
        <w:tc>
          <w:tcPr/>
          <w:p>
            <w:pPr>
              <w:pStyle w:val="Compact"/>
              <w:jc w:val="left"/>
            </w:pPr>
            <w:r>
              <w:t xml:space="preserve">flaconcini di „ormone della crescita“ vuoti</w:t>
            </w:r>
          </w:p>
        </w:tc>
      </w:tr>
      <w:tr>
        <w:tc>
          <w:tcPr/>
          <w:p>
            <w:pPr>
              <w:pStyle w:val="Compact"/>
              <w:jc w:val="left"/>
            </w:pPr>
            <w:r>
              <w:t xml:space="preserve">Impurità</w:t>
            </w:r>
          </w:p>
        </w:tc>
        <w:tc>
          <w:tcPr/>
          <w:p>
            <w:pPr>
              <w:pStyle w:val="Compact"/>
              <w:jc w:val="left"/>
            </w:pPr>
            <w:r>
              <w:t xml:space="preserve">reazioni immunitarie, effetto tossico</w:t>
            </w:r>
          </w:p>
        </w:tc>
        <w:tc>
          <w:tcPr/>
          <w:p>
            <w:pPr>
              <w:pStyle w:val="Compact"/>
              <w:jc w:val="left"/>
            </w:pPr>
            <w:r>
              <w:t xml:space="preserve">sottoprodotti della sintesi</w:t>
            </w:r>
          </w:p>
        </w:tc>
      </w:tr>
      <w:tr>
        <w:tc>
          <w:tcPr/>
          <w:p>
            <w:pPr>
              <w:pStyle w:val="Compact"/>
              <w:jc w:val="left"/>
            </w:pPr>
            <w:r>
              <w:t xml:space="preserve">Endotossine</w:t>
            </w:r>
          </w:p>
        </w:tc>
        <w:tc>
          <w:tcPr/>
          <w:p>
            <w:pPr>
              <w:pStyle w:val="Compact"/>
              <w:jc w:val="left"/>
            </w:pPr>
            <w:r>
              <w:t xml:space="preserve">febbre, infiammazione, reazioni circolatorie</w:t>
            </w:r>
          </w:p>
        </w:tc>
        <w:tc>
          <w:tcPr/>
          <w:p>
            <w:pPr>
              <w:pStyle w:val="Compact"/>
              <w:jc w:val="left"/>
            </w:pPr>
            <w:r>
              <w:t xml:space="preserve">in tutti gli acquisti di prova di semaglutide</w:t>
            </w:r>
          </w:p>
        </w:tc>
      </w:tr>
    </w:tbl>
    <w:bookmarkEnd w:id="186"/>
    <w:bookmarkStart w:id="188" w:name="X885e57431d9627bc08302a9b599402e3a483be2"/>
    <w:p>
      <w:pPr>
        <w:pStyle w:val="Heading3"/>
      </w:pPr>
      <w:r>
        <w:t xml:space="preserve">Purezza: che cosa significa la percentuale – e che cosa no</w:t>
      </w:r>
    </w:p>
    <w:p>
      <w:pPr>
        <w:pStyle w:val="FirstParagraph"/>
      </w:pPr>
      <w:r>
        <w:t xml:space="preserve">Molti venditori pubblicizzano una „purezza del 99%“ e allegano certificati di analisi. Al riguardo alcune osservazioni:</w:t>
      </w:r>
    </w:p>
    <w:p>
      <w:pPr>
        <w:numPr>
          <w:ilvl w:val="0"/>
          <w:numId w:val="1025"/>
        </w:numPr>
        <w:pStyle w:val="Compact"/>
      </w:pPr>
      <w:r>
        <w:rPr>
          <w:bCs/>
          <w:b/>
        </w:rPr>
        <w:t xml:space="preserve">La purezza misura solo determinate impurità.</w:t>
      </w:r>
      <w:r>
        <w:t xml:space="preserve"> </w:t>
      </w:r>
      <w:r>
        <w:t xml:space="preserve">Una misurazione tipica (cromatografia liquida ad alte prestazioni, HPLC) mostra quale percentuale dei segnali peptidici misurabili corrisponde alla sostanza desiderata. Spesso non vengono rilevati sali, acqua, residui di solventi, metalli o endotossine.</w:t>
      </w:r>
    </w:p>
    <w:p>
      <w:pPr>
        <w:numPr>
          <w:ilvl w:val="0"/>
          <w:numId w:val="1025"/>
        </w:numPr>
        <w:pStyle w:val="Compact"/>
      </w:pPr>
      <w:r>
        <w:rPr>
          <w:bCs/>
          <w:b/>
        </w:rPr>
        <w:t xml:space="preserve">La purezza non dice nulla sulla quantità.</w:t>
      </w:r>
      <w:r>
        <w:t xml:space="preserve"> </w:t>
      </w:r>
      <w:r>
        <w:t xml:space="preserve">Un flaconcino può contenere una sostanza molto pura, ma in quantità errata.</w:t>
      </w:r>
    </w:p>
    <w:p>
      <w:pPr>
        <w:numPr>
          <w:ilvl w:val="0"/>
          <w:numId w:val="1025"/>
        </w:numPr>
        <w:pStyle w:val="Compact"/>
      </w:pPr>
      <w:r>
        <w:rPr>
          <w:bCs/>
          <w:b/>
        </w:rPr>
        <w:t xml:space="preserve">La purezza non dice nulla sulla sterilità.</w:t>
      </w:r>
      <w:r>
        <w:t xml:space="preserve"> </w:t>
      </w:r>
      <w:r>
        <w:t xml:space="preserve">Una polvere può essere chimicamente pura e tuttavia contaminata da batteri o componenti batteriche.</w:t>
      </w:r>
    </w:p>
    <w:p>
      <w:pPr>
        <w:numPr>
          <w:ilvl w:val="0"/>
          <w:numId w:val="1025"/>
        </w:numPr>
        <w:pStyle w:val="Compact"/>
      </w:pPr>
      <w:r>
        <w:rPr>
          <w:bCs/>
          <w:b/>
        </w:rPr>
        <w:t xml:space="preserve">I certificati non sono verificabili.</w:t>
      </w:r>
      <w:r>
        <w:t xml:space="preserve"> </w:t>
      </w:r>
      <w:r>
        <w:t xml:space="preserve">Se un certificato allegato appartenga davvero al flaconcino consegnato non può essere accertato da chi acquista. Gli acquisti di prova di semaglutide hanno mostrato una purezza dal 7,7 al 14,4% nonostante un’etichetta con il 99%</w:t>
      </w:r>
      <w:r>
        <w:rPr>
          <w:rStyle w:val="FootnoteReference"/>
        </w:rPr>
        <w:footnoteReference w:id="187"/>
      </w:r>
      <w:r>
        <w:t xml:space="preserve">.</w:t>
      </w:r>
    </w:p>
    <w:p>
      <w:pPr>
        <w:pStyle w:val="FirstParagraph"/>
      </w:pPr>
      <w:r>
        <w:t xml:space="preserve">A ciò si aggiungono le impurità che si formano tipicamente durante la sintesi chimica: peptidi con mattoni mancanti o doppi, varianti ripiegate in modo errato o modificate chimicamente, residui di gruppi protettivi e reagenti. Per i farmaci autorizzati sono stabiliti limiti per tali impurità, che vengono controllati regolarmente.</w:t>
      </w:r>
    </w:p>
    <w:bookmarkEnd w:id="188"/>
    <w:bookmarkStart w:id="190" w:name="endotossine-invisibili-e-pericolose"/>
    <w:p>
      <w:pPr>
        <w:pStyle w:val="Heading3"/>
      </w:pPr>
      <w:r>
        <w:t xml:space="preserve">Endotossine: invisibili e pericolose</w:t>
      </w:r>
    </w:p>
    <w:p>
      <w:pPr>
        <w:pStyle w:val="FirstParagraph"/>
      </w:pPr>
      <w:r>
        <w:t xml:space="preserve">Le endotossine sono componenti della parete cellulare di determinati batteri. Restano presenti anche quando i batteri sono stati uccisi e sono molto stabili al calore. Se entrano nel sangue possono provocare febbre, brividi, calo della pressione e, in quantità maggiori, uno shock potenzialmente letale. Per questo per iniezioni e infusioni valgono limiti rigorosi, e i produttori di farmaci controllano ogni lotto.</w:t>
      </w:r>
    </w:p>
    <w:p>
      <w:pPr>
        <w:pStyle w:val="BodyText"/>
      </w:pPr>
      <w:r>
        <w:t xml:space="preserve">Una polvere „sterile“ o „priva di germi“ può comunque contenere endotossine – è esattamente ciò che hanno mostrato gli acquisti di prova di semaglutide: nessun germe vivo, ma endotossine in tutti i campioni</w:t>
      </w:r>
      <w:r>
        <w:rPr>
          <w:rStyle w:val="FootnoteReference"/>
        </w:rPr>
        <w:footnoteReference w:id="189"/>
      </w:r>
      <w:r>
        <w:t xml:space="preserve">. Anche lo scioglimento con acqua non sterile, il prelievo ripetuto dallo stesso flaconcino o il riutilizzo degli aghi possono introdurre germi.</w:t>
      </w:r>
    </w:p>
    <w:bookmarkEnd w:id="190"/>
    <w:bookmarkStart w:id="192" w:name="errori-di-dosaggio"/>
    <w:p>
      <w:pPr>
        <w:pStyle w:val="Heading3"/>
      </w:pPr>
      <w:r>
        <w:t xml:space="preserve">Errori di dosaggio</w:t>
      </w:r>
    </w:p>
    <w:p>
      <w:pPr>
        <w:pStyle w:val="FirstParagraph"/>
      </w:pPr>
      <w:r>
        <w:t xml:space="preserve">Anche quando un prodotto contiene esattamente ciò che è indicato in etichetta, il dosaggio corretto sul mercato grigio è difficile. La polvere deve essere sciolta con una determinata quantità di liquido; la dose si ricava poi da un calcolo di conversione. Chi sbaglia i conti o confonde le unità può facilmente iniettarsi un multiplo della quantità prevista.</w:t>
      </w:r>
    </w:p>
    <w:p>
      <w:pPr>
        <w:pStyle w:val="BodyText"/>
      </w:pPr>
      <w:r>
        <w:t xml:space="preserve">Una serie di casi di un centro antiveleni statunitense descrive tre casi con semaglutide proveniente da farmacie e da un centro estetico. Due persone si erano iniettate per errore una quantità dieci volte superiore. Tutte hanno avuto per giorni nausea, vomito e dolori addominali. Una persona aveva ricevuto un flaconcino con siringhe senza alcuna consulenza, un’altra aveva confuso millilitri, „unità“ e milligrammi</w:t>
      </w:r>
      <w:r>
        <w:rPr>
          <w:rStyle w:val="FootnoteReference"/>
        </w:rPr>
        <w:footnoteReference w:id="191"/>
      </w:r>
      <w:r>
        <w:t xml:space="preserve">. Le autrici e gli autori sottolineano che i flaconcini, a differenza delle penne preriempite, non offrono meccanismi di sicurezza contro tali errori.</w:t>
      </w:r>
    </w:p>
    <w:bookmarkEnd w:id="192"/>
    <w:bookmarkStart w:id="197" w:name="X693bbc3c970f3318795e5eb59633c77b9a973a6"/>
    <w:p>
      <w:pPr>
        <w:pStyle w:val="Heading3"/>
      </w:pPr>
      <w:r>
        <w:t xml:space="preserve">Contraffazioni di Ozempic e di altri farmaci GLP-1</w:t>
      </w:r>
    </w:p>
    <w:p>
      <w:pPr>
        <w:pStyle w:val="FirstParagraph"/>
      </w:pPr>
      <w:r>
        <w:t xml:space="preserve">Con l’enorme domanda di semaglutide sono comparse contraffazioni in tutto il mondo. Nel 2024 l’Organizzazione mondiale della sanità ha messo in guardia contro Ozempic contraffatto nella catena di approvvigionamento globale</w:t>
      </w:r>
      <w:r>
        <w:rPr>
          <w:rStyle w:val="FootnoteReference"/>
        </w:rPr>
        <w:footnoteReference w:id="193"/>
      </w:r>
      <w:r>
        <w:t xml:space="preserve">.</w:t>
      </w:r>
    </w:p>
    <w:p>
      <w:pPr>
        <w:pStyle w:val="BodyText"/>
      </w:pPr>
      <w:r>
        <w:t xml:space="preserve">Particolarmente pericolose sono le contraffazioni che contengono un altro principio attivo. In Italia una donna di 31 anni è stata portata in pronto soccorso in coma ipoglicemico dopo essersi iniettata presunto Ozempic acquistato su Internet. L’analisi tossicologica ha rivelato che il flaconcino conteneva insulina invece di semaglutide</w:t>
      </w:r>
      <w:r>
        <w:rPr>
          <w:rStyle w:val="FootnoteReference"/>
        </w:rPr>
        <w:footnoteReference w:id="194"/>
      </w:r>
      <w:r>
        <w:t xml:space="preserve">. Dai Paesi Bassi sono stati riportati due casi simili: due persone senza diabete e senza obesità si erano iniettate semaglutide procurata senza ricetta ed erano in coma con grave ipoglicemia, carenza di potassio e ipotermia. La causa era un’intossicazione da insulina sintetica. Per mantenere stabile la glicemia sono state necessarie fino a due giorni di infusione continua di glucosio</w:t>
      </w:r>
      <w:r>
        <w:rPr>
          <w:rStyle w:val="FootnoteReference"/>
        </w:rPr>
        <w:footnoteReference w:id="195"/>
      </w:r>
      <w:r>
        <w:t xml:space="preserve">.</w:t>
      </w:r>
    </w:p>
    <w:p>
      <w:pPr>
        <w:pStyle w:val="BodyText"/>
      </w:pPr>
      <w:r>
        <w:t xml:space="preserve">Questi casi sono così significativi perché la semaglutide autentica da sola difficilmente provoca un’ipoglicemia rilevante nelle persone sane. Un’ipoglicemia dopo un’„iniezione dimagrante“ è quindi un segnale d’allarme di un prodotto contraffatto.</w:t>
      </w:r>
    </w:p>
    <w:p>
      <w:pPr>
        <w:pStyle w:val="BodyText"/>
      </w:pPr>
      <w:r>
        <w:t xml:space="preserve">Un’analisi della banca dati europea degli effetti collaterali EudraVigilance ha rilevato dal 2018 al 2025 complessivamente 234 segnalazioni relative a semaglutide possibilmente contraffatta. Il 73,5% riguardava donne e l’89,3% degli effetti collaterali segnalati era grave. Le segnalazioni più frequenti erano vomito, nausea e ipoglicemia. Rispetto alla semaglutide autentica, ipoglicemia, uso al di fuori dell’indicazione autorizzata, malessere e inefficacia sono stati segnalati con frequenza sproporzionata</w:t>
      </w:r>
      <w:r>
        <w:rPr>
          <w:rStyle w:val="FootnoteReference"/>
        </w:rPr>
        <w:footnoteReference w:id="196"/>
      </w:r>
      <w:r>
        <w:t xml:space="preserve">. Come per tutti i dati di segnalazione vale: mostrano segnali, non frequenze.</w:t>
      </w:r>
    </w:p>
    <w:bookmarkEnd w:id="197"/>
    <w:bookmarkStart w:id="200" w:name="principi-attivi-glp-1-non-autorizzati"/>
    <w:p>
      <w:pPr>
        <w:pStyle w:val="Heading3"/>
      </w:pPr>
      <w:r>
        <w:t xml:space="preserve">Principi attivi GLP-1 non autorizzati</w:t>
      </w:r>
    </w:p>
    <w:p>
      <w:pPr>
        <w:pStyle w:val="FirstParagraph"/>
      </w:pPr>
      <w:r>
        <w:t xml:space="preserve">Nel frattempo sul mercato grigio vengono offerti anche principi attivi non ancora autorizzati, per esempio il triplo agonista retatrutide. Per queste sostanze esistono studi dei produttori, ma nessun prodotto controllato – che cosa contenga davvero un flaconcino con la scritta „retatrutide“ è sconosciuto. Nel 2026 una rivista scientifica ha dedicato a questo mercato nero un proprio servizio</w:t>
      </w:r>
      <w:r>
        <w:rPr>
          <w:rStyle w:val="FootnoteReference"/>
        </w:rPr>
        <w:footnoteReference w:id="198"/>
      </w:r>
      <w:r>
        <w:t xml:space="preserve">.</w:t>
      </w:r>
    </w:p>
    <w:p>
      <w:pPr>
        <w:pStyle w:val="BodyText"/>
      </w:pPr>
      <w:r>
        <w:t xml:space="preserve">Un caso clinico descrive una donna di circa venticinque anni che si è presentata in ospedale con nausea persistente da cinque giorni, vomito ripetuto e diarrea. I disturbi inizialmente non sono migliorati nonostante diversi farmaci antinausea. Solo grazie a domande ripetute è emerso che un sedicente life coach senza qualifiche mediche le aveva somministrato quattro iniezioni settimanali di un prodotto che presumibilmente conteneva retatrutide. Lei stessa non aveva considerato le iniezioni come un farmaco</w:t>
      </w:r>
      <w:r>
        <w:rPr>
          <w:rStyle w:val="FootnoteReference"/>
        </w:rPr>
        <w:footnoteReference w:id="199"/>
      </w:r>
      <w:r>
        <w:t xml:space="preserve">. Il caso mostra un ulteriore problema: chi non percepisce i peptidi come farmaci non li menziona nemmeno ai medici.</w:t>
      </w:r>
    </w:p>
    <w:bookmarkEnd w:id="200"/>
    <w:bookmarkStart w:id="204" w:name="pericoli-al-di-là-delle-impurità"/>
    <w:p>
      <w:pPr>
        <w:pStyle w:val="Heading3"/>
      </w:pPr>
      <w:r>
        <w:t xml:space="preserve">Pericoli al di là delle impurità</w:t>
      </w:r>
    </w:p>
    <w:p>
      <w:pPr>
        <w:pStyle w:val="FirstParagraph"/>
      </w:pPr>
      <w:r>
        <w:t xml:space="preserve">Anche un peptide del mercato grigio perfettamente puro può essere pericoloso se la sostanza in sé non è mai stata studiata a sufficienza nell’uomo. Un caso clinico descrive un uomo di 39 anni che si era iniettato melanotan II acquistato su Internet – secondo quanto da lui riferito, sei volte la quantità iniziale che gli era stata consigliata. Ha sviluppato tachicardia, agitazione, sudorazione profusa e una massiccia distruzione muscolare (rabdomiolisi) con disfunzione renale e ha dovuto essere trattato in terapia intensiva. L’analisi ha confermato che il prodotto conteneva effettivamente melanotan II</w:t>
      </w:r>
      <w:r>
        <w:rPr>
          <w:rStyle w:val="FootnoteReference"/>
        </w:rPr>
        <w:footnoteReference w:id="201"/>
      </w:r>
      <w:r>
        <w:t xml:space="preserve">.</w:t>
      </w:r>
    </w:p>
    <w:p>
      <w:pPr>
        <w:pStyle w:val="BodyText"/>
      </w:pPr>
      <w:r>
        <w:t xml:space="preserve">Le revisioni indicano come possibili rischi dei peptidi non regolamentati, tra l’altro, impurità, dosaggio impreciso, formazione patologica di nuovi vasi sanguigni, sviluppo di tumori, sovraccarico del sistema cardiovascolare e segnali ormonali eccessivi</w:t>
      </w:r>
      <w:r>
        <w:rPr>
          <w:rStyle w:val="FootnoteReference"/>
        </w:rPr>
        <w:footnoteReference w:id="202"/>
      </w:r>
      <w:r>
        <w:t xml:space="preserve">. Molti di questi rischi sono dedotti teoricamente, proprio perché non esistono quasi studi sull’uomo. Una revisione di medicina dello sport conclude che molti peptidi non autorizzati mostrano effetti favorevoli nei modelli animali, ma i dati di sicurezza affidabili nell’uomo sono scarsi e sono possibili danni seri</w:t>
      </w:r>
      <w:r>
        <w:rPr>
          <w:rStyle w:val="FootnoteReference"/>
        </w:rPr>
        <w:footnoteReference w:id="203"/>
      </w:r>
      <w:r>
        <w:t xml:space="preserve">.</w:t>
      </w:r>
    </w:p>
    <w:bookmarkEnd w:id="204"/>
    <w:bookmarkStart w:id="207" w:name="il-compounding-negli-stati-uniti"/>
    <w:p>
      <w:pPr>
        <w:pStyle w:val="Heading3"/>
      </w:pPr>
      <w:r>
        <w:t xml:space="preserve">Il compounding negli Stati Uniti</w:t>
      </w:r>
    </w:p>
    <w:p>
      <w:pPr>
        <w:pStyle w:val="FirstParagraph"/>
      </w:pPr>
      <w:r>
        <w:t xml:space="preserve">Una particolarità del mercato statunitense è il</w:t>
      </w:r>
      <w:r>
        <w:t xml:space="preserve"> </w:t>
      </w:r>
      <w:r>
        <w:rPr>
          <w:bCs/>
          <w:b/>
        </w:rPr>
        <w:t xml:space="preserve">compounding</w:t>
      </w:r>
      <w:r>
        <w:t xml:space="preserve">: a determinate condizioni le farmacie possono preparare farmaci in proprio, per esempio quando un preparato autorizzato non è disponibile. Durante le carenze di semaglutide e tirzepatide è nato così un grande mercato di preparati di imitazione, spesso distribuiti tramite fornitori di telemedicina. Questi preparati non sono farmaci autorizzati; efficacia e sicurezza non sono state verificate per essi in studi.</w:t>
      </w:r>
    </w:p>
    <w:p>
      <w:pPr>
        <w:pStyle w:val="BodyText"/>
      </w:pPr>
      <w:r>
        <w:t xml:space="preserve">Un’analisi della banca dati statunitense degli effetti collaterali FAERS ha confrontato le segnalazioni relative a preparati GLP-1 allestiti in farmacia e autorizzati. Delle 81.078 segnalazioni, 707 riguardavano prodotti allestiti in farmacia. Per questi sono stati segnalati con frequenza sproporzionata, tra l’altro, dolori addominali, infiammazioni della colecisti, errori di preparazione e impurità, nonché ricoveri ospedalieri; gli errori di uso e di dosaggio sono stati invece segnalati meno spesso</w:t>
      </w:r>
      <w:r>
        <w:rPr>
          <w:rStyle w:val="FootnoteReference"/>
        </w:rPr>
        <w:footnoteReference w:id="205"/>
      </w:r>
      <w:r>
        <w:t xml:space="preserve">. Le autrici e gli autori sottolineano che tali dati non dimostrano un rapporto di causa-effetto.</w:t>
      </w:r>
    </w:p>
    <w:p>
      <w:pPr>
        <w:pStyle w:val="BodyText"/>
      </w:pPr>
      <w:r>
        <w:t xml:space="preserve">Dopo la fine delle carenze, secondo il diritto statunitense le farmacie possono produrre solo preparati che si differenziano da quelli autorizzati – per esempio per una diversa forma farmaceutica o per sostanze aggiunte. Un’indagine ha trovato 33 prodotti di questo tipo, tra cui combinazioni con vitamina B12, glicina, niacinamide, un lassativo o un antinausea, nonché gocce e compresse orodispersibili per uso sublinguale. Per le vitamine e il lassativo le autrici e gli autori non hanno trovato quasi alcuna giustificazione. Per l’aggiunta dell’antinausea e per le nuove forme farmaceutiche vedono un’idea comprensibile, ma nessuna prova di efficacia e sicurezza</w:t>
      </w:r>
      <w:r>
        <w:rPr>
          <w:rStyle w:val="FootnoteReference"/>
        </w:rPr>
        <w:footnoteReference w:id="206"/>
      </w:r>
      <w:r>
        <w:t xml:space="preserve">.</w:t>
      </w:r>
    </w:p>
    <w:p>
      <w:pPr>
        <w:pStyle w:val="BodyText"/>
      </w:pPr>
      <w:r>
        <w:t xml:space="preserve">Il compounding non è un mercato grigio in senso stretto: le farmacie sono autorizzate e soggette a vigilanza. Per le pazienti e i pazienti, però, il confine si fa sfumato quando i prodotti vengono distribuiti tramite piattaforme online con scarso accompagnamento medico. In Europa non esiste un sistema paragonabile; qui la preparazione in farmacia è legata a presupposti molto più ristretti (se ne parla nel prossimo capitolo).</w:t>
      </w:r>
    </w:p>
    <w:bookmarkEnd w:id="207"/>
    <w:bookmarkStart w:id="209" w:name="chi-usa-il-mercato-grigio-e-perché"/>
    <w:p>
      <w:pPr>
        <w:pStyle w:val="Heading3"/>
      </w:pPr>
      <w:r>
        <w:t xml:space="preserve">Chi usa il mercato grigio – e perché</w:t>
      </w:r>
    </w:p>
    <w:p>
      <w:pPr>
        <w:pStyle w:val="FirstParagraph"/>
      </w:pPr>
      <w:r>
        <w:t xml:space="preserve">I motivi per ricorrere al mercato grigio sono molteplici: prezzi elevati e mancata copertura dei costi dei farmaci autorizzati, carenze di approvvigionamento, desiderio di perdere peso senza indicazione medica, miglioramento delle prestazioni sportive, speranza di una guarigione più rapida dalle lesioni o di una vita più lunga. Una revisione descrive come pubblicità online, testimonianze sui social media, autoiniezione, combinazioni di più sostanze e una debole sorveglianza degli effetti collaterali agiscano insieme e normalizzino prodotti poco chiari</w:t>
      </w:r>
      <w:r>
        <w:rPr>
          <w:rStyle w:val="FootnoteReference"/>
        </w:rPr>
        <w:footnoteReference w:id="208"/>
      </w:r>
      <w:r>
        <w:t xml:space="preserve">.</w:t>
      </w:r>
    </w:p>
    <w:p>
      <w:pPr>
        <w:pStyle w:val="BodyText"/>
      </w:pPr>
      <w:r>
        <w:t xml:space="preserve">Queste motivazioni sono comprensibili. Le analisi di questo capitolo mostrano però che chi acquista sul mercato grigio non può sapere che cosa riceve effettivamente.</w:t>
      </w:r>
    </w:p>
    <w:bookmarkEnd w:id="209"/>
    <w:bookmarkStart w:id="210" w:name="X84629799cedeb6f346a826fab28c2cc593ab810"/>
    <w:p>
      <w:pPr>
        <w:pStyle w:val="Heading3"/>
      </w:pPr>
      <w:r>
        <w:t xml:space="preserve">Se hai già usato peptidi del mercato grigio</w:t>
      </w:r>
    </w:p>
    <w:p>
      <w:pPr>
        <w:pStyle w:val="FirstParagraph"/>
      </w:pPr>
      <w:r>
        <w:t xml:space="preserve">Questo libro non fornisce indicazioni d’uso. Alcuni punti generali sono però importanti per motivi di sicurezza:</w:t>
      </w:r>
    </w:p>
    <w:p>
      <w:pPr>
        <w:numPr>
          <w:ilvl w:val="0"/>
          <w:numId w:val="1026"/>
        </w:numPr>
        <w:pStyle w:val="Compact"/>
      </w:pPr>
      <w:r>
        <w:t xml:space="preserve">Informa il tuo medico di tutte le iniezioni, i peptidi e le „sostanze chimiche per la ricerca“ che usi – anche se non li consideri farmaci.</w:t>
      </w:r>
    </w:p>
    <w:p>
      <w:pPr>
        <w:numPr>
          <w:ilvl w:val="0"/>
          <w:numId w:val="1026"/>
        </w:numPr>
        <w:pStyle w:val="Compact"/>
      </w:pPr>
      <w:r>
        <w:t xml:space="preserve">Disturbi inattesi come tremore, sudorazione, confusione o alterazioni della coscienza dopo un’iniezione possono indicare un’ipoglicemia e sono un’emergenza.</w:t>
      </w:r>
    </w:p>
    <w:p>
      <w:pPr>
        <w:numPr>
          <w:ilvl w:val="0"/>
          <w:numId w:val="1026"/>
        </w:numPr>
        <w:pStyle w:val="Compact"/>
      </w:pPr>
      <w:r>
        <w:t xml:space="preserve">Prodotti sospetti ed effetti collaterali possono essere segnalati alle autorità: in Germania all’Istituto federale per i farmaci e i dispositivi medici (BfArM), in Austria all’Ufficio federale per la sicurezza sanitaria (BASG).</w:t>
      </w:r>
    </w:p>
    <w:bookmarkEnd w:id="210"/>
    <w:bookmarkStart w:id="211" w:name="lessenziale-in-breve-3"/>
    <w:p>
      <w:pPr>
        <w:pStyle w:val="Heading3"/>
      </w:pPr>
      <w:r>
        <w:t xml:space="preserve">L’essenziale in breve</w:t>
      </w:r>
    </w:p>
    <w:p>
      <w:pPr>
        <w:numPr>
          <w:ilvl w:val="0"/>
          <w:numId w:val="1027"/>
        </w:numPr>
        <w:pStyle w:val="Compact"/>
      </w:pPr>
      <w:r>
        <w:t xml:space="preserve">La dicitura „solo a scopo di ricerca“ non protegge dai rischi; sposta la responsabilità su chi acquista.</w:t>
      </w:r>
    </w:p>
    <w:p>
      <w:pPr>
        <w:numPr>
          <w:ilvl w:val="0"/>
          <w:numId w:val="1027"/>
        </w:numPr>
        <w:pStyle w:val="Compact"/>
      </w:pPr>
      <w:r>
        <w:t xml:space="preserve">Le analisi di laboratorio hanno trovato nei peptidi del mercato grigio troppo, troppo poco, il principio attivo sbagliato o nessun principio attivo, oltre a impurità ed endotossine.</w:t>
      </w:r>
    </w:p>
    <w:p>
      <w:pPr>
        <w:numPr>
          <w:ilvl w:val="0"/>
          <w:numId w:val="1027"/>
        </w:numPr>
        <w:pStyle w:val="Compact"/>
      </w:pPr>
      <w:r>
        <w:t xml:space="preserve">Prodotti di semaglutide contraffatti contenenti insulina hanno causato ipoglicemie potenzialmente letali.</w:t>
      </w:r>
    </w:p>
    <w:p>
      <w:pPr>
        <w:numPr>
          <w:ilvl w:val="0"/>
          <w:numId w:val="1027"/>
        </w:numPr>
        <w:pStyle w:val="Compact"/>
      </w:pPr>
      <w:r>
        <w:t xml:space="preserve">Anche i preparati allestiti da farmacie statunitensi non sono verificati come i farmaci autorizzati.</w:t>
      </w:r>
    </w:p>
    <w:p>
      <w:pPr>
        <w:numPr>
          <w:ilvl w:val="0"/>
          <w:numId w:val="1027"/>
        </w:numPr>
        <w:pStyle w:val="Compact"/>
      </w:pPr>
      <w:r>
        <w:t xml:space="preserve">Anche un prodotto puro resta rischioso se il principio attivo non è mai stato studiato a sufficienza nell’uomo.</w:t>
      </w:r>
    </w:p>
    <w:bookmarkEnd w:id="211"/>
    <w:bookmarkEnd w:id="212"/>
    <w:bookmarkStart w:id="230" w:name="quadro-giuridico"/>
    <w:p>
      <w:pPr>
        <w:pStyle w:val="Heading2"/>
      </w:pPr>
      <w:r>
        <w:t xml:space="preserve">Quadro giuridico</w:t>
      </w:r>
    </w:p>
    <w:p>
      <w:pPr>
        <w:pStyle w:val="FirstParagraph"/>
      </w:pPr>
      <w:r>
        <w:t xml:space="preserve">Se un peptide sia un farmaco soggetto a prescrizione, un integratore alimentare, un cosmetico o una sostanza dopante vietata non dipende soltanto dalla molecola. Contano anche lo scopo a cui è destinato, il modo in cui viene offerto e come agisce nell’organismo. Lo stesso peptide di collagene può trovarsi sullo scaffale del supermercato come alimento; un peptide con un effetto di tipo ormonale dimostrabile è invece quasi sempre un farmaco – qualunque cosa ci sia scritto sull’etichetta. Questo capitolo offre una panoramica delle regole nell’Unione europea, in Austria, in Germania e negli Stati Uniti, nonché delle norme antidoping.</w:t>
      </w:r>
    </w:p>
    <w:p>
      <w:pPr>
        <w:pStyle w:val="BlockText"/>
      </w:pPr>
      <w:r>
        <w:rPr>
          <w:bCs/>
          <w:b/>
        </w:rPr>
        <w:t xml:space="preserve">Avvertenza importante:</w:t>
      </w:r>
      <w:r>
        <w:t xml:space="preserve"> </w:t>
      </w:r>
      <w:r>
        <w:t xml:space="preserve">questo capitolo riporta la situazione del 2026 secondo le migliori conoscenze disponibili e non costituisce consulenza legale. Leggi, regolamenti, prassi delle autorità e la Lista delle sostanze proibite dell’Agenzia mondiale antidoping cambiano regolarmente. Verifica nel singolo caso il quadro normativo attuale e, per questioni concrete, rivolgiti a un avvocato o all’autorità competente.</w:t>
      </w:r>
    </w:p>
    <w:bookmarkStart w:id="213" w:name="tre-cassetti-farmaci-alimenti-cosmetici"/>
    <w:p>
      <w:pPr>
        <w:pStyle w:val="Heading3"/>
      </w:pPr>
      <w:r>
        <w:t xml:space="preserve">Tre cassetti: farmaci, alimenti, cosmetici</w:t>
      </w:r>
    </w:p>
    <w:p>
      <w:pPr>
        <w:pStyle w:val="FirstParagraph"/>
      </w:pPr>
      <w:r>
        <w:t xml:space="preserve">Il diritto europeo distingue essenzialmente tre categorie di prodotti in cui possono rientrare i peptidi. Ognuna ha le proprie regole: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Categoria</w:t>
            </w:r>
          </w:p>
        </w:tc>
        <w:tc>
          <w:tcPr/>
          <w:p>
            <w:pPr>
              <w:pStyle w:val="Compact"/>
              <w:jc w:val="left"/>
            </w:pPr>
            <w:r>
              <w:t xml:space="preserve">Controllo delle autorità prima della vendita</w:t>
            </w:r>
          </w:p>
        </w:tc>
        <w:tc>
          <w:tcPr/>
          <w:p>
            <w:pPr>
              <w:pStyle w:val="Compact"/>
              <w:jc w:val="left"/>
            </w:pPr>
            <w:r>
              <w:t xml:space="preserve">Peptidi tipici</w:t>
            </w:r>
          </w:p>
        </w:tc>
      </w:tr>
      <w:tr>
        <w:tc>
          <w:tcPr/>
          <w:p>
            <w:pPr>
              <w:pStyle w:val="Compact"/>
              <w:jc w:val="left"/>
            </w:pPr>
            <w:r>
              <w:t xml:space="preserve">Farmaci</w:t>
            </w:r>
          </w:p>
        </w:tc>
        <w:tc>
          <w:tcPr/>
          <w:p>
            <w:pPr>
              <w:pStyle w:val="Compact"/>
              <w:jc w:val="left"/>
            </w:pPr>
            <w:r>
              <w:t xml:space="preserve">autorizzazione con prova di efficacia e sicurezza</w:t>
            </w:r>
          </w:p>
        </w:tc>
        <w:tc>
          <w:tcPr/>
          <w:p>
            <w:pPr>
              <w:pStyle w:val="Compact"/>
              <w:jc w:val="left"/>
            </w:pPr>
            <w:r>
              <w:t xml:space="preserve">insulina, semaglutide, ossitocina</w:t>
            </w:r>
          </w:p>
        </w:tc>
      </w:tr>
      <w:tr>
        <w:tc>
          <w:tcPr/>
          <w:p>
            <w:pPr>
              <w:pStyle w:val="Compact"/>
              <w:jc w:val="left"/>
            </w:pPr>
            <w:r>
              <w:t xml:space="preserve">Alimenti e integratori</w:t>
            </w:r>
          </w:p>
        </w:tc>
        <w:tc>
          <w:tcPr/>
          <w:p>
            <w:pPr>
              <w:pStyle w:val="Compact"/>
              <w:jc w:val="left"/>
            </w:pPr>
            <w:r>
              <w:t xml:space="preserve">nessuna autorizzazione, responsabilità del produttore</w:t>
            </w:r>
          </w:p>
        </w:tc>
        <w:tc>
          <w:tcPr/>
          <w:p>
            <w:pPr>
              <w:pStyle w:val="Compact"/>
              <w:jc w:val="left"/>
            </w:pPr>
            <w:r>
              <w:t xml:space="preserve">peptidi di collagene, peptidi del latte</w:t>
            </w:r>
          </w:p>
        </w:tc>
      </w:tr>
      <w:tr>
        <w:tc>
          <w:tcPr/>
          <w:p>
            <w:pPr>
              <w:pStyle w:val="Compact"/>
              <w:jc w:val="left"/>
            </w:pPr>
            <w:r>
              <w:t xml:space="preserve">Cosmetici</w:t>
            </w:r>
          </w:p>
        </w:tc>
        <w:tc>
          <w:tcPr/>
          <w:p>
            <w:pPr>
              <w:pStyle w:val="Compact"/>
              <w:jc w:val="left"/>
            </w:pPr>
            <w:r>
              <w:t xml:space="preserve">nessuna autorizzazione, valutazione della sicurezza da parte del produttore</w:t>
            </w:r>
          </w:p>
        </w:tc>
        <w:tc>
          <w:tcPr/>
          <w:p>
            <w:pPr>
              <w:pStyle w:val="Compact"/>
              <w:jc w:val="left"/>
            </w:pPr>
            <w:r>
              <w:t xml:space="preserve">palmitoil pentapeptide-4, Argireline</w:t>
            </w:r>
          </w:p>
        </w:tc>
      </w:tr>
    </w:tbl>
    <w:p>
      <w:pPr>
        <w:pStyle w:val="BodyText"/>
      </w:pPr>
      <w:r>
        <w:t xml:space="preserve">A queste si aggiungono sostanze che non rientrano legittimamente in nessuna di queste categorie – per esempio principi attivi non autorizzati con effetto farmacologico, venduti come „sostanze chimiche per la ricerca“. Per esse non esiste una via legale per entrare in commercio come prodotto da usare nell’uomo.</w:t>
      </w:r>
    </w:p>
    <w:bookmarkEnd w:id="213"/>
    <w:bookmarkStart w:id="214" w:name="che-cosè-un-farmaco"/>
    <w:p>
      <w:pPr>
        <w:pStyle w:val="Heading3"/>
      </w:pPr>
      <w:r>
        <w:t xml:space="preserve">Che cos’è un farmaco</w:t>
      </w:r>
    </w:p>
    <w:p>
      <w:pPr>
        <w:pStyle w:val="FirstParagraph"/>
      </w:pPr>
      <w:r>
        <w:t xml:space="preserve">La definizione di farmaco è stabilita nell’UE da una direttiva (direttiva 2001/83/CE) e recepita nelle leggi nazionali sui farmaci. Ha due aspetti:</w:t>
      </w:r>
    </w:p>
    <w:p>
      <w:pPr>
        <w:numPr>
          <w:ilvl w:val="0"/>
          <w:numId w:val="1028"/>
        </w:numPr>
        <w:pStyle w:val="Compact"/>
      </w:pPr>
      <w:r>
        <w:rPr>
          <w:bCs/>
          <w:b/>
        </w:rPr>
        <w:t xml:space="preserve">Farmaco per presentazione</w:t>
      </w:r>
      <w:r>
        <w:t xml:space="preserve">: un prodotto è un farmaco se viene</w:t>
      </w:r>
      <w:r>
        <w:t xml:space="preserve"> </w:t>
      </w:r>
      <w:r>
        <w:rPr>
          <w:bCs/>
          <w:b/>
        </w:rPr>
        <w:t xml:space="preserve">presentato</w:t>
      </w:r>
      <w:r>
        <w:t xml:space="preserve"> </w:t>
      </w:r>
      <w:r>
        <w:t xml:space="preserve">come mezzo per curare o prevenire malattie. Già una pubblicità con affermazioni come „accelera la guarigione delle lesioni tendinee“ può rendere un prodotto un farmaco.</w:t>
      </w:r>
    </w:p>
    <w:p>
      <w:pPr>
        <w:numPr>
          <w:ilvl w:val="0"/>
          <w:numId w:val="1028"/>
        </w:numPr>
        <w:pStyle w:val="Compact"/>
      </w:pPr>
      <w:r>
        <w:rPr>
          <w:bCs/>
          <w:b/>
        </w:rPr>
        <w:t xml:space="preserve">Farmaco per funzione</w:t>
      </w:r>
      <w:r>
        <w:t xml:space="preserve">: un prodotto è un farmaco se può ripristinare, correggere o modificare le funzioni fisiologiche umane mediante un’</w:t>
      </w:r>
      <w:r>
        <w:rPr>
          <w:bCs/>
          <w:b/>
        </w:rPr>
        <w:t xml:space="preserve">azione farmacologica, immunologica o metabolica</w:t>
      </w:r>
      <w:r>
        <w:t xml:space="preserve"> </w:t>
      </w:r>
      <w:r>
        <w:t xml:space="preserve">– indipendentemente da come viene pubblicizzato.</w:t>
      </w:r>
    </w:p>
    <w:p>
      <w:pPr>
        <w:pStyle w:val="FirstParagraph"/>
      </w:pPr>
      <w:r>
        <w:t xml:space="preserve">Se un prodotto rientra sia nella definizione di farmaco sia in quella di un altro prodotto, secondo questa direttiva in caso di dubbio prevale la normativa sui farmaci. Per i peptidi con effetto di tipo ormonale – per esempio secretagoghi dell’ormone della crescita, analoghi del GLP-1 o melanotan – ciò significa: sono di regola farmaci, anche se vengono dichiarati come integratori, cosmetici o „sostanze chimiche per la ricerca“.</w:t>
      </w:r>
    </w:p>
    <w:bookmarkEnd w:id="214"/>
    <w:bookmarkStart w:id="215" w:name="autorizzazione-nellue"/>
    <w:p>
      <w:pPr>
        <w:pStyle w:val="Heading3"/>
      </w:pPr>
      <w:r>
        <w:t xml:space="preserve">Autorizzazione nell’UE</w:t>
      </w:r>
    </w:p>
    <w:p>
      <w:pPr>
        <w:pStyle w:val="FirstParagraph"/>
      </w:pPr>
      <w:r>
        <w:t xml:space="preserve">Nell’UE un farmaco può essere immesso in commercio solo se è autorizzato. Per l’autorizzazione il produttore deve presentare dati su qualità, efficacia e sicurezza – di regola dagli studi di fase 3 descritti nel capitolo „Leggere correttamente gli studi“.</w:t>
      </w:r>
    </w:p>
    <w:p>
      <w:pPr>
        <w:pStyle w:val="BodyText"/>
      </w:pPr>
      <w:r>
        <w:t xml:space="preserve">Esistono due vie principali:</w:t>
      </w:r>
    </w:p>
    <w:p>
      <w:pPr>
        <w:numPr>
          <w:ilvl w:val="0"/>
          <w:numId w:val="1029"/>
        </w:numPr>
        <w:pStyle w:val="Compact"/>
      </w:pPr>
      <w:r>
        <w:rPr>
          <w:bCs/>
          <w:b/>
        </w:rPr>
        <w:t xml:space="preserve">Procedura centralizzata</w:t>
      </w:r>
      <w:r>
        <w:t xml:space="preserve"> </w:t>
      </w:r>
      <w:r>
        <w:t xml:space="preserve">tramite l’Agenzia europea per i medicinali (EMA). L’autorizzazione vale allora in tutti gli Stati membri. Per i farmaci prodotti con biotecnologie e per i nuovi principi attivi contro determinate malattie – tra cui il diabete – questa via è obbligatoria. La maggior parte dei farmaci peptidici moderni è autorizzata con procedura centralizzata.</w:t>
      </w:r>
    </w:p>
    <w:p>
      <w:pPr>
        <w:numPr>
          <w:ilvl w:val="0"/>
          <w:numId w:val="1029"/>
        </w:numPr>
        <w:pStyle w:val="Compact"/>
      </w:pPr>
      <w:r>
        <w:rPr>
          <w:bCs/>
          <w:b/>
        </w:rPr>
        <w:t xml:space="preserve">Procedure nazionali e decentrate</w:t>
      </w:r>
      <w:r>
        <w:t xml:space="preserve"> </w:t>
      </w:r>
      <w:r>
        <w:t xml:space="preserve">tramite le autorità degli Stati membri, in Austria l’Ufficio federale per la sicurezza sanitaria (BASG), in Germania l’Istituto federale per i farmaci e i dispositivi medici (BfArM) oppure, per determinati farmaci biologici, il Paul-Ehrlich-Institut.</w:t>
      </w:r>
    </w:p>
    <w:p>
      <w:pPr>
        <w:pStyle w:val="FirstParagraph"/>
      </w:pPr>
      <w:r>
        <w:t xml:space="preserve">Insieme all’autorizzazione si stabilisce se un farmaco è</w:t>
      </w:r>
      <w:r>
        <w:t xml:space="preserve"> </w:t>
      </w:r>
      <w:r>
        <w:rPr>
          <w:bCs/>
          <w:b/>
        </w:rPr>
        <w:t xml:space="preserve">soggetto a prescrizione</w:t>
      </w:r>
      <w:r>
        <w:t xml:space="preserve">. Quasi tutti i farmaci peptidici lo sono. Le indicazioni precise, i dosaggi, le controindicazioni e gli effetti collaterali sono riportati nel</w:t>
      </w:r>
      <w:r>
        <w:t xml:space="preserve"> </w:t>
      </w:r>
      <w:r>
        <w:rPr>
          <w:bCs/>
          <w:b/>
        </w:rPr>
        <w:t xml:space="preserve">Riassunto delle caratteristiche del prodotto</w:t>
      </w:r>
      <w:r>
        <w:t xml:space="preserve"> </w:t>
      </w:r>
      <w:r>
        <w:t xml:space="preserve">(per i professionisti) e nel</w:t>
      </w:r>
      <w:r>
        <w:t xml:space="preserve"> </w:t>
      </w:r>
      <w:r>
        <w:rPr>
          <w:bCs/>
          <w:b/>
        </w:rPr>
        <w:t xml:space="preserve">foglio illustrativo</w:t>
      </w:r>
      <w:r>
        <w:t xml:space="preserve"> </w:t>
      </w:r>
      <w:r>
        <w:t xml:space="preserve">(bugiardino). L’autorizzazione vale per determinate indicazioni. I medici possono, a determinate condizioni, prescrivere un farmaco autorizzato anche al di fuori di queste indicazioni („uso off-label“), ma in tal caso hanno una maggiore responsabilità per informazione e valutazione; di regola i costi non sono coperti dall’assicurazione sanitaria.</w:t>
      </w:r>
    </w:p>
    <w:p>
      <w:pPr>
        <w:pStyle w:val="BodyText"/>
      </w:pPr>
      <w:r>
        <w:t xml:space="preserve">Alcuni peptidi presenti in questo libro sono autorizzati in altri Paesi, ma non nell’UE – per esempio alcuni preparati usati in Russia. Un’autorizzazione straniera non rende un prodotto commerciabile nell’UE.</w:t>
      </w:r>
    </w:p>
    <w:bookmarkEnd w:id="215"/>
    <w:bookmarkStart w:id="217" w:name="integratori-alimentari"/>
    <w:p>
      <w:pPr>
        <w:pStyle w:val="Heading3"/>
      </w:pPr>
      <w:r>
        <w:t xml:space="preserve">Integratori alimentari</w:t>
      </w:r>
    </w:p>
    <w:p>
      <w:pPr>
        <w:pStyle w:val="FirstParagraph"/>
      </w:pPr>
      <w:r>
        <w:t xml:space="preserve">Dal punto di vista giuridico gli integratori alimentari sono alimenti. Sono destinati a integrare la normale alimentazione e contengono nutrienti o altre sostanze con effetto nutritivo o fisiologico (direttiva 2002/46/CE).</w:t>
      </w:r>
      <w:r>
        <w:t xml:space="preserve"> </w:t>
      </w:r>
      <w:r>
        <w:rPr>
          <w:bCs/>
          <w:b/>
        </w:rPr>
        <w:t xml:space="preserve">Non necessitano di autorizzazione</w:t>
      </w:r>
      <w:r>
        <w:t xml:space="preserve">. A seconda del Paese devono essere notificati a un’autorità prima della prima vendita; in Germania, per esempio, all’Ufficio federale per la tutela dei consumatori e la sicurezza alimentare. Il produttore è responsabile della sicurezza; i controlli avvengono a campione da parte della vigilanza alimentare.</w:t>
      </w:r>
    </w:p>
    <w:p>
      <w:pPr>
        <w:pStyle w:val="BodyText"/>
      </w:pPr>
      <w:r>
        <w:t xml:space="preserve">Limiti importanti:</w:t>
      </w:r>
    </w:p>
    <w:p>
      <w:pPr>
        <w:numPr>
          <w:ilvl w:val="0"/>
          <w:numId w:val="1030"/>
        </w:numPr>
        <w:pStyle w:val="Compact"/>
      </w:pPr>
      <w:r>
        <w:t xml:space="preserve">Una sostanza che agisce farmacologicamente non può essere un integratore alimentare. Se viene comunque venduta come tale, si tratta di un farmaco non autorizzato.</w:t>
      </w:r>
    </w:p>
    <w:p>
      <w:pPr>
        <w:numPr>
          <w:ilvl w:val="0"/>
          <w:numId w:val="1030"/>
        </w:numPr>
        <w:pStyle w:val="Compact"/>
      </w:pPr>
      <w:r>
        <w:t xml:space="preserve">Le</w:t>
      </w:r>
      <w:r>
        <w:t xml:space="preserve"> </w:t>
      </w:r>
      <w:r>
        <w:rPr>
          <w:bCs/>
          <w:b/>
        </w:rPr>
        <w:t xml:space="preserve">indicazioni sulla salute</w:t>
      </w:r>
      <w:r>
        <w:t xml:space="preserve"> </w:t>
      </w:r>
      <w:r>
        <w:t xml:space="preserve">come „sostiene le articolazioni“ o „abbassa la pressione“ sono consentite solo se sono state autorizzate dall’UE dopo la valutazione dell’Autorità europea per la sicurezza alimentare (EFSA) e figurano in un elenco (regolamento (CE) n. 1924/2006). Per molti effetti pubblicizzati degli alimenti a base di peptidi, secondo le nostre conoscenze, non esiste alcuna indicazione autorizzata. La pubblicità che promette comunque un tale effetto non è consentita.</w:t>
      </w:r>
    </w:p>
    <w:p>
      <w:pPr>
        <w:numPr>
          <w:ilvl w:val="0"/>
          <w:numId w:val="1030"/>
        </w:numPr>
        <w:pStyle w:val="Compact"/>
      </w:pPr>
      <w:r>
        <w:t xml:space="preserve">Le</w:t>
      </w:r>
      <w:r>
        <w:t xml:space="preserve"> </w:t>
      </w:r>
      <w:r>
        <w:rPr>
          <w:bCs/>
          <w:b/>
        </w:rPr>
        <w:t xml:space="preserve">affermazioni relative a malattie</w:t>
      </w:r>
      <w:r>
        <w:t xml:space="preserve"> </w:t>
      </w:r>
      <w:r>
        <w:t xml:space="preserve">(per esempio „agisce contro l’artrosi“) sono in generale vietate per gli alimenti.</w:t>
      </w:r>
    </w:p>
    <w:p>
      <w:pPr>
        <w:pStyle w:val="FirstParagraph"/>
      </w:pPr>
      <w:r>
        <w:t xml:space="preserve">Che nemmeno gli integratori alimentari siano privi di principi attivi vietati lo mostra un caso di un laboratorio antidoping: in compresse offerte come integratore alimentare da banco è stato rilevato il peptide che rilascia l’ormone della crescita GHRP-2</w:t>
      </w:r>
      <w:r>
        <w:rPr>
          <w:rStyle w:val="FootnoteReference"/>
        </w:rPr>
        <w:footnoteReference w:id="216"/>
      </w:r>
      <w:r>
        <w:t xml:space="preserve">.</w:t>
      </w:r>
    </w:p>
    <w:bookmarkEnd w:id="217"/>
    <w:bookmarkStart w:id="218" w:name="novel-food"/>
    <w:p>
      <w:pPr>
        <w:pStyle w:val="Heading3"/>
      </w:pPr>
      <w:r>
        <w:t xml:space="preserve">Novel food</w:t>
      </w:r>
    </w:p>
    <w:p>
      <w:pPr>
        <w:pStyle w:val="FirstParagraph"/>
      </w:pPr>
      <w:r>
        <w:t xml:space="preserve">Un ostacolo specifico per gli alimenti è il</w:t>
      </w:r>
      <w:r>
        <w:t xml:space="preserve"> </w:t>
      </w:r>
      <w:r>
        <w:rPr>
          <w:bCs/>
          <w:b/>
        </w:rPr>
        <w:t xml:space="preserve">regolamento sui nuovi alimenti</w:t>
      </w:r>
      <w:r>
        <w:t xml:space="preserve"> </w:t>
      </w:r>
      <w:r>
        <w:t xml:space="preserve">(regolamento (UE) 2015/2283). Sono considerati „nuovi“ gli alimenti e gli ingredienti che prima del 15 maggio 1997 non erano utilizzati in misura significativa per il consumo umano nell’UE. Possono essere venduti solo dopo una valutazione della sicurezza e un’autorizzazione dell’UE.</w:t>
      </w:r>
    </w:p>
    <w:p>
      <w:pPr>
        <w:pStyle w:val="BodyText"/>
      </w:pPr>
      <w:r>
        <w:t xml:space="preserve">Per i peptidi ciò significa: gli idrolizzati di collagene derivati dalla gelatina hanno una lunga storia di consumo e non sono novel food. Un peptide di nuova sintesi senza storia di consumo, che si vorrebbe vendere come alimento, sarebbe invece in linea di principio un novel food e avrebbe bisogno di un’autorizzazione – a meno che non debba comunque essere classificato come farmaco per il suo effetto farmacologico. Se una sostanza sia un novel food va verificato caso per caso; la Commissione europea tiene a tale scopo un catalogo.</w:t>
      </w:r>
    </w:p>
    <w:bookmarkEnd w:id="218"/>
    <w:bookmarkStart w:id="219" w:name="cosmetici"/>
    <w:p>
      <w:pPr>
        <w:pStyle w:val="Heading3"/>
      </w:pPr>
      <w:r>
        <w:t xml:space="preserve">Cosmetici</w:t>
      </w:r>
    </w:p>
    <w:p>
      <w:pPr>
        <w:pStyle w:val="FirstParagraph"/>
      </w:pPr>
      <w:r>
        <w:t xml:space="preserve">Nell’UE i prodotti cosmetici sono disciplinati dal regolamento sui cosmetici (regolamento (CE) n. 1223/2009). Sono destinati all’applicazione esterna su pelle, capelli, unghie, labbra, denti o mucose della cavità orale – per pulire, curare, proteggere o modificare l’aspetto.</w:t>
      </w:r>
    </w:p>
    <w:p>
      <w:pPr>
        <w:numPr>
          <w:ilvl w:val="0"/>
          <w:numId w:val="1031"/>
        </w:numPr>
        <w:pStyle w:val="Compact"/>
      </w:pPr>
      <w:r>
        <w:t xml:space="preserve">I cosmetici</w:t>
      </w:r>
      <w:r>
        <w:t xml:space="preserve"> </w:t>
      </w:r>
      <w:r>
        <w:rPr>
          <w:bCs/>
          <w:b/>
        </w:rPr>
        <w:t xml:space="preserve">non necessitano di autorizzazione</w:t>
      </w:r>
      <w:r>
        <w:t xml:space="preserve">. Una persona responsabile nell’UE deve però presentare una valutazione della sicurezza e notificare il prodotto in un portale UE prima della vendita.</w:t>
      </w:r>
    </w:p>
    <w:p>
      <w:pPr>
        <w:numPr>
          <w:ilvl w:val="0"/>
          <w:numId w:val="1031"/>
        </w:numPr>
        <w:pStyle w:val="Compact"/>
      </w:pPr>
      <w:r>
        <w:t xml:space="preserve">Determinate sostanze sono vietate o consentite solo con limitazioni.</w:t>
      </w:r>
    </w:p>
    <w:p>
      <w:pPr>
        <w:numPr>
          <w:ilvl w:val="0"/>
          <w:numId w:val="1031"/>
        </w:numPr>
        <w:pStyle w:val="Compact"/>
      </w:pPr>
      <w:r>
        <w:t xml:space="preserve">Le affermazioni pubblicitarie devono essere dimostrabili e non possono essere ingannevoli. Le affermazioni sul trattamento di malattie non sono consentite.</w:t>
      </w:r>
    </w:p>
    <w:p>
      <w:pPr>
        <w:numPr>
          <w:ilvl w:val="0"/>
          <w:numId w:val="1031"/>
        </w:numPr>
        <w:pStyle w:val="Compact"/>
      </w:pPr>
      <w:r>
        <w:rPr>
          <w:bCs/>
          <w:b/>
        </w:rPr>
        <w:t xml:space="preserve">Ciò che si inietta non è mai un cosmetico.</w:t>
      </w:r>
      <w:r>
        <w:t xml:space="preserve"> </w:t>
      </w:r>
      <w:r>
        <w:t xml:space="preserve">Le iniezioni non rientrano nella definizione di prodotto cosmetico.</w:t>
      </w:r>
    </w:p>
    <w:p>
      <w:pPr>
        <w:pStyle w:val="FirstParagraph"/>
      </w:pPr>
      <w:r>
        <w:t xml:space="preserve">I peptidi cosmetici come il palmitoil pentapeptide-4 o l’acetil esapeptide-8 sono quindi legali in creme e sieri. Un peptide come il melanotan II, che viene iniettato sotto la pelle e agisce in tutto l’organismo, non è invece un cosmetico, anche se viene pubblicizzato come „abbronzante“.</w:t>
      </w:r>
    </w:p>
    <w:bookmarkEnd w:id="219"/>
    <w:bookmarkStart w:id="220" w:name="austria"/>
    <w:p>
      <w:pPr>
        <w:pStyle w:val="Heading3"/>
      </w:pPr>
      <w:r>
        <w:t xml:space="preserve">Austria</w:t>
      </w:r>
    </w:p>
    <w:p>
      <w:pPr>
        <w:pStyle w:val="FirstParagraph"/>
      </w:pPr>
      <w:r>
        <w:t xml:space="preserve">In Austria la</w:t>
      </w:r>
      <w:r>
        <w:t xml:space="preserve"> </w:t>
      </w:r>
      <w:r>
        <w:rPr>
          <w:bCs/>
          <w:b/>
        </w:rPr>
        <w:t xml:space="preserve">legge sui medicinali (Arzneimittelgesetz, AMG)</w:t>
      </w:r>
      <w:r>
        <w:t xml:space="preserve"> </w:t>
      </w:r>
      <w:r>
        <w:t xml:space="preserve">disciplina autorizzazione, produzione e dispensazione dei farmaci. Competente per autorizzazione e vigilanza è l’Ufficio federale per la sicurezza sanitaria (BASG) con la AGES Medizinmarktaufsicht. I farmaci soggetti a prescrizione vengono dispensati solo in farmacia dietro ricetta; la vendita per corrispondenza da parte delle farmacie è limitata ai farmaci non soggetti a prescrizione.</w:t>
      </w:r>
    </w:p>
    <w:p>
      <w:pPr>
        <w:pStyle w:val="BodyText"/>
      </w:pPr>
      <w:r>
        <w:t xml:space="preserve">L’importazione di farmaci è disciplinata dalla</w:t>
      </w:r>
      <w:r>
        <w:t xml:space="preserve"> </w:t>
      </w:r>
      <w:r>
        <w:rPr>
          <w:bCs/>
          <w:b/>
        </w:rPr>
        <w:t xml:space="preserve">legge sull’importazione di medicinali (Arzneiwareneinfuhrgesetz)</w:t>
      </w:r>
      <w:r>
        <w:t xml:space="preserve">. I privati possono importare farmaci solo a determinate condizioni e in quantità per uso personale; per ordini da Paesi al di fuori dello Spazio economico europeo valgono regole più severe. I principi attivi non autorizzati dei negozi di „sostanze chimiche per la ricerca“ di regola non soddisfano queste condizioni. La dogana può sequestrare tali spedizioni.</w:t>
      </w:r>
    </w:p>
    <w:p>
      <w:pPr>
        <w:pStyle w:val="BodyText"/>
      </w:pPr>
      <w:r>
        <w:t xml:space="preserve">Per lo sport vale la</w:t>
      </w:r>
      <w:r>
        <w:t xml:space="preserve"> </w:t>
      </w:r>
      <w:r>
        <w:rPr>
          <w:bCs/>
          <w:b/>
        </w:rPr>
        <w:t xml:space="preserve">legge federale antidoping 2021 (Anti-Doping-Bundesgesetz 2021)</w:t>
      </w:r>
      <w:r>
        <w:t xml:space="preserve">. Essa rimanda alla Lista delle sostanze proibite dell’Agenzia mondiale antidoping e contiene divieti e disposizioni penali, in particolare per l’immissione in commercio e la cessione di sostanze vietate. Competente per i controlli è l’Agenzia nazionale antidoping austriaca (NADA Austria).</w:t>
      </w:r>
    </w:p>
    <w:p>
      <w:pPr>
        <w:pStyle w:val="BodyText"/>
      </w:pPr>
      <w:r>
        <w:t xml:space="preserve">Aggiornato al 2026, da verificare.</w:t>
      </w:r>
    </w:p>
    <w:bookmarkEnd w:id="220"/>
    <w:bookmarkStart w:id="221" w:name="germania"/>
    <w:p>
      <w:pPr>
        <w:pStyle w:val="Heading3"/>
      </w:pPr>
      <w:r>
        <w:t xml:space="preserve">Germania</w:t>
      </w:r>
    </w:p>
    <w:p>
      <w:pPr>
        <w:pStyle w:val="FirstParagraph"/>
      </w:pPr>
      <w:r>
        <w:t xml:space="preserve">In Germania vale la</w:t>
      </w:r>
      <w:r>
        <w:t xml:space="preserve"> </w:t>
      </w:r>
      <w:r>
        <w:rPr>
          <w:bCs/>
          <w:b/>
        </w:rPr>
        <w:t xml:space="preserve">legge sui medicinali (Arzneimittelgesetz, AMG)</w:t>
      </w:r>
      <w:r>
        <w:t xml:space="preserve">. Le autorità di autorizzazione sono il BfArM e il Paul-Ehrlich-Institut. I farmaci soggetti a prescrizione possono essere dispensati solo dietro ricetta, anche nella vendita per corrispondenza da parte di farmacie autorizzate.</w:t>
      </w:r>
    </w:p>
    <w:p>
      <w:pPr>
        <w:pStyle w:val="BodyText"/>
      </w:pPr>
      <w:r>
        <w:t xml:space="preserve">Per l’importazione vale in linea di principio il divieto di introdurre in Germania farmaci non autorizzati. Esiste un’eccezione per l’uso personale, se il farmaco è legittimamente in commercio nel Paese di provenienza e viene acquistato da uno Stato membro dell’UE o dello Spazio economico europeo senza intermediazione commerciale; esistono inoltre regole speciali strettamente limitate. Per i peptidi del mercato grigio, che non sono autorizzati come farmaci da nessuna parte, questa eccezione secondo la nostra interpretazione non si applica.</w:t>
      </w:r>
    </w:p>
    <w:p>
      <w:pPr>
        <w:pStyle w:val="BodyText"/>
      </w:pPr>
      <w:r>
        <w:t xml:space="preserve">Chi produce, immette in commercio o cede ad altri farmaci senza autorizzazione può commettere un reato ai sensi dell’AMG. Ciò vale in particolare per i cosiddetti farmaci a rischio, per i quali esiste il fondato sospetto di effetti dannosi.</w:t>
      </w:r>
    </w:p>
    <w:p>
      <w:pPr>
        <w:pStyle w:val="BodyText"/>
      </w:pPr>
      <w:r>
        <w:t xml:space="preserve">Per lo sport vale inoltre la</w:t>
      </w:r>
      <w:r>
        <w:t xml:space="preserve"> </w:t>
      </w:r>
      <w:r>
        <w:rPr>
          <w:bCs/>
          <w:b/>
        </w:rPr>
        <w:t xml:space="preserve">legge antidoping (Anti-Doping-Gesetz, AntiDopG)</w:t>
      </w:r>
      <w:r>
        <w:t xml:space="preserve">. Essa vieta, tra l’altro, la produzione, il commercio e l’immissione in commercio di sostanze dopanti, nonché la loro somministrazione ad altri. L’acquisto e il possesso di determinate sostanze elencate in un allegato alla legge – tra cui gli ormoni peptidici – sono punibili se in quantità non esigua e a scopo di doping. Per le atlete e gli atleti di alto livello è punibile anche l’autodoping. Competente per i controlli è l’Agenzia nazionale antidoping tedesca (NADA).</w:t>
      </w:r>
    </w:p>
    <w:p>
      <w:pPr>
        <w:pStyle w:val="BodyText"/>
      </w:pPr>
      <w:r>
        <w:t xml:space="preserve">Aggiornato al 2026, da verificare.</w:t>
      </w:r>
    </w:p>
    <w:bookmarkEnd w:id="221"/>
    <w:bookmarkStart w:id="224" w:name="stati-uniti"/>
    <w:p>
      <w:pPr>
        <w:pStyle w:val="Heading3"/>
      </w:pPr>
      <w:r>
        <w:t xml:space="preserve">Stati Uniti</w:t>
      </w:r>
    </w:p>
    <w:p>
      <w:pPr>
        <w:pStyle w:val="FirstParagraph"/>
      </w:pPr>
      <w:r>
        <w:t xml:space="preserve">Negli Stati Uniti è competente la</w:t>
      </w:r>
      <w:r>
        <w:t xml:space="preserve"> </w:t>
      </w:r>
      <w:r>
        <w:rPr>
          <w:bCs/>
          <w:b/>
        </w:rPr>
        <w:t xml:space="preserve">Food and Drug Administration (FDA)</w:t>
      </w:r>
      <w:r>
        <w:t xml:space="preserve">. I nuovi farmaci necessitano di un’autorizzazione (per i principi attivi prodotti chimicamente tramite una „New Drug Application“, per i principi attivi biologici tramite una „Biologics License Application“).</w:t>
      </w:r>
    </w:p>
    <w:p>
      <w:pPr>
        <w:pStyle w:val="BodyText"/>
      </w:pPr>
      <w:r>
        <w:t xml:space="preserve">Gli</w:t>
      </w:r>
      <w:r>
        <w:t xml:space="preserve"> </w:t>
      </w:r>
      <w:r>
        <w:rPr>
          <w:bCs/>
          <w:b/>
        </w:rPr>
        <w:t xml:space="preserve">integratori alimentari</w:t>
      </w:r>
      <w:r>
        <w:t xml:space="preserve"> </w:t>
      </w:r>
      <w:r>
        <w:t xml:space="preserve">(Dietary Supplements) sono, in base a una legge del 1994, commerciabili in gran parte senza controllo preventivo. Una sostanza che sia stata prima autorizzata come farmaco o studiata clinicamente come farmaco in misura rilevante non può però, in linea di principio, essere venduta successivamente come integratore alimentare. Per questo motivo molti peptidi negli Stati Uniti non possono essere commercializzati legalmente come integratori.</w:t>
      </w:r>
    </w:p>
    <w:p>
      <w:pPr>
        <w:pStyle w:val="BodyText"/>
      </w:pPr>
      <w:r>
        <w:rPr>
          <w:bCs/>
          <w:b/>
        </w:rPr>
        <w:t xml:space="preserve">Compounding</w:t>
      </w:r>
      <w:r>
        <w:t xml:space="preserve">: a determinate condizioni le farmacie statunitensi possono preparare farmaci in proprio – singolarmente per determinati pazienti o su scala più ampia in strutture sottoposte a vigilanza particolare. In caso di carenza di farmaci autorizzati possono anche produrne copie. Dopo la fine delle carenze di semaglutide e tirzepatide, secondo il diritto statunitense possono produrre solo preparati diversi</w:t>
      </w:r>
      <w:r>
        <w:rPr>
          <w:rStyle w:val="FootnoteReference"/>
        </w:rPr>
        <w:footnoteReference w:id="222"/>
      </w:r>
      <w:r>
        <w:t xml:space="preserve">. Quali principi attivi possano essere usati come materie prime per il compounding lo stabilisce la FDA in appositi elenchi. Secondo le nostre conoscenze, la FDA ha classificato diversi peptidi popolari del mercato grigio, tra cui il BPC-157, come non idonei al compounding per motivi di sicurezza. Questi elenchi e il dibattito politico al riguardo cambiano; verifica la situazione attuale.</w:t>
      </w:r>
    </w:p>
    <w:p>
      <w:pPr>
        <w:pStyle w:val="BodyText"/>
      </w:pPr>
      <w:r>
        <w:rPr>
          <w:bCs/>
          <w:b/>
        </w:rPr>
        <w:t xml:space="preserve">„Research Use Only“</w:t>
      </w:r>
      <w:r>
        <w:t xml:space="preserve">: la vendita ai consumatori di peptidi con la dicitura „solo a scopo di ricerca“ si muove anche negli Stati Uniti in una zona grigia giuridica, descritta dagli esperti come un’elusione dell’obbligo di prescrizione</w:t>
      </w:r>
      <w:r>
        <w:rPr>
          <w:rStyle w:val="FootnoteReference"/>
        </w:rPr>
        <w:footnoteReference w:id="223"/>
      </w:r>
      <w:r>
        <w:t xml:space="preserve">. La FDA ha inviato lettere di avvertimento a singoli venditori.</w:t>
      </w:r>
    </w:p>
    <w:p>
      <w:pPr>
        <w:pStyle w:val="BodyText"/>
      </w:pPr>
      <w:r>
        <w:rPr>
          <w:bCs/>
          <w:b/>
        </w:rPr>
        <w:t xml:space="preserve">Importazione</w:t>
      </w:r>
      <w:r>
        <w:t xml:space="preserve">: la FDA tollera, a condizioni ristrette, l’importazione di piccole quantità di farmaci per uso personale. Non esiste un diritto a ciò, e i principi attivi non autorizzati senza accompagnamento medico di regola non vi rientrano.</w:t>
      </w:r>
    </w:p>
    <w:p>
      <w:pPr>
        <w:pStyle w:val="BodyText"/>
      </w:pPr>
      <w:r>
        <w:t xml:space="preserve">Aggiornato al 2026, da verificare.</w:t>
      </w:r>
    </w:p>
    <w:bookmarkEnd w:id="224"/>
    <w:bookmarkStart w:id="226" w:name="Xdd135899899bd46c345761f72cd2d1dfe112948"/>
    <w:p>
      <w:pPr>
        <w:pStyle w:val="Heading3"/>
      </w:pPr>
      <w:r>
        <w:t xml:space="preserve">Doping: la Lista delle sostanze proibite della WADA</w:t>
      </w:r>
    </w:p>
    <w:p>
      <w:pPr>
        <w:pStyle w:val="FirstParagraph"/>
      </w:pPr>
      <w:r>
        <w:t xml:space="preserve">Per le atlete e gli atleti sottoposti a controlli antidoping fa fede la</w:t>
      </w:r>
      <w:r>
        <w:t xml:space="preserve"> </w:t>
      </w:r>
      <w:r>
        <w:rPr>
          <w:bCs/>
          <w:b/>
        </w:rPr>
        <w:t xml:space="preserve">Lista delle sostanze proibite dell’Agenzia mondiale antidoping (WADA)</w:t>
      </w:r>
      <w:r>
        <w:t xml:space="preserve">. Viene rivista ogni anno ed entra in vigore ogni volta il 1° gennaio. Per i peptidi sono importanti soprattutto due sezioni, valide in competizione e fuori competizione:</w:t>
      </w:r>
    </w:p>
    <w:p>
      <w:pPr>
        <w:pStyle w:val="BodyText"/>
      </w:pPr>
      <w:r>
        <w:rPr>
          <w:bCs/>
          <w:b/>
        </w:rPr>
        <w:t xml:space="preserve">S0 – Sostanze non approvate.</w:t>
      </w:r>
      <w:r>
        <w:t xml:space="preserve"> </w:t>
      </w:r>
      <w:r>
        <w:t xml:space="preserve">Sono vietate le sostanze farmacologicamente attive non menzionate in nessun’altra sezione della lista e non approvate da alcuna autorità sanitaria per l’uso nell’uomo – per esempio principi attivi in sviluppo preclinico o clinico, sviluppi interrotti, designer drug e sostanze approvate solo per uso veterinario. Molti peptidi del mercato grigio rientrano in questo gruppo. Il BPC-157, secondo le nostre conoscenze, è citato espressamente nella lista come esempio.</w:t>
      </w:r>
    </w:p>
    <w:p>
      <w:pPr>
        <w:pStyle w:val="BodyText"/>
      </w:pPr>
      <w:r>
        <w:rPr>
          <w:bCs/>
          <w:b/>
        </w:rPr>
        <w:t xml:space="preserve">S2 – Ormoni peptidici, fattori di crescita, sostanze correlate e mimetici.</w:t>
      </w:r>
      <w:r>
        <w:t xml:space="preserve"> </w:t>
      </w:r>
      <w:r>
        <w:t xml:space="preserve">Vi rientrano, tra l’altro:</w:t>
      </w:r>
    </w:p>
    <w:p>
      <w:pPr>
        <w:numPr>
          <w:ilvl w:val="0"/>
          <w:numId w:val="1032"/>
        </w:numPr>
        <w:pStyle w:val="Compact"/>
      </w:pPr>
      <w:r>
        <w:t xml:space="preserve">l’ormone della crescita e i suoi frammenti (per esempio AOD-9604),</w:t>
      </w:r>
    </w:p>
    <w:p>
      <w:pPr>
        <w:numPr>
          <w:ilvl w:val="0"/>
          <w:numId w:val="1032"/>
        </w:numPr>
        <w:pStyle w:val="Compact"/>
      </w:pPr>
      <w:r>
        <w:t xml:space="preserve">l’ormone di rilascio dell’ormone della crescita e i suoi analoghi (per esempio CJC-1295, sermorelina, tesamorelina),</w:t>
      </w:r>
    </w:p>
    <w:p>
      <w:pPr>
        <w:numPr>
          <w:ilvl w:val="0"/>
          <w:numId w:val="1032"/>
        </w:numPr>
        <w:pStyle w:val="Compact"/>
      </w:pPr>
      <w:r>
        <w:t xml:space="preserve">i secretagoghi dell’ormone della crescita e i peptidi che rilasciano l’ormone della crescita (per esempio ipamorelin, GHRP-2, GHRP-6, hexarelin, macimorelin e, secondo le nostre conoscenze, anche l’ibutamoren non peptidico),</w:t>
      </w:r>
    </w:p>
    <w:p>
      <w:pPr>
        <w:numPr>
          <w:ilvl w:val="0"/>
          <w:numId w:val="1032"/>
        </w:numPr>
        <w:pStyle w:val="Compact"/>
      </w:pPr>
      <w:r>
        <w:t xml:space="preserve">fattori di crescita come l’IGF-1 e i suoi analoghi, nonché la timosina beta-4 e i suoi derivati (per esempio TB-500),</w:t>
      </w:r>
    </w:p>
    <w:p>
      <w:pPr>
        <w:numPr>
          <w:ilvl w:val="0"/>
          <w:numId w:val="1032"/>
        </w:numPr>
        <w:pStyle w:val="Compact"/>
      </w:pPr>
      <w:r>
        <w:t xml:space="preserve">negli uomini, ormoni e fattori di rilascio dell’asse degli ormoni sessuali (per esempio gonadorelina e kisspeptina).</w:t>
      </w:r>
    </w:p>
    <w:p>
      <w:pPr>
        <w:pStyle w:val="FirstParagraph"/>
      </w:pPr>
      <w:r>
        <w:t xml:space="preserve">Nella sezione S4 sono inoltre vietate, tra l’altro, le insuline come modulatori metabolici. I farmaci GLP-1 come semaglutide o tirzepatide, secondo le nostre conoscenze, attualmente non figurano nella Lista delle sostanze proibite. La lista cita esempi, ma non è esaustiva: possono essere vietate anche sostanze non menzionate con struttura chimica simile o effetto biologico simile.</w:t>
      </w:r>
    </w:p>
    <w:p>
      <w:pPr>
        <w:pStyle w:val="BodyText"/>
      </w:pPr>
      <w:r>
        <w:t xml:space="preserve">Nel diritto antidoping vale la</w:t>
      </w:r>
      <w:r>
        <w:t xml:space="preserve"> </w:t>
      </w:r>
      <w:r>
        <w:rPr>
          <w:bCs/>
          <w:b/>
        </w:rPr>
        <w:t xml:space="preserve">responsabilità oggettiva</w:t>
      </w:r>
      <w:r>
        <w:t xml:space="preserve">: se in un campione viene trovata una sostanza vietata, si tratta di una violazione – indipendentemente dal fatto che sia stata assunta intenzionalmente o provenga, per esempio, da un integratore alimentare contaminato. Chi ha bisogno per motivi medici di un farmaco autorizzato ma vietato può richiedere un’</w:t>
      </w:r>
      <w:r>
        <w:rPr>
          <w:bCs/>
          <w:b/>
        </w:rPr>
        <w:t xml:space="preserve">esenzione a fini terapeutici</w:t>
      </w:r>
      <w:r>
        <w:t xml:space="preserve"> </w:t>
      </w:r>
      <w:r>
        <w:t xml:space="preserve">(Therapeutic Use Exemption, TUE). Per le sostanze non approvate della sezione S0 ciò è praticamente escluso.</w:t>
      </w:r>
    </w:p>
    <w:p>
      <w:pPr>
        <w:pStyle w:val="BodyText"/>
      </w:pPr>
      <w:r>
        <w:t xml:space="preserve">I laboratori di controllo antidoping sviluppano continuamente metodi di rilevamento per nuovi peptidi, spesso sulla base di prodotti sequestrati</w:t>
      </w:r>
      <w:r>
        <w:rPr>
          <w:rStyle w:val="FootnoteReference"/>
        </w:rPr>
        <w:footnoteReference w:id="225"/>
      </w:r>
      <w:r>
        <w:t xml:space="preserve">. Il fatto che una sostanza ieri non fosse rilevabile non significa che non lo sarà domani – e i campioni congelati possono essere riesaminati anni dopo.</w:t>
      </w:r>
    </w:p>
    <w:p>
      <w:pPr>
        <w:pStyle w:val="BodyText"/>
      </w:pPr>
      <w:r>
        <w:t xml:space="preserve">Aggiornato al 2026, verificare la Lista delle sostanze proibite della WADA in vigore.</w:t>
      </w:r>
    </w:p>
    <w:bookmarkEnd w:id="226"/>
    <w:bookmarkStart w:id="227" w:name="responsabilità-chi-si-assume-il-rischio"/>
    <w:p>
      <w:pPr>
        <w:pStyle w:val="Heading3"/>
      </w:pPr>
      <w:r>
        <w:t xml:space="preserve">Responsabilità: chi si assume il rischio?</w:t>
      </w:r>
    </w:p>
    <w:p>
      <w:pPr>
        <w:pStyle w:val="FirstParagraph"/>
      </w:pPr>
      <w:r>
        <w:t xml:space="preserve">Per i</w:t>
      </w:r>
      <w:r>
        <w:t xml:space="preserve"> </w:t>
      </w:r>
      <w:r>
        <w:rPr>
          <w:bCs/>
          <w:b/>
        </w:rPr>
        <w:t xml:space="preserve">farmaci autorizzati</w:t>
      </w:r>
      <w:r>
        <w:t xml:space="preserve">, produttori, farmacie e medici prescrittori sono inseriti in un sistema di responsabilità e risarcimento. In Germania la legge sui medicinali prevede una responsabilità particolare del produttore per i danni causati da farmaci autorizzati, che non dipende da una colpa; in Austria si applicano il diritto generale del risarcimento del danno e la legge sulla responsabilità per danno da prodotti. Gli effetti collaterali vengono segnalati, analizzati e possono portare ad avvertenze o ritiri dal mercato.</w:t>
      </w:r>
    </w:p>
    <w:p>
      <w:pPr>
        <w:pStyle w:val="BodyText"/>
      </w:pPr>
      <w:r>
        <w:t xml:space="preserve">Per i</w:t>
      </w:r>
      <w:r>
        <w:t xml:space="preserve"> </w:t>
      </w:r>
      <w:r>
        <w:rPr>
          <w:bCs/>
          <w:b/>
        </w:rPr>
        <w:t xml:space="preserve">prodotti del mercato grigio</w:t>
      </w:r>
      <w:r>
        <w:t xml:space="preserve"> </w:t>
      </w:r>
      <w:r>
        <w:t xml:space="preserve">questo sistema manca in gran parte:</w:t>
      </w:r>
    </w:p>
    <w:p>
      <w:pPr>
        <w:numPr>
          <w:ilvl w:val="0"/>
          <w:numId w:val="1033"/>
        </w:numPr>
        <w:pStyle w:val="Compact"/>
      </w:pPr>
      <w:r>
        <w:t xml:space="preserve">I venditori hanno spesso sede all’estero, cambiano frequentemente nome e sito web e sono praticamente irraggiungibili.</w:t>
      </w:r>
    </w:p>
    <w:p>
      <w:pPr>
        <w:numPr>
          <w:ilvl w:val="0"/>
          <w:numId w:val="1033"/>
        </w:numPr>
        <w:pStyle w:val="Compact"/>
      </w:pPr>
      <w:r>
        <w:t xml:space="preserve">Con la dicitura „non per l’uso nell’uomo“ cercano di respingere ogni responsabilità.</w:t>
      </w:r>
    </w:p>
    <w:p>
      <w:pPr>
        <w:numPr>
          <w:ilvl w:val="0"/>
          <w:numId w:val="1033"/>
        </w:numPr>
        <w:pStyle w:val="Compact"/>
      </w:pPr>
      <w:r>
        <w:t xml:space="preserve">Chi usa personalmente un prodotto di questo tipo si assume in gran parte da solo il rischio sanitario e finanziario.</w:t>
      </w:r>
    </w:p>
    <w:p>
      <w:pPr>
        <w:numPr>
          <w:ilvl w:val="0"/>
          <w:numId w:val="1033"/>
        </w:numPr>
        <w:pStyle w:val="Compact"/>
      </w:pPr>
      <w:r>
        <w:t xml:space="preserve">Chi cede un prodotto di questo tipo ad altri o lo usa su altri – per esempio in una palestra, in un centro estetico o di benessere – può commettere un reato e, in determinate circostanze, risponde dei danni.</w:t>
      </w:r>
    </w:p>
    <w:p>
      <w:pPr>
        <w:pStyle w:val="FirstParagraph"/>
      </w:pPr>
      <w:r>
        <w:t xml:space="preserve">Anche per l’</w:t>
      </w:r>
      <w:r>
        <w:rPr>
          <w:bCs/>
          <w:b/>
        </w:rPr>
        <w:t xml:space="preserve">uso da parte dei medici</w:t>
      </w:r>
      <w:r>
        <w:t xml:space="preserve"> </w:t>
      </w:r>
      <w:r>
        <w:t xml:space="preserve">valgono criteri rigorosi. Chi somministra principi attivi non autorizzati deve informare in modo esauriente sulla scarsità dei dati e risponde in caso di errori di trattamento. Sono possibili conseguenze deontologiche.</w:t>
      </w:r>
    </w:p>
    <w:bookmarkEnd w:id="227"/>
    <w:bookmarkStart w:id="228" w:name="il-quadro-normativo-in-sintesi"/>
    <w:p>
      <w:pPr>
        <w:pStyle w:val="Heading3"/>
      </w:pPr>
      <w:r>
        <w:t xml:space="preserve">Il quadro normativo in sintesi</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Situazione</w:t>
            </w:r>
          </w:p>
        </w:tc>
        <w:tc>
          <w:tcPr/>
          <w:p>
            <w:pPr>
              <w:pStyle w:val="Compact"/>
              <w:jc w:val="left"/>
            </w:pPr>
            <w:r>
              <w:t xml:space="preserve">Classificazione (semplificata)</w:t>
            </w:r>
          </w:p>
        </w:tc>
      </w:tr>
      <w:tr>
        <w:tc>
          <w:tcPr/>
          <w:p>
            <w:pPr>
              <w:pStyle w:val="Compact"/>
              <w:jc w:val="left"/>
            </w:pPr>
            <w:r>
              <w:t xml:space="preserve">Peptide autorizzato con ricetta in farmacia</w:t>
            </w:r>
          </w:p>
        </w:tc>
        <w:tc>
          <w:tcPr/>
          <w:p>
            <w:pPr>
              <w:pStyle w:val="Compact"/>
              <w:jc w:val="left"/>
            </w:pPr>
            <w:r>
              <w:t xml:space="preserve">legale, con accompagnamento medico</w:t>
            </w:r>
          </w:p>
        </w:tc>
      </w:tr>
      <w:tr>
        <w:tc>
          <w:tcPr/>
          <w:p>
            <w:pPr>
              <w:pStyle w:val="Compact"/>
              <w:jc w:val="left"/>
            </w:pPr>
            <w:r>
              <w:t xml:space="preserve">Peptide autorizzato senza ricetta da Internet</w:t>
            </w:r>
          </w:p>
        </w:tc>
        <w:tc>
          <w:tcPr/>
          <w:p>
            <w:pPr>
              <w:pStyle w:val="Compact"/>
              <w:jc w:val="left"/>
            </w:pPr>
            <w:r>
              <w:t xml:space="preserve">di regola illegale, rischio di contraffazione</w:t>
            </w:r>
          </w:p>
        </w:tc>
      </w:tr>
      <w:tr>
        <w:tc>
          <w:tcPr/>
          <w:p>
            <w:pPr>
              <w:pStyle w:val="Compact"/>
              <w:jc w:val="left"/>
            </w:pPr>
            <w:r>
              <w:t xml:space="preserve">Peptide non autorizzato come „sostanza chimica per la ricerca“</w:t>
            </w:r>
          </w:p>
        </w:tc>
        <w:tc>
          <w:tcPr/>
          <w:p>
            <w:pPr>
              <w:pStyle w:val="Compact"/>
              <w:jc w:val="left"/>
            </w:pPr>
            <w:r>
              <w:t xml:space="preserve">di regola farmaco non commerciabile</w:t>
            </w:r>
          </w:p>
        </w:tc>
      </w:tr>
      <w:tr>
        <w:tc>
          <w:tcPr/>
          <w:p>
            <w:pPr>
              <w:pStyle w:val="Compact"/>
              <w:jc w:val="left"/>
            </w:pPr>
            <w:r>
              <w:t xml:space="preserve">Peptidi di collagene come alimento</w:t>
            </w:r>
          </w:p>
        </w:tc>
        <w:tc>
          <w:tcPr/>
          <w:p>
            <w:pPr>
              <w:pStyle w:val="Compact"/>
              <w:jc w:val="left"/>
            </w:pPr>
            <w:r>
              <w:t xml:space="preserve">legale, affermazioni pubblicitarie limitate</w:t>
            </w:r>
          </w:p>
        </w:tc>
      </w:tr>
      <w:tr>
        <w:tc>
          <w:tcPr/>
          <w:p>
            <w:pPr>
              <w:pStyle w:val="Compact"/>
              <w:jc w:val="left"/>
            </w:pPr>
            <w:r>
              <w:t xml:space="preserve">Crema ai peptidi come cosmetico</w:t>
            </w:r>
          </w:p>
        </w:tc>
        <w:tc>
          <w:tcPr/>
          <w:p>
            <w:pPr>
              <w:pStyle w:val="Compact"/>
              <w:jc w:val="left"/>
            </w:pPr>
            <w:r>
              <w:t xml:space="preserve">legale, purché sicura e non pubblicizzata come rimedio</w:t>
            </w:r>
          </w:p>
        </w:tc>
      </w:tr>
      <w:tr>
        <w:tc>
          <w:tcPr/>
          <w:p>
            <w:pPr>
              <w:pStyle w:val="Compact"/>
              <w:jc w:val="left"/>
            </w:pPr>
            <w:r>
              <w:t xml:space="preserve">Peptide vietato nello sport controllato</w:t>
            </w:r>
          </w:p>
        </w:tc>
        <w:tc>
          <w:tcPr/>
          <w:p>
            <w:pPr>
              <w:pStyle w:val="Compact"/>
              <w:jc w:val="left"/>
            </w:pPr>
            <w:r>
              <w:t xml:space="preserve">violazione antidoping, in parte punibile</w:t>
            </w:r>
          </w:p>
        </w:tc>
      </w:tr>
    </w:tbl>
    <w:bookmarkEnd w:id="228"/>
    <w:bookmarkStart w:id="229" w:name="lessenziale-in-breve-4"/>
    <w:p>
      <w:pPr>
        <w:pStyle w:val="Heading3"/>
      </w:pPr>
      <w:r>
        <w:t xml:space="preserve">L’essenziale in breve</w:t>
      </w:r>
    </w:p>
    <w:p>
      <w:pPr>
        <w:numPr>
          <w:ilvl w:val="0"/>
          <w:numId w:val="1034"/>
        </w:numPr>
        <w:pStyle w:val="Compact"/>
      </w:pPr>
      <w:r>
        <w:t xml:space="preserve">Se un peptide sia un farmaco, un alimento o un cosmetico dipende da effetto, destinazione d’uso e presentazione. In caso di effetto farmacologico prevale la normativa sui farmaci.</w:t>
      </w:r>
    </w:p>
    <w:p>
      <w:pPr>
        <w:numPr>
          <w:ilvl w:val="0"/>
          <w:numId w:val="1034"/>
        </w:numPr>
        <w:pStyle w:val="Compact"/>
      </w:pPr>
      <w:r>
        <w:t xml:space="preserve">I farmaci necessitano di un’autorizzazione. La maggior parte dei farmaci peptidici è soggetta a prescrizione.</w:t>
      </w:r>
    </w:p>
    <w:p>
      <w:pPr>
        <w:numPr>
          <w:ilvl w:val="0"/>
          <w:numId w:val="1034"/>
        </w:numPr>
        <w:pStyle w:val="Compact"/>
      </w:pPr>
      <w:r>
        <w:t xml:space="preserve">La dicitura „solo a scopo di ricerca“ non rende legale la vendita ai privati e non li protegge.</w:t>
      </w:r>
    </w:p>
    <w:p>
      <w:pPr>
        <w:numPr>
          <w:ilvl w:val="0"/>
          <w:numId w:val="1034"/>
        </w:numPr>
        <w:pStyle w:val="Compact"/>
      </w:pPr>
      <w:r>
        <w:t xml:space="preserve">Molti peptidi del mercato grigio sono vietati nello sport, spesso tramite le sezioni S0 e S2 della lista WADA.</w:t>
      </w:r>
    </w:p>
    <w:p>
      <w:pPr>
        <w:numPr>
          <w:ilvl w:val="0"/>
          <w:numId w:val="1034"/>
        </w:numPr>
        <w:pStyle w:val="Compact"/>
      </w:pPr>
      <w:r>
        <w:t xml:space="preserve">Con i prodotti del mercato grigio chi li usa si assume il rischio in gran parte da solo.</w:t>
      </w:r>
    </w:p>
    <w:p>
      <w:pPr>
        <w:pStyle w:val="FirstParagraph"/>
      </w:pPr>
      <w:r>
        <w:t xml:space="preserve">Tutte le informazioni di questo capitolo: aggiornato al 2026, nessuna consulenza legale, da verificare.</w:t>
      </w:r>
    </w:p>
    <w:bookmarkEnd w:id="229"/>
    <w:bookmarkEnd w:id="230"/>
    <w:bookmarkEnd w:id="231"/>
    <w:bookmarkStart w:id="893" w:name="parte-ii-a-metabolismo-e-peso"/>
    <w:p>
      <w:pPr>
        <w:pStyle w:val="Heading1"/>
      </w:pPr>
      <w:r>
        <w:t xml:space="preserve">Parte II · A – Metabolismo e peso</w:t>
      </w:r>
    </w:p>
    <w:p>
      <w:pPr>
        <w:pStyle w:val="FirstParagraph"/>
      </w:pPr>
      <w:r>
        <w:t xml:space="preserve">Nessun gruppo di peptidi ha cambiato la medicina degli ultimi anni quanto i principi attivi di questa sezione. Sviluppati in origine per il diabete di tipo 2, sono poi diventati i farmaci dimagranti più efficaci mai esistiti e oggi vengono studiati nello scompenso cardiaco, nell’apnea notturna, nella steatosi epatica e nelle malattie renali. Al tempo stesso quasi nessun altro ambito è così colpito dal mercato grigio: principi attivi ancora in fase di studio vengono venduti su Internet come „Research Peptides“.</w:t>
      </w:r>
    </w:p>
    <w:bookmarkStart w:id="232" w:name="X50a21807194bf7bc33cb9f9acec1ab06fcdc9dd"/>
    <w:p>
      <w:pPr>
        <w:pStyle w:val="Heading3"/>
      </w:pPr>
      <w:r>
        <w:t xml:space="preserve">Che cosa accomuna questi principi attivi: ormoni dell’intestino e del pancreas</w:t>
      </w:r>
    </w:p>
    <w:p>
      <w:pPr>
        <w:pStyle w:val="FirstParagraph"/>
      </w:pPr>
      <w:r>
        <w:t xml:space="preserve">Quasi tutti i principi attivi di questo gruppo imitano ormoni che l’organismo rilascia intorno a un pasto. Quattro di essi dovresti conoscerli:</w:t>
      </w:r>
    </w:p>
    <w:p>
      <w:pPr>
        <w:numPr>
          <w:ilvl w:val="0"/>
          <w:numId w:val="1035"/>
        </w:numPr>
        <w:pStyle w:val="Compact"/>
      </w:pPr>
      <w:r>
        <w:t xml:space="preserve">Il</w:t>
      </w:r>
      <w:r>
        <w:t xml:space="preserve"> </w:t>
      </w:r>
      <w:r>
        <w:rPr>
          <w:bCs/>
          <w:b/>
        </w:rPr>
        <w:t xml:space="preserve">GLP-1 (glucagon-like peptide-1)</w:t>
      </w:r>
      <w:r>
        <w:t xml:space="preserve"> </w:t>
      </w:r>
      <w:r>
        <w:t xml:space="preserve">viene rilasciato dalle cellule dell’intestino tenue e del colon non appena arriva il cibo. Potenzia la secrezione di insulina – ma solo quando la glicemia è elevata –, rallenta lo svuotamento gastrico e segnala sazietà al cervello. Il GLP-1 endogeno viene degradato nel giro di pochi minuti; i farmaci sono modificati in modo da agire da un giorno a una settimana.</w:t>
      </w:r>
    </w:p>
    <w:p>
      <w:pPr>
        <w:numPr>
          <w:ilvl w:val="0"/>
          <w:numId w:val="1035"/>
        </w:numPr>
        <w:pStyle w:val="Compact"/>
      </w:pPr>
      <w:r>
        <w:t xml:space="preserve">Il</w:t>
      </w:r>
      <w:r>
        <w:t xml:space="preserve"> </w:t>
      </w:r>
      <w:r>
        <w:rPr>
          <w:bCs/>
          <w:b/>
        </w:rPr>
        <w:t xml:space="preserve">GIP (polipeptide insulinotropico glucosio-dipendente)</w:t>
      </w:r>
      <w:r>
        <w:t xml:space="preserve"> </w:t>
      </w:r>
      <w:r>
        <w:t xml:space="preserve">proviene dalla parte superiore dell’intestino tenue e potenzia anch’esso la secrezione di insulina. Il suo ruolo su appetito e peso corporeo è contraddittorio: la tirzepatide attiva il recettore del GIP, maridebart cafraglutide lo blocca – ed entrambi portano a una perdita di peso.</w:t>
      </w:r>
    </w:p>
    <w:p>
      <w:pPr>
        <w:numPr>
          <w:ilvl w:val="0"/>
          <w:numId w:val="1035"/>
        </w:numPr>
        <w:pStyle w:val="Compact"/>
      </w:pPr>
      <w:r>
        <w:t xml:space="preserve">Il</w:t>
      </w:r>
      <w:r>
        <w:t xml:space="preserve"> </w:t>
      </w:r>
      <w:r>
        <w:rPr>
          <w:bCs/>
          <w:b/>
        </w:rPr>
        <w:t xml:space="preserve">glucagone</w:t>
      </w:r>
      <w:r>
        <w:t xml:space="preserve"> </w:t>
      </w:r>
      <w:r>
        <w:t xml:space="preserve">è l’ormone antagonista dell’insulina prodotto dal pancreas. Innalza la glicemia, ma aumenta anche il dispendio energetico e la degradazione dei grassi nel fegato. I principi attivi più recenti sfruttano in modo mirato questo secondo aspetto.</w:t>
      </w:r>
    </w:p>
    <w:p>
      <w:pPr>
        <w:numPr>
          <w:ilvl w:val="0"/>
          <w:numId w:val="1035"/>
        </w:numPr>
        <w:pStyle w:val="Compact"/>
      </w:pPr>
      <w:r>
        <w:t xml:space="preserve">L’</w:t>
      </w:r>
      <w:r>
        <w:rPr>
          <w:bCs/>
          <w:b/>
        </w:rPr>
        <w:t xml:space="preserve">amilina</w:t>
      </w:r>
      <w:r>
        <w:t xml:space="preserve"> </w:t>
      </w:r>
      <w:r>
        <w:t xml:space="preserve">viene rilasciata insieme all’insulina dalle cellule beta del pancreas. Agisce nel tronco encefalico dando sazietà e rallenta lo svuotamento gastrico.</w:t>
      </w:r>
    </w:p>
    <w:p>
      <w:pPr>
        <w:pStyle w:val="FirstParagraph"/>
      </w:pPr>
      <w:r>
        <w:t xml:space="preserve">GLP-1 e GIP sono chiamati</w:t>
      </w:r>
      <w:r>
        <w:t xml:space="preserve"> </w:t>
      </w:r>
      <w:r>
        <w:rPr>
          <w:bCs/>
          <w:b/>
        </w:rPr>
        <w:t xml:space="preserve">incretine</w:t>
      </w:r>
      <w:r>
        <w:t xml:space="preserve"> </w:t>
      </w:r>
      <w:r>
        <w:t xml:space="preserve">(dall’inglese „INtestinal seCRETion of INsulin“, cioè secrezione di insulina innescata dall’intestino): spiegano perché lo zucchero che viene mangiato libera più insulina della stessa quantità di zucchero somministrata direttamente in vena. Lo sviluppo si può leggere come una sequenza di tappe: prima gli agonisti puri del GLP-1, poi le combinazioni con GIP, glucagone o amilina in un’unica molecola, infine compresse che non sono più affatto peptidi.</w:t>
      </w:r>
    </w:p>
    <w:p>
      <w:pPr>
        <w:pStyle w:val="BodyText"/>
      </w:pPr>
      <w:r>
        <w:t xml:space="preserve">Due principi attivi di questo gruppo non rientrano in questo schema: la</w:t>
      </w:r>
      <w:r>
        <w:t xml:space="preserve"> </w:t>
      </w:r>
      <w:r>
        <w:rPr>
          <w:bCs/>
          <w:b/>
        </w:rPr>
        <w:t xml:space="preserve">setmelanotide</w:t>
      </w:r>
      <w:r>
        <w:t xml:space="preserve"> </w:t>
      </w:r>
      <w:r>
        <w:t xml:space="preserve">agisce più in profondità nel cervello, sul recettore della melanocortina 4, ed è destinata solo a rare forme genetiche di obesità. L’</w:t>
      </w:r>
      <w:r>
        <w:rPr>
          <w:bCs/>
          <w:b/>
        </w:rPr>
        <w:t xml:space="preserve">AOD-9604</w:t>
      </w:r>
      <w:r>
        <w:t xml:space="preserve"> </w:t>
      </w:r>
      <w:r>
        <w:t xml:space="preserve">è un frammento dell’ormone della crescita commercializzato come „brucia-grassi“ senza che esistano studi pubblicati sull’uomo.</w:t>
      </w:r>
    </w:p>
    <w:bookmarkEnd w:id="232"/>
    <w:bookmarkStart w:id="233" w:name="panoramica"/>
    <w:p>
      <w:pPr>
        <w:pStyle w:val="Heading3"/>
      </w:pPr>
      <w:r>
        <w:t xml:space="preserve">Panoramica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Peptide</w:t>
            </w:r>
          </w:p>
        </w:tc>
        <w:tc>
          <w:tcPr/>
          <w:p>
            <w:pPr>
              <w:pStyle w:val="Compact"/>
              <w:jc w:val="left"/>
            </w:pPr>
            <w:r>
              <w:t xml:space="preserve">Evidenza</w:t>
            </w:r>
          </w:p>
        </w:tc>
        <w:tc>
          <w:tcPr/>
          <w:p>
            <w:pPr>
              <w:pStyle w:val="Compact"/>
              <w:jc w:val="left"/>
            </w:pPr>
            <w:r>
              <w:t xml:space="preserve">Autorizzazione</w:t>
            </w:r>
          </w:p>
        </w:tc>
        <w:tc>
          <w:tcPr/>
          <w:p>
            <w:pPr>
              <w:pStyle w:val="Compact"/>
              <w:jc w:val="left"/>
            </w:pPr>
            <w:r>
              <w:t xml:space="preserve">In breve</w:t>
            </w:r>
          </w:p>
        </w:tc>
      </w:tr>
      <w:tr>
        <w:tc>
          <w:tcPr/>
          <w:p>
            <w:pPr>
              <w:pStyle w:val="Compact"/>
              <w:jc w:val="left"/>
            </w:pPr>
            <w:r>
              <w:t xml:space="preserve">Exenatide</w:t>
            </w:r>
          </w:p>
        </w:tc>
        <w:tc>
          <w:tcPr/>
          <w:p>
            <w:pPr>
              <w:pStyle w:val="Compact"/>
              <w:jc w:val="left"/>
            </w:pPr>
            <w:r>
              <w:t xml:space="preserve">A</w:t>
            </w:r>
          </w:p>
        </w:tc>
        <w:tc>
          <w:tcPr/>
          <w:p>
            <w:pPr>
              <w:pStyle w:val="Compact"/>
              <w:jc w:val="left"/>
            </w:pPr>
            <w:r>
              <w:t xml:space="preserve">UE, USA</w:t>
            </w:r>
          </w:p>
        </w:tc>
        <w:tc>
          <w:tcPr/>
          <w:p>
            <w:pPr>
              <w:pStyle w:val="Compact"/>
              <w:jc w:val="left"/>
            </w:pPr>
            <w:r>
              <w:t xml:space="preserve">primo agonista del GLP-1, dal veleno di una lucertola</w:t>
            </w:r>
          </w:p>
        </w:tc>
      </w:tr>
      <w:tr>
        <w:tc>
          <w:tcPr/>
          <w:p>
            <w:pPr>
              <w:pStyle w:val="Compact"/>
              <w:jc w:val="left"/>
            </w:pPr>
            <w:r>
              <w:t xml:space="preserve">Liraglutide</w:t>
            </w:r>
          </w:p>
        </w:tc>
        <w:tc>
          <w:tcPr/>
          <w:p>
            <w:pPr>
              <w:pStyle w:val="Compact"/>
              <w:jc w:val="left"/>
            </w:pPr>
            <w:r>
              <w:t xml:space="preserve">A</w:t>
            </w:r>
          </w:p>
        </w:tc>
        <w:tc>
          <w:tcPr/>
          <w:p>
            <w:pPr>
              <w:pStyle w:val="Compact"/>
              <w:jc w:val="left"/>
            </w:pPr>
            <w:r>
              <w:t xml:space="preserve">UE, USA</w:t>
            </w:r>
          </w:p>
        </w:tc>
        <w:tc>
          <w:tcPr/>
          <w:p>
            <w:pPr>
              <w:pStyle w:val="Compact"/>
              <w:jc w:val="left"/>
            </w:pPr>
            <w:r>
              <w:t xml:space="preserve">iniezione giornaliera, generici</w:t>
            </w:r>
          </w:p>
        </w:tc>
      </w:tr>
      <w:tr>
        <w:tc>
          <w:tcPr/>
          <w:p>
            <w:pPr>
              <w:pStyle w:val="Compact"/>
              <w:jc w:val="left"/>
            </w:pPr>
            <w:r>
              <w:t xml:space="preserve">Dulaglutide</w:t>
            </w:r>
          </w:p>
        </w:tc>
        <w:tc>
          <w:tcPr/>
          <w:p>
            <w:pPr>
              <w:pStyle w:val="Compact"/>
              <w:jc w:val="left"/>
            </w:pPr>
            <w:r>
              <w:t xml:space="preserve">A</w:t>
            </w:r>
          </w:p>
        </w:tc>
        <w:tc>
          <w:tcPr/>
          <w:p>
            <w:pPr>
              <w:pStyle w:val="Compact"/>
              <w:jc w:val="left"/>
            </w:pPr>
            <w:r>
              <w:t xml:space="preserve">UE, USA</w:t>
            </w:r>
          </w:p>
        </w:tc>
        <w:tc>
          <w:tcPr/>
          <w:p>
            <w:pPr>
              <w:pStyle w:val="Compact"/>
              <w:jc w:val="left"/>
            </w:pPr>
            <w:r>
              <w:t xml:space="preserve">settimanale, fusione con anticorpo</w:t>
            </w:r>
          </w:p>
        </w:tc>
      </w:tr>
      <w:tr>
        <w:tc>
          <w:tcPr/>
          <w:p>
            <w:pPr>
              <w:pStyle w:val="Compact"/>
              <w:jc w:val="left"/>
            </w:pPr>
            <w:r>
              <w:t xml:space="preserve">Semaglutide</w:t>
            </w:r>
          </w:p>
        </w:tc>
        <w:tc>
          <w:tcPr/>
          <w:p>
            <w:pPr>
              <w:pStyle w:val="Compact"/>
              <w:jc w:val="left"/>
            </w:pPr>
            <w:r>
              <w:t xml:space="preserve">A</w:t>
            </w:r>
          </w:p>
        </w:tc>
        <w:tc>
          <w:tcPr/>
          <w:p>
            <w:pPr>
              <w:pStyle w:val="Compact"/>
              <w:jc w:val="left"/>
            </w:pPr>
            <w:r>
              <w:t xml:space="preserve">UE, USA</w:t>
            </w:r>
          </w:p>
        </w:tc>
        <w:tc>
          <w:tcPr/>
          <w:p>
            <w:pPr>
              <w:pStyle w:val="Compact"/>
              <w:jc w:val="left"/>
            </w:pPr>
            <w:r>
              <w:t xml:space="preserve">iniezione e compressa, protezione cardiaca dimostrata</w:t>
            </w:r>
          </w:p>
        </w:tc>
      </w:tr>
      <w:tr>
        <w:tc>
          <w:tcPr/>
          <w:p>
            <w:pPr>
              <w:pStyle w:val="Compact"/>
              <w:jc w:val="left"/>
            </w:pPr>
            <w:r>
              <w:t xml:space="preserve">Tirzepatide</w:t>
            </w:r>
          </w:p>
        </w:tc>
        <w:tc>
          <w:tcPr/>
          <w:p>
            <w:pPr>
              <w:pStyle w:val="Compact"/>
              <w:jc w:val="left"/>
            </w:pPr>
            <w:r>
              <w:t xml:space="preserve">A</w:t>
            </w:r>
          </w:p>
        </w:tc>
        <w:tc>
          <w:tcPr/>
          <w:p>
            <w:pPr>
              <w:pStyle w:val="Compact"/>
              <w:jc w:val="left"/>
            </w:pPr>
            <w:r>
              <w:t xml:space="preserve">UE, USA</w:t>
            </w:r>
          </w:p>
        </w:tc>
        <w:tc>
          <w:tcPr/>
          <w:p>
            <w:pPr>
              <w:pStyle w:val="Compact"/>
              <w:jc w:val="left"/>
            </w:pPr>
            <w:r>
              <w:t xml:space="preserve">GIP più GLP-1, riferimento nel 2026</w:t>
            </w:r>
          </w:p>
        </w:tc>
      </w:tr>
      <w:tr>
        <w:tc>
          <w:tcPr/>
          <w:p>
            <w:pPr>
              <w:pStyle w:val="Compact"/>
              <w:jc w:val="left"/>
            </w:pPr>
            <w:r>
              <w:t xml:space="preserve">Retatrutide</w:t>
            </w:r>
          </w:p>
        </w:tc>
        <w:tc>
          <w:tcPr/>
          <w:p>
            <w:pPr>
              <w:pStyle w:val="Compact"/>
              <w:jc w:val="left"/>
            </w:pPr>
            <w:r>
              <w:t xml:space="preserve">B</w:t>
            </w:r>
          </w:p>
        </w:tc>
        <w:tc>
          <w:tcPr/>
          <w:p>
            <w:pPr>
              <w:pStyle w:val="Compact"/>
              <w:jc w:val="left"/>
            </w:pPr>
            <w:r>
              <w:t xml:space="preserve">no</w:t>
            </w:r>
          </w:p>
        </w:tc>
        <w:tc>
          <w:tcPr/>
          <w:p>
            <w:pPr>
              <w:pStyle w:val="Compact"/>
              <w:jc w:val="left"/>
            </w:pPr>
            <w:r>
              <w:t xml:space="preserve">GIP, GLP-1 e glucagone</w:t>
            </w:r>
          </w:p>
        </w:tc>
      </w:tr>
      <w:tr>
        <w:tc>
          <w:tcPr/>
          <w:p>
            <w:pPr>
              <w:pStyle w:val="Compact"/>
              <w:jc w:val="left"/>
            </w:pPr>
            <w:r>
              <w:t xml:space="preserve">Survodutide</w:t>
            </w:r>
          </w:p>
        </w:tc>
        <w:tc>
          <w:tcPr/>
          <w:p>
            <w:pPr>
              <w:pStyle w:val="Compact"/>
              <w:jc w:val="left"/>
            </w:pPr>
            <w:r>
              <w:t xml:space="preserve">B</w:t>
            </w:r>
          </w:p>
        </w:tc>
        <w:tc>
          <w:tcPr/>
          <w:p>
            <w:pPr>
              <w:pStyle w:val="Compact"/>
              <w:jc w:val="left"/>
            </w:pPr>
            <w:r>
              <w:t xml:space="preserve">no</w:t>
            </w:r>
          </w:p>
        </w:tc>
        <w:tc>
          <w:tcPr/>
          <w:p>
            <w:pPr>
              <w:pStyle w:val="Compact"/>
              <w:jc w:val="left"/>
            </w:pPr>
            <w:r>
              <w:t xml:space="preserve">glucagone più GLP-1, focus sul fegato</w:t>
            </w:r>
          </w:p>
        </w:tc>
      </w:tr>
      <w:tr>
        <w:tc>
          <w:tcPr/>
          <w:p>
            <w:pPr>
              <w:pStyle w:val="Compact"/>
              <w:jc w:val="left"/>
            </w:pPr>
            <w:r>
              <w:t xml:space="preserve">Mazdutide</w:t>
            </w:r>
          </w:p>
        </w:tc>
        <w:tc>
          <w:tcPr/>
          <w:p>
            <w:pPr>
              <w:pStyle w:val="Compact"/>
              <w:jc w:val="left"/>
            </w:pPr>
            <w:r>
              <w:t xml:space="preserve">A</w:t>
            </w:r>
          </w:p>
        </w:tc>
        <w:tc>
          <w:tcPr/>
          <w:p>
            <w:pPr>
              <w:pStyle w:val="Compact"/>
              <w:jc w:val="left"/>
            </w:pPr>
            <w:r>
              <w:t xml:space="preserve">solo Cina</w:t>
            </w:r>
          </w:p>
        </w:tc>
        <w:tc>
          <w:tcPr/>
          <w:p>
            <w:pPr>
              <w:pStyle w:val="Compact"/>
              <w:jc w:val="left"/>
            </w:pPr>
            <w:r>
              <w:t xml:space="preserve">glucagone più GLP-1</w:t>
            </w:r>
          </w:p>
        </w:tc>
      </w:tr>
      <w:tr>
        <w:tc>
          <w:tcPr/>
          <w:p>
            <w:pPr>
              <w:pStyle w:val="Compact"/>
              <w:jc w:val="left"/>
            </w:pPr>
            <w:r>
              <w:t xml:space="preserve">Cagrilintide / CagriSema</w:t>
            </w:r>
          </w:p>
        </w:tc>
        <w:tc>
          <w:tcPr/>
          <w:p>
            <w:pPr>
              <w:pStyle w:val="Compact"/>
              <w:jc w:val="left"/>
            </w:pPr>
            <w:r>
              <w:t xml:space="preserve">B</w:t>
            </w:r>
          </w:p>
        </w:tc>
        <w:tc>
          <w:tcPr/>
          <w:p>
            <w:pPr>
              <w:pStyle w:val="Compact"/>
              <w:jc w:val="left"/>
            </w:pPr>
            <w:r>
              <w:t xml:space="preserve">no</w:t>
            </w:r>
          </w:p>
        </w:tc>
        <w:tc>
          <w:tcPr/>
          <w:p>
            <w:pPr>
              <w:pStyle w:val="Compact"/>
              <w:jc w:val="left"/>
            </w:pPr>
            <w:r>
              <w:t xml:space="preserve">amilina, combinata con semaglutide</w:t>
            </w:r>
          </w:p>
        </w:tc>
      </w:tr>
      <w:tr>
        <w:tc>
          <w:tcPr/>
          <w:p>
            <w:pPr>
              <w:pStyle w:val="Compact"/>
              <w:jc w:val="left"/>
            </w:pPr>
            <w:r>
              <w:t xml:space="preserve">Amycretin (zenagamtide)</w:t>
            </w:r>
          </w:p>
        </w:tc>
        <w:tc>
          <w:tcPr/>
          <w:p>
            <w:pPr>
              <w:pStyle w:val="Compact"/>
              <w:jc w:val="left"/>
            </w:pPr>
            <w:r>
              <w:t xml:space="preserve">B</w:t>
            </w:r>
          </w:p>
        </w:tc>
        <w:tc>
          <w:tcPr/>
          <w:p>
            <w:pPr>
              <w:pStyle w:val="Compact"/>
              <w:jc w:val="left"/>
            </w:pPr>
            <w:r>
              <w:t xml:space="preserve">no</w:t>
            </w:r>
          </w:p>
        </w:tc>
        <w:tc>
          <w:tcPr/>
          <w:p>
            <w:pPr>
              <w:pStyle w:val="Compact"/>
              <w:jc w:val="left"/>
            </w:pPr>
            <w:r>
              <w:t xml:space="preserve">amilina e GLP-1 in una sola molecola</w:t>
            </w:r>
          </w:p>
        </w:tc>
      </w:tr>
      <w:tr>
        <w:tc>
          <w:tcPr/>
          <w:p>
            <w:pPr>
              <w:pStyle w:val="Compact"/>
              <w:jc w:val="left"/>
            </w:pPr>
            <w:r>
              <w:t xml:space="preserve">Maridebart cafraglutide</w:t>
            </w:r>
          </w:p>
        </w:tc>
        <w:tc>
          <w:tcPr/>
          <w:p>
            <w:pPr>
              <w:pStyle w:val="Compact"/>
              <w:jc w:val="left"/>
            </w:pPr>
            <w:r>
              <w:t xml:space="preserve">B</w:t>
            </w:r>
          </w:p>
        </w:tc>
        <w:tc>
          <w:tcPr/>
          <w:p>
            <w:pPr>
              <w:pStyle w:val="Compact"/>
              <w:jc w:val="left"/>
            </w:pPr>
            <w:r>
              <w:t xml:space="preserve">no</w:t>
            </w:r>
          </w:p>
        </w:tc>
        <w:tc>
          <w:tcPr/>
          <w:p>
            <w:pPr>
              <w:pStyle w:val="Compact"/>
              <w:jc w:val="left"/>
            </w:pPr>
            <w:r>
              <w:t xml:space="preserve">bloccante del GIP, somministrazione mensile</w:t>
            </w:r>
          </w:p>
        </w:tc>
      </w:tr>
      <w:tr>
        <w:tc>
          <w:tcPr/>
          <w:p>
            <w:pPr>
              <w:pStyle w:val="Compact"/>
              <w:jc w:val="left"/>
            </w:pPr>
            <w:r>
              <w:t xml:space="preserve">Pramlintide</w:t>
            </w:r>
          </w:p>
        </w:tc>
        <w:tc>
          <w:tcPr/>
          <w:p>
            <w:pPr>
              <w:pStyle w:val="Compact"/>
              <w:jc w:val="left"/>
            </w:pPr>
            <w:r>
              <w:t xml:space="preserve">A</w:t>
            </w:r>
          </w:p>
        </w:tc>
        <w:tc>
          <w:tcPr/>
          <w:p>
            <w:pPr>
              <w:pStyle w:val="Compact"/>
              <w:jc w:val="left"/>
            </w:pPr>
            <w:r>
              <w:t xml:space="preserve">solo USA</w:t>
            </w:r>
          </w:p>
        </w:tc>
        <w:tc>
          <w:tcPr/>
          <w:p>
            <w:pPr>
              <w:pStyle w:val="Compact"/>
              <w:jc w:val="left"/>
            </w:pPr>
            <w:r>
              <w:t xml:space="preserve">primo farmaco a base di amilina</w:t>
            </w:r>
          </w:p>
        </w:tc>
      </w:tr>
      <w:tr>
        <w:tc>
          <w:tcPr/>
          <w:p>
            <w:pPr>
              <w:pStyle w:val="Compact"/>
              <w:jc w:val="left"/>
            </w:pPr>
            <w:r>
              <w:t xml:space="preserve">Setmelanotide</w:t>
            </w:r>
          </w:p>
        </w:tc>
        <w:tc>
          <w:tcPr/>
          <w:p>
            <w:pPr>
              <w:pStyle w:val="Compact"/>
              <w:jc w:val="left"/>
            </w:pPr>
            <w:r>
              <w:t xml:space="preserve">A</w:t>
            </w:r>
          </w:p>
        </w:tc>
        <w:tc>
          <w:tcPr/>
          <w:p>
            <w:pPr>
              <w:pStyle w:val="Compact"/>
              <w:jc w:val="left"/>
            </w:pPr>
            <w:r>
              <w:t xml:space="preserve">UE, USA</w:t>
            </w:r>
          </w:p>
        </w:tc>
        <w:tc>
          <w:tcPr/>
          <w:p>
            <w:pPr>
              <w:pStyle w:val="Compact"/>
              <w:jc w:val="left"/>
            </w:pPr>
            <w:r>
              <w:t xml:space="preserve">obesità genetica rara</w:t>
            </w:r>
          </w:p>
        </w:tc>
      </w:tr>
      <w:tr>
        <w:tc>
          <w:tcPr/>
          <w:p>
            <w:pPr>
              <w:pStyle w:val="Compact"/>
              <w:jc w:val="left"/>
            </w:pPr>
            <w:r>
              <w:t xml:space="preserve">AOD-9604</w:t>
            </w:r>
          </w:p>
        </w:tc>
        <w:tc>
          <w:tcPr/>
          <w:p>
            <w:pPr>
              <w:pStyle w:val="Compact"/>
              <w:jc w:val="left"/>
            </w:pPr>
            <w:r>
              <w:t xml:space="preserve">D</w:t>
            </w:r>
          </w:p>
        </w:tc>
        <w:tc>
          <w:tcPr/>
          <w:p>
            <w:pPr>
              <w:pStyle w:val="Compact"/>
              <w:jc w:val="left"/>
            </w:pPr>
            <w:r>
              <w:t xml:space="preserve">no</w:t>
            </w:r>
          </w:p>
        </w:tc>
        <w:tc>
          <w:tcPr/>
          <w:p>
            <w:pPr>
              <w:pStyle w:val="Compact"/>
              <w:jc w:val="left"/>
            </w:pPr>
            <w:r>
              <w:t xml:space="preserve">frammento dell’ormone della crescita, mercato grigio</w:t>
            </w:r>
          </w:p>
        </w:tc>
      </w:tr>
      <w:tr>
        <w:tc>
          <w:tcPr/>
          <w:p>
            <w:pPr>
              <w:pStyle w:val="Compact"/>
              <w:jc w:val="left"/>
            </w:pPr>
            <w:r>
              <w:t xml:space="preserve">Orforglipron</w:t>
            </w:r>
          </w:p>
        </w:tc>
        <w:tc>
          <w:tcPr/>
          <w:p>
            <w:pPr>
              <w:pStyle w:val="Compact"/>
              <w:jc w:val="left"/>
            </w:pPr>
            <w:r>
              <w:t xml:space="preserve">A</w:t>
            </w:r>
          </w:p>
        </w:tc>
        <w:tc>
          <w:tcPr/>
          <w:p>
            <w:pPr>
              <w:pStyle w:val="Compact"/>
              <w:jc w:val="left"/>
            </w:pPr>
            <w:r>
              <w:t xml:space="preserve">aperta</w:t>
            </w:r>
          </w:p>
        </w:tc>
        <w:tc>
          <w:tcPr/>
          <w:p>
            <w:pPr>
              <w:pStyle w:val="Compact"/>
              <w:jc w:val="left"/>
            </w:pPr>
            <w:r>
              <w:t xml:space="preserve">non è un peptide, compressa (confronto)</w:t>
            </w:r>
          </w:p>
        </w:tc>
      </w:tr>
    </w:tbl>
    <w:p>
      <w:pPr>
        <w:pStyle w:val="BodyText"/>
      </w:pPr>
      <w:r>
        <w:t xml:space="preserve">I livelli di evidenza sono spiegati nella Parte I. Le informazioni sulle autorizzazioni si riferiscono alla situazione di ottobre 2026 e ad almeno un’indicazione; i dettagli si trovano nei singoli capitoli. Verifica la situazione attuale, perché proprio in questo gruppo le autorizzazioni cambiano rapidamente.</w:t>
      </w:r>
    </w:p>
    <w:bookmarkEnd w:id="233"/>
    <w:bookmarkStart w:id="234" w:name="indicazioni-per-la-lettura"/>
    <w:p>
      <w:pPr>
        <w:pStyle w:val="Heading3"/>
      </w:pPr>
      <w:r>
        <w:t xml:space="preserve">Indicazioni per la lettura</w:t>
      </w:r>
    </w:p>
    <w:p>
      <w:pPr>
        <w:pStyle w:val="FirstParagraph"/>
      </w:pPr>
      <w:r>
        <w:t xml:space="preserve">I capitoli seguono a grandi linee lo sviluppo storico: dagli agonisti del GLP-1 consolidati (dall’exenatide alla semaglutide) ai principi attivi combinati (dalla tirzepatide a maridebart cafraglutide), ai casi particolari (pramlintide, setmelanotide, AOD-9604) e infine all’orforglipron, incluso come non-peptide a scopo di confronto.</w:t>
      </w:r>
    </w:p>
    <w:p>
      <w:pPr>
        <w:pStyle w:val="BodyText"/>
      </w:pPr>
      <w:r>
        <w:t xml:space="preserve">Chi vuole farsi un’idea rapida comincia con semaglutide e tirzepatide – su di esse si misurano tutti gli altri. I confronti diretti di perdita di peso, riduzione della glicemia, esiti cardiovascolari ed effetti collaterali tra tutti i principi attivi si trovano nella Parte III. I rischi di classe come i problemi a carico di colecisti e pancreas, la perdita muscolare e le questioni relative alla tiroide sono trattati diffusamente nella Parte IV.</w:t>
      </w:r>
    </w:p>
    <w:p>
      <w:pPr>
        <w:pStyle w:val="BodyText"/>
      </w:pPr>
      <w:r>
        <w:t xml:space="preserve">Due principi valgono per l’intero gruppo: primo, i capitoli descrivono risultati di studi, non istruzioni di trattamento – per i farmaci autorizzati fanno fede il Riassunto delle caratteristiche del prodotto e l’accompagnamento medico. Secondo, con quasi tutti i principi attivi gran parte del peso perso ritorna quando il trattamento termina. Questi farmaci agiscono finché vengono assunti; non sono una cura risolutiva.</w:t>
      </w:r>
    </w:p>
    <w:bookmarkEnd w:id="234"/>
    <w:bookmarkStart w:id="289" w:name="exenatide"/>
    <w:p>
      <w:pPr>
        <w:pStyle w:val="Heading2"/>
      </w:pPr>
      <w:r>
        <w:t xml:space="preserve">Exenatide</w:t>
      </w:r>
    </w:p>
    <w:bookmarkStart w:id="236" w:name="scheda"/>
    <w:p>
      <w:pPr>
        <w:pStyle w:val="Heading3"/>
      </w:pPr>
      <w:r>
        <w:t xml:space="preserve">Scheda</w:t>
      </w:r>
    </w:p>
    <w:p>
      <w:pPr>
        <w:numPr>
          <w:ilvl w:val="0"/>
          <w:numId w:val="1036"/>
        </w:numPr>
        <w:pStyle w:val="Compact"/>
      </w:pPr>
      <w:r>
        <w:rPr>
          <w:bCs/>
          <w:b/>
        </w:rPr>
        <w:t xml:space="preserve">Tipo/struttura:</w:t>
      </w:r>
      <w:r>
        <w:t xml:space="preserve"> </w:t>
      </w:r>
      <w:r>
        <w:t xml:space="preserve">peptide di 39 amminoacidi, forma prodotta per sintesi dell’exendina-4. Circa metà della sequenza coincide con l’ormone intestinale umano GLP-1.</w:t>
      </w:r>
    </w:p>
    <w:p>
      <w:pPr>
        <w:numPr>
          <w:ilvl w:val="0"/>
          <w:numId w:val="1036"/>
        </w:numPr>
        <w:pStyle w:val="Compact"/>
      </w:pPr>
      <w:r>
        <w:rPr>
          <w:bCs/>
          <w:b/>
        </w:rPr>
        <w:t xml:space="preserve">Origine:</w:t>
      </w:r>
      <w:r>
        <w:t xml:space="preserve"> </w:t>
      </w:r>
      <w:r>
        <w:t xml:space="preserve">l’exendina-4 è stata isolata nel 1992 dal veleno del mostro di Gila (</w:t>
      </w:r>
      <w:r>
        <w:rPr>
          <w:iCs/>
          <w:i/>
        </w:rPr>
        <w:t xml:space="preserve">Heloderma suspectum</w:t>
      </w:r>
      <w:r>
        <w:t xml:space="preserve">)</w:t>
      </w:r>
      <w:r>
        <w:rPr>
          <w:rStyle w:val="FootnoteReference"/>
        </w:rPr>
        <w:footnoteReference w:id="235"/>
      </w:r>
      <w:r>
        <w:t xml:space="preserve">.</w:t>
      </w:r>
    </w:p>
    <w:p>
      <w:pPr>
        <w:numPr>
          <w:ilvl w:val="0"/>
          <w:numId w:val="1036"/>
        </w:numPr>
        <w:pStyle w:val="Compact"/>
      </w:pPr>
      <w:r>
        <w:rPr>
          <w:bCs/>
          <w:b/>
        </w:rPr>
        <w:t xml:space="preserve">Meccanismo d’azione:</w:t>
      </w:r>
      <w:r>
        <w:t xml:space="preserve"> </w:t>
      </w:r>
      <w:r>
        <w:t xml:space="preserve">agonista del recettore del GLP-1. L’exenatide imita l’ormone della sazietà e incretina GLP-1, ma viene degradata molto più lentamente.</w:t>
      </w:r>
    </w:p>
    <w:p>
      <w:pPr>
        <w:numPr>
          <w:ilvl w:val="0"/>
          <w:numId w:val="1036"/>
        </w:numPr>
        <w:pStyle w:val="Compact"/>
      </w:pPr>
      <w:r>
        <w:rPr>
          <w:bCs/>
          <w:b/>
        </w:rPr>
        <w:t xml:space="preserve">Forme farmaceutiche:</w:t>
      </w:r>
      <w:r>
        <w:t xml:space="preserve"> </w:t>
      </w:r>
      <w:r>
        <w:t xml:space="preserve">due volte al giorno (Byetta) e una volta alla settimana come deposito con microsfere (Bydureon, in seguito come penna preriempita o autoiniettore). Negli studi anche: impianto a pompa (ITCA 650) e varianti peghilate (PB-119, NLY01).</w:t>
      </w:r>
    </w:p>
    <w:p>
      <w:pPr>
        <w:numPr>
          <w:ilvl w:val="0"/>
          <w:numId w:val="1036"/>
        </w:numPr>
        <w:pStyle w:val="Compact"/>
      </w:pPr>
      <w:r>
        <w:rPr>
          <w:bCs/>
          <w:b/>
        </w:rPr>
        <w:t xml:space="preserve">Autorizzazione UE:</w:t>
      </w:r>
      <w:r>
        <w:t xml:space="preserve"> </w:t>
      </w:r>
      <w:r>
        <w:t xml:space="preserve">sì, per il trattamento del diabete di tipo 2 (Byetta, Bydureon). Nessuna autorizzazione per la riduzione del peso.</w:t>
      </w:r>
    </w:p>
    <w:p>
      <w:pPr>
        <w:numPr>
          <w:ilvl w:val="0"/>
          <w:numId w:val="1036"/>
        </w:numPr>
        <w:pStyle w:val="Compact"/>
      </w:pPr>
      <w:r>
        <w:rPr>
          <w:bCs/>
          <w:b/>
        </w:rPr>
        <w:t xml:space="preserve">Autorizzazione USA:</w:t>
      </w:r>
      <w:r>
        <w:t xml:space="preserve"> </w:t>
      </w:r>
      <w:r>
        <w:t xml:space="preserve">sì, diabete di tipo 2 (Byetta nel 2005 come primo agonista del recettore del GLP-1 in assoluto, Bydureon/Bydureon BCise), la forma settimanale anche per adolescenti dai 10 anni. Nel frattempo lì esistono anche preparati di imitazione della forma due volte al giorno. La disponibilità dei singoli preparati varia – da verificare.</w:t>
      </w:r>
    </w:p>
    <w:p>
      <w:pPr>
        <w:numPr>
          <w:ilvl w:val="0"/>
          <w:numId w:val="1036"/>
        </w:numPr>
        <w:pStyle w:val="Compact"/>
      </w:pPr>
      <w:r>
        <w:rPr>
          <w:bCs/>
          <w:b/>
        </w:rPr>
        <w:t xml:space="preserve">WADA:</w:t>
      </w:r>
      <w:r>
        <w:t xml:space="preserve"> </w:t>
      </w:r>
      <w:r>
        <w:t xml:space="preserve">non elencata.</w:t>
      </w:r>
    </w:p>
    <w:p>
      <w:pPr>
        <w:numPr>
          <w:ilvl w:val="0"/>
          <w:numId w:val="1036"/>
        </w:numPr>
        <w:pStyle w:val="Compact"/>
      </w:pPr>
      <w:r>
        <w:rPr>
          <w:bCs/>
          <w:b/>
        </w:rPr>
        <w:t xml:space="preserve">Livello di evidenza:</w:t>
      </w:r>
      <w:r>
        <w:t xml:space="preserve"> </w:t>
      </w:r>
      <w:r>
        <w:rPr>
          <w:bCs/>
          <w:b/>
        </w:rPr>
        <w:t xml:space="preserve">A</w:t>
      </w:r>
      <w:r>
        <w:t xml:space="preserve"> </w:t>
      </w:r>
      <w:r>
        <w:t xml:space="preserve">– numerosi grandi studi randomizzati, un grande studio di esito cardiovascolare, autorizzazione dal 2005.</w:t>
      </w:r>
    </w:p>
    <w:bookmarkEnd w:id="236"/>
    <w:bookmarkStart w:id="237" w:name="come-dovrebbe-agire"/>
    <w:p>
      <w:pPr>
        <w:pStyle w:val="Heading3"/>
      </w:pPr>
      <w:r>
        <w:t xml:space="preserve">Come dovrebbe agire</w:t>
      </w:r>
    </w:p>
    <w:p>
      <w:pPr>
        <w:pStyle w:val="FirstParagraph"/>
      </w:pPr>
      <w:r>
        <w:t xml:space="preserve">Dopo un pasto l’intestino rilascia l’ormone GLP-1 (glucagon-like peptide-1). Esso segnala al pancreas di liberare più insulina – ma solo finché la glicemia è elevata. Al tempo stesso frena l’ormone glucagone, che innalza la glicemia, rallenta lo svuotamento gastrico e agisce nel cervello sui centri che regolano fame e sazietà. Poiché il rilascio di insulina dipende dal glucosio, gli agonisti del recettore del GLP-1 da soli causano raramente ipoglicemie.</w:t>
      </w:r>
    </w:p>
    <w:p>
      <w:pPr>
        <w:pStyle w:val="BodyText"/>
      </w:pPr>
      <w:r>
        <w:t xml:space="preserve">Il GLP-1 endogeno ha però uno svantaggio decisivo: l’enzima DPP-4 lo scompone nel giro di circa due minuti. Come farmaco è quindi inutilizzabile. Anche l’exendina-4 del veleno di lucertola si lega al recettore del GLP-1, ma è in gran parte insensibile alla DPP-4. Questa scoperta casuale ha fatto dell’exenatide il primo rappresentante di una classe di principi attivi che due decenni dopo, con semaglutide e tirzepatide, avrebbe cambiato la medicina.</w:t>
      </w:r>
    </w:p>
    <w:p>
      <w:pPr>
        <w:pStyle w:val="BodyText"/>
      </w:pPr>
      <w:r>
        <w:t xml:space="preserve">La forma originale agisce solo per alcune ore e deve quindi essere iniettata due volte al giorno prima dei pasti principali. Riduce soprattutto l’aumento della glicemia dopo il pasto, tra l’altro perché rallenta nettamente lo svuotamento gastrico. La forma settimanale racchiude lo stesso principio attivo in microsfere di materiale plastico biodegradabile (PLGA), da cui viene rilasciato lentamente. In questo modo il livello resta più costante; l’effetto sulla glicemia a digiuno si rafforza, quello sullo svuotamento gastrico si attenua un po’ nel tempo.</w:t>
      </w:r>
    </w:p>
    <w:p>
      <w:pPr>
        <w:pStyle w:val="BodyText"/>
      </w:pPr>
      <w:r>
        <w:t xml:space="preserve">Una differenza importante rispetto ai principi attivi successivi: l’exenatide è simile al GLP-1 umano solo per circa la metà. Il sistema immunitario la riconosce quindi più spesso come estranea e forma anticorpi. Nella maggior parte dei trattati ciò resta senza conseguenze; in una piccola parte con livelli elevati di anticorpi l’effetto può diminuire.</w:t>
      </w:r>
    </w:p>
    <w:bookmarkEnd w:id="237"/>
    <w:bookmarkStart w:id="265" w:name="studi-sulluomo"/>
    <w:p>
      <w:pPr>
        <w:pStyle w:val="Heading3"/>
      </w:pPr>
      <w:r>
        <w:t xml:space="preserve">Studi sull’uomo</w:t>
      </w:r>
    </w:p>
    <w:p>
      <w:pPr>
        <w:pStyle w:val="FirstParagraph"/>
      </w:pPr>
      <w:r>
        <w:t xml:space="preserve">I dati degli studi sull’exenatide sono ampi. La ricerca su PubMed analizzata per questo libro (termine di ricerca „exenatide“ nel titolo o nell’abstract, data della ricerca ottobre 2026) ha restituito 437 studi sull’uomo; su ClinicalTrials.gov sono riportate 379 voci di registro con exenatide. Molti sono piccoli studi sul meccanismo o sulle combinazioni. Per la valutazione contano soprattutto tre gruppi: i programmi registrativi AMIGO (forma due volte al giorno) e DURATION (forma settimanale), lo studio di esito cardiovascolare EXSCEL e una serie di studi al di là del diabete, in particolare sulla malattia di Parkinson.</w:t>
      </w:r>
    </w:p>
    <w:bookmarkStart w:id="239" w:name="gli-studi-amigo-lavvio-della-classe"/>
    <w:p>
      <w:pPr>
        <w:pStyle w:val="Heading4"/>
      </w:pPr>
      <w:r>
        <w:t xml:space="preserve">Gli studi AMIGO: l’avvio della classe</w:t>
      </w:r>
    </w:p>
    <w:p>
      <w:pPr>
        <w:pStyle w:val="FirstParagraph"/>
      </w:pPr>
      <w:r>
        <w:t xml:space="preserve">Tre studi controllati con placebo di 30 settimane ciascuno hanno costituito la base della prima autorizzazione. Hanno valutato l’exenatide due volte al giorno (5 o 10 microgrammi per somministrazione) in aggiunta alle compresse già in uso.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 (braccio 10 µg vs. placebo)</w:t>
            </w:r>
          </w:p>
        </w:tc>
      </w:tr>
      <w:tr>
        <w:tc>
          <w:tcPr/>
          <w:p>
            <w:pPr>
              <w:pStyle w:val="Compact"/>
              <w:jc w:val="left"/>
            </w:pPr>
            <w:r>
              <w:t xml:space="preserve">Buse 2004, PMID 15504997</w:t>
            </w:r>
          </w:p>
        </w:tc>
        <w:tc>
          <w:tcPr/>
          <w:p>
            <w:pPr>
              <w:pStyle w:val="Compact"/>
              <w:jc w:val="left"/>
            </w:pPr>
            <w:r>
              <w:t xml:space="preserve">diabete di tipo 2 in terapia con sulfonilurea, RCT contro placebo</w:t>
            </w:r>
          </w:p>
        </w:tc>
        <w:tc>
          <w:tcPr/>
          <w:p>
            <w:pPr>
              <w:pStyle w:val="Compact"/>
              <w:jc w:val="left"/>
            </w:pPr>
            <w:r>
              <w:t xml:space="preserve">30 settimane</w:t>
            </w:r>
          </w:p>
        </w:tc>
        <w:tc>
          <w:tcPr/>
          <w:p>
            <w:pPr>
              <w:pStyle w:val="Compact"/>
              <w:jc w:val="left"/>
            </w:pPr>
            <w:r>
              <w:t xml:space="preserve">HbA1c −0,86 vs. +0,12 punti percentuali; peso −1,6 kg</w:t>
            </w:r>
          </w:p>
        </w:tc>
      </w:tr>
      <w:tr>
        <w:tc>
          <w:tcPr/>
          <w:p>
            <w:pPr>
              <w:pStyle w:val="Compact"/>
              <w:jc w:val="left"/>
            </w:pPr>
            <w:r>
              <w:t xml:space="preserve">DeFronzo 2005, PMID 15855572</w:t>
            </w:r>
          </w:p>
        </w:tc>
        <w:tc>
          <w:tcPr/>
          <w:p>
            <w:pPr>
              <w:pStyle w:val="Compact"/>
              <w:jc w:val="left"/>
            </w:pPr>
            <w:r>
              <w:t xml:space="preserve">diabete di tipo 2 in terapia con metformina, RCT contro placebo</w:t>
            </w:r>
          </w:p>
        </w:tc>
        <w:tc>
          <w:tcPr/>
          <w:p>
            <w:pPr>
              <w:pStyle w:val="Compact"/>
              <w:jc w:val="left"/>
            </w:pPr>
            <w:r>
              <w:t xml:space="preserve">30 settimane</w:t>
            </w:r>
          </w:p>
        </w:tc>
        <w:tc>
          <w:tcPr/>
          <w:p>
            <w:pPr>
              <w:pStyle w:val="Compact"/>
              <w:jc w:val="left"/>
            </w:pPr>
            <w:r>
              <w:t xml:space="preserve">HbA1c −0,78 vs. +0,08; peso −2,8 kg; 46% vs. 13% hanno raggiunto HbA1c ≤ 7%</w:t>
            </w:r>
          </w:p>
        </w:tc>
      </w:tr>
      <w:tr>
        <w:tc>
          <w:tcPr/>
          <w:p>
            <w:pPr>
              <w:pStyle w:val="Compact"/>
              <w:jc w:val="left"/>
            </w:pPr>
            <w:r>
              <w:t xml:space="preserve">Kendall 2005, PMID 15855571</w:t>
            </w:r>
          </w:p>
        </w:tc>
        <w:tc>
          <w:tcPr/>
          <w:p>
            <w:pPr>
              <w:pStyle w:val="Compact"/>
              <w:jc w:val="left"/>
            </w:pPr>
            <w:r>
              <w:t xml:space="preserve">diabete di tipo 2 in terapia con metformina più sulfonilurea, RCT</w:t>
            </w:r>
          </w:p>
        </w:tc>
        <w:tc>
          <w:tcPr/>
          <w:p>
            <w:pPr>
              <w:pStyle w:val="Compact"/>
              <w:jc w:val="left"/>
            </w:pPr>
            <w:r>
              <w:t xml:space="preserve">30 settimane</w:t>
            </w:r>
          </w:p>
        </w:tc>
        <w:tc>
          <w:tcPr/>
          <w:p>
            <w:pPr>
              <w:pStyle w:val="Compact"/>
              <w:jc w:val="left"/>
            </w:pPr>
            <w:r>
              <w:t xml:space="preserve">HbA1c −0,8 vs. +0,2; ipoglicemie lievi 28% vs. 13%</w:t>
            </w:r>
          </w:p>
        </w:tc>
      </w:tr>
      <w:tr>
        <w:tc>
          <w:tcPr/>
          <w:p>
            <w:pPr>
              <w:pStyle w:val="Compact"/>
              <w:jc w:val="left"/>
            </w:pPr>
            <w:r>
              <w:t xml:space="preserve">Heine 2005, PMID 16230722</w:t>
            </w:r>
          </w:p>
        </w:tc>
        <w:tc>
          <w:tcPr/>
          <w:p>
            <w:pPr>
              <w:pStyle w:val="Compact"/>
              <w:jc w:val="left"/>
            </w:pPr>
            <w:r>
              <w:t xml:space="preserve">551 persone, confronto in aperto con insulina glargine</w:t>
            </w:r>
          </w:p>
        </w:tc>
        <w:tc>
          <w:tcPr/>
          <w:p>
            <w:pPr>
              <w:pStyle w:val="Compact"/>
              <w:jc w:val="left"/>
            </w:pPr>
            <w:r>
              <w:t xml:space="preserve">26 settimane</w:t>
            </w:r>
          </w:p>
        </w:tc>
        <w:tc>
          <w:tcPr/>
          <w:p>
            <w:pPr>
              <w:pStyle w:val="Compact"/>
              <w:jc w:val="left"/>
            </w:pPr>
            <w:r>
              <w:t xml:space="preserve">HbA1c −1,11 in entrambi; peso −2,3 kg vs. +1,8 kg</w:t>
            </w:r>
          </w:p>
        </w:tc>
      </w:tr>
    </w:tbl>
    <w:p>
      <w:pPr>
        <w:pStyle w:val="BodyText"/>
      </w:pPr>
      <w:r>
        <w:t xml:space="preserve">Il valore di HbA1c (emoglobina glicata) descrive la quota di pigmento rosso del sangue „glicato“ e rispecchia la glicemia degli ultimi due-tre mesi. Una riduzione di 0,8–1 punto percentuale era considerata all’epoca clinicamente rilevante. La novità era che il peso non aumentava, come di consueto con insulina o sulfoniluree, ma diminuiva. Lo studio di Kendall mostra però anche che, in combinazione con una sulfonilurea, che libera insulina indipendentemente dalla glicemia, le ipoglicemie lievi aumentavano.</w:t>
      </w:r>
    </w:p>
    <w:p>
      <w:pPr>
        <w:pStyle w:val="BodyText"/>
      </w:pPr>
      <w:r>
        <w:t xml:space="preserve">Nel confronto diretto con l’insulina glargine</w:t>
      </w:r>
      <w:r>
        <w:rPr>
          <w:rStyle w:val="FootnoteReference"/>
        </w:rPr>
        <w:footnoteReference w:id="238"/>
      </w:r>
      <w:r>
        <w:t xml:space="preserve"> </w:t>
      </w:r>
      <w:r>
        <w:t xml:space="preserve">entrambi i trattamenti hanno ridotto l’HbA1c in uguale misura. La differenza di peso era di 4,1 kg a favore dell’exenatide, le ipoglicemie notturne erano più rare (0,9 vs. 2,4 eventi per anno-paziente). Il prezzo: la nausea si è verificata nel 57,1% contro l’8,6%, il vomito nel 17,4% contro il 3,7%. Il 19,4% del gruppo exenatide ha interrotto lo studio, contro il 9,7% con insulina.</w:t>
      </w:r>
    </w:p>
    <w:bookmarkEnd w:id="239"/>
    <w:bookmarkStart w:id="243" w:name="Xbaeb88f770197182a05ecdc4eb73d89567ed2c4"/>
    <w:p>
      <w:pPr>
        <w:pStyle w:val="Heading4"/>
      </w:pPr>
      <w:r>
        <w:t xml:space="preserve">Il programma DURATION: una volta alla settimana</w:t>
      </w:r>
    </w:p>
    <w:p>
      <w:pPr>
        <w:pStyle w:val="FirstParagraph"/>
      </w:pPr>
      <w:r>
        <w:t xml:space="preserve">La forma settimanale è stata valutata in una serie di studi denominata DURATION – contro la forma due volte al giorno, contro compresse, contro insulina e contro liraglutide.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DURATION-1 (Drucker 2008), PMID 18782641</w:t>
            </w:r>
          </w:p>
        </w:tc>
        <w:tc>
          <w:tcPr/>
          <w:p>
            <w:pPr>
              <w:pStyle w:val="Compact"/>
              <w:jc w:val="left"/>
            </w:pPr>
            <w:r>
              <w:t xml:space="preserve">295 persone, in aperto: exenatide settimanale vs. due volte al giorno</w:t>
            </w:r>
          </w:p>
        </w:tc>
        <w:tc>
          <w:tcPr/>
          <w:p>
            <w:pPr>
              <w:pStyle w:val="Compact"/>
              <w:jc w:val="left"/>
            </w:pPr>
            <w:r>
              <w:t xml:space="preserve">30 settimane</w:t>
            </w:r>
          </w:p>
        </w:tc>
        <w:tc>
          <w:tcPr/>
          <w:p>
            <w:pPr>
              <w:pStyle w:val="Compact"/>
              <w:jc w:val="left"/>
            </w:pPr>
            <w:r>
              <w:t xml:space="preserve">HbA1c −1,9 vs. −1,5; obiettivo ≤ 7% nel 77% vs. 61%</w:t>
            </w:r>
          </w:p>
        </w:tc>
      </w:tr>
      <w:tr>
        <w:tc>
          <w:tcPr/>
          <w:p>
            <w:pPr>
              <w:pStyle w:val="Compact"/>
              <w:jc w:val="left"/>
            </w:pPr>
            <w:r>
              <w:t xml:space="preserve">DURATION-1, dati a 5 anni (Wysham 2015), PMID 25744115</w:t>
            </w:r>
          </w:p>
        </w:tc>
        <w:tc>
          <w:tcPr/>
          <w:p>
            <w:pPr>
              <w:pStyle w:val="Compact"/>
              <w:jc w:val="left"/>
            </w:pPr>
            <w:r>
              <w:t xml:space="preserve">258 persone nell’estensione, 153 rimaste per 5 anni</w:t>
            </w:r>
          </w:p>
        </w:tc>
        <w:tc>
          <w:tcPr/>
          <w:p>
            <w:pPr>
              <w:pStyle w:val="Compact"/>
              <w:jc w:val="left"/>
            </w:pPr>
            <w:r>
              <w:t xml:space="preserve">5 anni</w:t>
            </w:r>
          </w:p>
        </w:tc>
        <w:tc>
          <w:tcPr/>
          <w:p>
            <w:pPr>
              <w:pStyle w:val="Compact"/>
              <w:jc w:val="left"/>
            </w:pPr>
            <w:r>
              <w:t xml:space="preserve">HbA1c ancora −1,6; peso −3,0 kg</w:t>
            </w:r>
          </w:p>
        </w:tc>
      </w:tr>
      <w:tr>
        <w:tc>
          <w:tcPr/>
          <w:p>
            <w:pPr>
              <w:pStyle w:val="Compact"/>
              <w:jc w:val="left"/>
            </w:pPr>
            <w:r>
              <w:t xml:space="preserve">DURATION-2 (Bergenstal 2010), PMID 20580422</w:t>
            </w:r>
          </w:p>
        </w:tc>
        <w:tc>
          <w:tcPr/>
          <w:p>
            <w:pPr>
              <w:pStyle w:val="Compact"/>
              <w:jc w:val="left"/>
            </w:pPr>
            <w:r>
              <w:t xml:space="preserve">514 persone in terapia con metformina, vs. sitagliptin o pioglitazone</w:t>
            </w:r>
          </w:p>
        </w:tc>
        <w:tc>
          <w:tcPr/>
          <w:p>
            <w:pPr>
              <w:pStyle w:val="Compact"/>
              <w:jc w:val="left"/>
            </w:pPr>
            <w:r>
              <w:t xml:space="preserve">26 settimane</w:t>
            </w:r>
          </w:p>
        </w:tc>
        <w:tc>
          <w:tcPr/>
          <w:p>
            <w:pPr>
              <w:pStyle w:val="Compact"/>
              <w:jc w:val="left"/>
            </w:pPr>
            <w:r>
              <w:t xml:space="preserve">HbA1c −1,5 vs. −0,9 e −1,2 rispettivamente; peso −2,3 kg</w:t>
            </w:r>
          </w:p>
        </w:tc>
      </w:tr>
      <w:tr>
        <w:tc>
          <w:tcPr/>
          <w:p>
            <w:pPr>
              <w:pStyle w:val="Compact"/>
              <w:jc w:val="left"/>
            </w:pPr>
            <w:r>
              <w:t xml:space="preserve">DURATION-3 (Diamant 2010), PMID 20609969</w:t>
            </w:r>
          </w:p>
        </w:tc>
        <w:tc>
          <w:tcPr/>
          <w:p>
            <w:pPr>
              <w:pStyle w:val="Compact"/>
              <w:jc w:val="left"/>
            </w:pPr>
            <w:r>
              <w:t xml:space="preserve">456 persone, in aperto vs. insulina glargine</w:t>
            </w:r>
          </w:p>
        </w:tc>
        <w:tc>
          <w:tcPr/>
          <w:p>
            <w:pPr>
              <w:pStyle w:val="Compact"/>
              <w:jc w:val="left"/>
            </w:pPr>
            <w:r>
              <w:t xml:space="preserve">26 settimane</w:t>
            </w:r>
          </w:p>
        </w:tc>
        <w:tc>
          <w:tcPr/>
          <w:p>
            <w:pPr>
              <w:pStyle w:val="Compact"/>
              <w:jc w:val="left"/>
            </w:pPr>
            <w:r>
              <w:t xml:space="preserve">HbA1c −1,5 vs. −1,3; interruzione per effetti collaterali 5% vs. 1%</w:t>
            </w:r>
          </w:p>
        </w:tc>
      </w:tr>
      <w:tr>
        <w:tc>
          <w:tcPr/>
          <w:p>
            <w:pPr>
              <w:pStyle w:val="Compact"/>
              <w:jc w:val="left"/>
            </w:pPr>
            <w:r>
              <w:t xml:space="preserve">DURATION-6 (Buse 2013), PMID 23141817</w:t>
            </w:r>
          </w:p>
        </w:tc>
        <w:tc>
          <w:tcPr/>
          <w:p>
            <w:pPr>
              <w:pStyle w:val="Compact"/>
              <w:jc w:val="left"/>
            </w:pPr>
            <w:r>
              <w:t xml:space="preserve">911 persone, in aperto vs. liraglutide giornaliera</w:t>
            </w:r>
          </w:p>
        </w:tc>
        <w:tc>
          <w:tcPr/>
          <w:p>
            <w:pPr>
              <w:pStyle w:val="Compact"/>
              <w:jc w:val="left"/>
            </w:pPr>
            <w:r>
              <w:t xml:space="preserve">26 settimane</w:t>
            </w:r>
          </w:p>
        </w:tc>
        <w:tc>
          <w:tcPr/>
          <w:p>
            <w:pPr>
              <w:pStyle w:val="Compact"/>
              <w:jc w:val="left"/>
            </w:pPr>
            <w:r>
              <w:t xml:space="preserve">HbA1c −1,28 vs. −1,48; non inferiorità non raggiunta</w:t>
            </w:r>
          </w:p>
        </w:tc>
      </w:tr>
    </w:tbl>
    <w:p>
      <w:pPr>
        <w:pStyle w:val="BodyText"/>
      </w:pPr>
      <w:r>
        <w:t xml:space="preserve">In DURATION-1 la forma settimanale ha ridotto l’emoglobina glicata più della forma giornaliera, con una perdita di peso paragonabile e senza più ipoglicemie. Degna di nota è l’analisi a cinque anni</w:t>
      </w:r>
      <w:r>
        <w:rPr>
          <w:rStyle w:val="FootnoteReference"/>
        </w:rPr>
        <w:footnoteReference w:id="240"/>
      </w:r>
      <w:r>
        <w:t xml:space="preserve">: delle 258 persone della fase di estensione, 153 (59,3%) sono rimaste in trattamento per cinque anni. In loro l’HbA1c era ancora 1,6 punti percentuali sotto il valore di partenza, il 43,9% ha raggiunto un valore inferiore al 7%. Tali estensioni hanno però una distorsione intrinseca: chi rispondeva male o aveva effetti collaterali spesso non c’è più.</w:t>
      </w:r>
    </w:p>
    <w:p>
      <w:pPr>
        <w:pStyle w:val="BodyText"/>
      </w:pPr>
      <w:r>
        <w:t xml:space="preserve">In DURATION-2</w:t>
      </w:r>
      <w:r>
        <w:rPr>
          <w:rStyle w:val="FootnoteReference"/>
        </w:rPr>
        <w:footnoteReference w:id="241"/>
      </w:r>
      <w:r>
        <w:t xml:space="preserve"> </w:t>
      </w:r>
      <w:r>
        <w:t xml:space="preserve">la forma settimanale è risultata superiore a due compresse allora molto usate: la differenza rispetto al sitagliptin era di 0,6 punti percentuali, rispetto al pioglitazone di 0,3 punti percentuali. Per il peso la differenza rispetto al pioglitazone, che tende a far aumentare di peso, era di 5,1 kg. In DURATION-3</w:t>
      </w:r>
      <w:r>
        <w:rPr>
          <w:rStyle w:val="FootnoteReference"/>
        </w:rPr>
        <w:footnoteReference w:id="242"/>
      </w:r>
      <w:r>
        <w:t xml:space="preserve"> </w:t>
      </w:r>
      <w:r>
        <w:t xml:space="preserve">l’exenatide settimanale è risultata leggermente superiore all’insulina basale glargine (differenza −0,16 punti percentuali), ma più persone hanno interrotto il trattamento a causa di effetti collaterali.</w:t>
      </w:r>
    </w:p>
    <w:bookmarkEnd w:id="243"/>
    <w:bookmarkStart w:id="246" w:name="Xb793c38512cfbdb8820c8bc1d75ea046ca9b32e"/>
    <w:p>
      <w:pPr>
        <w:pStyle w:val="Heading4"/>
      </w:pPr>
      <w:r>
        <w:t xml:space="preserve">Confronti diretti all’interno della classe GLP-1</w:t>
      </w:r>
    </w:p>
    <w:p>
      <w:pPr>
        <w:pStyle w:val="FirstParagraph"/>
      </w:pPr>
      <w:r>
        <w:t xml:space="preserve">Per collocare l’exenatide sono particolarmente istruttivi gli studi testa a testa con i principi attivi successivi. Mostrano che l’exenatide è efficace, ma viene superata dai successori.</w:t>
      </w:r>
    </w:p>
    <w:p>
      <w:pPr>
        <w:pStyle w:val="BodyText"/>
      </w:pPr>
      <w:r>
        <w:t xml:space="preserve">In</w:t>
      </w:r>
      <w:r>
        <w:t xml:space="preserve"> </w:t>
      </w:r>
      <w:r>
        <w:rPr>
          <w:bCs/>
          <w:b/>
        </w:rPr>
        <w:t xml:space="preserve">DURATION-6</w:t>
      </w:r>
      <w:r>
        <w:rPr>
          <w:rStyle w:val="FootnoteReference"/>
        </w:rPr>
        <w:footnoteReference w:id="244"/>
      </w:r>
      <w:r>
        <w:t xml:space="preserve"> </w:t>
      </w:r>
      <w:r>
        <w:t xml:space="preserve">la forma settimanale si è confrontata con la liraglutide una volta al giorno. La liraglutide ha ridotto l’HbA1c di 1,48 punti percentuali, l’exenatide di 1,28. La differenza di 0,21 punti percentuali non ha rispettato il limite prestabilito per „non peggiore“. In compenso l’exenatide era meglio tollerata: la nausea si è verificata nel 9% contro il 21%, la diarrea nel 6% contro il 13%, il vomito nel 4% contro l’11%.</w:t>
      </w:r>
    </w:p>
    <w:p>
      <w:pPr>
        <w:pStyle w:val="BodyText"/>
      </w:pPr>
      <w:r>
        <w:t xml:space="preserve">In</w:t>
      </w:r>
      <w:r>
        <w:t xml:space="preserve"> </w:t>
      </w:r>
      <w:r>
        <w:rPr>
          <w:bCs/>
          <w:b/>
        </w:rPr>
        <w:t xml:space="preserve">SUSTAIN 3</w:t>
      </w:r>
      <w:r>
        <w:rPr>
          <w:rStyle w:val="FootnoteReference"/>
        </w:rPr>
        <w:footnoteReference w:id="245"/>
      </w:r>
      <w:r>
        <w:t xml:space="preserve"> </w:t>
      </w:r>
      <w:r>
        <w:t xml:space="preserve">l’exenatide settimanale ha perso nettamente in 56 settimane contro la semaglutide settimanale. L’HbA1c è sceso di 0,9 contro 1,5 punti percentuali, il peso di 1,9 contro 5,6 kg. Un HbA1c inferiore al 7% è stato raggiunto dal 40% contro il 67%. I disturbi gastrointestinali erano un po’ più rari con exenatide (33,3% vs. 41,8%), le reazioni nel sito di iniezione invece molto più frequenti (22,0% vs. 1,2%).</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Confronto</w:t>
            </w:r>
          </w:p>
        </w:tc>
        <w:tc>
          <w:tcPr/>
          <w:p>
            <w:pPr>
              <w:pStyle w:val="Compact"/>
              <w:jc w:val="left"/>
            </w:pPr>
            <w:r>
              <w:t xml:space="preserve">Disegno</w:t>
            </w:r>
          </w:p>
        </w:tc>
        <w:tc>
          <w:tcPr/>
          <w:p>
            <w:pPr>
              <w:pStyle w:val="Compact"/>
              <w:jc w:val="left"/>
            </w:pPr>
            <w:r>
              <w:t xml:space="preserve">Durata</w:t>
            </w:r>
          </w:p>
        </w:tc>
        <w:tc>
          <w:tcPr/>
          <w:p>
            <w:pPr>
              <w:pStyle w:val="Compact"/>
              <w:jc w:val="left"/>
            </w:pPr>
            <w:r>
              <w:t xml:space="preserve">Risultato (exenatide settimanale vs. confronto)</w:t>
            </w:r>
          </w:p>
        </w:tc>
      </w:tr>
      <w:tr>
        <w:tc>
          <w:tcPr/>
          <w:p>
            <w:pPr>
              <w:pStyle w:val="Compact"/>
              <w:jc w:val="left"/>
            </w:pPr>
            <w:r>
              <w:t xml:space="preserve">DURATION-6 (Buse 2013), PMID 23141817</w:t>
            </w:r>
          </w:p>
        </w:tc>
        <w:tc>
          <w:tcPr/>
          <w:p>
            <w:pPr>
              <w:pStyle w:val="Compact"/>
              <w:jc w:val="left"/>
            </w:pPr>
            <w:r>
              <w:t xml:space="preserve">911 persone, in aperto vs. liraglutide</w:t>
            </w:r>
          </w:p>
        </w:tc>
        <w:tc>
          <w:tcPr/>
          <w:p>
            <w:pPr>
              <w:pStyle w:val="Compact"/>
              <w:jc w:val="left"/>
            </w:pPr>
            <w:r>
              <w:t xml:space="preserve">26 settimane</w:t>
            </w:r>
          </w:p>
        </w:tc>
        <w:tc>
          <w:tcPr/>
          <w:p>
            <w:pPr>
              <w:pStyle w:val="Compact"/>
              <w:jc w:val="left"/>
            </w:pPr>
            <w:r>
              <w:t xml:space="preserve">HbA1c −1,28 vs. −1,48; nausea 9% vs. 21%</w:t>
            </w:r>
          </w:p>
        </w:tc>
      </w:tr>
      <w:tr>
        <w:tc>
          <w:tcPr/>
          <w:p>
            <w:pPr>
              <w:pStyle w:val="Compact"/>
              <w:jc w:val="left"/>
            </w:pPr>
            <w:r>
              <w:t xml:space="preserve">SUSTAIN 3 (Ahmann 2018), PMID 29246950</w:t>
            </w:r>
          </w:p>
        </w:tc>
        <w:tc>
          <w:tcPr/>
          <w:p>
            <w:pPr>
              <w:pStyle w:val="Compact"/>
              <w:jc w:val="left"/>
            </w:pPr>
            <w:r>
              <w:t xml:space="preserve">in aperto vs. semaglutide settimanale</w:t>
            </w:r>
          </w:p>
        </w:tc>
        <w:tc>
          <w:tcPr/>
          <w:p>
            <w:pPr>
              <w:pStyle w:val="Compact"/>
              <w:jc w:val="left"/>
            </w:pPr>
            <w:r>
              <w:t xml:space="preserve">56 settimane</w:t>
            </w:r>
          </w:p>
        </w:tc>
        <w:tc>
          <w:tcPr/>
          <w:p>
            <w:pPr>
              <w:pStyle w:val="Compact"/>
              <w:jc w:val="left"/>
            </w:pPr>
            <w:r>
              <w:t xml:space="preserve">HbA1c −0,9 vs. −1,5; peso −1,9 vs. −5,6 kg</w:t>
            </w:r>
          </w:p>
        </w:tc>
      </w:tr>
    </w:tbl>
    <w:p>
      <w:pPr>
        <w:pStyle w:val="BodyText"/>
      </w:pPr>
      <w:r>
        <w:t xml:space="preserve">Il confronto con la dulaglutide e con la liraglutide rispetto alla forma due volte al giorno (gli studi AWARD-1 e LEAD-6) è discusso nei rispettivi capitoli.</w:t>
      </w:r>
    </w:p>
    <w:p>
      <w:pPr>
        <w:pStyle w:val="BodyText"/>
      </w:pPr>
      <w:r>
        <w:t xml:space="preserve">In sintesi l’exenatide si colloca nella classe nella fascia medio-bassa: più forte degli inibitori della DPP-4 (gliptine), più debole di liraglutide, dulaglutide e soprattutto semaglutide.</w:t>
      </w:r>
    </w:p>
    <w:bookmarkEnd w:id="246"/>
    <w:bookmarkStart w:id="250" w:name="exscel-lo-studio-cardiovascolare"/>
    <w:p>
      <w:pPr>
        <w:pStyle w:val="Heading4"/>
      </w:pPr>
      <w:r>
        <w:t xml:space="preserve">EXSCEL: lo studio cardiovascolare</w:t>
      </w:r>
    </w:p>
    <w:p>
      <w:pPr>
        <w:pStyle w:val="FirstParagraph"/>
      </w:pPr>
      <w:r>
        <w:t xml:space="preserve">Dal 2008 l’autorità statunitense per i farmaci FDA chiede ai nuovi farmaci per il diabete la prova che non aumentino il rischio cardiovascolare. Per l’exenatide settimanale è stato condotto a tale scopo EXSCEL – uno dei più grandi studi di questo tipo.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EXSCEL (Holman 2017), PMID 28910237</w:t>
            </w:r>
          </w:p>
        </w:tc>
        <w:tc>
          <w:tcPr/>
          <w:p>
            <w:pPr>
              <w:pStyle w:val="Compact"/>
              <w:jc w:val="left"/>
            </w:pPr>
            <w:r>
              <w:t xml:space="preserve">14.752 persone con diabete di tipo 2, 73,1% con malattia cardiovascolare preesistente, RCT contro placebo</w:t>
            </w:r>
          </w:p>
        </w:tc>
        <w:tc>
          <w:tcPr/>
          <w:p>
            <w:pPr>
              <w:pStyle w:val="Compact"/>
              <w:jc w:val="left"/>
            </w:pPr>
            <w:r>
              <w:t xml:space="preserve">mediana 3,2 anni</w:t>
            </w:r>
          </w:p>
        </w:tc>
        <w:tc>
          <w:tcPr/>
          <w:p>
            <w:pPr>
              <w:pStyle w:val="Compact"/>
              <w:jc w:val="left"/>
            </w:pPr>
            <w:r>
              <w:t xml:space="preserve">Eventi cardiovascolari gravi 11,4% vs. 12,2%; HR 0,91 (0,83–1,00), superiorità mancata di poco (p = 0,06)</w:t>
            </w:r>
          </w:p>
        </w:tc>
      </w:tr>
      <w:tr>
        <w:tc>
          <w:tcPr/>
          <w:p>
            <w:pPr>
              <w:pStyle w:val="Compact"/>
              <w:jc w:val="left"/>
            </w:pPr>
            <w:r>
              <w:t xml:space="preserve">FREEDOM-CVO (Ruff 2022), PMID 34873344</w:t>
            </w:r>
          </w:p>
        </w:tc>
        <w:tc>
          <w:tcPr/>
          <w:p>
            <w:pPr>
              <w:pStyle w:val="Compact"/>
              <w:jc w:val="left"/>
            </w:pPr>
            <w:r>
              <w:t xml:space="preserve">4.156 persone, impianto a pompa di exenatide ITCA 650 vs. placebo</w:t>
            </w:r>
          </w:p>
        </w:tc>
        <w:tc>
          <w:tcPr/>
          <w:p>
            <w:pPr>
              <w:pStyle w:val="Compact"/>
              <w:jc w:val="left"/>
            </w:pPr>
            <w:r>
              <w:t xml:space="preserve">mediana 16 mesi</w:t>
            </w:r>
          </w:p>
        </w:tc>
        <w:tc>
          <w:tcPr/>
          <w:p>
            <w:pPr>
              <w:pStyle w:val="Compact"/>
              <w:jc w:val="left"/>
            </w:pPr>
            <w:r>
              <w:t xml:space="preserve">Eventi 4,6% vs. 3,8%; HR 1,21 (0,90–1,63), criterio di sicurezza soddisfatto</w:t>
            </w:r>
          </w:p>
        </w:tc>
      </w:tr>
    </w:tbl>
    <w:p>
      <w:pPr>
        <w:pStyle w:val="BodyText"/>
      </w:pPr>
      <w:r>
        <w:t xml:space="preserve">L’endpoint principale combinato di EXSCEL</w:t>
      </w:r>
      <w:r>
        <w:rPr>
          <w:rStyle w:val="FootnoteReference"/>
        </w:rPr>
        <w:footnoteReference w:id="247"/>
      </w:r>
      <w:r>
        <w:t xml:space="preserve"> </w:t>
      </w:r>
      <w:r>
        <w:t xml:space="preserve">– morte per cause cardiovascolari, infarto miocardico non fatale o ictus – si è verificato con exenatide in 839 persone su 7.356 (11,4%), con placebo in 905 su 7.396 (12,2%). Ciò corrisponde a un hazard ratio (rischio relativo nel tempo) di 0,91. L’exenatide era quindi sicura, ma non dimostratamente protettiva. Pancreatite acuta, cancro del pancreas e carcinoma midollare della tiroide non si sono verificati più spesso che con placebo.</w:t>
      </w:r>
    </w:p>
    <w:p>
      <w:pPr>
        <w:pStyle w:val="BodyText"/>
      </w:pPr>
      <w:r>
        <w:t xml:space="preserve">Perché l’exenatide in EXSCEL abbia ottenuto risultati più deboli della liraglutide in LEADER o della dulaglutide in REWIND non è stato chiarito definitivamente. Si discutono un effetto più debole della molecola stessa, l’elevato tasso di interruzione nello studio e un disegno pragmatico con scarso controllo. In una meta-analisi congiunta dei sette grandi studi di esito sui GLP-1, con complessivamente 56.004 partecipanti</w:t>
      </w:r>
      <w:r>
        <w:rPr>
          <w:rStyle w:val="FootnoteReference"/>
        </w:rPr>
        <w:footnoteReference w:id="248"/>
      </w:r>
      <w:r>
        <w:t xml:space="preserve">, la classe ha ridotto gli eventi cardiovascolari gravi del 12% (HR 0,88) – senza differenze rilevanti tra i sottogruppi. EXSCEL rientra quindi nel quadro complessivo, ma si colloca al margine più debole.</w:t>
      </w:r>
    </w:p>
    <w:p>
      <w:pPr>
        <w:pStyle w:val="BodyText"/>
      </w:pPr>
      <w:r>
        <w:t xml:space="preserve">L’impianto a pompa ITCA 650, un dispositivo delle dimensioni di un fiammifero che avrebbe dovuto rilasciare exenatide in modo uniforme per mesi, in FREEDOM-CVO</w:t>
      </w:r>
      <w:r>
        <w:rPr>
          <w:rStyle w:val="FootnoteReference"/>
        </w:rPr>
        <w:footnoteReference w:id="249"/>
      </w:r>
      <w:r>
        <w:t xml:space="preserve"> </w:t>
      </w:r>
      <w:r>
        <w:t xml:space="preserve">ha soddisfatto solo l’ampio limite di sicurezza del 2008. La stima puntuale era sfavorevolmente sopra 1, gli effetti collaterali erano più frequenti che con placebo (72% vs. 63,9%). Il sistema non ha ottenuto l’autorizzazione.</w:t>
      </w:r>
    </w:p>
    <w:bookmarkEnd w:id="250"/>
    <w:bookmarkStart w:id="254" w:name="peso-senza-diabete-e-negli-adolescenti"/>
    <w:p>
      <w:pPr>
        <w:pStyle w:val="Heading4"/>
      </w:pPr>
      <w:r>
        <w:t xml:space="preserve">Peso senza diabete e negli adolescenti</w:t>
      </w:r>
    </w:p>
    <w:p>
      <w:pPr>
        <w:pStyle w:val="FirstParagraph"/>
      </w:pPr>
      <w:r>
        <w:t xml:space="preserve">L’exenatide non è autorizzata per la riduzione del peso, ma è stata studiata a questo scopo in studi più piccoli. Su 152 adulti con obesità senza diabete, i partecipanti con exenatide due volte al giorno più un programma sullo stile di vita hanno perso in 24 settimane 5,1 kg, con placebo 1,6 kg</w:t>
      </w:r>
      <w:r>
        <w:rPr>
          <w:rStyle w:val="FootnoteReference"/>
        </w:rPr>
        <w:footnoteReference w:id="251"/>
      </w:r>
      <w:r>
        <w:t xml:space="preserve">. Una meta-analisi di sei piccoli studi con 362 partecipanti ha rilevato una perdita aggiuntiva media di 4,47 kg rispetto ai controlli</w:t>
      </w:r>
      <w:r>
        <w:rPr>
          <w:rStyle w:val="FootnoteReference"/>
        </w:rPr>
        <w:footnoteReference w:id="252"/>
      </w:r>
      <w:r>
        <w:t xml:space="preserve">. È una frazione di ciò che è stato raggiunto in seguito con semaglutide o tirzepatide.</w:t>
      </w:r>
    </w:p>
    <w:p>
      <w:pPr>
        <w:pStyle w:val="BodyText"/>
      </w:pPr>
      <w:r>
        <w:t xml:space="preserve">Negli adolescenti con diabete di tipo 2 la forma settimanale, in uno studio con 83 partecipanti, ha ridotto l’HbA1c dopo 24 settimane di 0,85 punti percentuali in più rispetto al placebo</w:t>
      </w:r>
      <w:r>
        <w:rPr>
          <w:rStyle w:val="FootnoteReference"/>
        </w:rPr>
        <w:footnoteReference w:id="253"/>
      </w:r>
      <w:r>
        <w:t xml:space="preserve">. Una differenza di peso di −1,22 kg non era statisticamente significativa. Questo studio ha costituito la base per l’estensione dell’autorizzazione agli adolescenti.</w:t>
      </w:r>
    </w:p>
    <w:bookmarkEnd w:id="254"/>
    <w:bookmarkStart w:id="259" w:name="X9859a64f4a473c0b105aab9d69762e38ba74984"/>
    <w:p>
      <w:pPr>
        <w:pStyle w:val="Heading4"/>
      </w:pPr>
      <w:r>
        <w:t xml:space="preserve">Parkinson: speranza, disillusione e una expression of concern</w:t>
      </w:r>
    </w:p>
    <w:p>
      <w:pPr>
        <w:pStyle w:val="FirstParagraph"/>
      </w:pPr>
      <w:r>
        <w:t xml:space="preserve">Nessun altro ambito d’impiego ha procurato all’exenatide tanta attenzione al di là del diabete quanto la malattia di Parkinson. Il punto di partenza erano esperimenti su animali e cellule in cui gli agonisti del recettore del GLP-1 proteggevano le cellule nervose.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Exenatide-PD (Athauda 2017), PMID 28781108</w:t>
            </w:r>
          </w:p>
        </w:tc>
        <w:tc>
          <w:tcPr/>
          <w:p>
            <w:pPr>
              <w:pStyle w:val="Compact"/>
              <w:jc w:val="left"/>
            </w:pPr>
            <w:r>
              <w:t xml:space="preserve">62 persone con Parkinson moderato, RCT contro placebo</w:t>
            </w:r>
          </w:p>
        </w:tc>
        <w:tc>
          <w:tcPr/>
          <w:p>
            <w:pPr>
              <w:pStyle w:val="Compact"/>
              <w:jc w:val="left"/>
            </w:pPr>
            <w:r>
              <w:t xml:space="preserve">48 settimane + 12 settimane di washout</w:t>
            </w:r>
          </w:p>
        </w:tc>
        <w:tc>
          <w:tcPr/>
          <w:p>
            <w:pPr>
              <w:pStyle w:val="Compact"/>
              <w:jc w:val="left"/>
            </w:pPr>
            <w:r>
              <w:t xml:space="preserve">Punteggio motorio migliore di −3,5 punti rispetto al placebo (p = 0,0318)</w:t>
            </w:r>
          </w:p>
        </w:tc>
      </w:tr>
      <w:tr>
        <w:tc>
          <w:tcPr/>
          <w:p>
            <w:pPr>
              <w:pStyle w:val="Compact"/>
              <w:jc w:val="left"/>
            </w:pPr>
            <w:r>
              <w:t xml:space="preserve">Exenatide-PD3 (Vijiaratnam 2025), PMID 39919773</w:t>
            </w:r>
          </w:p>
        </w:tc>
        <w:tc>
          <w:tcPr/>
          <w:p>
            <w:pPr>
              <w:pStyle w:val="Compact"/>
              <w:jc w:val="left"/>
            </w:pPr>
            <w:r>
              <w:t xml:space="preserve">194 persone, RCT contro placebo, sei centri</w:t>
            </w:r>
          </w:p>
        </w:tc>
        <w:tc>
          <w:tcPr/>
          <w:p>
            <w:pPr>
              <w:pStyle w:val="Compact"/>
              <w:jc w:val="left"/>
            </w:pPr>
            <w:r>
              <w:t xml:space="preserve">96 settimane</w:t>
            </w:r>
          </w:p>
        </w:tc>
        <w:tc>
          <w:tcPr/>
          <w:p>
            <w:pPr>
              <w:pStyle w:val="Compact"/>
              <w:jc w:val="left"/>
            </w:pPr>
            <w:r>
              <w:t xml:space="preserve">Nessuna differenza: peggioramento di +5,7 vs. +4,5 punti (p = 0,47)</w:t>
            </w:r>
          </w:p>
        </w:tc>
      </w:tr>
      <w:tr>
        <w:tc>
          <w:tcPr/>
          <w:p>
            <w:pPr>
              <w:pStyle w:val="Compact"/>
              <w:jc w:val="left"/>
            </w:pPr>
            <w:r>
              <w:t xml:space="preserve">NLY01 (McGarry 2024), PMID 38101901</w:t>
            </w:r>
          </w:p>
        </w:tc>
        <w:tc>
          <w:tcPr/>
          <w:p>
            <w:pPr>
              <w:pStyle w:val="Compact"/>
              <w:jc w:val="left"/>
            </w:pPr>
            <w:r>
              <w:t xml:space="preserve">255 persone con Parkinson precoce non trattato, exenatide peghilata vs. placebo</w:t>
            </w:r>
          </w:p>
        </w:tc>
        <w:tc>
          <w:tcPr/>
          <w:p>
            <w:pPr>
              <w:pStyle w:val="Compact"/>
              <w:jc w:val="left"/>
            </w:pPr>
            <w:r>
              <w:t xml:space="preserve">36 settimane</w:t>
            </w:r>
          </w:p>
        </w:tc>
        <w:tc>
          <w:tcPr/>
          <w:p>
            <w:pPr>
              <w:pStyle w:val="Compact"/>
              <w:jc w:val="left"/>
            </w:pPr>
            <w:r>
              <w:t xml:space="preserve">Nessuna differenza in entrambi i gruppi di dose</w:t>
            </w:r>
          </w:p>
        </w:tc>
      </w:tr>
    </w:tbl>
    <w:p>
      <w:pPr>
        <w:pStyle w:val="BodyText"/>
      </w:pPr>
      <w:r>
        <w:t xml:space="preserve">Il piccolo studio di Athauda 2017</w:t>
      </w:r>
      <w:r>
        <w:rPr>
          <w:rStyle w:val="FootnoteReference"/>
        </w:rPr>
        <w:footnoteReference w:id="255"/>
      </w:r>
      <w:r>
        <w:t xml:space="preserve"> </w:t>
      </w:r>
      <w:r>
        <w:t xml:space="preserve">ha rilevato dopo 60 settimane una differenza di 3,5 punti sulla scala di valutazione motoria MDS-UPDRS parte III, che persisteva anche dopo la sospensione. Ciò è stato spesso interpretato come un possibile primo indizio di un effetto di rallentamento della malattia. Le autrici e gli autori sono rimasti cauti: non era chiaro se l’exenatide influenzasse il decorso della malattia o avesse solo effetti sintomatici di lunga durata.</w:t>
      </w:r>
    </w:p>
    <w:p>
      <w:pPr>
        <w:pStyle w:val="BodyText"/>
      </w:pPr>
      <w:r>
        <w:t xml:space="preserve">Il più grande studio di fase 3 Exenatide-PD3</w:t>
      </w:r>
      <w:r>
        <w:rPr>
          <w:rStyle w:val="FootnoteReference"/>
        </w:rPr>
        <w:footnoteReference w:id="256"/>
      </w:r>
      <w:r>
        <w:t xml:space="preserve"> </w:t>
      </w:r>
      <w:r>
        <w:t xml:space="preserve">non ha potuto confermarlo. Dopo 96 settimane il punteggio motorio era peggiorato in modo simile in entrambi i gruppi. I ricercatori hanno concluso che non vi sono prove a favore dell’exenatide come trattamento modificante la malattia. Su questa pubblicazione la rivista scientifica ha pubblicato nel 2026 una cosiddetta expression of concern (Expression of Concern, The Lancet 2026, PMID 42330995) – un avviso redazionale che segnala la verifica di questioni relative a una pubblicazione. La voce su PubMed non contiene un riassunto dei motivi; la valutazione dello studio dovrebbe quindi avvenire con riserva fino al chiarimento. Anche una variante di exenatide peghilata a più lunga durata d’azione (NLY01) non ha mostrato alcun beneficio nel Parkinson precoce</w:t>
      </w:r>
      <w:r>
        <w:rPr>
          <w:rStyle w:val="FootnoteReference"/>
        </w:rPr>
        <w:footnoteReference w:id="257"/>
      </w:r>
      <w:r>
        <w:t xml:space="preserve">.</w:t>
      </w:r>
    </w:p>
    <w:p>
      <w:pPr>
        <w:pStyle w:val="BodyText"/>
      </w:pPr>
      <w:r>
        <w:t xml:space="preserve">Nell’atrofia multisistemica, una rara malattia affine, uno studio in aperto con 50 partecipanti ha trovato un vantaggio nell’endpoint principale, ma nessuna differenza in parametri oggettivi come biomarcatori o diagnostica per immagini</w:t>
      </w:r>
      <w:r>
        <w:rPr>
          <w:rStyle w:val="FootnoteReference"/>
        </w:rPr>
        <w:footnoteReference w:id="258"/>
      </w:r>
      <w:r>
        <w:t xml:space="preserve">. Le autrici e gli autori stessi ritengono possibile un effetto placebo o dell’osservatore.</w:t>
      </w:r>
    </w:p>
    <w:bookmarkEnd w:id="259"/>
    <w:bookmarkStart w:id="264" w:name="altri-ambiti-dimpiego-negli-studi"/>
    <w:p>
      <w:pPr>
        <w:pStyle w:val="Heading4"/>
      </w:pPr>
      <w:r>
        <w:t xml:space="preserve">Altri ambiti d’impiego negli studi</w:t>
      </w:r>
    </w:p>
    <w:p>
      <w:pPr>
        <w:numPr>
          <w:ilvl w:val="0"/>
          <w:numId w:val="1037"/>
        </w:numPr>
        <w:pStyle w:val="Compact"/>
      </w:pPr>
      <w:r>
        <w:rPr>
          <w:bCs/>
          <w:b/>
        </w:rPr>
        <w:t xml:space="preserve">Alzheimer e decadimento cognitivo lieve:</w:t>
      </w:r>
      <w:r>
        <w:t xml:space="preserve"> </w:t>
      </w:r>
      <w:r>
        <w:t xml:space="preserve">uno studio pilota interrotto anticipatamente non ha trovato differenze nelle misure di memoria o di diagnostica per immagini</w:t>
      </w:r>
      <w:r>
        <w:rPr>
          <w:rStyle w:val="FootnoteReference"/>
        </w:rPr>
        <w:footnoteReference w:id="260"/>
      </w:r>
      <w:r>
        <w:t xml:space="preserve">. Anche uno studio di 32 settimane sul decadimento cognitivo lieve non ha mostrato alcun beneficio</w:t>
      </w:r>
      <w:r>
        <w:rPr>
          <w:rStyle w:val="FootnoteReference"/>
        </w:rPr>
        <w:footnoteReference w:id="261"/>
      </w:r>
      <w:r>
        <w:t xml:space="preserve">.</w:t>
      </w:r>
    </w:p>
    <w:p>
      <w:pPr>
        <w:numPr>
          <w:ilvl w:val="0"/>
          <w:numId w:val="1037"/>
        </w:numPr>
        <w:pStyle w:val="Compact"/>
      </w:pPr>
      <w:r>
        <w:rPr>
          <w:bCs/>
          <w:b/>
        </w:rPr>
        <w:t xml:space="preserve">Dipendenza da alcol:</w:t>
      </w:r>
      <w:r>
        <w:t xml:space="preserve"> </w:t>
      </w:r>
      <w:r>
        <w:t xml:space="preserve">in uno studio con 127 partecipanti l’exenatide settimanale non ha ridotto in modo significativo il numero di giorni di consumo elevato. In un’analisi a posteriori di sottogruppo nelle persone con obesità si è visto un effetto; alla risonanza magnetica cerebrale la reazione agli stimoli legati all’alcol era attenuata</w:t>
      </w:r>
      <w:r>
        <w:rPr>
          <w:rStyle w:val="FootnoteReference"/>
        </w:rPr>
        <w:footnoteReference w:id="262"/>
      </w:r>
      <w:r>
        <w:t xml:space="preserve">. Tali risultati di sottogruppo sono ipotesi, non prove.</w:t>
      </w:r>
    </w:p>
    <w:p>
      <w:pPr>
        <w:numPr>
          <w:ilvl w:val="0"/>
          <w:numId w:val="1037"/>
        </w:numPr>
        <w:pStyle w:val="Compact"/>
      </w:pPr>
      <w:r>
        <w:rPr>
          <w:bCs/>
          <w:b/>
        </w:rPr>
        <w:t xml:space="preserve">Ipertensione intracranica idiopatica</w:t>
      </w:r>
      <w:r>
        <w:t xml:space="preserve"> </w:t>
      </w:r>
      <w:r>
        <w:t xml:space="preserve">(pressione intracranica aumentata senza causa riconoscibile, per lo più in giovani donne in sovrappeso): in 16 donne l’exenatide ha ridotto la pressione intracranica misurata dopo 24 ore in media di 6,4 cm di colonna d’acqua rispetto al placebo</w:t>
      </w:r>
      <w:r>
        <w:rPr>
          <w:rStyle w:val="FootnoteReference"/>
        </w:rPr>
        <w:footnoteReference w:id="263"/>
      </w:r>
      <w:r>
        <w:t xml:space="preserve">. Lo studio è molto piccolo; uno studio più grande è ancora atteso.</w:t>
      </w:r>
    </w:p>
    <w:bookmarkEnd w:id="264"/>
    <w:bookmarkEnd w:id="265"/>
    <w:bookmarkStart w:id="269" w:name="studi-su-animali-e-in-laboratorio"/>
    <w:p>
      <w:pPr>
        <w:pStyle w:val="Heading3"/>
      </w:pPr>
      <w:r>
        <w:t xml:space="preserve">Studi su animali e in laboratorio</w:t>
      </w:r>
    </w:p>
    <w:p>
      <w:pPr>
        <w:pStyle w:val="FirstParagraph"/>
      </w:pPr>
      <w:r>
        <w:t xml:space="preserve">L’exendina-4 originariamente non era stata cercata come farmaco antidiabetico. Nella prima descrizione del 1992 i ricercatori ne studiarono l’effetto su cellule del pancreas di porcellino d’India</w:t>
      </w:r>
      <w:r>
        <w:rPr>
          <w:rStyle w:val="FootnoteReference"/>
        </w:rPr>
        <w:footnoteReference w:id="266"/>
      </w:r>
      <w:r>
        <w:t xml:space="preserve">. Solo in seguito si scoprì che agisce sul recettore del GLP-1.</w:t>
      </w:r>
    </w:p>
    <w:p>
      <w:pPr>
        <w:pStyle w:val="BodyText"/>
      </w:pPr>
      <w:r>
        <w:t xml:space="preserve">Ne è seguito un gran numero di studi su animali. In ratti a cui era stata asportata una parte del pancreas, l’exendina-4 ha favorito la neoformazione e la divisione delle cellule beta produttrici di insulina e ha attenuato lo sviluppo di un diabete</w:t>
      </w:r>
      <w:r>
        <w:rPr>
          <w:rStyle w:val="FootnoteReference"/>
        </w:rPr>
        <w:footnoteReference w:id="267"/>
      </w:r>
      <w:r>
        <w:t xml:space="preserve">. Se una simile rigenerazione delle cellule beta sia ottenibile in misura rilevante anche nell’uomo non è dimostrato ancora oggi.</w:t>
      </w:r>
    </w:p>
    <w:p>
      <w:pPr>
        <w:pStyle w:val="BodyText"/>
      </w:pPr>
      <w:r>
        <w:t xml:space="preserve">A questi si sono aggiunti esperimenti su roditori riguardanti la neuroprotezione (Parkinson, Alzheimer, ictus), il comportamento di consumo di alcol e di dipendenza e la pressione intracranica. Questi dati su animali hanno dato origine agli studi sull’uomo descritti sopra – i cui risultati finora sono stati molto più modesti. È un esempio istruttivo di quanto sia difficile trasferire all’uomo i risultati ottenuti su ratti e topi.</w:t>
      </w:r>
    </w:p>
    <w:p>
      <w:pPr>
        <w:pStyle w:val="BodyText"/>
      </w:pPr>
      <w:r>
        <w:t xml:space="preserve">Sulla tiroide: in ratti e topi gli agonisti del recettore del GLP-1 provocano una proliferazione delle cellule C della tiroide, mentre nei primati e nell’uomo queste cellule sono scarsamente dotate del recettore</w:t>
      </w:r>
      <w:r>
        <w:rPr>
          <w:rStyle w:val="FootnoteReference"/>
        </w:rPr>
        <w:footnoteReference w:id="268"/>
      </w:r>
      <w:r>
        <w:t xml:space="preserve">. Se ne parla di più nel capitolo Liraglutide e nella Parte IV.</w:t>
      </w:r>
    </w:p>
    <w:bookmarkEnd w:id="269"/>
    <w:bookmarkStart w:id="279" w:name="rischi-ed-effetti-collaterali"/>
    <w:p>
      <w:pPr>
        <w:pStyle w:val="Heading3"/>
      </w:pPr>
      <w:r>
        <w:t xml:space="preserve">Rischi ed effetti collaterali</w:t>
      </w:r>
    </w:p>
    <w:p>
      <w:pPr>
        <w:pStyle w:val="FirstParagraph"/>
      </w:pPr>
      <w:r>
        <w:rPr>
          <w:bCs/>
          <w:b/>
        </w:rPr>
        <w:t xml:space="preserve">Dimostrati da studi randomizzati:</w:t>
      </w:r>
    </w:p>
    <w:p>
      <w:pPr>
        <w:numPr>
          <w:ilvl w:val="0"/>
          <w:numId w:val="1038"/>
        </w:numPr>
        <w:pStyle w:val="Compact"/>
      </w:pPr>
      <w:r>
        <w:t xml:space="preserve">I</w:t>
      </w:r>
      <w:r>
        <w:t xml:space="preserve"> </w:t>
      </w:r>
      <w:r>
        <w:rPr>
          <w:bCs/>
          <w:b/>
        </w:rPr>
        <w:t xml:space="preserve">disturbi gastrointestinali</w:t>
      </w:r>
      <w:r>
        <w:t xml:space="preserve"> </w:t>
      </w:r>
      <w:r>
        <w:t xml:space="preserve">sono l’effetto collaterale più frequente. Con la forma due volte al giorno, nel confronto con l’insulina glargine, la nausea si è verificata nel 57,1% dei trattati, il vomito nel 17,4%</w:t>
      </w:r>
      <w:r>
        <w:rPr>
          <w:rStyle w:val="FootnoteReference"/>
        </w:rPr>
        <w:footnoteReference w:id="270"/>
      </w:r>
      <w:r>
        <w:t xml:space="preserve">. La forma settimanale provoca meno nausea; in DURATION-6 era il 9%</w:t>
      </w:r>
      <w:r>
        <w:rPr>
          <w:rStyle w:val="FootnoteReference"/>
        </w:rPr>
        <w:footnoteReference w:id="271"/>
      </w:r>
      <w:r>
        <w:t xml:space="preserve">. I disturbi di solito diminuiscono col tempo.</w:t>
      </w:r>
    </w:p>
    <w:p>
      <w:pPr>
        <w:numPr>
          <w:ilvl w:val="0"/>
          <w:numId w:val="1038"/>
        </w:numPr>
        <w:pStyle w:val="Compact"/>
      </w:pPr>
      <w:r>
        <w:t xml:space="preserve">L’</w:t>
      </w:r>
      <w:r>
        <w:rPr>
          <w:bCs/>
          <w:b/>
        </w:rPr>
        <w:t xml:space="preserve">ipoglicemia</w:t>
      </w:r>
      <w:r>
        <w:t xml:space="preserve"> </w:t>
      </w:r>
      <w:r>
        <w:t xml:space="preserve">è rara in monoterapia, ma diventa più frequente in combinazione con sulfoniluree o insulina</w:t>
      </w:r>
      <w:r>
        <w:rPr>
          <w:rStyle w:val="FootnoteReference"/>
        </w:rPr>
        <w:footnoteReference w:id="272"/>
      </w:r>
      <w:r>
        <w:t xml:space="preserve">.</w:t>
      </w:r>
    </w:p>
    <w:p>
      <w:pPr>
        <w:numPr>
          <w:ilvl w:val="0"/>
          <w:numId w:val="1038"/>
        </w:numPr>
        <w:pStyle w:val="Compact"/>
      </w:pPr>
      <w:r>
        <w:rPr>
          <w:bCs/>
          <w:b/>
        </w:rPr>
        <w:t xml:space="preserve">Reazioni nel sito di iniezione:</w:t>
      </w:r>
      <w:r>
        <w:t xml:space="preserve"> </w:t>
      </w:r>
      <w:r>
        <w:t xml:space="preserve">con la forma settimanale si formano spesso noduli palpabili sotto la pelle, perché lì le microsfere vengono degradate lentamente. Nell’analisi a cinque anni di DURATION-1 tali reazioni sono diventate più rare col tempo</w:t>
      </w:r>
      <w:r>
        <w:rPr>
          <w:rStyle w:val="FootnoteReference"/>
        </w:rPr>
        <w:footnoteReference w:id="273"/>
      </w:r>
      <w:r>
        <w:t xml:space="preserve">.</w:t>
      </w:r>
    </w:p>
    <w:p>
      <w:pPr>
        <w:numPr>
          <w:ilvl w:val="0"/>
          <w:numId w:val="1038"/>
        </w:numPr>
        <w:pStyle w:val="Compact"/>
      </w:pPr>
      <w:r>
        <w:rPr>
          <w:bCs/>
          <w:b/>
        </w:rPr>
        <w:t xml:space="preserve">Formazione di anticorpi:</w:t>
      </w:r>
      <w:r>
        <w:t xml:space="preserve"> </w:t>
      </w:r>
      <w:r>
        <w:t xml:space="preserve">a causa dell’origine dal veleno di lucertola, una parte dei trattati forma anticorpi. Ciò è descritto più dettagliatamente nella Parte IV.</w:t>
      </w:r>
    </w:p>
    <w:p>
      <w:pPr>
        <w:pStyle w:val="FirstParagraph"/>
      </w:pPr>
      <w:r>
        <w:rPr>
          <w:bCs/>
          <w:b/>
        </w:rPr>
        <w:t xml:space="preserve">Studiati, ma non confermati o incerti:</w:t>
      </w:r>
    </w:p>
    <w:p>
      <w:pPr>
        <w:numPr>
          <w:ilvl w:val="0"/>
          <w:numId w:val="1039"/>
        </w:numPr>
        <w:pStyle w:val="Compact"/>
      </w:pPr>
      <w:r>
        <w:rPr>
          <w:bCs/>
          <w:b/>
        </w:rPr>
        <w:t xml:space="preserve">Pancreatite acuta (infiammazione del pancreas):</w:t>
      </w:r>
      <w:r>
        <w:t xml:space="preserve"> </w:t>
      </w:r>
      <w:r>
        <w:t xml:space="preserve">poco dopo l’immissione in commercio vi furono segnalazioni spontanee che portarono ad avvertenze. In un’analisi aggregata di due banche dati assicurative con 49.956 persone trattate con exenatide due volte al giorno, il rischio senza correzione non era aumentato (rischio relativo 1,0), dopo correzione per errata classificazione era leggermente aumentato (1,3; intervallo di confidenza 1,0–1,7)</w:t>
      </w:r>
      <w:r>
        <w:rPr>
          <w:rStyle w:val="FootnoteReference"/>
        </w:rPr>
        <w:footnoteReference w:id="274"/>
      </w:r>
      <w:r>
        <w:t xml:space="preserve">. In EXSCEL la pancreatite non si è verificata più spesso che con placebo</w:t>
      </w:r>
      <w:r>
        <w:rPr>
          <w:rStyle w:val="FootnoteReference"/>
        </w:rPr>
        <w:footnoteReference w:id="275"/>
      </w:r>
      <w:r>
        <w:t xml:space="preserve">. La pancreatite resta indicata come effetto collaterale raro nel Riassunto delle caratteristiche del prodotto.</w:t>
      </w:r>
    </w:p>
    <w:p>
      <w:pPr>
        <w:numPr>
          <w:ilvl w:val="0"/>
          <w:numId w:val="1039"/>
        </w:numPr>
        <w:pStyle w:val="Compact"/>
      </w:pPr>
      <w:r>
        <w:rPr>
          <w:bCs/>
          <w:b/>
        </w:rPr>
        <w:t xml:space="preserve">Cancro del pancreas e della tiroide:</w:t>
      </w:r>
      <w:r>
        <w:t xml:space="preserve"> </w:t>
      </w:r>
      <w:r>
        <w:t xml:space="preserve">in uno studio di coorte statunitense con 33.629 persone trattate con exenatide, il rischio di cancro del pancreas non era aumentato (HR 0,76); per il cancro della tiroide la stima era 1,46, con un intervallo di confidenza da 0,98 a 2,19, quindi non statisticamente significativa</w:t>
      </w:r>
      <w:r>
        <w:rPr>
          <w:rStyle w:val="FootnoteReference"/>
        </w:rPr>
        <w:footnoteReference w:id="276"/>
      </w:r>
      <w:r>
        <w:t xml:space="preserve">. Una meta-analisi di 50 studi randomizzati sull’intera classe GLP-1 non ha trovato complessivamente un rischio oncologico aumentato, ma un segnale per il cancro della tiroide (odds ratio 1,55) che deve essere ulteriormente studiato</w:t>
      </w:r>
      <w:r>
        <w:rPr>
          <w:rStyle w:val="FootnoteReference"/>
        </w:rPr>
        <w:footnoteReference w:id="277"/>
      </w:r>
      <w:r>
        <w:t xml:space="preserve">. È in corso uno studio europeo di sicurezza sul cancro del pancreas con exenatide</w:t>
      </w:r>
      <w:r>
        <w:rPr>
          <w:rStyle w:val="FootnoteReference"/>
        </w:rPr>
        <w:footnoteReference w:id="278"/>
      </w:r>
      <w:r>
        <w:t xml:space="preserve">.</w:t>
      </w:r>
    </w:p>
    <w:p>
      <w:pPr>
        <w:numPr>
          <w:ilvl w:val="0"/>
          <w:numId w:val="1039"/>
        </w:numPr>
        <w:pStyle w:val="Compact"/>
      </w:pPr>
      <w:r>
        <w:rPr>
          <w:bCs/>
          <w:b/>
        </w:rPr>
        <w:t xml:space="preserve">Rischio cardiovascolare:</w:t>
      </w:r>
      <w:r>
        <w:t xml:space="preserve"> </w:t>
      </w:r>
      <w:r>
        <w:t xml:space="preserve">non aumentato in EXSCEL.</w:t>
      </w:r>
    </w:p>
    <w:p>
      <w:pPr>
        <w:pStyle w:val="FirstParagraph"/>
      </w:pPr>
      <w:r>
        <w:rPr>
          <w:bCs/>
          <w:b/>
        </w:rPr>
        <w:t xml:space="preserve">Indicazioni per la pratica:</w:t>
      </w:r>
      <w:r>
        <w:t xml:space="preserve"> </w:t>
      </w:r>
      <w:r>
        <w:t xml:space="preserve">l’exenatide viene eliminata attraverso i reni; in caso di funzionalità renale fortemente ridotta non è raccomandata. Come tutti gli agonisti del recettore del GLP-1 rallenta lo svuotamento gastrico e può così influenzare l’assorbimento di altri farmaci. Per uso, controindicazioni e interazioni fa fede il Riassunto delle caratteristiche del prodotto aggiornato; il trattamento va affidato al medico.</w:t>
      </w:r>
    </w:p>
    <w:bookmarkEnd w:id="279"/>
    <w:bookmarkStart w:id="280" w:name="quadro-normativo"/>
    <w:p>
      <w:pPr>
        <w:pStyle w:val="Heading3"/>
      </w:pPr>
      <w:r>
        <w:t xml:space="preserve">Quadro normativo</w:t>
      </w:r>
    </w:p>
    <w:p>
      <w:pPr>
        <w:numPr>
          <w:ilvl w:val="0"/>
          <w:numId w:val="1040"/>
        </w:numPr>
        <w:pStyle w:val="Compact"/>
      </w:pPr>
      <w:r>
        <w:rPr>
          <w:bCs/>
          <w:b/>
        </w:rPr>
        <w:t xml:space="preserve">UE:</w:t>
      </w:r>
      <w:r>
        <w:t xml:space="preserve"> </w:t>
      </w:r>
      <w:r>
        <w:t xml:space="preserve">l’exenatide è autorizzata con procedura centralizzata come farmaco soggetto a prescrizione per il trattamento del diabete di tipo 2 (Byetta dal 2006, Bydureon dal 2011). Non è autorizzata per la riduzione del peso.</w:t>
      </w:r>
    </w:p>
    <w:p>
      <w:pPr>
        <w:numPr>
          <w:ilvl w:val="0"/>
          <w:numId w:val="1040"/>
        </w:numPr>
        <w:pStyle w:val="Compact"/>
      </w:pPr>
      <w:r>
        <w:rPr>
          <w:bCs/>
          <w:b/>
        </w:rPr>
        <w:t xml:space="preserve">Germania e Austria:</w:t>
      </w:r>
      <w:r>
        <w:t xml:space="preserve"> </w:t>
      </w:r>
      <w:r>
        <w:t xml:space="preserve">soggetta a prescrizione. La prescrizione per la sola perdita di peso sarebbe un uso off-label e di regola non viene rimborsata dalle casse malattia. Alcune forme farmaceutiche non sono stabilmente in commercio in tutti i Paesi – da verificare.</w:t>
      </w:r>
    </w:p>
    <w:p>
      <w:pPr>
        <w:numPr>
          <w:ilvl w:val="0"/>
          <w:numId w:val="1040"/>
        </w:numPr>
        <w:pStyle w:val="Compact"/>
      </w:pPr>
      <w:r>
        <w:rPr>
          <w:bCs/>
          <w:b/>
        </w:rPr>
        <w:t xml:space="preserve">USA:</w:t>
      </w:r>
      <w:r>
        <w:t xml:space="preserve"> </w:t>
      </w:r>
      <w:r>
        <w:t xml:space="preserve">autorizzata per il diabete di tipo 2; la forma settimanale anche per adolescenti dai 10 anni. Per la forma due volte al giorno sono autorizzati dei generici.</w:t>
      </w:r>
    </w:p>
    <w:p>
      <w:pPr>
        <w:numPr>
          <w:ilvl w:val="0"/>
          <w:numId w:val="1040"/>
        </w:numPr>
        <w:pStyle w:val="Compact"/>
      </w:pPr>
      <w:r>
        <w:rPr>
          <w:bCs/>
          <w:b/>
        </w:rPr>
        <w:t xml:space="preserve">Sport (WADA):</w:t>
      </w:r>
      <w:r>
        <w:t xml:space="preserve"> </w:t>
      </w:r>
      <w:r>
        <w:t xml:space="preserve">gli agonisti del recettore del GLP-1 non figurano nella Lista delle sostanze proibite (aggiornato al 2026, da verificare).</w:t>
      </w:r>
    </w:p>
    <w:p>
      <w:pPr>
        <w:numPr>
          <w:ilvl w:val="0"/>
          <w:numId w:val="1040"/>
        </w:numPr>
        <w:pStyle w:val="Compact"/>
      </w:pPr>
      <w:r>
        <w:rPr>
          <w:bCs/>
          <w:b/>
        </w:rPr>
        <w:t xml:space="preserve">Mercato grigio:</w:t>
      </w:r>
      <w:r>
        <w:t xml:space="preserve"> </w:t>
      </w:r>
      <w:r>
        <w:t xml:space="preserve">l’exenatide, accanto a semaglutide e tirzepatide, ha un ruolo marginale nel mercato grigio. I rischi generali dei canali di approvvigionamento non autorizzati sono descritti nella Parte I.</w:t>
      </w:r>
    </w:p>
    <w:bookmarkEnd w:id="280"/>
    <w:bookmarkStart w:id="287" w:name="studi-in-corso-e-prospettive"/>
    <w:p>
      <w:pPr>
        <w:pStyle w:val="Heading3"/>
      </w:pPr>
      <w:r>
        <w:t xml:space="preserve">Studi in corso e prospettive</w:t>
      </w:r>
    </w:p>
    <w:p>
      <w:pPr>
        <w:pStyle w:val="FirstParagraph"/>
      </w:pPr>
      <w:r>
        <w:rPr>
          <w:bCs/>
          <w:b/>
        </w:rPr>
        <w:t xml:space="preserve">Accertato (studi registrati):</w:t>
      </w:r>
      <w:r>
        <w:t xml:space="preserve"> </w:t>
      </w:r>
      <w:r>
        <w:t xml:space="preserve">come antidiabetico l’exenatide è in gran parte „esplorata a fondo“; nuovi studi registrativi in questa indicazione non ce ne sono quasi più. Le voci di registro attuali riguardano soprattutto:</w:t>
      </w:r>
    </w:p>
    <w:p>
      <w:pPr>
        <w:numPr>
          <w:ilvl w:val="0"/>
          <w:numId w:val="1041"/>
        </w:numPr>
        <w:pStyle w:val="Compact"/>
      </w:pPr>
      <w:r>
        <w:t xml:space="preserve">Varianti della molecola: in Cina vengono sviluppate varianti peghilate. Per PB-119 uno studio di fase 2 con 251 partecipanti ha ridotto l’HbA1c dopo 12 settimane fino a 1,18 punti percentuali in più rispetto al placebo</w:t>
      </w:r>
      <w:r>
        <w:rPr>
          <w:rStyle w:val="FootnoteReference"/>
        </w:rPr>
        <w:footnoteReference w:id="281"/>
      </w:r>
      <w:r>
        <w:t xml:space="preserve">. Un altro candidato, JY09 – exendina-4 legata a un elemento anticorpale (proteina di fusione Fc), che negli studi viene iniettata ogni due settimane –, viene valutato in studi di fase 3 contro placebo e contro dulaglutide</w:t>
      </w:r>
      <w:r>
        <w:rPr>
          <w:rStyle w:val="FootnoteReference"/>
        </w:rPr>
        <w:footnoteReference w:id="282"/>
      </w:r>
      <w:r>
        <w:t xml:space="preserve">.</w:t>
      </w:r>
    </w:p>
    <w:p>
      <w:pPr>
        <w:numPr>
          <w:ilvl w:val="0"/>
          <w:numId w:val="1041"/>
        </w:numPr>
        <w:pStyle w:val="Compact"/>
      </w:pPr>
      <w:r>
        <w:t xml:space="preserve">Neurologia: la variante peghilata NLY01 viene studiata nella sclerosi multipla in uno studio di fase 2 con 120 partecipanti</w:t>
      </w:r>
      <w:r>
        <w:rPr>
          <w:rStyle w:val="FootnoteReference"/>
        </w:rPr>
        <w:footnoteReference w:id="283"/>
      </w:r>
      <w:r>
        <w:t xml:space="preserve">.</w:t>
      </w:r>
    </w:p>
    <w:p>
      <w:pPr>
        <w:numPr>
          <w:ilvl w:val="0"/>
          <w:numId w:val="1041"/>
        </w:numPr>
        <w:pStyle w:val="Compact"/>
      </w:pPr>
      <w:r>
        <w:t xml:space="preserve">Sicurezza: oltre allo studio europeo sul cancro del pancreas</w:t>
      </w:r>
      <w:r>
        <w:rPr>
          <w:rStyle w:val="FootnoteReference"/>
        </w:rPr>
        <w:footnoteReference w:id="284"/>
      </w:r>
      <w:r>
        <w:t xml:space="preserve"> </w:t>
      </w:r>
      <w:r>
        <w:t xml:space="preserve">è in corso un programma di sorveglianza a lungo termine dei carcinomi midollari della tiroide con agonisti del recettore del GLP-1</w:t>
      </w:r>
      <w:r>
        <w:rPr>
          <w:rStyle w:val="FootnoteReference"/>
        </w:rPr>
        <w:footnoteReference w:id="285"/>
      </w:r>
      <w:r>
        <w:t xml:space="preserve">.</w:t>
      </w:r>
    </w:p>
    <w:p>
      <w:pPr>
        <w:numPr>
          <w:ilvl w:val="0"/>
          <w:numId w:val="1041"/>
        </w:numPr>
        <w:pStyle w:val="Compact"/>
      </w:pPr>
      <w:r>
        <w:t xml:space="preserve">Diagnostica: l’exendina-4 marcata radioattivamente viene impiegata come tracciante nella diagnostica per immagini PET degli insulinomi (rari tumori che producono insulina)</w:t>
      </w:r>
      <w:r>
        <w:rPr>
          <w:rStyle w:val="FootnoteReference"/>
        </w:rPr>
        <w:footnoteReference w:id="286"/>
      </w:r>
      <w:r>
        <w:t xml:space="preserve">.</w:t>
      </w:r>
    </w:p>
    <w:p>
      <w:pPr>
        <w:pStyle w:val="FirstParagraph"/>
      </w:pPr>
      <w:r>
        <w:rPr>
          <w:bCs/>
          <w:b/>
        </w:rPr>
        <w:t xml:space="preserve">Valutazione:</w:t>
      </w:r>
      <w:r>
        <w:t xml:space="preserve"> </w:t>
      </w:r>
      <w:r>
        <w:t xml:space="preserve">l’exenatide continuerà a perdere importanza nel trattamento del diabete, perché sono disponibili successori più potenti e più comodi da usare. Il suo ruolo duraturo è quello di pioniere e di strumento per la ricerca. Se l’ipotesi del Parkinson tornerà in auge dipende da principi attivi che raggiungono meglio il cervello e dal chiarimento relativo a Exenatide-PD3.</w:t>
      </w:r>
    </w:p>
    <w:bookmarkEnd w:id="287"/>
    <w:bookmarkStart w:id="288" w:name="conclusione"/>
    <w:p>
      <w:pPr>
        <w:pStyle w:val="Heading3"/>
      </w:pPr>
      <w:r>
        <w:t xml:space="preserve">Conclusione</w:t>
      </w:r>
    </w:p>
    <w:p>
      <w:pPr>
        <w:pStyle w:val="FirstParagraph"/>
      </w:pPr>
      <w:r>
        <w:t xml:space="preserve">Nel 2005 l’exenatide è stata il primo agonista del recettore del GLP-1 sul mercato ed è uno dei farmaci peptidici in assoluto più studiati. Nei grandi studi ha ridotto l’emoglobina glicata di circa 1–1,5 punti percentuali e il peso di alcuni chilogrammi, in EXSCEL con 14.752 partecipanti senza un aumento del rischio cardiovascolare, ma anche senza una protezione dimostrata. Nel confronto diretto risulta inferiore a liraglutide e semaglutide. I dati inizialmente promettenti sulla malattia di Parkinson non sono stati confermati nel più grande studio di fase 3. Per le persone con diabete di tipo 2 l’exenatide resta un’opzione verificata, ma non più di prima scelta – la decisione va affidata al medico.</w:t>
      </w:r>
    </w:p>
    <w:bookmarkEnd w:id="288"/>
    <w:bookmarkEnd w:id="289"/>
    <w:bookmarkStart w:id="342" w:name="liraglutide"/>
    <w:p>
      <w:pPr>
        <w:pStyle w:val="Heading2"/>
      </w:pPr>
      <w:r>
        <w:t xml:space="preserve">Liraglutide</w:t>
      </w:r>
    </w:p>
    <w:bookmarkStart w:id="291" w:name="scheda-1"/>
    <w:p>
      <w:pPr>
        <w:pStyle w:val="Heading3"/>
      </w:pPr>
      <w:r>
        <w:t xml:space="preserve">Scheda</w:t>
      </w:r>
    </w:p>
    <w:p>
      <w:pPr>
        <w:numPr>
          <w:ilvl w:val="0"/>
          <w:numId w:val="1042"/>
        </w:numPr>
        <w:pStyle w:val="Compact"/>
      </w:pPr>
      <w:r>
        <w:rPr>
          <w:bCs/>
          <w:b/>
        </w:rPr>
        <w:t xml:space="preserve">Tipo/struttura:</w:t>
      </w:r>
      <w:r>
        <w:t xml:space="preserve"> </w:t>
      </w:r>
      <w:r>
        <w:t xml:space="preserve">GLP-1 umano modificato di 31 amminoacidi. Coincide al 97% con l’ormone endogeno; in un punto un amminoacido è sostituito, in un altro è legato, tramite un breve elemento di collegamento, un acido grasso con 16 atomi di carbonio.</w:t>
      </w:r>
    </w:p>
    <w:p>
      <w:pPr>
        <w:numPr>
          <w:ilvl w:val="0"/>
          <w:numId w:val="1042"/>
        </w:numPr>
        <w:pStyle w:val="Compact"/>
      </w:pPr>
      <w:r>
        <w:rPr>
          <w:bCs/>
          <w:b/>
        </w:rPr>
        <w:t xml:space="preserve">Origine:</w:t>
      </w:r>
      <w:r>
        <w:t xml:space="preserve"> </w:t>
      </w:r>
      <w:r>
        <w:t xml:space="preserve">sviluppata da Novo Nordisk</w:t>
      </w:r>
      <w:r>
        <w:rPr>
          <w:rStyle w:val="FootnoteReference"/>
        </w:rPr>
        <w:footnoteReference w:id="290"/>
      </w:r>
      <w:r>
        <w:t xml:space="preserve">, prodotta con tecniche di ingegneria genetica nel lievito.</w:t>
      </w:r>
    </w:p>
    <w:p>
      <w:pPr>
        <w:numPr>
          <w:ilvl w:val="0"/>
          <w:numId w:val="1042"/>
        </w:numPr>
        <w:pStyle w:val="Compact"/>
      </w:pPr>
      <w:r>
        <w:rPr>
          <w:bCs/>
          <w:b/>
        </w:rPr>
        <w:t xml:space="preserve">Meccanismo d’azione:</w:t>
      </w:r>
      <w:r>
        <w:t xml:space="preserve"> </w:t>
      </w:r>
      <w:r>
        <w:t xml:space="preserve">agonista del recettore del GLP-1. L’acido grasso fa legare la molecola alla proteina del sangue albumina; per questo basta un’iniezione al giorno.</w:t>
      </w:r>
    </w:p>
    <w:p>
      <w:pPr>
        <w:numPr>
          <w:ilvl w:val="0"/>
          <w:numId w:val="1042"/>
        </w:numPr>
        <w:pStyle w:val="Compact"/>
      </w:pPr>
      <w:r>
        <w:rPr>
          <w:bCs/>
          <w:b/>
        </w:rPr>
        <w:t xml:space="preserve">Preparati:</w:t>
      </w:r>
      <w:r>
        <w:t xml:space="preserve"> </w:t>
      </w:r>
      <w:r>
        <w:t xml:space="preserve">Victoza (diabete di tipo 2, fino a 1,8 mg al giorno), Saxenda (gestione del peso, fino a 3,0 mg al giorno), Xultophy (combinazione fissa con insulina degludec). Dal 2024 esistono preparati di imitazione.</w:t>
      </w:r>
    </w:p>
    <w:p>
      <w:pPr>
        <w:numPr>
          <w:ilvl w:val="0"/>
          <w:numId w:val="1042"/>
        </w:numPr>
        <w:pStyle w:val="Compact"/>
      </w:pPr>
      <w:r>
        <w:rPr>
          <w:bCs/>
          <w:b/>
        </w:rPr>
        <w:t xml:space="preserve">Autorizzazione UE:</w:t>
      </w:r>
      <w:r>
        <w:t xml:space="preserve"> </w:t>
      </w:r>
      <w:r>
        <w:t xml:space="preserve">sì – diabete di tipo 2 (dal 2009) e gestione del peso (dal 2015), in entrambi i casi anche per adolescenti.</w:t>
      </w:r>
    </w:p>
    <w:p>
      <w:pPr>
        <w:numPr>
          <w:ilvl w:val="0"/>
          <w:numId w:val="1042"/>
        </w:numPr>
        <w:pStyle w:val="Compact"/>
      </w:pPr>
      <w:r>
        <w:rPr>
          <w:bCs/>
          <w:b/>
        </w:rPr>
        <w:t xml:space="preserve">Autorizzazione USA:</w:t>
      </w:r>
      <w:r>
        <w:t xml:space="preserve"> </w:t>
      </w:r>
      <w:r>
        <w:t xml:space="preserve">sì – diabete di tipo 2 (dal 2010, dai 10 anni), riduzione del rischio cardiovascolare nel diabete di tipo 2 e gestione del peso (dal 2014, dai 12 anni). Sono autorizzati generici per entrambe le indicazioni.</w:t>
      </w:r>
    </w:p>
    <w:p>
      <w:pPr>
        <w:numPr>
          <w:ilvl w:val="0"/>
          <w:numId w:val="1042"/>
        </w:numPr>
        <w:pStyle w:val="Compact"/>
      </w:pPr>
      <w:r>
        <w:rPr>
          <w:bCs/>
          <w:b/>
        </w:rPr>
        <w:t xml:space="preserve">WADA:</w:t>
      </w:r>
      <w:r>
        <w:t xml:space="preserve"> </w:t>
      </w:r>
      <w:r>
        <w:t xml:space="preserve">non elencata.</w:t>
      </w:r>
    </w:p>
    <w:p>
      <w:pPr>
        <w:numPr>
          <w:ilvl w:val="0"/>
          <w:numId w:val="1042"/>
        </w:numPr>
        <w:pStyle w:val="Compact"/>
      </w:pPr>
      <w:r>
        <w:rPr>
          <w:bCs/>
          <w:b/>
        </w:rPr>
        <w:t xml:space="preserve">Livello di evidenza:</w:t>
      </w:r>
      <w:r>
        <w:t xml:space="preserve"> </w:t>
      </w:r>
      <w:r>
        <w:rPr>
          <w:bCs/>
          <w:b/>
        </w:rPr>
        <w:t xml:space="preserve">A</w:t>
      </w:r>
      <w:r>
        <w:t xml:space="preserve"> </w:t>
      </w:r>
      <w:r>
        <w:t xml:space="preserve">– due grandi programmi registrativi (LEAD, SCALE), un grande studio di esito (LEADER), studi su bambini e adolescenti.</w:t>
      </w:r>
    </w:p>
    <w:bookmarkEnd w:id="291"/>
    <w:bookmarkStart w:id="294" w:name="come-dovrebbe-agire-1"/>
    <w:p>
      <w:pPr>
        <w:pStyle w:val="Heading3"/>
      </w:pPr>
      <w:r>
        <w:t xml:space="preserve">Come dovrebbe agire</w:t>
      </w:r>
    </w:p>
    <w:p>
      <w:pPr>
        <w:pStyle w:val="FirstParagraph"/>
      </w:pPr>
      <w:r>
        <w:t xml:space="preserve">La liraglutide agisce come l’ormone intestinale endogeno GLP-1: potenzia la secrezione di insulina dipendente dal glucosio, inibisce il glucagone che innalza la glicemia, rallenta lo svuotamento gastrico e attenua l’appetito nel cervello. Il meccanismo di base della classe è descritto nel capitolo Exenatide.</w:t>
      </w:r>
    </w:p>
    <w:p>
      <w:pPr>
        <w:pStyle w:val="BodyText"/>
      </w:pPr>
      <w:r>
        <w:t xml:space="preserve">La differenza sta nella struttura. Mentre l’exenatide proviene dal veleno di una lucertola e somiglia all’ormone umano solo per metà, la liraglutide è quasi identica al GLP-1 endogeno. Il trucco che la rende duratura è l’acido grasso legato. Esso fa sì che la molecola si leghi nel sangue all’albumina, si aggreghi in piccoli complessi e sia così protetta dalla degradazione da parte dell’enzima DPP-4 e dall’eliminazione attraverso i reni. L’emivita sale così da pochi minuti a circa mezza giornata.</w:t>
      </w:r>
    </w:p>
    <w:p>
      <w:pPr>
        <w:pStyle w:val="BodyText"/>
      </w:pPr>
      <w:r>
        <w:t xml:space="preserve">Per la perdita di peso sono responsabili soprattutto gli effetti nel cervello. In topi e ratti la liraglutide marcata raggiunge determinate regioni dell’ipotalamo, il centro di controllo di fame e sazietà, e vi attiva cellule nervose che favoriscono il senso di sazietà</w:t>
      </w:r>
      <w:r>
        <w:rPr>
          <w:rStyle w:val="FootnoteReference"/>
        </w:rPr>
        <w:footnoteReference w:id="292"/>
      </w:r>
      <w:r>
        <w:t xml:space="preserve">. Nell’uomo ciò si traduce in un minore apporto di cibo; un aumento rilevante del dispendio energetico non è dimostrato.</w:t>
      </w:r>
    </w:p>
    <w:p>
      <w:pPr>
        <w:pStyle w:val="BodyText"/>
      </w:pPr>
      <w:r>
        <w:t xml:space="preserve">Dalla liraglutide è derivata in seguito la semaglutide: stessa idea di base, ma con un legame all’albumina più forte, che consente un’iniezione alla settimana</w:t>
      </w:r>
      <w:r>
        <w:rPr>
          <w:rStyle w:val="FootnoteReference"/>
        </w:rPr>
        <w:footnoteReference w:id="293"/>
      </w:r>
      <w:r>
        <w:t xml:space="preserve">.</w:t>
      </w:r>
    </w:p>
    <w:bookmarkEnd w:id="294"/>
    <w:bookmarkStart w:id="320" w:name="studi-sulluomo-1"/>
    <w:p>
      <w:pPr>
        <w:pStyle w:val="Heading3"/>
      </w:pPr>
      <w:r>
        <w:t xml:space="preserve">Studi sull’uomo</w:t>
      </w:r>
    </w:p>
    <w:p>
      <w:pPr>
        <w:pStyle w:val="FirstParagraph"/>
      </w:pPr>
      <w:r>
        <w:t xml:space="preserve">La liraglutide è uno dei farmaci peptidici più studiati. La ricerca su PubMed analizzata per questo libro (termine di ricerca „liraglutide“ nel titolo o nell’abstract, data della ricerca ottobre 2026) ha restituito 613 studi sull’uomo – più che per qualsiasi altro peptide di questo libro. ClinicalTrials.gov riporta 517 voci di registro. Di seguito sono al centro gli studi registrativi e di esito; accanto a essi esistono centinaia di studi più piccoli su fegato, cuore, cervello, fertilità e disturbi alimentari.</w:t>
      </w:r>
    </w:p>
    <w:bookmarkStart w:id="297" w:name="diabete-di-tipo-2-il-programma-lead"/>
    <w:p>
      <w:pPr>
        <w:pStyle w:val="Heading4"/>
      </w:pPr>
      <w:r>
        <w:t xml:space="preserve">Diabete di tipo 2: il programma LEAD</w:t>
      </w:r>
    </w:p>
    <w:p>
      <w:pPr>
        <w:pStyle w:val="FirstParagraph"/>
      </w:pPr>
      <w:r>
        <w:t xml:space="preserve">Per l’autorizzazione nel diabete la liraglutide è stata valutata in sei studi denominati LEAD (Liraglutide Effect and Action in Diabetes), ciascuno con 1,2 o 1,8 mg al giorno. Due sono particolarmente istruttivi perché si sono confrontati con terapie allora consolidate. A questi si aggiunge il confronto con l’inibitore della DPP-4 sitagliptin.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LEAD-3 Mono (Garber 2009), PMID 18819705</w:t>
            </w:r>
          </w:p>
        </w:tc>
        <w:tc>
          <w:tcPr/>
          <w:p>
            <w:pPr>
              <w:pStyle w:val="Compact"/>
              <w:jc w:val="left"/>
            </w:pPr>
            <w:r>
              <w:t xml:space="preserve">746 persone con diabete di tipo 2 precoce, in doppio cieco vs. glimepiride</w:t>
            </w:r>
          </w:p>
        </w:tc>
        <w:tc>
          <w:tcPr/>
          <w:p>
            <w:pPr>
              <w:pStyle w:val="Compact"/>
              <w:jc w:val="left"/>
            </w:pPr>
            <w:r>
              <w:t xml:space="preserve">52 settimane</w:t>
            </w:r>
          </w:p>
        </w:tc>
        <w:tc>
          <w:tcPr/>
          <w:p>
            <w:pPr>
              <w:pStyle w:val="Compact"/>
              <w:jc w:val="left"/>
            </w:pPr>
            <w:r>
              <w:t xml:space="preserve">HbA1c −1,14 (1,8 mg) vs. −0,51 punti percentuali</w:t>
            </w:r>
          </w:p>
        </w:tc>
      </w:tr>
      <w:tr>
        <w:tc>
          <w:tcPr/>
          <w:p>
            <w:pPr>
              <w:pStyle w:val="Compact"/>
              <w:jc w:val="left"/>
            </w:pPr>
            <w:r>
              <w:t xml:space="preserve">LEAD-6 (Buse 2009), PMID 19515413</w:t>
            </w:r>
          </w:p>
        </w:tc>
        <w:tc>
          <w:tcPr/>
          <w:p>
            <w:pPr>
              <w:pStyle w:val="Compact"/>
              <w:jc w:val="left"/>
            </w:pPr>
            <w:r>
              <w:t xml:space="preserve">in aperto vs. exenatide due volte al giorno</w:t>
            </w:r>
          </w:p>
        </w:tc>
        <w:tc>
          <w:tcPr/>
          <w:p>
            <w:pPr>
              <w:pStyle w:val="Compact"/>
              <w:jc w:val="left"/>
            </w:pPr>
            <w:r>
              <w:t xml:space="preserve">26 settimane</w:t>
            </w:r>
          </w:p>
        </w:tc>
        <w:tc>
          <w:tcPr/>
          <w:p>
            <w:pPr>
              <w:pStyle w:val="Compact"/>
              <w:jc w:val="left"/>
            </w:pPr>
            <w:r>
              <w:t xml:space="preserve">HbA1c −1,12 vs. −0,79; peso −3,24 vs. −2,87 kg</w:t>
            </w:r>
          </w:p>
        </w:tc>
      </w:tr>
      <w:tr>
        <w:tc>
          <w:tcPr/>
          <w:p>
            <w:pPr>
              <w:pStyle w:val="Compact"/>
              <w:jc w:val="left"/>
            </w:pPr>
            <w:r>
              <w:t xml:space="preserve">Pratley 2010, PMID 20417856</w:t>
            </w:r>
          </w:p>
        </w:tc>
        <w:tc>
          <w:tcPr/>
          <w:p>
            <w:pPr>
              <w:pStyle w:val="Compact"/>
              <w:jc w:val="left"/>
            </w:pPr>
            <w:r>
              <w:t xml:space="preserve">658 persone in terapia con metformina, in aperto vs. sitagliptin</w:t>
            </w:r>
          </w:p>
        </w:tc>
        <w:tc>
          <w:tcPr/>
          <w:p>
            <w:pPr>
              <w:pStyle w:val="Compact"/>
              <w:jc w:val="left"/>
            </w:pPr>
            <w:r>
              <w:t xml:space="preserve">26 settimane</w:t>
            </w:r>
          </w:p>
        </w:tc>
        <w:tc>
          <w:tcPr/>
          <w:p>
            <w:pPr>
              <w:pStyle w:val="Compact"/>
              <w:jc w:val="left"/>
            </w:pPr>
            <w:r>
              <w:t xml:space="preserve">HbA1c −1,50 (1,8 mg) vs. −0,90; nausea 27% vs. 5%</w:t>
            </w:r>
          </w:p>
        </w:tc>
      </w:tr>
    </w:tbl>
    <w:p>
      <w:pPr>
        <w:pStyle w:val="BodyText"/>
      </w:pPr>
      <w:r>
        <w:t xml:space="preserve">L’emoglobina glicata HbA1c si è ridotta con la liraglutide in questi studi di 1,1–1,5 punti percentuali. In LEAD-3</w:t>
      </w:r>
      <w:r>
        <w:rPr>
          <w:rStyle w:val="FootnoteReference"/>
        </w:rPr>
        <w:footnoteReference w:id="295"/>
      </w:r>
      <w:r>
        <w:t xml:space="preserve"> </w:t>
      </w:r>
      <w:r>
        <w:t xml:space="preserve">la liraglutide è stata il primo antidiabetico superiore alla sulfonilurea glimepiride, che abbassa la glicemia indipendentemente dai pasti e porta più spesso a ipoglicemie. Contro il sitagliptin</w:t>
      </w:r>
      <w:r>
        <w:rPr>
          <w:rStyle w:val="FootnoteReference"/>
        </w:rPr>
        <w:footnoteReference w:id="296"/>
      </w:r>
      <w:r>
        <w:t xml:space="preserve"> </w:t>
      </w:r>
      <w:r>
        <w:t xml:space="preserve">il vantaggio era di 0,6 punti percentuali, ma con molta più nausea.</w:t>
      </w:r>
    </w:p>
    <w:bookmarkEnd w:id="297"/>
    <w:bookmarkStart w:id="302" w:name="X1a164d0e6cf199b1607922801653c91ef06f5ef"/>
    <w:p>
      <w:pPr>
        <w:pStyle w:val="Heading4"/>
      </w:pPr>
      <w:r>
        <w:t xml:space="preserve">Confronti diretti all’interno della classe GLP-1</w:t>
      </w:r>
    </w:p>
    <w:p>
      <w:pPr>
        <w:pStyle w:val="FirstParagraph"/>
      </w:pPr>
      <w:r>
        <w:t xml:space="preserve">La liraglutide è il termine di confronto più usato della classe. I risultati danno una chiara graduatoria: la liraglutide è più forte dell’exenatide, all’incirca forte quanto la dulaglutide e più debole della semaglutide.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Disegno</w:t>
            </w:r>
          </w:p>
        </w:tc>
        <w:tc>
          <w:tcPr/>
          <w:p>
            <w:pPr>
              <w:pStyle w:val="Compact"/>
              <w:jc w:val="left"/>
            </w:pPr>
            <w:r>
              <w:t xml:space="preserve">Durata</w:t>
            </w:r>
          </w:p>
        </w:tc>
        <w:tc>
          <w:tcPr/>
          <w:p>
            <w:pPr>
              <w:pStyle w:val="Compact"/>
              <w:jc w:val="left"/>
            </w:pPr>
            <w:r>
              <w:t xml:space="preserve">Risultato (liraglutide vs. confronto)</w:t>
            </w:r>
          </w:p>
        </w:tc>
      </w:tr>
      <w:tr>
        <w:tc>
          <w:tcPr/>
          <w:p>
            <w:pPr>
              <w:pStyle w:val="Compact"/>
              <w:jc w:val="left"/>
            </w:pPr>
            <w:r>
              <w:t xml:space="preserve">LEAD-6 (Buse 2009), PMID 19515413</w:t>
            </w:r>
          </w:p>
        </w:tc>
        <w:tc>
          <w:tcPr/>
          <w:p>
            <w:pPr>
              <w:pStyle w:val="Compact"/>
              <w:jc w:val="left"/>
            </w:pPr>
            <w:r>
              <w:t xml:space="preserve">vs. exenatide due volte al giorno</w:t>
            </w:r>
          </w:p>
        </w:tc>
        <w:tc>
          <w:tcPr/>
          <w:p>
            <w:pPr>
              <w:pStyle w:val="Compact"/>
              <w:jc w:val="left"/>
            </w:pPr>
            <w:r>
              <w:t xml:space="preserve">26 settimane</w:t>
            </w:r>
          </w:p>
        </w:tc>
        <w:tc>
          <w:tcPr/>
          <w:p>
            <w:pPr>
              <w:pStyle w:val="Compact"/>
              <w:jc w:val="left"/>
            </w:pPr>
            <w:r>
              <w:t xml:space="preserve">HbA1c −1,12 vs. −0,79; obiettivo &lt; 7% nel 54% vs. 43%</w:t>
            </w:r>
          </w:p>
        </w:tc>
      </w:tr>
      <w:tr>
        <w:tc>
          <w:tcPr/>
          <w:p>
            <w:pPr>
              <w:pStyle w:val="Compact"/>
              <w:jc w:val="left"/>
            </w:pPr>
            <w:r>
              <w:t xml:space="preserve">DURATION-6 (Buse 2013), PMID 23141817</w:t>
            </w:r>
          </w:p>
        </w:tc>
        <w:tc>
          <w:tcPr/>
          <w:p>
            <w:pPr>
              <w:pStyle w:val="Compact"/>
              <w:jc w:val="left"/>
            </w:pPr>
            <w:r>
              <w:t xml:space="preserve">911 persone, vs. exenatide settimanale</w:t>
            </w:r>
          </w:p>
        </w:tc>
        <w:tc>
          <w:tcPr/>
          <w:p>
            <w:pPr>
              <w:pStyle w:val="Compact"/>
              <w:jc w:val="left"/>
            </w:pPr>
            <w:r>
              <w:t xml:space="preserve">26 settimane</w:t>
            </w:r>
          </w:p>
        </w:tc>
        <w:tc>
          <w:tcPr/>
          <w:p>
            <w:pPr>
              <w:pStyle w:val="Compact"/>
              <w:jc w:val="left"/>
            </w:pPr>
            <w:r>
              <w:t xml:space="preserve">HbA1c −1,48 vs. −1,28; nausea 21% vs. 9%</w:t>
            </w:r>
          </w:p>
        </w:tc>
      </w:tr>
      <w:tr>
        <w:tc>
          <w:tcPr/>
          <w:p>
            <w:pPr>
              <w:pStyle w:val="Compact"/>
              <w:jc w:val="left"/>
            </w:pPr>
            <w:r>
              <w:t xml:space="preserve">AWARD-6 (Dungan 2014), PMID 25018121</w:t>
            </w:r>
          </w:p>
        </w:tc>
        <w:tc>
          <w:tcPr/>
          <w:p>
            <w:pPr>
              <w:pStyle w:val="Compact"/>
              <w:jc w:val="left"/>
            </w:pPr>
            <w:r>
              <w:t xml:space="preserve">599 persone, vs. dulaglutide settimanale</w:t>
            </w:r>
          </w:p>
        </w:tc>
        <w:tc>
          <w:tcPr/>
          <w:p>
            <w:pPr>
              <w:pStyle w:val="Compact"/>
              <w:jc w:val="left"/>
            </w:pPr>
            <w:r>
              <w:t xml:space="preserve">26 settimane</w:t>
            </w:r>
          </w:p>
        </w:tc>
        <w:tc>
          <w:tcPr/>
          <w:p>
            <w:pPr>
              <w:pStyle w:val="Compact"/>
              <w:jc w:val="left"/>
            </w:pPr>
            <w:r>
              <w:t xml:space="preserve">HbA1c −1,36 vs. −1,42; equivalente</w:t>
            </w:r>
          </w:p>
        </w:tc>
      </w:tr>
      <w:tr>
        <w:tc>
          <w:tcPr/>
          <w:p>
            <w:pPr>
              <w:pStyle w:val="Compact"/>
              <w:jc w:val="left"/>
            </w:pPr>
            <w:r>
              <w:t xml:space="preserve">PIONEER 4 (Pratley 2019), PMID 31186120</w:t>
            </w:r>
          </w:p>
        </w:tc>
        <w:tc>
          <w:tcPr/>
          <w:p>
            <w:pPr>
              <w:pStyle w:val="Compact"/>
              <w:jc w:val="left"/>
            </w:pPr>
            <w:r>
              <w:t xml:space="preserve">711 persone, vs. semaglutide in compresse e placebo</w:t>
            </w:r>
          </w:p>
        </w:tc>
        <w:tc>
          <w:tcPr/>
          <w:p>
            <w:pPr>
              <w:pStyle w:val="Compact"/>
              <w:jc w:val="left"/>
            </w:pPr>
            <w:r>
              <w:t xml:space="preserve">52 settimane</w:t>
            </w:r>
          </w:p>
        </w:tc>
        <w:tc>
          <w:tcPr/>
          <w:p>
            <w:pPr>
              <w:pStyle w:val="Compact"/>
              <w:jc w:val="left"/>
            </w:pPr>
            <w:r>
              <w:t xml:space="preserve">HbA1c −1,1 vs. −1,2 dopo 26 settimane; peso −3,1 vs. −4,4 kg</w:t>
            </w:r>
          </w:p>
        </w:tc>
      </w:tr>
      <w:tr>
        <w:tc>
          <w:tcPr/>
          <w:p>
            <w:pPr>
              <w:pStyle w:val="Compact"/>
              <w:jc w:val="left"/>
            </w:pPr>
            <w:r>
              <w:t xml:space="preserve">SUSTAIN 10 (Capehorn 2020), PMID 31539622</w:t>
            </w:r>
          </w:p>
        </w:tc>
        <w:tc>
          <w:tcPr/>
          <w:p>
            <w:pPr>
              <w:pStyle w:val="Compact"/>
              <w:jc w:val="left"/>
            </w:pPr>
            <w:r>
              <w:t xml:space="preserve">liraglutide 1,2 mg vs. semaglutide 1,0 mg settimanale</w:t>
            </w:r>
          </w:p>
        </w:tc>
        <w:tc>
          <w:tcPr/>
          <w:p>
            <w:pPr>
              <w:pStyle w:val="Compact"/>
              <w:jc w:val="left"/>
            </w:pPr>
            <w:r>
              <w:t xml:space="preserve">30 settimane</w:t>
            </w:r>
          </w:p>
        </w:tc>
        <w:tc>
          <w:tcPr/>
          <w:p>
            <w:pPr>
              <w:pStyle w:val="Compact"/>
              <w:jc w:val="left"/>
            </w:pPr>
            <w:r>
              <w:t xml:space="preserve">HbA1c −1,0 vs. −1,7; peso −1,9 vs. −5,8 kg</w:t>
            </w:r>
          </w:p>
        </w:tc>
      </w:tr>
      <w:tr>
        <w:tc>
          <w:tcPr/>
          <w:p>
            <w:pPr>
              <w:pStyle w:val="Compact"/>
              <w:jc w:val="left"/>
            </w:pPr>
            <w:r>
              <w:t xml:space="preserve">STEP 8 (Rubino 2022), PMID 35015037</w:t>
            </w:r>
          </w:p>
        </w:tc>
        <w:tc>
          <w:tcPr/>
          <w:p>
            <w:pPr>
              <w:pStyle w:val="Compact"/>
              <w:jc w:val="left"/>
            </w:pPr>
            <w:r>
              <w:t xml:space="preserve">338 persone con obesità senza diabete, liraglutide 3,0 mg vs. semaglutide 2,4 mg</w:t>
            </w:r>
          </w:p>
        </w:tc>
        <w:tc>
          <w:tcPr/>
          <w:p>
            <w:pPr>
              <w:pStyle w:val="Compact"/>
              <w:jc w:val="left"/>
            </w:pPr>
            <w:r>
              <w:t xml:space="preserve">68 settimane</w:t>
            </w:r>
          </w:p>
        </w:tc>
        <w:tc>
          <w:tcPr/>
          <w:p>
            <w:pPr>
              <w:pStyle w:val="Compact"/>
              <w:jc w:val="left"/>
            </w:pPr>
            <w:r>
              <w:t xml:space="preserve">Peso −6,4% vs. −15,8%</w:t>
            </w:r>
          </w:p>
        </w:tc>
      </w:tr>
    </w:tbl>
    <w:p>
      <w:pPr>
        <w:pStyle w:val="BodyText"/>
      </w:pPr>
      <w:r>
        <w:t xml:space="preserve">In LEAD-6</w:t>
      </w:r>
      <w:r>
        <w:rPr>
          <w:rStyle w:val="FootnoteReference"/>
        </w:rPr>
        <w:footnoteReference w:id="298"/>
      </w:r>
      <w:r>
        <w:t xml:space="preserve"> </w:t>
      </w:r>
      <w:r>
        <w:t xml:space="preserve">la liraglutide ha ridotto la glicemia a digiuno molto più dell’exenatide due volte al giorno, mentre ha ridotto meno l’aumento della glicemia dopo colazione e cena – un indizio che le forme a breve durata d’azione agiscono maggiormente tramite lo svuotamento gastrico. La nausea durava meno con la liraglutide, le ipoglicemie lievi erano più rare (25,5% vs. 33,6% dei partecipanti).</w:t>
      </w:r>
    </w:p>
    <w:p>
      <w:pPr>
        <w:pStyle w:val="BodyText"/>
      </w:pPr>
      <w:r>
        <w:t xml:space="preserve">Contro la dulaglutide la liraglutide è risultata equivalente in AWARD-6</w:t>
      </w:r>
      <w:r>
        <w:rPr>
          <w:rStyle w:val="FootnoteReference"/>
        </w:rPr>
        <w:footnoteReference w:id="299"/>
      </w:r>
      <w:r>
        <w:t xml:space="preserve">, con tollerabilità simile; la nausea si è verificata nel 18% contro il 20%.</w:t>
      </w:r>
    </w:p>
    <w:p>
      <w:pPr>
        <w:pStyle w:val="BodyText"/>
      </w:pPr>
      <w:r>
        <w:t xml:space="preserve">Contro la semaglutide la liraglutide ha perso in tutti i confronti. Ciò era più evidente in STEP 8</w:t>
      </w:r>
      <w:r>
        <w:rPr>
          <w:rStyle w:val="FootnoteReference"/>
        </w:rPr>
        <w:footnoteReference w:id="300"/>
      </w:r>
      <w:r>
        <w:t xml:space="preserve"> </w:t>
      </w:r>
      <w:r>
        <w:t xml:space="preserve">per il peso: con la rispettiva dose autorizzata per l’obesità, i partecipanti con semaglutide hanno perso in media il 15,8%, con liraglutide il 6,4% (placebo: 1,9%). Una perdita di almeno il 15% è stata raggiunta dal 55,6% contro il 12,0%. Avevano terminato anticipatamente il trattamento il 27,6% con liraglutide e il 13,5% con semaglutide. Con la semaglutide in compresse la differenza in PIONEER 4</w:t>
      </w:r>
      <w:r>
        <w:rPr>
          <w:rStyle w:val="FootnoteReference"/>
        </w:rPr>
        <w:footnoteReference w:id="301"/>
      </w:r>
      <w:r>
        <w:t xml:space="preserve"> </w:t>
      </w:r>
      <w:r>
        <w:t xml:space="preserve">è stata minore: per l’HbA1c la compressa non era peggiore secondo il metodo di analisi principale, per il peso era superiore di 1,2 kg. I dettagli di questi studi si trovano nel capitolo Semaglutide.</w:t>
      </w:r>
    </w:p>
    <w:bookmarkEnd w:id="302"/>
    <w:bookmarkStart w:id="306" w:name="leader-cuore-circolazione-e-reni"/>
    <w:p>
      <w:pPr>
        <w:pStyle w:val="Heading4"/>
      </w:pPr>
      <w:r>
        <w:t xml:space="preserve">LEADER: cuore, circolazione e reni</w:t>
      </w:r>
    </w:p>
    <w:p>
      <w:pPr>
        <w:pStyle w:val="FirstParagraph"/>
      </w:pPr>
      <w:r>
        <w:t xml:space="preserve">LEADER è stato il primo grande studio a mostrare per un agonista del recettore del GLP-1 una protezione dagli eventi cardiovascolari. Ha cambiato il ruolo dell’intera classe nelle linee guida sul diabete.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LEADER (Marso 2016), PMID 27295427</w:t>
            </w:r>
          </w:p>
        </w:tc>
        <w:tc>
          <w:tcPr/>
          <w:p>
            <w:pPr>
              <w:pStyle w:val="Compact"/>
              <w:jc w:val="left"/>
            </w:pPr>
            <w:r>
              <w:t xml:space="preserve">9.340 persone con diabete di tipo 2 e alto rischio cardiovascolare, RCT contro placebo</w:t>
            </w:r>
          </w:p>
        </w:tc>
        <w:tc>
          <w:tcPr/>
          <w:p>
            <w:pPr>
              <w:pStyle w:val="Compact"/>
              <w:jc w:val="left"/>
            </w:pPr>
            <w:r>
              <w:t xml:space="preserve">mediana 3,8 anni</w:t>
            </w:r>
          </w:p>
        </w:tc>
        <w:tc>
          <w:tcPr/>
          <w:p>
            <w:pPr>
              <w:pStyle w:val="Compact"/>
              <w:jc w:val="left"/>
            </w:pPr>
            <w:r>
              <w:t xml:space="preserve">Eventi cardiovascolari gravi 13,0% vs. 14,9%; HR 0,87 (0,78–0,97)</w:t>
            </w:r>
          </w:p>
        </w:tc>
      </w:tr>
      <w:tr>
        <w:tc>
          <w:tcPr/>
          <w:p>
            <w:pPr>
              <w:pStyle w:val="Compact"/>
              <w:jc w:val="left"/>
            </w:pPr>
            <w:r>
              <w:t xml:space="preserve">LEADER, analisi renale (Mann 2017), PMID 28854085</w:t>
            </w:r>
          </w:p>
        </w:tc>
        <w:tc>
          <w:tcPr/>
          <w:p>
            <w:pPr>
              <w:pStyle w:val="Compact"/>
              <w:jc w:val="left"/>
            </w:pPr>
            <w:r>
              <w:t xml:space="preserve">le stesse 9.340 persone, analisi pianificata in anticipo</w:t>
            </w:r>
          </w:p>
        </w:tc>
        <w:tc>
          <w:tcPr/>
          <w:p>
            <w:pPr>
              <w:pStyle w:val="Compact"/>
              <w:jc w:val="left"/>
            </w:pPr>
            <w:r>
              <w:t xml:space="preserve">mediana 3,84 anni</w:t>
            </w:r>
          </w:p>
        </w:tc>
        <w:tc>
          <w:tcPr/>
          <w:p>
            <w:pPr>
              <w:pStyle w:val="Compact"/>
              <w:jc w:val="left"/>
            </w:pPr>
            <w:r>
              <w:t xml:space="preserve">Endpoint renale 268 vs. 337 casi; HR 0,78, soprattutto meno nuova macroalbuminuria</w:t>
            </w:r>
          </w:p>
        </w:tc>
      </w:tr>
    </w:tbl>
    <w:p>
      <w:pPr>
        <w:pStyle w:val="BodyText"/>
      </w:pPr>
      <w:r>
        <w:t xml:space="preserve">L’endpoint principale – morte per cause cardiovascolari, infarto miocardico non fatale o ictus – si è verificato con liraglutide in 608 persone su 4.668 (13,0%), con placebo in 694 su 4.672 (14,9%)</w:t>
      </w:r>
      <w:r>
        <w:rPr>
          <w:rStyle w:val="FootnoteReference"/>
        </w:rPr>
        <w:footnoteReference w:id="303"/>
      </w:r>
      <w:r>
        <w:t xml:space="preserve">. Ciò corrisponde a una riduzione relativa del rischio del 13%. L’effetto era sostenuto soprattutto da un minor numero di decessi cardiovascolari (4,7% vs. 6,0%; HR 0,78). Anche la mortalità totale era più bassa (8,2% vs. 9,6%; HR 0,85). Le singole componenti infarto, ictus e ricovero per scompenso cardiaco, considerate isolatamente, non erano ridotte in modo significativo.</w:t>
      </w:r>
    </w:p>
    <w:p>
      <w:pPr>
        <w:pStyle w:val="BodyText"/>
      </w:pPr>
      <w:r>
        <w:t xml:space="preserve">In numeri assoluti ciò significa: in poco meno di quattro anni circa due trattati su cento hanno avuto un evento cardiovascolare grave in meno. Per un gruppo ad alto rischio è un effetto rilevante.</w:t>
      </w:r>
    </w:p>
    <w:p>
      <w:pPr>
        <w:pStyle w:val="BodyText"/>
      </w:pPr>
      <w:r>
        <w:t xml:space="preserve">L’analisi renale</w:t>
      </w:r>
      <w:r>
        <w:rPr>
          <w:rStyle w:val="FootnoteReference"/>
        </w:rPr>
        <w:footnoteReference w:id="304"/>
      </w:r>
      <w:r>
        <w:t xml:space="preserve"> </w:t>
      </w:r>
      <w:r>
        <w:t xml:space="preserve">ha mostrato meno casi di nuova comparsa di forte escrezione di proteine nelle urine (macroalbuminuria). Gli endpoint renali solidi come la necessità di dialisi erano rari e non differivano in modo netto. L’insufficienza renale acuta si è verificata con frequenza simile a quella con placebo.</w:t>
      </w:r>
    </w:p>
    <w:p>
      <w:pPr>
        <w:pStyle w:val="BodyText"/>
      </w:pPr>
      <w:r>
        <w:t xml:space="preserve">Non tutti i gruppi di cardiopatici ne traggono beneficio. Nello studio FIGHT con 300 persone che poco prima erano state ricoverate per uno scompenso cardiaco grave con funzione di pompa fortemente ridotta, la liraglutide non ha migliorato il decorso</w:t>
      </w:r>
      <w:r>
        <w:rPr>
          <w:rStyle w:val="FootnoteReference"/>
        </w:rPr>
        <w:footnoteReference w:id="305"/>
      </w:r>
      <w:r>
        <w:t xml:space="preserve">. Ci sono stati addirittura un po’ più ricoveri ripetuti per scompenso cardiaco (41% vs. 34%), senza che la differenza fosse statisticamente significativa. Le autrici e gli autori non hanno visto basi per l’impiego in questa situazione.</w:t>
      </w:r>
    </w:p>
    <w:bookmarkEnd w:id="306"/>
    <w:bookmarkStart w:id="311" w:name="obesità-il-programma-scale"/>
    <w:p>
      <w:pPr>
        <w:pStyle w:val="Heading4"/>
      </w:pPr>
      <w:r>
        <w:t xml:space="preserve">Obesità: il programma SCALE</w:t>
      </w:r>
    </w:p>
    <w:p>
      <w:pPr>
        <w:pStyle w:val="FirstParagraph"/>
      </w:pPr>
      <w:r>
        <w:t xml:space="preserve">Con 3,0 mg al giorno – quasi il doppio della dose più alta per il diabete – la liraglutide è stata autorizzata nel 2014/2015 come primo farmaco GLP-1 per la riduzione del peso. La base era il programma di studi SCALE.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SCALE Obesity and Prediabetes (Pi-Sunyer 2015), PMID 26132939</w:t>
            </w:r>
          </w:p>
        </w:tc>
        <w:tc>
          <w:tcPr/>
          <w:p>
            <w:pPr>
              <w:pStyle w:val="Compact"/>
              <w:jc w:val="left"/>
            </w:pPr>
            <w:r>
              <w:t xml:space="preserve">3.731 adulti con obesità senza diabete, RCT contro placebo</w:t>
            </w:r>
          </w:p>
        </w:tc>
        <w:tc>
          <w:tcPr/>
          <w:p>
            <w:pPr>
              <w:pStyle w:val="Compact"/>
              <w:jc w:val="left"/>
            </w:pPr>
            <w:r>
              <w:t xml:space="preserve">56 settimane</w:t>
            </w:r>
          </w:p>
        </w:tc>
        <w:tc>
          <w:tcPr/>
          <w:p>
            <w:pPr>
              <w:pStyle w:val="Compact"/>
              <w:jc w:val="left"/>
            </w:pPr>
            <w:r>
              <w:t xml:space="preserve">−8,4 kg vs. −2,8 kg; perdita ≥ 5% nel 63,2% vs. 27,1%</w:t>
            </w:r>
          </w:p>
        </w:tc>
      </w:tr>
      <w:tr>
        <w:tc>
          <w:tcPr/>
          <w:p>
            <w:pPr>
              <w:pStyle w:val="Compact"/>
              <w:jc w:val="left"/>
            </w:pPr>
            <w:r>
              <w:t xml:space="preserve">SCALE, parte a 3 anni (le Roux 2017), PMID 28237263</w:t>
            </w:r>
          </w:p>
        </w:tc>
        <w:tc>
          <w:tcPr/>
          <w:p>
            <w:pPr>
              <w:pStyle w:val="Compact"/>
              <w:jc w:val="left"/>
            </w:pPr>
            <w:r>
              <w:t xml:space="preserve">2.254 persone con prediabete</w:t>
            </w:r>
          </w:p>
        </w:tc>
        <w:tc>
          <w:tcPr/>
          <w:p>
            <w:pPr>
              <w:pStyle w:val="Compact"/>
              <w:jc w:val="left"/>
            </w:pPr>
            <w:r>
              <w:t xml:space="preserve">160 settimane</w:t>
            </w:r>
          </w:p>
        </w:tc>
        <w:tc>
          <w:tcPr/>
          <w:p>
            <w:pPr>
              <w:pStyle w:val="Compact"/>
              <w:jc w:val="left"/>
            </w:pPr>
            <w:r>
              <w:t xml:space="preserve">Nuovo diabete nel 2% vs. 6%; peso −6,1% vs. −1,9%</w:t>
            </w:r>
          </w:p>
        </w:tc>
      </w:tr>
      <w:tr>
        <w:tc>
          <w:tcPr/>
          <w:p>
            <w:pPr>
              <w:pStyle w:val="Compact"/>
              <w:jc w:val="left"/>
            </w:pPr>
            <w:r>
              <w:t xml:space="preserve">SCALE Diabetes (Davies 2015), PMID 26284720</w:t>
            </w:r>
          </w:p>
        </w:tc>
        <w:tc>
          <w:tcPr/>
          <w:p>
            <w:pPr>
              <w:pStyle w:val="Compact"/>
              <w:jc w:val="left"/>
            </w:pPr>
            <w:r>
              <w:t xml:space="preserve">846 persone con diabete di tipo 2 e sovrappeso</w:t>
            </w:r>
          </w:p>
        </w:tc>
        <w:tc>
          <w:tcPr/>
          <w:p>
            <w:pPr>
              <w:pStyle w:val="Compact"/>
              <w:jc w:val="left"/>
            </w:pPr>
            <w:r>
              <w:t xml:space="preserve">56 settimane</w:t>
            </w:r>
          </w:p>
        </w:tc>
        <w:tc>
          <w:tcPr/>
          <w:p>
            <w:pPr>
              <w:pStyle w:val="Compact"/>
              <w:jc w:val="left"/>
            </w:pPr>
            <w:r>
              <w:t xml:space="preserve">−6,0% (3,0 mg) vs. −2,0%</w:t>
            </w:r>
          </w:p>
        </w:tc>
      </w:tr>
      <w:tr>
        <w:tc>
          <w:tcPr/>
          <w:p>
            <w:pPr>
              <w:pStyle w:val="Compact"/>
              <w:jc w:val="left"/>
            </w:pPr>
            <w:r>
              <w:t xml:space="preserve">SCALE Maintenance (Wadden 2013), PMID 23812094</w:t>
            </w:r>
          </w:p>
        </w:tc>
        <w:tc>
          <w:tcPr/>
          <w:p>
            <w:pPr>
              <w:pStyle w:val="Compact"/>
              <w:jc w:val="left"/>
            </w:pPr>
            <w:r>
              <w:t xml:space="preserve">422 persone dopo dieta con perdita ≥ 5%</w:t>
            </w:r>
          </w:p>
        </w:tc>
        <w:tc>
          <w:tcPr/>
          <w:p>
            <w:pPr>
              <w:pStyle w:val="Compact"/>
              <w:jc w:val="left"/>
            </w:pPr>
            <w:r>
              <w:t xml:space="preserve">56 settimane</w:t>
            </w:r>
          </w:p>
        </w:tc>
        <w:tc>
          <w:tcPr/>
          <w:p>
            <w:pPr>
              <w:pStyle w:val="Compact"/>
              <w:jc w:val="left"/>
            </w:pPr>
            <w:r>
              <w:t xml:space="preserve">ulteriore −6,2% vs. −0,2%</w:t>
            </w:r>
          </w:p>
        </w:tc>
      </w:tr>
      <w:tr>
        <w:tc>
          <w:tcPr/>
          <w:p>
            <w:pPr>
              <w:pStyle w:val="Compact"/>
              <w:jc w:val="left"/>
            </w:pPr>
            <w:r>
              <w:t xml:space="preserve">SCALE Sleep Apnea (Blackman 2016), PMID 27005405</w:t>
            </w:r>
          </w:p>
        </w:tc>
        <w:tc>
          <w:tcPr/>
          <w:p>
            <w:pPr>
              <w:pStyle w:val="Compact"/>
              <w:jc w:val="left"/>
            </w:pPr>
            <w:r>
              <w:t xml:space="preserve">adulti con obesità e apnea notturna da moderata a grave</w:t>
            </w:r>
          </w:p>
        </w:tc>
        <w:tc>
          <w:tcPr/>
          <w:p>
            <w:pPr>
              <w:pStyle w:val="Compact"/>
              <w:jc w:val="left"/>
            </w:pPr>
            <w:r>
              <w:t xml:space="preserve">32 settimane</w:t>
            </w:r>
          </w:p>
        </w:tc>
        <w:tc>
          <w:tcPr/>
          <w:p>
            <w:pPr>
              <w:pStyle w:val="Compact"/>
              <w:jc w:val="left"/>
            </w:pPr>
            <w:r>
              <w:t xml:space="preserve">Apnee −12,2 vs. −6,1 all’ora; peso −5,7% vs. −1,6%</w:t>
            </w:r>
          </w:p>
        </w:tc>
      </w:tr>
    </w:tbl>
    <w:p>
      <w:pPr>
        <w:pStyle w:val="BodyText"/>
      </w:pPr>
      <w:r>
        <w:t xml:space="preserve">Nello studio più grande</w:t>
      </w:r>
      <w:r>
        <w:rPr>
          <w:rStyle w:val="FootnoteReference"/>
        </w:rPr>
        <w:footnoteReference w:id="307"/>
      </w:r>
      <w:r>
        <w:t xml:space="preserve"> </w:t>
      </w:r>
      <w:r>
        <w:t xml:space="preserve">i partecipanti con liraglutide hanno perso in media 8,4 kg, con placebo 2,8 kg – in entrambi i casi con consulenza su alimentazione e attività fisica. Un terzo (33,1%) ha perso più del 10% del peso corporeo, contro il 10,6% con placebo. Eventi avversi gravi si sono verificati nel 6,2% contro il 5,0%.</w:t>
      </w:r>
    </w:p>
    <w:p>
      <w:pPr>
        <w:pStyle w:val="BodyText"/>
      </w:pPr>
      <w:r>
        <w:t xml:space="preserve">I partecipanti con prediabete (stadio preliminare del diabete) sono stati trattati per altri tre anni</w:t>
      </w:r>
      <w:r>
        <w:rPr>
          <w:rStyle w:val="FootnoteReference"/>
        </w:rPr>
        <w:footnoteReference w:id="308"/>
      </w:r>
      <w:r>
        <w:t xml:space="preserve">. Con liraglutide il 2% ha sviluppato un diabete di tipo 2, con placebo il 6%. Lo studio ha però un’importante debolezza: solo metà dei partecipanti (50%) è rimasta fino alla fine, e chi è uscito non è stato più seguito. I risultati vanno quindi letti con cautela.</w:t>
      </w:r>
    </w:p>
    <w:p>
      <w:pPr>
        <w:pStyle w:val="BodyText"/>
      </w:pPr>
      <w:r>
        <w:t xml:space="preserve">Nelle persone con diabete di tipo 2 la perdita di peso è stata minore</w:t>
      </w:r>
      <w:r>
        <w:rPr>
          <w:rStyle w:val="FootnoteReference"/>
        </w:rPr>
        <w:footnoteReference w:id="309"/>
      </w:r>
      <w:r>
        <w:t xml:space="preserve"> </w:t>
      </w:r>
      <w:r>
        <w:t xml:space="preserve">– uno schema che si ripete con tutti i farmaci GLP-1. In SCALE Maintenance</w:t>
      </w:r>
      <w:r>
        <w:rPr>
          <w:rStyle w:val="FootnoteReference"/>
        </w:rPr>
        <w:footnoteReference w:id="310"/>
      </w:r>
      <w:r>
        <w:t xml:space="preserve"> </w:t>
      </w:r>
      <w:r>
        <w:t xml:space="preserve">la liraglutide ha aiutato a mantenere il peso dopo una fase di dieta: l’81,4% ha mantenuto la perdita di peso raggiunta in precedenza, contro il 48,9% con placebo.</w:t>
      </w:r>
    </w:p>
    <w:p>
      <w:pPr>
        <w:pStyle w:val="BodyText"/>
      </w:pPr>
      <w:r>
        <w:t xml:space="preserve">In retrospettiva l’effetto sul peso della liraglutide appare modesto, da quando semaglutide e tirzepatide raggiungono in media dal 15 a oltre il 20%. Per il suo tempo è stato una svolta: nessun farmaco autorizzato in precedenza aveva mostrato valori simili in studi di queste dimensioni.</w:t>
      </w:r>
    </w:p>
    <w:bookmarkEnd w:id="311"/>
    <w:bookmarkStart w:id="315" w:name="bambini-e-adolescenti"/>
    <w:p>
      <w:pPr>
        <w:pStyle w:val="Heading4"/>
      </w:pPr>
      <w:r>
        <w:t xml:space="preserve">Bambini e adolescenti</w:t>
      </w:r>
    </w:p>
    <w:p>
      <w:pPr>
        <w:pStyle w:val="FirstParagraph"/>
      </w:pPr>
      <w:r>
        <w:t xml:space="preserve">La liraglutide è uno dei pochi principi attivi di questa classe studiati in modo mirato su bambini e adolescenti.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ELLIPSE (Tamborlane 2019), PMID 31034184</w:t>
            </w:r>
          </w:p>
        </w:tc>
        <w:tc>
          <w:tcPr/>
          <w:p>
            <w:pPr>
              <w:pStyle w:val="Compact"/>
              <w:jc w:val="left"/>
            </w:pPr>
            <w:r>
              <w:t xml:space="preserve">134 bambini e adolescenti (da 10 a meno di 17 anni) con diabete di tipo 2, RCT contro placebo</w:t>
            </w:r>
          </w:p>
        </w:tc>
        <w:tc>
          <w:tcPr/>
          <w:p>
            <w:pPr>
              <w:pStyle w:val="Compact"/>
              <w:jc w:val="left"/>
            </w:pPr>
            <w:r>
              <w:t xml:space="preserve">52 settimane</w:t>
            </w:r>
          </w:p>
        </w:tc>
        <w:tc>
          <w:tcPr/>
          <w:p>
            <w:pPr>
              <w:pStyle w:val="Compact"/>
              <w:jc w:val="left"/>
            </w:pPr>
            <w:r>
              <w:t xml:space="preserve">HbA1c −1,06 punti percentuali rispetto al placebo dopo 26 settimane, −1,30 dopo 52 settimane</w:t>
            </w:r>
          </w:p>
        </w:tc>
      </w:tr>
      <w:tr>
        <w:tc>
          <w:tcPr/>
          <w:p>
            <w:pPr>
              <w:pStyle w:val="Compact"/>
              <w:jc w:val="left"/>
            </w:pPr>
            <w:r>
              <w:t xml:space="preserve">SCALE Teens (Kelly 2020), PMID 32233338</w:t>
            </w:r>
          </w:p>
        </w:tc>
        <w:tc>
          <w:tcPr/>
          <w:p>
            <w:pPr>
              <w:pStyle w:val="Compact"/>
              <w:jc w:val="left"/>
            </w:pPr>
            <w:r>
              <w:t xml:space="preserve">251 adolescenti (da 12 a meno di 18 anni) con obesità, RCT contro placebo</w:t>
            </w:r>
          </w:p>
        </w:tc>
        <w:tc>
          <w:tcPr/>
          <w:p>
            <w:pPr>
              <w:pStyle w:val="Compact"/>
              <w:jc w:val="left"/>
            </w:pPr>
            <w:r>
              <w:t xml:space="preserve">56 settimane</w:t>
            </w:r>
          </w:p>
        </w:tc>
        <w:tc>
          <w:tcPr/>
          <w:p>
            <w:pPr>
              <w:pStyle w:val="Compact"/>
              <w:jc w:val="left"/>
            </w:pPr>
            <w:r>
              <w:t xml:space="preserve">Riduzione del BMI ≥ 5% nel 43,3% vs. 18,7%; peso −4,50 kg rispetto al placebo</w:t>
            </w:r>
          </w:p>
        </w:tc>
      </w:tr>
      <w:tr>
        <w:tc>
          <w:tcPr/>
          <w:p>
            <w:pPr>
              <w:pStyle w:val="Compact"/>
              <w:jc w:val="left"/>
            </w:pPr>
            <w:r>
              <w:t xml:space="preserve">SCALE Kids (Fox 2025), PMID 39258838</w:t>
            </w:r>
          </w:p>
        </w:tc>
        <w:tc>
          <w:tcPr/>
          <w:p>
            <w:pPr>
              <w:pStyle w:val="Compact"/>
              <w:jc w:val="left"/>
            </w:pPr>
            <w:r>
              <w:t xml:space="preserve">82 bambini (da 6 a meno di 12 anni) con obesità, RCT contro placebo</w:t>
            </w:r>
          </w:p>
        </w:tc>
        <w:tc>
          <w:tcPr/>
          <w:p>
            <w:pPr>
              <w:pStyle w:val="Compact"/>
              <w:jc w:val="left"/>
            </w:pPr>
            <w:r>
              <w:t xml:space="preserve">56 settimane</w:t>
            </w:r>
          </w:p>
        </w:tc>
        <w:tc>
          <w:tcPr/>
          <w:p>
            <w:pPr>
              <w:pStyle w:val="Compact"/>
              <w:jc w:val="left"/>
            </w:pPr>
            <w:r>
              <w:t xml:space="preserve">BMI −5,8% vs. +1,6%</w:t>
            </w:r>
          </w:p>
        </w:tc>
      </w:tr>
    </w:tbl>
    <w:p>
      <w:pPr>
        <w:pStyle w:val="BodyText"/>
      </w:pPr>
      <w:r>
        <w:t xml:space="preserve">In SCALE Teens</w:t>
      </w:r>
      <w:r>
        <w:rPr>
          <w:rStyle w:val="FootnoteReference"/>
        </w:rPr>
        <w:footnoteReference w:id="312"/>
      </w:r>
      <w:r>
        <w:t xml:space="preserve"> </w:t>
      </w:r>
      <w:r>
        <w:t xml:space="preserve">dopo la sospensione si è osservato un nuovo aumento del BMI, più marcato che con placebo. I disturbi gastrointestinali hanno riguardato il 64,8% contro il 36,5%; il 10,4% ha interrotto il trattamento a causa di effetti collaterali. Nel gruppo liraglutide si è verificato un suicidio, che gli sperimentatori hanno classificato come probabilmente non correlato al trattamento.</w:t>
      </w:r>
    </w:p>
    <w:p>
      <w:pPr>
        <w:pStyle w:val="BodyText"/>
      </w:pPr>
      <w:r>
        <w:t xml:space="preserve">In SCALE Kids</w:t>
      </w:r>
      <w:r>
        <w:rPr>
          <w:rStyle w:val="FootnoteReference"/>
        </w:rPr>
        <w:footnoteReference w:id="313"/>
      </w:r>
      <w:r>
        <w:t xml:space="preserve"> </w:t>
      </w:r>
      <w:r>
        <w:t xml:space="preserve">il peso corporeo dei bambini in crescita è aumentato con liraglutide in media dell’1,6%, con placebo del 10,0%. Disturbi gastrointestinali si sono verificati nell’80% contro il 54%, eventi avversi gravi nel 12% contro l’8%. Nei bambini si pone in modo particolare la domanda di quanto debba durare un trattamento del genere e di quali effetti a lungo termine esistano su crescita e ossa. A questo proposito è in corso, tra l’altro, uno studio sul metabolismo osseo in giovani dai 12 ai 21 anni in terapia con GLP-1</w:t>
      </w:r>
      <w:r>
        <w:rPr>
          <w:rStyle w:val="FootnoteReference"/>
        </w:rPr>
        <w:footnoteReference w:id="314"/>
      </w:r>
      <w:r>
        <w:t xml:space="preserve">.</w:t>
      </w:r>
    </w:p>
    <w:bookmarkEnd w:id="315"/>
    <w:bookmarkStart w:id="319" w:name="altri-ambiti-dimpiego-negli-studi-1"/>
    <w:p>
      <w:pPr>
        <w:pStyle w:val="Heading4"/>
      </w:pPr>
      <w:r>
        <w:t xml:space="preserve">Altri ambiti d’impiego negli studi</w:t>
      </w:r>
    </w:p>
    <w:p>
      <w:pPr>
        <w:numPr>
          <w:ilvl w:val="0"/>
          <w:numId w:val="1043"/>
        </w:numPr>
        <w:pStyle w:val="Compact"/>
      </w:pPr>
      <w:r>
        <w:rPr>
          <w:bCs/>
          <w:b/>
        </w:rPr>
        <w:t xml:space="preserve">Steatoepatite (NASH/MASH):</w:t>
      </w:r>
      <w:r>
        <w:t xml:space="preserve"> </w:t>
      </w:r>
      <w:r>
        <w:t xml:space="preserve">nel piccolo studio di fase 2 LEAN con 52 partecipanti, l’infiammazione nella biopsia epatica è regredita nel 39% con liraglutide e nel 9% con placebo; una progressione della cicatrizzazione (fibrosi) è stata più rara (9% vs. 36%)</w:t>
      </w:r>
      <w:r>
        <w:rPr>
          <w:rStyle w:val="FootnoteReference"/>
        </w:rPr>
        <w:footnoteReference w:id="316"/>
      </w:r>
      <w:r>
        <w:t xml:space="preserve">. Studi più grandi sono stati condotti in seguito con la semaglutide.</w:t>
      </w:r>
    </w:p>
    <w:p>
      <w:pPr>
        <w:numPr>
          <w:ilvl w:val="0"/>
          <w:numId w:val="1043"/>
        </w:numPr>
        <w:pStyle w:val="Compact"/>
      </w:pPr>
      <w:r>
        <w:rPr>
          <w:bCs/>
          <w:b/>
        </w:rPr>
        <w:t xml:space="preserve">Malattia di Alzheimer:</w:t>
      </w:r>
      <w:r>
        <w:t xml:space="preserve"> </w:t>
      </w:r>
      <w:r>
        <w:t xml:space="preserve">nello studio di fase 2b ELAD con 204 persone senza diabete l’endpoint principale, il metabolismo del glucosio nel cervello, non è cambiato</w:t>
      </w:r>
      <w:r>
        <w:rPr>
          <w:rStyle w:val="FootnoteReference"/>
        </w:rPr>
        <w:footnoteReference w:id="317"/>
      </w:r>
      <w:r>
        <w:t xml:space="preserve">. In un endpoint secondario sulle funzioni esecutive la liraglutide ha ottenuto risultati migliori, per le capacità quotidiane e la gravità della demenza no. Gli endpoint secondari senza correzione per test multipli sono solo indizi.</w:t>
      </w:r>
    </w:p>
    <w:p>
      <w:pPr>
        <w:numPr>
          <w:ilvl w:val="0"/>
          <w:numId w:val="1043"/>
        </w:numPr>
        <w:pStyle w:val="Compact"/>
      </w:pPr>
      <w:r>
        <w:rPr>
          <w:bCs/>
          <w:b/>
        </w:rPr>
        <w:t xml:space="preserve">Alcol e altre dipendenze:</w:t>
      </w:r>
      <w:r>
        <w:t xml:space="preserve"> </w:t>
      </w:r>
      <w:r>
        <w:t xml:space="preserve">in uno studio di registro svedese con 227.866 persone con dipendenza da alcol, l’assunzione di liraglutide era associata a un rischio inferiore del 28% di ricoveri ospedalieri correlati all’alcol</w:t>
      </w:r>
      <w:r>
        <w:rPr>
          <w:rStyle w:val="FootnoteReference"/>
        </w:rPr>
        <w:footnoteReference w:id="318"/>
      </w:r>
      <w:r>
        <w:t xml:space="preserve">. Dati osservazionali di questo tipo mostrano associazioni, non un rapporto di causa-effetto.</w:t>
      </w:r>
    </w:p>
    <w:bookmarkEnd w:id="319"/>
    <w:bookmarkEnd w:id="320"/>
    <w:bookmarkStart w:id="323" w:name="studi-su-animali-e-in-laboratorio-1"/>
    <w:p>
      <w:pPr>
        <w:pStyle w:val="Heading3"/>
      </w:pPr>
      <w:r>
        <w:t xml:space="preserve">Studi su animali e in laboratorio</w:t>
      </w:r>
    </w:p>
    <w:p>
      <w:pPr>
        <w:pStyle w:val="FirstParagraph"/>
      </w:pPr>
      <w:r>
        <w:t xml:space="preserve">Gran parte dell’attuale comprensione dell’azione del GLP-1 nel cervello deriva da esperimenti su animali con liraglutide. In ratti e topi è stato dimostrato che la molecola, nonostante le sue dimensioni, raggiunge determinate regioni cerebrali prive di una barriera ematoencefalica compatta e vi stimola cellule nervose che frenano l’appetito</w:t>
      </w:r>
      <w:r>
        <w:rPr>
          <w:rStyle w:val="FootnoteReference"/>
        </w:rPr>
        <w:footnoteReference w:id="321"/>
      </w:r>
      <w:r>
        <w:t xml:space="preserve">.</w:t>
      </w:r>
    </w:p>
    <w:p>
      <w:pPr>
        <w:pStyle w:val="BodyText"/>
      </w:pPr>
      <w:r>
        <w:t xml:space="preserve">Di particolare rilievo sono stati i risultati sulla tiroide. In esperimenti a lungo termine con ratti e topi la liraglutide ha portato a una proliferazione delle cellule C (che producono l’ormone calcitonina) e a tumori a cellule C. Lo studio del meccanismo ha mostrato che le cellule C dei roditori portano abbondanti recettori del GLP-1, mentre quelle di uomo e scimmia quasi nessuno</w:t>
      </w:r>
      <w:r>
        <w:rPr>
          <w:rStyle w:val="FootnoteReference"/>
        </w:rPr>
        <w:footnoteReference w:id="322"/>
      </w:r>
      <w:r>
        <w:t xml:space="preserve">. Nei macachi cinomolghi 20 mesi di liraglutide, con un’esposizione più di 60 volte superiore a quella umana, non hanno portato a una proliferazione delle cellule C. Ciononostante, da allora per l’intera classe compare un’avvertenza sul carcinoma midollare della tiroide nel Riassunto delle caratteristiche del prodotto, in particolare negli Stati Uniti.</w:t>
      </w:r>
    </w:p>
    <w:p>
      <w:pPr>
        <w:pStyle w:val="BodyText"/>
      </w:pPr>
      <w:r>
        <w:t xml:space="preserve">Altri studi su animali si sono occupati di protezione cardiaca, neuroprotezione (modelli di Alzheimer e Parkinson), steatosi epatica e danni renali. La trasferibilità all’uomo è limitata, come per l’exenatide: lo studio sull’Alzheimer ELAD, per esempio, ha mancato il suo endpoint principale, benché i dati su animali fossero positivi.</w:t>
      </w:r>
    </w:p>
    <w:bookmarkEnd w:id="323"/>
    <w:bookmarkStart w:id="333" w:name="rischi-ed-effetti-collaterali-1"/>
    <w:p>
      <w:pPr>
        <w:pStyle w:val="Heading3"/>
      </w:pPr>
      <w:r>
        <w:t xml:space="preserve">Rischi ed effetti collaterali</w:t>
      </w:r>
    </w:p>
    <w:p>
      <w:pPr>
        <w:pStyle w:val="FirstParagraph"/>
      </w:pPr>
      <w:r>
        <w:rPr>
          <w:bCs/>
          <w:b/>
        </w:rPr>
        <w:t xml:space="preserve">Dimostrati da studi randomizzati:</w:t>
      </w:r>
    </w:p>
    <w:p>
      <w:pPr>
        <w:numPr>
          <w:ilvl w:val="0"/>
          <w:numId w:val="1044"/>
        </w:numPr>
        <w:pStyle w:val="Compact"/>
      </w:pPr>
      <w:r>
        <w:rPr>
          <w:bCs/>
          <w:b/>
        </w:rPr>
        <w:t xml:space="preserve">Disturbi gastrointestinali:</w:t>
      </w:r>
      <w:r>
        <w:t xml:space="preserve"> </w:t>
      </w:r>
      <w:r>
        <w:t xml:space="preserve">nausea, diarrea, vomito e stitichezza sono gli effetti collaterali più frequenti e per lo più il motivo delle interruzioni della terapia</w:t>
      </w:r>
      <w:r>
        <w:rPr>
          <w:rStyle w:val="FootnoteReference"/>
        </w:rPr>
        <w:footnoteReference w:id="324"/>
      </w:r>
      <w:r>
        <w:t xml:space="preserve">. Si verificano soprattutto all’inizio e dopo gli aumenti di dose. Con la dose più alta per l’obesità sono più frequenti che con la dose per il diabete</w:t>
      </w:r>
      <w:r>
        <w:rPr>
          <w:rStyle w:val="FootnoteReference"/>
        </w:rPr>
        <w:footnoteReference w:id="325"/>
      </w:r>
      <w:r>
        <w:t xml:space="preserve">.</w:t>
      </w:r>
    </w:p>
    <w:p>
      <w:pPr>
        <w:numPr>
          <w:ilvl w:val="0"/>
          <w:numId w:val="1044"/>
        </w:numPr>
        <w:pStyle w:val="Compact"/>
      </w:pPr>
      <w:r>
        <w:rPr>
          <w:bCs/>
          <w:b/>
        </w:rPr>
        <w:t xml:space="preserve">Colecisti:</w:t>
      </w:r>
      <w:r>
        <w:t xml:space="preserve"> </w:t>
      </w:r>
      <w:r>
        <w:t xml:space="preserve">una meta-analisi di 76 studi randomizzati con 103.371 partecipanti ha rilevato per la classe GLP-1 un rischio relativo aumentato del 37% di malattie della colecisti e delle vie biliari come calcoli biliari e colecistite</w:t>
      </w:r>
      <w:r>
        <w:rPr>
          <w:rStyle w:val="FootnoteReference"/>
        </w:rPr>
        <w:footnoteReference w:id="326"/>
      </w:r>
      <w:r>
        <w:t xml:space="preserve">. Il rischio era maggiore con dosi più alte, uso più prolungato e negli studi sulla perdita di peso (rischio relativo 2,29). Una parte di esso dovrebbe essere legata alla rapida perdita di peso stessa.</w:t>
      </w:r>
    </w:p>
    <w:p>
      <w:pPr>
        <w:numPr>
          <w:ilvl w:val="0"/>
          <w:numId w:val="1044"/>
        </w:numPr>
        <w:pStyle w:val="Compact"/>
      </w:pPr>
      <w:r>
        <w:rPr>
          <w:bCs/>
          <w:b/>
        </w:rPr>
        <w:t xml:space="preserve">Ipoglicemia:</w:t>
      </w:r>
      <w:r>
        <w:t xml:space="preserve"> </w:t>
      </w:r>
      <w:r>
        <w:t xml:space="preserve">rara in monoterapia, più frequente in combinazione con sulfoniluree o insulina.</w:t>
      </w:r>
    </w:p>
    <w:p>
      <w:pPr>
        <w:numPr>
          <w:ilvl w:val="0"/>
          <w:numId w:val="1044"/>
        </w:numPr>
        <w:pStyle w:val="Compact"/>
      </w:pPr>
      <w:r>
        <w:rPr>
          <w:bCs/>
          <w:b/>
        </w:rPr>
        <w:t xml:space="preserve">Frequenza cardiaca:</w:t>
      </w:r>
      <w:r>
        <w:t xml:space="preserve"> </w:t>
      </w:r>
      <w:r>
        <w:t xml:space="preserve">la liraglutide aumenta leggermente il polso a riposo di alcuni battiti al minuto; alla luce dei risultati di LEADER la rilevanza clinica è considerata modesta.</w:t>
      </w:r>
    </w:p>
    <w:p>
      <w:pPr>
        <w:pStyle w:val="FirstParagraph"/>
      </w:pPr>
      <w:r>
        <w:rPr>
          <w:bCs/>
          <w:b/>
        </w:rPr>
        <w:t xml:space="preserve">Studiati, ma incerti o non confermati:</w:t>
      </w:r>
    </w:p>
    <w:p>
      <w:pPr>
        <w:numPr>
          <w:ilvl w:val="0"/>
          <w:numId w:val="1045"/>
        </w:numPr>
        <w:pStyle w:val="Compact"/>
      </w:pPr>
      <w:r>
        <w:rPr>
          <w:bCs/>
          <w:b/>
        </w:rPr>
        <w:t xml:space="preserve">Pancreatite:</w:t>
      </w:r>
      <w:r>
        <w:t xml:space="preserve"> </w:t>
      </w:r>
      <w:r>
        <w:t xml:space="preserve">in LEADER non si è verificata con liraglutide più spesso che con placebo</w:t>
      </w:r>
      <w:r>
        <w:rPr>
          <w:rStyle w:val="FootnoteReference"/>
        </w:rPr>
        <w:footnoteReference w:id="327"/>
      </w:r>
      <w:r>
        <w:t xml:space="preserve">. Anche una meta-analisi meno recente non ha trovato un rischio aumentato</w:t>
      </w:r>
      <w:r>
        <w:rPr>
          <w:rStyle w:val="FootnoteReference"/>
        </w:rPr>
        <w:footnoteReference w:id="328"/>
      </w:r>
      <w:r>
        <w:t xml:space="preserve">. Il Riassunto delle caratteristiche del prodotto la riporta comunque come effetto collaterale raro; in caso di forti dolori addominali persistenti è necessario un accertamento medico.</w:t>
      </w:r>
    </w:p>
    <w:p>
      <w:pPr>
        <w:numPr>
          <w:ilvl w:val="0"/>
          <w:numId w:val="1045"/>
        </w:numPr>
        <w:pStyle w:val="Compact"/>
      </w:pPr>
      <w:r>
        <w:rPr>
          <w:bCs/>
          <w:b/>
        </w:rPr>
        <w:t xml:space="preserve">Cancro della tiroide:</w:t>
      </w:r>
      <w:r>
        <w:t xml:space="preserve"> </w:t>
      </w:r>
      <w:r>
        <w:t xml:space="preserve">i risultati sugli animali sono descritti sopra. Nell’uomo i dati sono contraddittori. Uno studio caso-controllo francese con 2.562 casi ha rilevato dopo uno-tre anni di terapia con GLP-1 un rischio aumentato di cancro della tiroide nel complesso (HR 1,58) e del raro carcinoma midollare (HR 1,78)</w:t>
      </w:r>
      <w:r>
        <w:rPr>
          <w:rStyle w:val="FootnoteReference"/>
        </w:rPr>
        <w:footnoteReference w:id="329"/>
      </w:r>
      <w:r>
        <w:t xml:space="preserve">. Anche una meta-analisi di 50 studi randomizzati ha mostrato un segnale (odds ratio 1,55)</w:t>
      </w:r>
      <w:r>
        <w:rPr>
          <w:rStyle w:val="FootnoteReference"/>
        </w:rPr>
        <w:footnoteReference w:id="330"/>
      </w:r>
      <w:r>
        <w:t xml:space="preserve">. Si discute se una parte di esso dipenda da esami più frequenti nei trattati. Secondo il Riassunto delle caratteristiche del prodotto, le persone con carcinoma midollare della tiroide nella propria anamnesi o in quella familiare non devono usare agonisti del recettore del GLP-1.</w:t>
      </w:r>
    </w:p>
    <w:p>
      <w:pPr>
        <w:numPr>
          <w:ilvl w:val="0"/>
          <w:numId w:val="1045"/>
        </w:numPr>
        <w:pStyle w:val="Compact"/>
      </w:pPr>
      <w:r>
        <w:rPr>
          <w:bCs/>
          <w:b/>
        </w:rPr>
        <w:t xml:space="preserve">Effetti collaterali psichici e pensieri suicidari:</w:t>
      </w:r>
      <w:r>
        <w:t xml:space="preserve"> </w:t>
      </w:r>
      <w:r>
        <w:t xml:space="preserve">dopo singole segnalazioni, l’autorità europea e quella statunitense hanno esaminato nel 2023/2024 un possibile nesso e non hanno trovato prove di un rapporto causale. In uno studio di coorte scandinavo con 124.517 persone trattate con agonisti del recettore del GLP-1, il rischio di suicidio non era aumentato rispetto agli inibitori di SGLT2 (HR 1,25; intervallo di confidenza 0,83–1,88)</w:t>
      </w:r>
      <w:r>
        <w:rPr>
          <w:rStyle w:val="FootnoteReference"/>
        </w:rPr>
        <w:footnoteReference w:id="331"/>
      </w:r>
      <w:r>
        <w:t xml:space="preserve">. Anche una meta-analisi del 2026 non ha trovato alcun nesso negli studi randomizzati</w:t>
      </w:r>
      <w:r>
        <w:rPr>
          <w:rStyle w:val="FootnoteReference"/>
        </w:rPr>
        <w:footnoteReference w:id="332"/>
      </w:r>
      <w:r>
        <w:t xml:space="preserve">. L’osservazione resta oggetto di ulteriore sorveglianza.</w:t>
      </w:r>
    </w:p>
    <w:p>
      <w:pPr>
        <w:pStyle w:val="FirstParagraph"/>
      </w:pPr>
      <w:r>
        <w:rPr>
          <w:bCs/>
          <w:b/>
        </w:rPr>
        <w:t xml:space="preserve">Indicazioni per la pratica:</w:t>
      </w:r>
      <w:r>
        <w:t xml:space="preserve"> </w:t>
      </w:r>
      <w:r>
        <w:t xml:space="preserve">la liraglutide non è indicata in gravidanza. Come tutti gli agonisti del recettore del GLP-1 rallenta lo svuotamento gastrico, il che può avere un ruolo nelle anestesie e nell’assorbimento di altri farmaci. Fanno fede il Riassunto delle caratteristiche del prodotto e l’accompagnamento medico, anche per l’aumento graduale della dose.</w:t>
      </w:r>
    </w:p>
    <w:bookmarkEnd w:id="333"/>
    <w:bookmarkStart w:id="334" w:name="quadro-normativo-1"/>
    <w:p>
      <w:pPr>
        <w:pStyle w:val="Heading3"/>
      </w:pPr>
      <w:r>
        <w:t xml:space="preserve">Quadro normativo</w:t>
      </w:r>
    </w:p>
    <w:p>
      <w:pPr>
        <w:numPr>
          <w:ilvl w:val="0"/>
          <w:numId w:val="1046"/>
        </w:numPr>
        <w:pStyle w:val="Compact"/>
      </w:pPr>
      <w:r>
        <w:rPr>
          <w:bCs/>
          <w:b/>
        </w:rPr>
        <w:t xml:space="preserve">UE:</w:t>
      </w:r>
      <w:r>
        <w:t xml:space="preserve"> </w:t>
      </w:r>
      <w:r>
        <w:t xml:space="preserve">Victoza è autorizzato dal 2009 per il trattamento del diabete di tipo 2, Saxenda dal 2015 per la gestione del peso negli adulti e negli adolescenti. Entrambi sono soggetti a prescrizione.</w:t>
      </w:r>
    </w:p>
    <w:p>
      <w:pPr>
        <w:numPr>
          <w:ilvl w:val="0"/>
          <w:numId w:val="1046"/>
        </w:numPr>
        <w:pStyle w:val="Compact"/>
      </w:pPr>
      <w:r>
        <w:rPr>
          <w:bCs/>
          <w:b/>
        </w:rPr>
        <w:t xml:space="preserve">Germania:</w:t>
      </w:r>
      <w:r>
        <w:t xml:space="preserve"> </w:t>
      </w:r>
      <w:r>
        <w:t xml:space="preserve">nel diabete le casse malattia obbligatorie rimborsano la liraglutide. I farmaci per la riduzione del peso sono invece in linea di principio esclusi dal rimborso ai sensi del § 34 SGB V; Saxenda deve di regola essere pagato dagli assicurati di tasca propria.</w:t>
      </w:r>
    </w:p>
    <w:p>
      <w:pPr>
        <w:numPr>
          <w:ilvl w:val="0"/>
          <w:numId w:val="1046"/>
        </w:numPr>
        <w:pStyle w:val="Compact"/>
      </w:pPr>
      <w:r>
        <w:rPr>
          <w:bCs/>
          <w:b/>
        </w:rPr>
        <w:t xml:space="preserve">Austria:</w:t>
      </w:r>
      <w:r>
        <w:t xml:space="preserve"> </w:t>
      </w:r>
      <w:r>
        <w:t xml:space="preserve">soggetta a prescrizione; la copertura dei costi per la gestione del peso è limitata e legata a condizioni (da verificare).</w:t>
      </w:r>
    </w:p>
    <w:p>
      <w:pPr>
        <w:numPr>
          <w:ilvl w:val="0"/>
          <w:numId w:val="1046"/>
        </w:numPr>
        <w:pStyle w:val="Compact"/>
      </w:pPr>
      <w:r>
        <w:rPr>
          <w:bCs/>
          <w:b/>
        </w:rPr>
        <w:t xml:space="preserve">USA:</w:t>
      </w:r>
      <w:r>
        <w:t xml:space="preserve"> </w:t>
      </w:r>
      <w:r>
        <w:t xml:space="preserve">Victoza e Saxenda autorizzati, Victoza anche per la riduzione del rischio cardiovascolare. Dal 2024 sono sul mercato generici della forma per il diabete, dal 2025 anche della forma per l’obesità.</w:t>
      </w:r>
    </w:p>
    <w:p>
      <w:pPr>
        <w:numPr>
          <w:ilvl w:val="0"/>
          <w:numId w:val="1046"/>
        </w:numPr>
        <w:pStyle w:val="Compact"/>
      </w:pPr>
      <w:r>
        <w:rPr>
          <w:bCs/>
          <w:b/>
        </w:rPr>
        <w:t xml:space="preserve">Generici in Europa:</w:t>
      </w:r>
      <w:r>
        <w:t xml:space="preserve"> </w:t>
      </w:r>
      <w:r>
        <w:t xml:space="preserve">poiché la liraglutide è un peptide producibile per sintesi o con tecniche di ingegneria genetica e la protezione brevettuale è scaduta, anche in Europa arrivano sul mercato preparati di imitazione. La situazione varia da Paese a Paese; da verificare.</w:t>
      </w:r>
    </w:p>
    <w:p>
      <w:pPr>
        <w:numPr>
          <w:ilvl w:val="0"/>
          <w:numId w:val="1046"/>
        </w:numPr>
        <w:pStyle w:val="Compact"/>
      </w:pPr>
      <w:r>
        <w:rPr>
          <w:bCs/>
          <w:b/>
        </w:rPr>
        <w:t xml:space="preserve">Sport (WADA):</w:t>
      </w:r>
      <w:r>
        <w:t xml:space="preserve"> </w:t>
      </w:r>
      <w:r>
        <w:t xml:space="preserve">non elencata (aggiornato al 2026, da verificare).</w:t>
      </w:r>
    </w:p>
    <w:p>
      <w:pPr>
        <w:pStyle w:val="FirstParagraph"/>
      </w:pPr>
      <w:r>
        <w:t xml:space="preserve">I generici fanno della liraglutide un caso particolare della classe: è il primo principio attivo GLP-1 con beneficio cardiovascolare dimostrato che può diventare molto più economico. Ciò ha importanza soprattutto nei Paesi con budget sanitari limitati, anche se l’iniezione giornaliera e l’effetto minore rispetto alla semaglutide restano svantaggi. Maggiori informazioni su scadenze dei brevetti e prezzi nella Parte V.</w:t>
      </w:r>
    </w:p>
    <w:bookmarkEnd w:id="334"/>
    <w:bookmarkStart w:id="340" w:name="studi-in-corso-e-prospettive-1"/>
    <w:p>
      <w:pPr>
        <w:pStyle w:val="Heading3"/>
      </w:pPr>
      <w:r>
        <w:t xml:space="preserve">Studi in corso e prospettive</w:t>
      </w:r>
    </w:p>
    <w:p>
      <w:pPr>
        <w:pStyle w:val="FirstParagraph"/>
      </w:pPr>
      <w:r>
        <w:rPr>
          <w:bCs/>
          <w:b/>
        </w:rPr>
        <w:t xml:space="preserve">Accertato (studi registrati):</w:t>
      </w:r>
      <w:r>
        <w:t xml:space="preserve"> </w:t>
      </w:r>
      <w:r>
        <w:t xml:space="preserve">nuovi studi registrativi di Novo Nordisk non ce ne sono quasi più; la ricerca è sostenuta prevalentemente da cliniche e università. Esempi:</w:t>
      </w:r>
    </w:p>
    <w:p>
      <w:pPr>
        <w:numPr>
          <w:ilvl w:val="0"/>
          <w:numId w:val="1047"/>
        </w:numPr>
        <w:pStyle w:val="Compact"/>
      </w:pPr>
      <w:r>
        <w:t xml:space="preserve">Uno studio con 890 donne con obesità, desiderio di gravidanza non realizzato e sindrome dell’ovaio policistico (PCOS) valuta la liraglutide prima di un trattamento per l’infertilità</w:t>
      </w:r>
      <w:r>
        <w:rPr>
          <w:rStyle w:val="FootnoteReference"/>
        </w:rPr>
        <w:footnoteReference w:id="335"/>
      </w:r>
      <w:r>
        <w:t xml:space="preserve">.</w:t>
      </w:r>
    </w:p>
    <w:p>
      <w:pPr>
        <w:numPr>
          <w:ilvl w:val="0"/>
          <w:numId w:val="1047"/>
        </w:numPr>
        <w:pStyle w:val="Compact"/>
      </w:pPr>
      <w:r>
        <w:t xml:space="preserve">Uno studio di fase 3 con 260 persone anziane con diabete esamina se la liraglutide possa prevenire un delirium dopo interventi cardiochirurgici</w:t>
      </w:r>
      <w:r>
        <w:rPr>
          <w:rStyle w:val="FootnoteReference"/>
        </w:rPr>
        <w:footnoteReference w:id="336"/>
      </w:r>
      <w:r>
        <w:t xml:space="preserve">.</w:t>
      </w:r>
    </w:p>
    <w:p>
      <w:pPr>
        <w:numPr>
          <w:ilvl w:val="0"/>
          <w:numId w:val="1047"/>
        </w:numPr>
        <w:pStyle w:val="Compact"/>
      </w:pPr>
      <w:r>
        <w:t xml:space="preserve">In una forma ereditaria di diabete (MODY) la liraglutide viene studiata in uno studio di fase 2</w:t>
      </w:r>
      <w:r>
        <w:rPr>
          <w:rStyle w:val="FootnoteReference"/>
        </w:rPr>
        <w:footnoteReference w:id="337"/>
      </w:r>
      <w:r>
        <w:t xml:space="preserve">.</w:t>
      </w:r>
    </w:p>
    <w:p>
      <w:pPr>
        <w:numPr>
          <w:ilvl w:val="0"/>
          <w:numId w:val="1047"/>
        </w:numPr>
        <w:pStyle w:val="Compact"/>
      </w:pPr>
      <w:r>
        <w:t xml:space="preserve">Un grande studio pragmatico con 6.000 partecipanti confronta strategie di trattamento per la prevenzione delle malattie cardiache e renali nel diabete di tipo 2</w:t>
      </w:r>
      <w:r>
        <w:rPr>
          <w:rStyle w:val="FootnoteReference"/>
        </w:rPr>
        <w:footnoteReference w:id="338"/>
      </w:r>
      <w:r>
        <w:t xml:space="preserve">.</w:t>
      </w:r>
    </w:p>
    <w:p>
      <w:pPr>
        <w:numPr>
          <w:ilvl w:val="0"/>
          <w:numId w:val="1047"/>
        </w:numPr>
        <w:pStyle w:val="Compact"/>
      </w:pPr>
      <w:r>
        <w:t xml:space="preserve">L’osservazione a lungo termine dei partecipanti di SCALE Kids prosegue</w:t>
      </w:r>
      <w:r>
        <w:rPr>
          <w:rStyle w:val="FootnoteReference"/>
        </w:rPr>
        <w:footnoteReference w:id="339"/>
      </w:r>
      <w:r>
        <w:t xml:space="preserve">.</w:t>
      </w:r>
    </w:p>
    <w:p>
      <w:pPr>
        <w:pStyle w:val="FirstParagraph"/>
      </w:pPr>
      <w:r>
        <w:rPr>
          <w:bCs/>
          <w:b/>
        </w:rPr>
        <w:t xml:space="preserve">Valutazione:</w:t>
      </w:r>
      <w:r>
        <w:t xml:space="preserve"> </w:t>
      </w:r>
      <w:r>
        <w:t xml:space="preserve">nei Paesi ricchi la liraglutide viene sempre più soppiantata da principi attivi settimanali come semaglutide e tirzepatide. Grazie ai generici dovrebbe però vivere una seconda carriera come alternativa a basso costo – soprattutto là dove i farmaci più recenti non sono accessibili economicamente o non sono disponibili. Dal punto di vista scientifico resta un importante standard di confronto.</w:t>
      </w:r>
    </w:p>
    <w:bookmarkEnd w:id="340"/>
    <w:bookmarkStart w:id="341" w:name="conclusione-1"/>
    <w:p>
      <w:pPr>
        <w:pStyle w:val="Heading3"/>
      </w:pPr>
      <w:r>
        <w:t xml:space="preserve">Conclusione</w:t>
      </w:r>
    </w:p>
    <w:p>
      <w:pPr>
        <w:pStyle w:val="FirstParagraph"/>
      </w:pPr>
      <w:r>
        <w:t xml:space="preserve">La liraglutide è stata il primo principio attivo GLP-1 quasi identico a quello umano e il primo per il quale un grande studio ha mostrato una protezione dagli eventi cardiovascolari (LEADER, 9.340 partecipanti, riduzione relativa del rischio del 13%). Come Saxenda è stata il primo farmaco GLP-1 per la riduzione del peso; in media i partecipanti senza diabete hanno perso circa 8 kg in un anno. Nel confronto diretto è superiore all’exenatide, alla pari con la dulaglutide e nettamente inferiore alla semaglutide. Gli effetti collaterali più frequenti sono i disturbi gastrointestinali, a cui si aggiunge un rischio aumentato per la colecisti; la questione del cancro della tiroide non è definitivamente chiarita. Con la scadenza della protezione brevettuale diventa la prima opzione a basso costo della classe – il trattamento va comunque affidato al medico.</w:t>
      </w:r>
    </w:p>
    <w:bookmarkEnd w:id="341"/>
    <w:bookmarkEnd w:id="342"/>
    <w:bookmarkStart w:id="402" w:name="dulaglutide"/>
    <w:p>
      <w:pPr>
        <w:pStyle w:val="Heading2"/>
      </w:pPr>
      <w:r>
        <w:t xml:space="preserve">Dulaglutide</w:t>
      </w:r>
    </w:p>
    <w:bookmarkStart w:id="344" w:name="scheda-2"/>
    <w:p>
      <w:pPr>
        <w:pStyle w:val="Heading3"/>
      </w:pPr>
      <w:r>
        <w:t xml:space="preserve">Scheda</w:t>
      </w:r>
    </w:p>
    <w:p>
      <w:pPr>
        <w:numPr>
          <w:ilvl w:val="0"/>
          <w:numId w:val="1048"/>
        </w:numPr>
        <w:pStyle w:val="Compact"/>
      </w:pPr>
      <w:r>
        <w:rPr>
          <w:bCs/>
          <w:b/>
        </w:rPr>
        <w:t xml:space="preserve">Tipo/struttura:</w:t>
      </w:r>
      <w:r>
        <w:t xml:space="preserve"> </w:t>
      </w:r>
      <w:r>
        <w:t xml:space="preserve">proteina di fusione. Due catene di GLP-1 leggermente modificate sono legate, tramite un breve elemento di collegamento, alla porzione costante (frammento Fc) di un anticorpo umano di tipo IgG4. La dulaglutide è quindi molte volte più grande della liraglutide – a rigore più una proteina che un piccolo peptide.</w:t>
      </w:r>
    </w:p>
    <w:p>
      <w:pPr>
        <w:numPr>
          <w:ilvl w:val="0"/>
          <w:numId w:val="1048"/>
        </w:numPr>
        <w:pStyle w:val="Compact"/>
      </w:pPr>
      <w:r>
        <w:rPr>
          <w:bCs/>
          <w:b/>
        </w:rPr>
        <w:t xml:space="preserve">Origine:</w:t>
      </w:r>
      <w:r>
        <w:t xml:space="preserve"> </w:t>
      </w:r>
      <w:r>
        <w:t xml:space="preserve">sviluppata da Eli Lilly, prodotta con tecniche di ingegneria genetica in cellule di mammifero</w:t>
      </w:r>
      <w:r>
        <w:rPr>
          <w:rStyle w:val="FootnoteReference"/>
        </w:rPr>
        <w:footnoteReference w:id="343"/>
      </w:r>
      <w:r>
        <w:t xml:space="preserve">.</w:t>
      </w:r>
    </w:p>
    <w:p>
      <w:pPr>
        <w:numPr>
          <w:ilvl w:val="0"/>
          <w:numId w:val="1048"/>
        </w:numPr>
        <w:pStyle w:val="Compact"/>
      </w:pPr>
      <w:r>
        <w:rPr>
          <w:bCs/>
          <w:b/>
        </w:rPr>
        <w:t xml:space="preserve">Meccanismo d’azione:</w:t>
      </w:r>
      <w:r>
        <w:t xml:space="preserve"> </w:t>
      </w:r>
      <w:r>
        <w:t xml:space="preserve">agonista del recettore del GLP-1. La porzione anticorpale protegge dalla degradazione e dall’eliminazione renale; basta un’iniezione alla settimana.</w:t>
      </w:r>
    </w:p>
    <w:p>
      <w:pPr>
        <w:numPr>
          <w:ilvl w:val="0"/>
          <w:numId w:val="1048"/>
        </w:numPr>
        <w:pStyle w:val="Compact"/>
      </w:pPr>
      <w:r>
        <w:rPr>
          <w:bCs/>
          <w:b/>
        </w:rPr>
        <w:t xml:space="preserve">Preparato:</w:t>
      </w:r>
      <w:r>
        <w:t xml:space="preserve"> </w:t>
      </w:r>
      <w:r>
        <w:t xml:space="preserve">Trulicity (penna preriempita, settimanale; dosaggi autorizzati fino a 4,5 mg).</w:t>
      </w:r>
    </w:p>
    <w:p>
      <w:pPr>
        <w:numPr>
          <w:ilvl w:val="0"/>
          <w:numId w:val="1048"/>
        </w:numPr>
        <w:pStyle w:val="Compact"/>
      </w:pPr>
      <w:r>
        <w:rPr>
          <w:bCs/>
          <w:b/>
        </w:rPr>
        <w:t xml:space="preserve">Autorizzazione UE:</w:t>
      </w:r>
      <w:r>
        <w:t xml:space="preserve"> </w:t>
      </w:r>
      <w:r>
        <w:t xml:space="preserve">sì, diabete di tipo 2 negli adulti e negli adolescenti dai 10 anni. Nessuna autorizzazione per la riduzione del peso.</w:t>
      </w:r>
    </w:p>
    <w:p>
      <w:pPr>
        <w:numPr>
          <w:ilvl w:val="0"/>
          <w:numId w:val="1048"/>
        </w:numPr>
        <w:pStyle w:val="Compact"/>
      </w:pPr>
      <w:r>
        <w:rPr>
          <w:bCs/>
          <w:b/>
        </w:rPr>
        <w:t xml:space="preserve">Autorizzazione USA:</w:t>
      </w:r>
      <w:r>
        <w:t xml:space="preserve"> </w:t>
      </w:r>
      <w:r>
        <w:t xml:space="preserve">sì, diabete di tipo 2 dai 10 anni e per la riduzione del rischio cardiovascolare negli adulti con diabete di tipo 2.</w:t>
      </w:r>
    </w:p>
    <w:p>
      <w:pPr>
        <w:numPr>
          <w:ilvl w:val="0"/>
          <w:numId w:val="1048"/>
        </w:numPr>
        <w:pStyle w:val="Compact"/>
      </w:pPr>
      <w:r>
        <w:rPr>
          <w:bCs/>
          <w:b/>
        </w:rPr>
        <w:t xml:space="preserve">WADA:</w:t>
      </w:r>
      <w:r>
        <w:t xml:space="preserve"> </w:t>
      </w:r>
      <w:r>
        <w:t xml:space="preserve">non elencata.</w:t>
      </w:r>
    </w:p>
    <w:p>
      <w:pPr>
        <w:numPr>
          <w:ilvl w:val="0"/>
          <w:numId w:val="1048"/>
        </w:numPr>
        <w:pStyle w:val="Compact"/>
      </w:pPr>
      <w:r>
        <w:rPr>
          <w:bCs/>
          <w:b/>
        </w:rPr>
        <w:t xml:space="preserve">Livello di evidenza:</w:t>
      </w:r>
      <w:r>
        <w:t xml:space="preserve"> </w:t>
      </w:r>
      <w:r>
        <w:rPr>
          <w:bCs/>
          <w:b/>
        </w:rPr>
        <w:t xml:space="preserve">A</w:t>
      </w:r>
      <w:r>
        <w:t xml:space="preserve"> </w:t>
      </w:r>
      <w:r>
        <w:t xml:space="preserve">– programma di studi AWARD con oltre dieci studi randomizzati di fase 3, studio di esito REWIND, studio negli adolescenti.</w:t>
      </w:r>
    </w:p>
    <w:bookmarkEnd w:id="344"/>
    <w:bookmarkStart w:id="347" w:name="come-dovrebbe-agire-2"/>
    <w:p>
      <w:pPr>
        <w:pStyle w:val="Heading3"/>
      </w:pPr>
      <w:r>
        <w:t xml:space="preserve">Come dovrebbe agire</w:t>
      </w:r>
    </w:p>
    <w:p>
      <w:pPr>
        <w:pStyle w:val="FirstParagraph"/>
      </w:pPr>
      <w:r>
        <w:t xml:space="preserve">La dulaglutide agisce sul recettore del GLP-1 come exenatide, liraglutide e semaglutide: potenzia la secrezione di insulina dipendente dal glucosio, frena l’ormone glucagone, rallenta lo svuotamento gastrico e attenua l’appetito. Il meccanismo di base è spiegato nel capitolo Exenatide.</w:t>
      </w:r>
    </w:p>
    <w:p>
      <w:pPr>
        <w:pStyle w:val="BodyText"/>
      </w:pPr>
      <w:r>
        <w:t xml:space="preserve">La differenza sta nell’„involucro“. Liraglutide e semaglutide vengono legate alle proteine del sangue tramite un acido grasso. Lilly ha seguito un’altra strada e ha legato l’ormone al frammento Fc di un anticorpo. Questo elemento è noto in biotecnologia: rende le molecole così grandi che i reni non riescono più a filtrarle e sfrutta una via di riciclo endogena attraverso la quale gli anticorpi vengono protetti dalla degradazione. In ratti e macachi cinomolghi l’emivita del principio attivo era di 1,5–2 giorni; nell’uomo è più lunga e consente la somministrazione settimanale</w:t>
      </w:r>
      <w:r>
        <w:rPr>
          <w:rStyle w:val="FootnoteReference"/>
        </w:rPr>
        <w:footnoteReference w:id="345"/>
      </w:r>
      <w:r>
        <w:t xml:space="preserve">.</w:t>
      </w:r>
    </w:p>
    <w:p>
      <w:pPr>
        <w:pStyle w:val="BodyText"/>
      </w:pPr>
      <w:r>
        <w:t xml:space="preserve">Nelle catene di GLP-1 stesse sono stati sostituiti singoli amminoacidi – in parte per impedire la degradazione da parte dell’enzima DPP-4, in parte per ridurre la formazione di anticorpi contro il principio attivo. In effetti, in nove studi solo l’1,6% dei trattati con dulaglutide ha formato anticorpi contro il farmaco</w:t>
      </w:r>
      <w:r>
        <w:rPr>
          <w:rStyle w:val="FootnoteReference"/>
        </w:rPr>
        <w:footnoteReference w:id="346"/>
      </w:r>
      <w:r>
        <w:t xml:space="preserve"> </w:t>
      </w:r>
      <w:r>
        <w:t xml:space="preserve">– molti meno che con l’exenatide.</w:t>
      </w:r>
    </w:p>
    <w:p>
      <w:pPr>
        <w:pStyle w:val="BodyText"/>
      </w:pPr>
      <w:r>
        <w:t xml:space="preserve">Uno svantaggio delle dimensioni: probabilmente la molecola raggiunge con più difficoltà le regioni cerebrali che regolano l’appetito. Ciò potrebbe spiegare perché la dulaglutide, a parità di riduzione della glicemia, provoca una perdita di peso minore della semaglutide. Questa spiegazione è plausibile, ma non dimostrata.</w:t>
      </w:r>
    </w:p>
    <w:bookmarkEnd w:id="347"/>
    <w:bookmarkStart w:id="379" w:name="studi-sulluomo-2"/>
    <w:p>
      <w:pPr>
        <w:pStyle w:val="Heading3"/>
      </w:pPr>
      <w:r>
        <w:t xml:space="preserve">Studi sull’uomo</w:t>
      </w:r>
    </w:p>
    <w:p>
      <w:pPr>
        <w:pStyle w:val="FirstParagraph"/>
      </w:pPr>
      <w:r>
        <w:t xml:space="preserve">La ricerca su PubMed analizzata per questo libro (termine di ricerca „dulaglutide“ nel titolo o nell’abstract, data della ricerca ottobre 2026) ha restituito 158 studi sull’uomo, ClinicalTrials.gov riporta 143 voci di registro. Il numero è inferiore a quello di liraglutide o semaglutide, ma gli studi sono impostati in modo particolarmente sistematico: il programma AWARD (Assessment of Weekly AdministRation of LY2189265 in Diabetes) ha valutato la dulaglutide contro quasi tutte le terapie antidiabetiche comuni. Colpisce inoltre quanto spesso la dulaglutide stessa serva da farmaco di confronto per principi attivi più recenti – dalla semaglutide alla tirzepatide fino a nuovi sviluppi cinesi.</w:t>
      </w:r>
    </w:p>
    <w:bookmarkStart w:id="352" w:name="il-programma-award"/>
    <w:p>
      <w:pPr>
        <w:pStyle w:val="Heading4"/>
      </w:pPr>
      <w:r>
        <w:t xml:space="preserve">Il programma AWARD</w:t>
      </w:r>
    </w:p>
    <w:p>
      <w:pPr>
        <w:pStyle w:val="FirstParagraph"/>
      </w:pPr>
      <w:r>
        <w:t xml:space="preserve">Nella maggior parte degli studi AWARD sono state valutate le dosi di 0,75 e 1,5 mg alla settimana. La tabella mostra di volta in volta il risultato della dose più alta.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 (dulaglutide 1,5 mg vs. confronto)</w:t>
            </w:r>
          </w:p>
        </w:tc>
      </w:tr>
      <w:tr>
        <w:tc>
          <w:tcPr/>
          <w:p>
            <w:pPr>
              <w:pStyle w:val="Compact"/>
              <w:jc w:val="left"/>
            </w:pPr>
            <w:r>
              <w:t xml:space="preserve">AWARD-1 (Wysham 2014), PMID 24879836</w:t>
            </w:r>
          </w:p>
        </w:tc>
        <w:tc>
          <w:tcPr/>
          <w:p>
            <w:pPr>
              <w:pStyle w:val="Compact"/>
              <w:jc w:val="left"/>
            </w:pPr>
            <w:r>
              <w:t xml:space="preserve">diabete di tipo 2 in terapia con metformina e pioglitazone; vs. exenatide due volte al giorno e placebo</w:t>
            </w:r>
          </w:p>
        </w:tc>
        <w:tc>
          <w:tcPr/>
          <w:p>
            <w:pPr>
              <w:pStyle w:val="Compact"/>
              <w:jc w:val="left"/>
            </w:pPr>
            <w:r>
              <w:t xml:space="preserve">52 settimane (endpoint principale 26)</w:t>
            </w:r>
          </w:p>
        </w:tc>
        <w:tc>
          <w:tcPr/>
          <w:p>
            <w:pPr>
              <w:pStyle w:val="Compact"/>
              <w:jc w:val="left"/>
            </w:pPr>
            <w:r>
              <w:t xml:space="preserve">HbA1c −1,51 vs. −0,99 (exenatide) vs. −0,46 (placebo)</w:t>
            </w:r>
          </w:p>
        </w:tc>
      </w:tr>
      <w:tr>
        <w:tc>
          <w:tcPr/>
          <w:p>
            <w:pPr>
              <w:pStyle w:val="Compact"/>
              <w:jc w:val="left"/>
            </w:pPr>
            <w:r>
              <w:t xml:space="preserve">AWARD-2 (Giorgino 2015), PMID 26089386</w:t>
            </w:r>
          </w:p>
        </w:tc>
        <w:tc>
          <w:tcPr/>
          <w:p>
            <w:pPr>
              <w:pStyle w:val="Compact"/>
              <w:jc w:val="left"/>
            </w:pPr>
            <w:r>
              <w:t xml:space="preserve">810 persone in terapia con metformina e glimepiride; in aperto vs. insulina glargine</w:t>
            </w:r>
          </w:p>
        </w:tc>
        <w:tc>
          <w:tcPr/>
          <w:p>
            <w:pPr>
              <w:pStyle w:val="Compact"/>
              <w:jc w:val="left"/>
            </w:pPr>
            <w:r>
              <w:t xml:space="preserve">78 settimane</w:t>
            </w:r>
          </w:p>
        </w:tc>
        <w:tc>
          <w:tcPr/>
          <w:p>
            <w:pPr>
              <w:pStyle w:val="Compact"/>
              <w:jc w:val="left"/>
            </w:pPr>
            <w:r>
              <w:t xml:space="preserve">HbA1c −1,08 vs. −0,63; il peso è diminuito vs. aumentato</w:t>
            </w:r>
          </w:p>
        </w:tc>
      </w:tr>
      <w:tr>
        <w:tc>
          <w:tcPr/>
          <w:p>
            <w:pPr>
              <w:pStyle w:val="Compact"/>
              <w:jc w:val="left"/>
            </w:pPr>
            <w:r>
              <w:t xml:space="preserve">AWARD-3 (Umpierrez 2014), PMID 24842985</w:t>
            </w:r>
          </w:p>
        </w:tc>
        <w:tc>
          <w:tcPr/>
          <w:p>
            <w:pPr>
              <w:pStyle w:val="Compact"/>
              <w:jc w:val="left"/>
            </w:pPr>
            <w:r>
              <w:t xml:space="preserve">diabete di tipo 2 precoce, monoterapia; in doppio cieco vs. metformina</w:t>
            </w:r>
          </w:p>
        </w:tc>
        <w:tc>
          <w:tcPr/>
          <w:p>
            <w:pPr>
              <w:pStyle w:val="Compact"/>
              <w:jc w:val="left"/>
            </w:pPr>
            <w:r>
              <w:t xml:space="preserve">52 settimane (endpoint principale 26)</w:t>
            </w:r>
          </w:p>
        </w:tc>
        <w:tc>
          <w:tcPr/>
          <w:p>
            <w:pPr>
              <w:pStyle w:val="Compact"/>
              <w:jc w:val="left"/>
            </w:pPr>
            <w:r>
              <w:t xml:space="preserve">HbA1c −0,78 vs. −0,56</w:t>
            </w:r>
          </w:p>
        </w:tc>
      </w:tr>
      <w:tr>
        <w:tc>
          <w:tcPr/>
          <w:p>
            <w:pPr>
              <w:pStyle w:val="Compact"/>
              <w:jc w:val="left"/>
            </w:pPr>
            <w:r>
              <w:t xml:space="preserve">AWARD-4 (Blonde 2015), PMID 26009229</w:t>
            </w:r>
          </w:p>
        </w:tc>
        <w:tc>
          <w:tcPr/>
          <w:p>
            <w:pPr>
              <w:pStyle w:val="Compact"/>
              <w:jc w:val="left"/>
            </w:pPr>
            <w:r>
              <w:t xml:space="preserve">884 persone con insulina prandiale; in aperto vs. insulina glargine</w:t>
            </w:r>
          </w:p>
        </w:tc>
        <w:tc>
          <w:tcPr/>
          <w:p>
            <w:pPr>
              <w:pStyle w:val="Compact"/>
              <w:jc w:val="left"/>
            </w:pPr>
            <w:r>
              <w:t xml:space="preserve">52 settimane (endpoint principale 26)</w:t>
            </w:r>
          </w:p>
        </w:tc>
        <w:tc>
          <w:tcPr/>
          <w:p>
            <w:pPr>
              <w:pStyle w:val="Compact"/>
              <w:jc w:val="left"/>
            </w:pPr>
            <w:r>
              <w:t xml:space="preserve">HbA1c −1,64 vs. −1,41</w:t>
            </w:r>
          </w:p>
        </w:tc>
      </w:tr>
      <w:tr>
        <w:tc>
          <w:tcPr/>
          <w:p>
            <w:pPr>
              <w:pStyle w:val="Compact"/>
              <w:jc w:val="left"/>
            </w:pPr>
            <w:r>
              <w:t xml:space="preserve">AWARD-5 (Nauck 2014), PMID 24742660</w:t>
            </w:r>
          </w:p>
        </w:tc>
        <w:tc>
          <w:tcPr/>
          <w:p>
            <w:pPr>
              <w:pStyle w:val="Compact"/>
              <w:jc w:val="left"/>
            </w:pPr>
            <w:r>
              <w:t xml:space="preserve">1.098 persone in terapia con metformina; vs. sitagliptin</w:t>
            </w:r>
          </w:p>
        </w:tc>
        <w:tc>
          <w:tcPr/>
          <w:p>
            <w:pPr>
              <w:pStyle w:val="Compact"/>
              <w:jc w:val="left"/>
            </w:pPr>
            <w:r>
              <w:t xml:space="preserve">52 settimane</w:t>
            </w:r>
          </w:p>
        </w:tc>
        <w:tc>
          <w:tcPr/>
          <w:p>
            <w:pPr>
              <w:pStyle w:val="Compact"/>
              <w:jc w:val="left"/>
            </w:pPr>
            <w:r>
              <w:t xml:space="preserve">HbA1c −1,10 vs. −0,39; peso −3,03 vs. −1,53 kg</w:t>
            </w:r>
          </w:p>
        </w:tc>
      </w:tr>
      <w:tr>
        <w:tc>
          <w:tcPr/>
          <w:p>
            <w:pPr>
              <w:pStyle w:val="Compact"/>
              <w:jc w:val="left"/>
            </w:pPr>
            <w:r>
              <w:t xml:space="preserve">AWARD-6 (Dungan 2014), PMID 25018121</w:t>
            </w:r>
          </w:p>
        </w:tc>
        <w:tc>
          <w:tcPr/>
          <w:p>
            <w:pPr>
              <w:pStyle w:val="Compact"/>
              <w:jc w:val="left"/>
            </w:pPr>
            <w:r>
              <w:t xml:space="preserve">599 persone in terapia con metformina; in aperto vs. liraglutide</w:t>
            </w:r>
          </w:p>
        </w:tc>
        <w:tc>
          <w:tcPr/>
          <w:p>
            <w:pPr>
              <w:pStyle w:val="Compact"/>
              <w:jc w:val="left"/>
            </w:pPr>
            <w:r>
              <w:t xml:space="preserve">26 settimane</w:t>
            </w:r>
          </w:p>
        </w:tc>
        <w:tc>
          <w:tcPr/>
          <w:p>
            <w:pPr>
              <w:pStyle w:val="Compact"/>
              <w:jc w:val="left"/>
            </w:pPr>
            <w:r>
              <w:t xml:space="preserve">HbA1c −1,42 vs. −1,36; equivalente</w:t>
            </w:r>
          </w:p>
        </w:tc>
      </w:tr>
      <w:tr>
        <w:tc>
          <w:tcPr/>
          <w:p>
            <w:pPr>
              <w:pStyle w:val="Compact"/>
              <w:jc w:val="left"/>
            </w:pPr>
            <w:r>
              <w:t xml:space="preserve">AWARD-7 (Tuttle 2018), PMID 29910024</w:t>
            </w:r>
          </w:p>
        </w:tc>
        <w:tc>
          <w:tcPr/>
          <w:p>
            <w:pPr>
              <w:pStyle w:val="Compact"/>
              <w:jc w:val="left"/>
            </w:pPr>
            <w:r>
              <w:t xml:space="preserve">577 persone con malattia renale cronica da moderata a grave; vs. insulina glargine</w:t>
            </w:r>
          </w:p>
        </w:tc>
        <w:tc>
          <w:tcPr/>
          <w:p>
            <w:pPr>
              <w:pStyle w:val="Compact"/>
              <w:jc w:val="left"/>
            </w:pPr>
            <w:r>
              <w:t xml:space="preserve">52 settimane</w:t>
            </w:r>
          </w:p>
        </w:tc>
        <w:tc>
          <w:tcPr/>
          <w:p>
            <w:pPr>
              <w:pStyle w:val="Compact"/>
              <w:jc w:val="left"/>
            </w:pPr>
            <w:r>
              <w:t xml:space="preserve">HbA1c −1,2 vs. −1,1; funzione renale meglio conservata dopo 52 settimane</w:t>
            </w:r>
          </w:p>
        </w:tc>
      </w:tr>
      <w:tr>
        <w:tc>
          <w:tcPr/>
          <w:p>
            <w:pPr>
              <w:pStyle w:val="Compact"/>
              <w:jc w:val="left"/>
            </w:pPr>
            <w:r>
              <w:t xml:space="preserve">AWARD-8 (Dungan 2016), PMID 26799540</w:t>
            </w:r>
          </w:p>
        </w:tc>
        <w:tc>
          <w:tcPr/>
          <w:p>
            <w:pPr>
              <w:pStyle w:val="Compact"/>
              <w:jc w:val="left"/>
            </w:pPr>
            <w:r>
              <w:t xml:space="preserve">diabete di tipo 2 in terapia con glimepiride; vs. placebo</w:t>
            </w:r>
          </w:p>
        </w:tc>
        <w:tc>
          <w:tcPr/>
          <w:p>
            <w:pPr>
              <w:pStyle w:val="Compact"/>
              <w:jc w:val="left"/>
            </w:pPr>
            <w:r>
              <w:t xml:space="preserve">24 settimane</w:t>
            </w:r>
          </w:p>
        </w:tc>
        <w:tc>
          <w:tcPr/>
          <w:p>
            <w:pPr>
              <w:pStyle w:val="Compact"/>
              <w:jc w:val="left"/>
            </w:pPr>
            <w:r>
              <w:t xml:space="preserve">differenza di HbA1c −1,3 punti percentuali; più ipoglicemie</w:t>
            </w:r>
          </w:p>
        </w:tc>
      </w:tr>
      <w:tr>
        <w:tc>
          <w:tcPr/>
          <w:p>
            <w:pPr>
              <w:pStyle w:val="Compact"/>
              <w:jc w:val="left"/>
            </w:pPr>
            <w:r>
              <w:t xml:space="preserve">AWARD-10 (Ludvik 2018), PMID 29483060</w:t>
            </w:r>
          </w:p>
        </w:tc>
        <w:tc>
          <w:tcPr/>
          <w:p>
            <w:pPr>
              <w:pStyle w:val="Compact"/>
              <w:jc w:val="left"/>
            </w:pPr>
            <w:r>
              <w:t xml:space="preserve">424 persone in terapia con inibitore di SGLT2; vs. placebo</w:t>
            </w:r>
          </w:p>
        </w:tc>
        <w:tc>
          <w:tcPr/>
          <w:p>
            <w:pPr>
              <w:pStyle w:val="Compact"/>
              <w:jc w:val="left"/>
            </w:pPr>
            <w:r>
              <w:t xml:space="preserve">24 settimane</w:t>
            </w:r>
          </w:p>
        </w:tc>
        <w:tc>
          <w:tcPr/>
          <w:p>
            <w:pPr>
              <w:pStyle w:val="Compact"/>
              <w:jc w:val="left"/>
            </w:pPr>
            <w:r>
              <w:t xml:space="preserve">HbA1c −1,34 vs. −0,54</w:t>
            </w:r>
          </w:p>
        </w:tc>
      </w:tr>
      <w:tr>
        <w:tc>
          <w:tcPr/>
          <w:p>
            <w:pPr>
              <w:pStyle w:val="Compact"/>
              <w:jc w:val="left"/>
            </w:pPr>
            <w:r>
              <w:t xml:space="preserve">AWARD-11 (Frias 2021), PMID 33397768</w:t>
            </w:r>
          </w:p>
        </w:tc>
        <w:tc>
          <w:tcPr/>
          <w:p>
            <w:pPr>
              <w:pStyle w:val="Compact"/>
              <w:jc w:val="left"/>
            </w:pPr>
            <w:r>
              <w:t xml:space="preserve">1.842 persone in terapia con metformina; 4,5 e 3,0 mg vs. 1,5 mg</w:t>
            </w:r>
          </w:p>
        </w:tc>
        <w:tc>
          <w:tcPr/>
          <w:p>
            <w:pPr>
              <w:pStyle w:val="Compact"/>
              <w:jc w:val="left"/>
            </w:pPr>
            <w:r>
              <w:t xml:space="preserve">36 settimane</w:t>
            </w:r>
          </w:p>
        </w:tc>
        <w:tc>
          <w:tcPr/>
          <w:p>
            <w:pPr>
              <w:pStyle w:val="Compact"/>
              <w:jc w:val="left"/>
            </w:pPr>
            <w:r>
              <w:t xml:space="preserve">HbA1c −1,77 (4,5 mg) vs. −1,54; peso −4,6 vs. −3,0 kg</w:t>
            </w:r>
          </w:p>
        </w:tc>
      </w:tr>
    </w:tbl>
    <w:p>
      <w:pPr>
        <w:pStyle w:val="BodyText"/>
      </w:pPr>
      <w:r>
        <w:t xml:space="preserve">Alcuni risultati meritano una spiegazione:</w:t>
      </w:r>
    </w:p>
    <w:p>
      <w:pPr>
        <w:pStyle w:val="BodyText"/>
      </w:pPr>
      <w:r>
        <w:rPr>
          <w:bCs/>
          <w:b/>
        </w:rPr>
        <w:t xml:space="preserve">Contro l’insulina</w:t>
      </w:r>
      <w:r>
        <w:t xml:space="preserve"> </w:t>
      </w:r>
      <w:r>
        <w:t xml:space="preserve">(AWARD-2 e AWARD-4) la dulaglutide ha ridotto l’emoglobina glicata un po’ di più, con meno ipoglicemie e senza aumento di peso</w:t>
      </w:r>
      <w:r>
        <w:rPr>
          <w:rStyle w:val="FootnoteReference"/>
        </w:rPr>
        <w:footnoteReference w:id="348"/>
      </w:r>
      <w:r>
        <w:t xml:space="preserve">. In AWARD-2, però, la dose di insulina non è stata aumentata in modo coerente; la dose finale media era di 29 unità. Un’insulina titolata con più decisione avrebbe forse ottenuto risultati migliori. La nausea si è verificata con dulaglutide 1,5 mg nel 15,4%, con insulina nell’1,5%.</w:t>
      </w:r>
    </w:p>
    <w:p>
      <w:pPr>
        <w:pStyle w:val="BodyText"/>
      </w:pPr>
      <w:r>
        <w:rPr>
          <w:bCs/>
          <w:b/>
        </w:rPr>
        <w:t xml:space="preserve">Nella malattia renale</w:t>
      </w:r>
      <w:r>
        <w:t xml:space="preserve"> </w:t>
      </w:r>
      <w:r>
        <w:t xml:space="preserve">(AWARD-7) il risultato è particolarmente interessante: la glicemia è scesa quanto con l’insulina, ma la funzione renale stimata (eGFR) dopo 52 settimane era più alta con dulaglutide – 34,0 contro 31,3 ml/min per 1,73 m²</w:t>
      </w:r>
      <w:r>
        <w:rPr>
          <w:rStyle w:val="FootnoteReference"/>
        </w:rPr>
        <w:footnoteReference w:id="349"/>
      </w:r>
      <w:r>
        <w:t xml:space="preserve">. L’escrezione di proteine nelle urine non differiva in modo significativo. È un indizio, ma non una prova, di una protezione renale.</w:t>
      </w:r>
    </w:p>
    <w:p>
      <w:pPr>
        <w:pStyle w:val="BodyText"/>
      </w:pPr>
      <w:r>
        <w:rPr>
          <w:bCs/>
          <w:b/>
        </w:rPr>
        <w:t xml:space="preserve">Con una sulfonilurea</w:t>
      </w:r>
      <w:r>
        <w:t xml:space="preserve"> </w:t>
      </w:r>
      <w:r>
        <w:t xml:space="preserve">(AWARD-8) si vede il rovescio della medaglia: la dulaglutide ha ridotto l’HbA1c di 1,3 punti percentuali in più rispetto al placebo, e il 55,3% contro il 18,9% ha raggiunto un valore inferiore al 7%. Le ipoglicemie però erano molto più frequenti (2,37 contro 0,07 eventi per persona all’anno), perché la sulfonilurea libera insulina indipendentemente dalla glicemia</w:t>
      </w:r>
      <w:r>
        <w:rPr>
          <w:rStyle w:val="FootnoteReference"/>
        </w:rPr>
        <w:footnoteReference w:id="350"/>
      </w:r>
      <w:r>
        <w:t xml:space="preserve">. Non si sono verificate ipoglicemie gravi.</w:t>
      </w:r>
    </w:p>
    <w:p>
      <w:pPr>
        <w:pStyle w:val="BodyText"/>
      </w:pPr>
      <w:r>
        <w:rPr>
          <w:bCs/>
          <w:b/>
        </w:rPr>
        <w:t xml:space="preserve">Dosi più alte</w:t>
      </w:r>
      <w:r>
        <w:t xml:space="preserve"> </w:t>
      </w:r>
      <w:r>
        <w:t xml:space="preserve">(AWARD-11): per tenere il passo con la semaglutide, Lilly ha valutato 3,0 e 4,5 mg. La dose più alta ha ridotto l’HbA1c di ulteriori 0,24 punti percentuali e il peso di ulteriori 1,6 kg rispetto a 1,5 mg</w:t>
      </w:r>
      <w:r>
        <w:rPr>
          <w:rStyle w:val="FootnoteReference"/>
        </w:rPr>
        <w:footnoteReference w:id="351"/>
      </w:r>
      <w:r>
        <w:t xml:space="preserve">. La nausea è aumentata leggermente (16,4% vs. 13,4%), così come il vomito (9,3% vs. 5,6%). Il guadagno è misurabile, ma limitato.</w:t>
      </w:r>
    </w:p>
    <w:bookmarkEnd w:id="352"/>
    <w:bookmarkStart w:id="356" w:name="Xec453b5c7df586b956060fd2acfb0aed54112af"/>
    <w:p>
      <w:pPr>
        <w:pStyle w:val="Heading4"/>
      </w:pPr>
      <w:r>
        <w:t xml:space="preserve">Confronti diretti all’interno della classe GLP-1</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Disegno</w:t>
            </w:r>
          </w:p>
        </w:tc>
        <w:tc>
          <w:tcPr/>
          <w:p>
            <w:pPr>
              <w:pStyle w:val="Compact"/>
              <w:jc w:val="left"/>
            </w:pPr>
            <w:r>
              <w:t xml:space="preserve">Durata</w:t>
            </w:r>
          </w:p>
        </w:tc>
        <w:tc>
          <w:tcPr/>
          <w:p>
            <w:pPr>
              <w:pStyle w:val="Compact"/>
              <w:jc w:val="left"/>
            </w:pPr>
            <w:r>
              <w:t xml:space="preserve">Risultato (dulaglutide vs. confronto)</w:t>
            </w:r>
          </w:p>
        </w:tc>
      </w:tr>
      <w:tr>
        <w:tc>
          <w:tcPr/>
          <w:p>
            <w:pPr>
              <w:pStyle w:val="Compact"/>
              <w:jc w:val="left"/>
            </w:pPr>
            <w:r>
              <w:t xml:space="preserve">AWARD-1 (Wysham 2014), PMID 24879836</w:t>
            </w:r>
          </w:p>
        </w:tc>
        <w:tc>
          <w:tcPr/>
          <w:p>
            <w:pPr>
              <w:pStyle w:val="Compact"/>
              <w:jc w:val="left"/>
            </w:pPr>
            <w:r>
              <w:t xml:space="preserve">vs. exenatide due volte al giorno</w:t>
            </w:r>
          </w:p>
        </w:tc>
        <w:tc>
          <w:tcPr/>
          <w:p>
            <w:pPr>
              <w:pStyle w:val="Compact"/>
              <w:jc w:val="left"/>
            </w:pPr>
            <w:r>
              <w:t xml:space="preserve">26 settimane</w:t>
            </w:r>
          </w:p>
        </w:tc>
        <w:tc>
          <w:tcPr/>
          <w:p>
            <w:pPr>
              <w:pStyle w:val="Compact"/>
              <w:jc w:val="left"/>
            </w:pPr>
            <w:r>
              <w:t xml:space="preserve">HbA1c −1,51 vs. −0,99; meno ipoglicemie</w:t>
            </w:r>
          </w:p>
        </w:tc>
      </w:tr>
      <w:tr>
        <w:tc>
          <w:tcPr/>
          <w:p>
            <w:pPr>
              <w:pStyle w:val="Compact"/>
              <w:jc w:val="left"/>
            </w:pPr>
            <w:r>
              <w:t xml:space="preserve">AWARD-6 (Dungan 2014), PMID 25018121</w:t>
            </w:r>
          </w:p>
        </w:tc>
        <w:tc>
          <w:tcPr/>
          <w:p>
            <w:pPr>
              <w:pStyle w:val="Compact"/>
              <w:jc w:val="left"/>
            </w:pPr>
            <w:r>
              <w:t xml:space="preserve">599 persone, vs. liraglutide 1,8 mg al giorno</w:t>
            </w:r>
          </w:p>
        </w:tc>
        <w:tc>
          <w:tcPr/>
          <w:p>
            <w:pPr>
              <w:pStyle w:val="Compact"/>
              <w:jc w:val="left"/>
            </w:pPr>
            <w:r>
              <w:t xml:space="preserve">26 settimane</w:t>
            </w:r>
          </w:p>
        </w:tc>
        <w:tc>
          <w:tcPr/>
          <w:p>
            <w:pPr>
              <w:pStyle w:val="Compact"/>
              <w:jc w:val="left"/>
            </w:pPr>
            <w:r>
              <w:t xml:space="preserve">HbA1c −1,42 vs. −1,36; nausea 20% vs. 18%</w:t>
            </w:r>
          </w:p>
        </w:tc>
      </w:tr>
      <w:tr>
        <w:tc>
          <w:tcPr/>
          <w:p>
            <w:pPr>
              <w:pStyle w:val="Compact"/>
              <w:jc w:val="left"/>
            </w:pPr>
            <w:r>
              <w:t xml:space="preserve">SUSTAIN 7 (Pratley 2018), PMID 29397376</w:t>
            </w:r>
          </w:p>
        </w:tc>
        <w:tc>
          <w:tcPr/>
          <w:p>
            <w:pPr>
              <w:pStyle w:val="Compact"/>
              <w:jc w:val="left"/>
            </w:pPr>
            <w:r>
              <w:t xml:space="preserve">1.201 persone, dulaglutide 0,75/1,5 mg vs. semaglutide 0,5/1,0 mg</w:t>
            </w:r>
          </w:p>
        </w:tc>
        <w:tc>
          <w:tcPr/>
          <w:p>
            <w:pPr>
              <w:pStyle w:val="Compact"/>
              <w:jc w:val="left"/>
            </w:pPr>
            <w:r>
              <w:t xml:space="preserve">40 settimane</w:t>
            </w:r>
          </w:p>
        </w:tc>
        <w:tc>
          <w:tcPr/>
          <w:p>
            <w:pPr>
              <w:pStyle w:val="Compact"/>
              <w:jc w:val="left"/>
            </w:pPr>
            <w:r>
              <w:t xml:space="preserve">HbA1c −1,4 vs. −1,8 (dosi alte); peso −3,0 vs. −6,5 kg</w:t>
            </w:r>
          </w:p>
        </w:tc>
      </w:tr>
    </w:tbl>
    <w:p>
      <w:pPr>
        <w:pStyle w:val="BodyText"/>
      </w:pPr>
      <w:r>
        <w:t xml:space="preserve">La graduatoria è chiara. La dulaglutide è risultata nettamente superiore all’exenatide due volte al giorno</w:t>
      </w:r>
      <w:r>
        <w:rPr>
          <w:rStyle w:val="FootnoteReference"/>
        </w:rPr>
        <w:footnoteReference w:id="353"/>
      </w:r>
      <w:r>
        <w:t xml:space="preserve"> </w:t>
      </w:r>
      <w:r>
        <w:t xml:space="preserve">e alla pari con la liraglutide</w:t>
      </w:r>
      <w:r>
        <w:rPr>
          <w:rStyle w:val="FootnoteReference"/>
        </w:rPr>
        <w:footnoteReference w:id="354"/>
      </w:r>
      <w:r>
        <w:t xml:space="preserve">. In AWARD-6 è stata così il primo agonista settimanale del recettore del GLP-1 a reggere il confronto diretto con l’allora standard liraglutide – con molte meno iniezioni.</w:t>
      </w:r>
    </w:p>
    <w:p>
      <w:pPr>
        <w:pStyle w:val="BodyText"/>
      </w:pPr>
      <w:r>
        <w:t xml:space="preserve">Contro la semaglutide la dulaglutide ha perso in SUSTAIN 7</w:t>
      </w:r>
      <w:r>
        <w:rPr>
          <w:rStyle w:val="FootnoteReference"/>
        </w:rPr>
        <w:footnoteReference w:id="355"/>
      </w:r>
      <w:r>
        <w:t xml:space="preserve"> </w:t>
      </w:r>
      <w:r>
        <w:t xml:space="preserve">a entrambi i livelli di dose. Con le dosi alte l’HbA1c è sceso di 1,4 contro 1,8 punti percentuali, il peso di 3,0 contro 6,5 kg. I disturbi gastrointestinali erano di frequenza simile (48% con dulaglutide 1,5 mg, 44% con semaglutide 1,0 mg). In seguito è stato osservato criticamente che in SUSTAIN 7 la dulaglutide era dosata solo fino a 1,5 mg; le dosi più alte di AWARD-11 allora non erano ancora disponibili. Anche con 4,5 mg, tuttavia, la differenza di peso dovrebbe permanere.</w:t>
      </w:r>
    </w:p>
    <w:bookmarkEnd w:id="356"/>
    <w:bookmarkStart w:id="361" w:name="rewind-lo-studio-cardiovascolare"/>
    <w:p>
      <w:pPr>
        <w:pStyle w:val="Heading4"/>
      </w:pPr>
      <w:r>
        <w:t xml:space="preserve">REWIND: lo studio cardiovascolare</w:t>
      </w:r>
    </w:p>
    <w:p>
      <w:pPr>
        <w:pStyle w:val="FirstParagraph"/>
      </w:pPr>
      <w:r>
        <w:t xml:space="preserve">REWIND si differenziava dagli altri studi di esito sui GLP-1: è durato più a lungo, ha incluso persone anziane con glicemia relativamente ben controllata (HbA1c mediano 7,2%) e ha arruolato anche molte persone senza malattia cardiovascolare precedente, che avevano soltanto fattori di rischio. In questo modo la popolazione dello studio somiglia alla realtà degli ambulatori di medicina generale più che in altri studi di esito.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REWIND (Gerstein 2019), PMID 31189511</w:t>
            </w:r>
          </w:p>
        </w:tc>
        <w:tc>
          <w:tcPr/>
          <w:p>
            <w:pPr>
              <w:pStyle w:val="Compact"/>
              <w:jc w:val="left"/>
            </w:pPr>
            <w:r>
              <w:t xml:space="preserve">9.901 persone con diabete di tipo 2, età media 66,2 anni, 46,3% donne; RCT contro placebo</w:t>
            </w:r>
          </w:p>
        </w:tc>
        <w:tc>
          <w:tcPr/>
          <w:p>
            <w:pPr>
              <w:pStyle w:val="Compact"/>
              <w:jc w:val="left"/>
            </w:pPr>
            <w:r>
              <w:t xml:space="preserve">mediana 5,4 anni</w:t>
            </w:r>
          </w:p>
        </w:tc>
        <w:tc>
          <w:tcPr/>
          <w:p>
            <w:pPr>
              <w:pStyle w:val="Compact"/>
              <w:jc w:val="left"/>
            </w:pPr>
            <w:r>
              <w:t xml:space="preserve">Eventi cardiovascolari gravi 12,0% vs. 13,4%; HR 0,88 (0,79–0,99)</w:t>
            </w:r>
          </w:p>
        </w:tc>
      </w:tr>
      <w:tr>
        <w:tc>
          <w:tcPr/>
          <w:p>
            <w:pPr>
              <w:pStyle w:val="Compact"/>
              <w:jc w:val="left"/>
            </w:pPr>
            <w:r>
              <w:t xml:space="preserve">REWIND, reni (Gerstein 2019), PMID 31189509</w:t>
            </w:r>
          </w:p>
        </w:tc>
        <w:tc>
          <w:tcPr/>
          <w:p>
            <w:pPr>
              <w:pStyle w:val="Compact"/>
              <w:jc w:val="left"/>
            </w:pPr>
            <w:r>
              <w:t xml:space="preserve">stesso studio, analisi esplorativa</w:t>
            </w:r>
          </w:p>
        </w:tc>
        <w:tc>
          <w:tcPr/>
          <w:p>
            <w:pPr>
              <w:pStyle w:val="Compact"/>
              <w:jc w:val="left"/>
            </w:pPr>
            <w:r>
              <w:t xml:space="preserve">mediana 5,4 anni</w:t>
            </w:r>
          </w:p>
        </w:tc>
        <w:tc>
          <w:tcPr/>
          <w:p>
            <w:pPr>
              <w:pStyle w:val="Compact"/>
              <w:jc w:val="left"/>
            </w:pPr>
            <w:r>
              <w:t xml:space="preserve">Endpoint renale 17,1% vs. 19,6%; HR 0,85, soprattutto meno nuova macroalbuminuria</w:t>
            </w:r>
          </w:p>
        </w:tc>
      </w:tr>
      <w:tr>
        <w:tc>
          <w:tcPr/>
          <w:p>
            <w:pPr>
              <w:pStyle w:val="Compact"/>
              <w:jc w:val="left"/>
            </w:pPr>
            <w:r>
              <w:t xml:space="preserve">REWIND, cognizione (Cukierman-Yaffe 2020), PMID 32562683</w:t>
            </w:r>
          </w:p>
        </w:tc>
        <w:tc>
          <w:tcPr/>
          <w:p>
            <w:pPr>
              <w:pStyle w:val="Compact"/>
              <w:jc w:val="left"/>
            </w:pPr>
            <w:r>
              <w:t xml:space="preserve">8.828 persone con test di memoria</w:t>
            </w:r>
          </w:p>
        </w:tc>
        <w:tc>
          <w:tcPr/>
          <w:p>
            <w:pPr>
              <w:pStyle w:val="Compact"/>
              <w:jc w:val="left"/>
            </w:pPr>
            <w:r>
              <w:t xml:space="preserve">mediana 5,4 anni</w:t>
            </w:r>
          </w:p>
        </w:tc>
        <w:tc>
          <w:tcPr/>
          <w:p>
            <w:pPr>
              <w:pStyle w:val="Compact"/>
              <w:jc w:val="left"/>
            </w:pPr>
            <w:r>
              <w:t xml:space="preserve">HR 0,93 (non significativo); dopo aggiustamento a posteriori HR 0,86</w:t>
            </w:r>
          </w:p>
        </w:tc>
      </w:tr>
    </w:tbl>
    <w:p>
      <w:pPr>
        <w:pStyle w:val="BodyText"/>
      </w:pPr>
      <w:r>
        <w:t xml:space="preserve">L’endpoint principale – morte per cause cardiovascolari, infarto miocardico non fatale o ictus – si è verificato con dulaglutide in 594 persone su 4.949 (12,0%), con placebo in 663 su 4.952 (13,4%)</w:t>
      </w:r>
      <w:r>
        <w:rPr>
          <w:rStyle w:val="FootnoteReference"/>
        </w:rPr>
        <w:footnoteReference w:id="357"/>
      </w:r>
      <w:r>
        <w:t xml:space="preserve">. Ciò corrisponde a una riduzione relativa del 12%. La mortalità totale non differiva in modo significativo (10,8% vs. 12,0%; HR 0,90). Effetti collaterali gastrointestinali sono stati riferiti dal 47,4% contro il 34,1%.</w:t>
      </w:r>
    </w:p>
    <w:p>
      <w:pPr>
        <w:pStyle w:val="BodyText"/>
      </w:pPr>
      <w:r>
        <w:t xml:space="preserve">Nell’analisi renale</w:t>
      </w:r>
      <w:r>
        <w:rPr>
          <w:rStyle w:val="FootnoteReference"/>
        </w:rPr>
        <w:footnoteReference w:id="358"/>
      </w:r>
      <w:r>
        <w:t xml:space="preserve"> </w:t>
      </w:r>
      <w:r>
        <w:t xml:space="preserve">l’effetto era dovuto soprattutto a una nuova comparsa di macroalbuminuria (HR 0,77). Per un calo persistente della funzione renale di almeno il 30% la stima era 0,89, per dialisi o trapianto di rene 0,75 – entrambe non statisticamente significative.</w:t>
      </w:r>
    </w:p>
    <w:p>
      <w:pPr>
        <w:pStyle w:val="BodyText"/>
      </w:pPr>
      <w:r>
        <w:t xml:space="preserve">L’analisi sulle capacità cognitive</w:t>
      </w:r>
      <w:r>
        <w:rPr>
          <w:rStyle w:val="FootnoteReference"/>
        </w:rPr>
        <w:footnoteReference w:id="359"/>
      </w:r>
      <w:r>
        <w:t xml:space="preserve"> </w:t>
      </w:r>
      <w:r>
        <w:t xml:space="preserve">viene a volte citata come prova di una protezione dalla demenza. Questo è eccessivo: il confronto stabilito in anticipo non era significativo. Solo dopo un aggiustamento statistico a posteriori è emerso un rischio relativo inferiore del 14% di un netto peggioramento delle capacità cognitive (hazard ratio 0,86). Le autrici e gli autori stessi parlano di un’analisi esplorativa che giustifica ulteriori studi.</w:t>
      </w:r>
    </w:p>
    <w:p>
      <w:pPr>
        <w:pStyle w:val="BodyText"/>
      </w:pPr>
      <w:r>
        <w:t xml:space="preserve">In una meta-analisi di tutti i grandi studi di esito sui GLP-1, REWIND si è inserito bene nel quadro complessivo, secondo cui la classe riduce gli eventi cardiovascolari gravi di circa il 12%</w:t>
      </w:r>
      <w:r>
        <w:rPr>
          <w:rStyle w:val="FootnoteReference"/>
        </w:rPr>
        <w:footnoteReference w:id="360"/>
      </w:r>
      <w:r>
        <w:t xml:space="preserve">.</w:t>
      </w:r>
    </w:p>
    <w:bookmarkEnd w:id="361"/>
    <w:bookmarkStart w:id="366" w:name="X4b0e0d1f6f78e067757bb1e7c15e140e07a620e"/>
    <w:p>
      <w:pPr>
        <w:pStyle w:val="Heading4"/>
      </w:pPr>
      <w:r>
        <w:t xml:space="preserve">Che cosa spiega il beneficio – e che cosa no?</w:t>
      </w:r>
    </w:p>
    <w:p>
      <w:pPr>
        <w:pStyle w:val="FirstParagraph"/>
      </w:pPr>
      <w:r>
        <w:t xml:space="preserve">Diverse analisi a posteriori di REWIND hanno cercato di comprendere meglio l’effetto cardiovascolare. In un’analisi parziale su 9.543 persone senza fibrillazione atriale all’inizio dello studio, il 31% aveva già una malattia cardiovascolare, gli altri „solo“ fattori di rischio</w:t>
      </w:r>
      <w:r>
        <w:rPr>
          <w:rStyle w:val="FootnoteReference"/>
        </w:rPr>
        <w:footnoteReference w:id="362"/>
      </w:r>
      <w:r>
        <w:t xml:space="preserve">. Ciò sottolinea che REWIND, molto più di altri studi di esito, ha studiato persone in prevenzione.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Analisi</w:t>
            </w:r>
          </w:p>
        </w:tc>
        <w:tc>
          <w:tcPr/>
          <w:p>
            <w:pPr>
              <w:pStyle w:val="Compact"/>
              <w:jc w:val="left"/>
            </w:pPr>
            <w:r>
              <w:t xml:space="preserve">Domanda</w:t>
            </w:r>
          </w:p>
        </w:tc>
        <w:tc>
          <w:tcPr/>
          <w:p>
            <w:pPr>
              <w:pStyle w:val="Compact"/>
              <w:jc w:val="left"/>
            </w:pPr>
            <w:r>
              <w:t xml:space="preserve">Risultato</w:t>
            </w:r>
          </w:p>
        </w:tc>
      </w:tr>
      <w:tr>
        <w:tc>
          <w:tcPr/>
          <w:p>
            <w:pPr>
              <w:pStyle w:val="Compact"/>
              <w:jc w:val="left"/>
            </w:pPr>
            <w:r>
              <w:t xml:space="preserve">Konig 2021, PMID 34563178</w:t>
            </w:r>
          </w:p>
        </w:tc>
        <w:tc>
          <w:tcPr/>
          <w:p>
            <w:pPr>
              <w:pStyle w:val="Compact"/>
              <w:jc w:val="left"/>
            </w:pPr>
            <w:r>
              <w:t xml:space="preserve">Quali cambiamenti spiegano il beneficio?</w:t>
            </w:r>
          </w:p>
        </w:tc>
        <w:tc>
          <w:tcPr/>
          <w:p>
            <w:pPr>
              <w:pStyle w:val="Compact"/>
              <w:jc w:val="left"/>
            </w:pPr>
            <w:r>
              <w:t xml:space="preserve">In parte la riduzione di HbA1c e dell’escrezione di proteine nelle urine, non peso, pressione arteriosa o colesterolo LDL</w:t>
            </w:r>
          </w:p>
        </w:tc>
      </w:tr>
      <w:tr>
        <w:tc>
          <w:tcPr/>
          <w:p>
            <w:pPr>
              <w:pStyle w:val="Compact"/>
              <w:jc w:val="left"/>
            </w:pPr>
            <w:r>
              <w:t xml:space="preserve">Branch 2022, PMID 36073143</w:t>
            </w:r>
          </w:p>
        </w:tc>
        <w:tc>
          <w:tcPr/>
          <w:p>
            <w:pPr>
              <w:pStyle w:val="Compact"/>
              <w:jc w:val="left"/>
            </w:pPr>
            <w:r>
              <w:t xml:space="preserve">Eventi di scompenso cardiaco</w:t>
            </w:r>
          </w:p>
        </w:tc>
        <w:tc>
          <w:tcPr/>
          <w:p>
            <w:pPr>
              <w:pStyle w:val="Compact"/>
              <w:jc w:val="left"/>
            </w:pPr>
            <w:r>
              <w:t xml:space="preserve">4,3% vs. 4,6%; HR 0,93, nessuna differenza significativa</w:t>
            </w:r>
          </w:p>
        </w:tc>
      </w:tr>
      <w:tr>
        <w:tc>
          <w:tcPr/>
          <w:p>
            <w:pPr>
              <w:pStyle w:val="Compact"/>
              <w:jc w:val="left"/>
            </w:pPr>
            <w:r>
              <w:t xml:space="preserve">Raubenheimer 2022, PMID 34984808</w:t>
            </w:r>
          </w:p>
        </w:tc>
        <w:tc>
          <w:tcPr/>
          <w:p>
            <w:pPr>
              <w:pStyle w:val="Compact"/>
              <w:jc w:val="left"/>
            </w:pPr>
            <w:r>
              <w:t xml:space="preserve">Nuova fibrillazione o flutter atriale</w:t>
            </w:r>
          </w:p>
        </w:tc>
        <w:tc>
          <w:tcPr/>
          <w:p>
            <w:pPr>
              <w:pStyle w:val="Compact"/>
              <w:jc w:val="left"/>
            </w:pPr>
            <w:r>
              <w:t xml:space="preserve">5,6% vs. 5,3%; nessuna differenza</w:t>
            </w:r>
          </w:p>
        </w:tc>
      </w:tr>
    </w:tbl>
    <w:p>
      <w:pPr>
        <w:pStyle w:val="BodyText"/>
      </w:pPr>
      <w:r>
        <w:t xml:space="preserve">Secondo l’analisi di Konig 2021</w:t>
      </w:r>
      <w:r>
        <w:rPr>
          <w:rStyle w:val="FootnoteReference"/>
        </w:rPr>
        <w:footnoteReference w:id="363"/>
      </w:r>
      <w:r>
        <w:t xml:space="preserve"> </w:t>
      </w:r>
      <w:r>
        <w:t xml:space="preserve">una parte dell’effetto si poteva spiegare statisticamente con il miglior controllo glicemico e la minore escrezione di proteine nelle urine; un’altra parte restava inspiegata. La perdita di peso in questa analisi non ha avuto un ruolo misurabile. Ciò concorda con l’ipotesi diffusa che gli agonisti del recettore del GLP-1 abbiano anche effetti diretti sui vasi e sui processi infiammatori – ma nell’uomo non è dimostrato.</w:t>
      </w:r>
    </w:p>
    <w:p>
      <w:pPr>
        <w:pStyle w:val="BodyText"/>
      </w:pPr>
      <w:r>
        <w:t xml:space="preserve">La dulaglutide non ha mostrato protezione dagli eventi di scompenso cardiaco</w:t>
      </w:r>
      <w:r>
        <w:rPr>
          <w:rStyle w:val="FootnoteReference"/>
        </w:rPr>
        <w:footnoteReference w:id="364"/>
      </w:r>
      <w:r>
        <w:t xml:space="preserve"> </w:t>
      </w:r>
      <w:r>
        <w:t xml:space="preserve">né dalla fibrillazione atriale di nuova insorgenza</w:t>
      </w:r>
      <w:r>
        <w:rPr>
          <w:rStyle w:val="FootnoteReference"/>
        </w:rPr>
        <w:footnoteReference w:id="365"/>
      </w:r>
      <w:r>
        <w:t xml:space="preserve">. Anche negli 853 partecipanti che avevano già uno scompenso cardiaco all’inizio dello studio il quadro non era diverso. Per lo scompenso cardiaco con funzione di pompa conservata nell’obesità esistono ormai dati su semaglutide e tirzepatide; per la dulaglutide mancano.</w:t>
      </w:r>
    </w:p>
    <w:bookmarkEnd w:id="366"/>
    <w:bookmarkStart w:id="369" w:name="X5a23fa214f5dae4829384aac0eefafefdc253b4"/>
    <w:p>
      <w:pPr>
        <w:pStyle w:val="Heading4"/>
      </w:pPr>
      <w:r>
        <w:t xml:space="preserve">La dulaglutide come standard di confronto per nuovi principi attivi</w:t>
      </w:r>
    </w:p>
    <w:p>
      <w:pPr>
        <w:pStyle w:val="FirstParagraph"/>
      </w:pPr>
      <w:r>
        <w:t xml:space="preserve">Poiché la dulaglutide è ampiamente usata in tutto il mondo, ben tollerata e dotata di un beneficio cardiovascolare dimostrato, i produttori la scelgono spesso come comparatore attivo. I risultati di questi studi appartengono nel contenuto ai capitoli dei rispettivi nuovi principi attivi; qui solo una panoramica: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SURPASS-CVOT (Nicholls 2025), PMID 41406444</w:t>
            </w:r>
          </w:p>
        </w:tc>
        <w:tc>
          <w:tcPr/>
          <w:p>
            <w:pPr>
              <w:pStyle w:val="Compact"/>
              <w:jc w:val="left"/>
            </w:pPr>
            <w:r>
              <w:t xml:space="preserve">13.165 persone con diabete di tipo 2 e malattia vascolare; tirzepatide vs. dulaglutide</w:t>
            </w:r>
          </w:p>
        </w:tc>
        <w:tc>
          <w:tcPr/>
          <w:p>
            <w:pPr>
              <w:pStyle w:val="Compact"/>
              <w:jc w:val="left"/>
            </w:pPr>
            <w:r>
              <w:t xml:space="preserve">diversi anni</w:t>
            </w:r>
          </w:p>
        </w:tc>
        <w:tc>
          <w:tcPr/>
          <w:p>
            <w:pPr>
              <w:pStyle w:val="Compact"/>
              <w:jc w:val="left"/>
            </w:pPr>
            <w:r>
              <w:t xml:space="preserve">Eventi cardiovascolari gravi 12,2% vs. 13,1%; HR 0,92, non inferiore, superiorità non dimostrata</w:t>
            </w:r>
          </w:p>
        </w:tc>
      </w:tr>
      <w:tr>
        <w:tc>
          <w:tcPr/>
          <w:p>
            <w:pPr>
              <w:pStyle w:val="Compact"/>
              <w:jc w:val="left"/>
            </w:pPr>
            <w:r>
              <w:t xml:space="preserve">SURPASS J-mono (Inagaki 2022), PMID 35914543</w:t>
            </w:r>
          </w:p>
        </w:tc>
        <w:tc>
          <w:tcPr/>
          <w:p>
            <w:pPr>
              <w:pStyle w:val="Compact"/>
              <w:jc w:val="left"/>
            </w:pPr>
            <w:r>
              <w:t xml:space="preserve">636 persone in Giappone; tirzepatide vs. dulaglutide 0,75 mg</w:t>
            </w:r>
          </w:p>
        </w:tc>
        <w:tc>
          <w:tcPr/>
          <w:p>
            <w:pPr>
              <w:pStyle w:val="Compact"/>
              <w:jc w:val="left"/>
            </w:pPr>
            <w:r>
              <w:t xml:space="preserve">52 settimane</w:t>
            </w:r>
          </w:p>
        </w:tc>
        <w:tc>
          <w:tcPr/>
          <w:p>
            <w:pPr>
              <w:pStyle w:val="Compact"/>
              <w:jc w:val="left"/>
            </w:pPr>
            <w:r>
              <w:t xml:space="preserve">HbA1c da −2,4 a −2,8 vs. −1,3</w:t>
            </w:r>
          </w:p>
        </w:tc>
      </w:tr>
      <w:tr>
        <w:tc>
          <w:tcPr/>
          <w:p>
            <w:pPr>
              <w:pStyle w:val="Compact"/>
              <w:jc w:val="left"/>
            </w:pPr>
            <w:r>
              <w:t xml:space="preserve">Guo 2026, PMID 41407860</w:t>
            </w:r>
          </w:p>
        </w:tc>
        <w:tc>
          <w:tcPr/>
          <w:p>
            <w:pPr>
              <w:pStyle w:val="Compact"/>
              <w:jc w:val="left"/>
            </w:pPr>
            <w:r>
              <w:t xml:space="preserve">731 persone in Cina; mazdutide vs. dulaglutide 1,5 mg</w:t>
            </w:r>
          </w:p>
        </w:tc>
        <w:tc>
          <w:tcPr/>
          <w:p>
            <w:pPr>
              <w:pStyle w:val="Compact"/>
              <w:jc w:val="left"/>
            </w:pPr>
            <w:r>
              <w:t xml:space="preserve">28 settimane</w:t>
            </w:r>
          </w:p>
        </w:tc>
        <w:tc>
          <w:tcPr/>
          <w:p>
            <w:pPr>
              <w:pStyle w:val="Compact"/>
              <w:jc w:val="left"/>
            </w:pPr>
            <w:r>
              <w:t xml:space="preserve">differenza di HbA1c −0,24 e −0,30 punti percentuali a favore della mazdutide</w:t>
            </w:r>
          </w:p>
        </w:tc>
      </w:tr>
      <w:tr>
        <w:tc>
          <w:tcPr/>
          <w:p>
            <w:pPr>
              <w:pStyle w:val="Compact"/>
              <w:jc w:val="left"/>
            </w:pPr>
            <w:r>
              <w:t xml:space="preserve">EECOH-2 (He 2025), PMID 40854315</w:t>
            </w:r>
          </w:p>
        </w:tc>
        <w:tc>
          <w:tcPr/>
          <w:p>
            <w:pPr>
              <w:pStyle w:val="Compact"/>
              <w:jc w:val="left"/>
            </w:pPr>
            <w:r>
              <w:t xml:space="preserve">621 persone in Cina; ecnoglutide vs. dulaglutide 1,5 mg</w:t>
            </w:r>
          </w:p>
        </w:tc>
        <w:tc>
          <w:tcPr/>
          <w:p>
            <w:pPr>
              <w:pStyle w:val="Compact"/>
              <w:jc w:val="left"/>
            </w:pPr>
            <w:r>
              <w:t xml:space="preserve">52 settimane (endpoint principale 32)</w:t>
            </w:r>
          </w:p>
        </w:tc>
        <w:tc>
          <w:tcPr/>
          <w:p>
            <w:pPr>
              <w:pStyle w:val="Compact"/>
              <w:jc w:val="left"/>
            </w:pPr>
            <w:r>
              <w:t xml:space="preserve">HbA1c da −1,89 a −1,91 vs. −1,65</w:t>
            </w:r>
          </w:p>
        </w:tc>
      </w:tr>
    </w:tbl>
    <w:p>
      <w:pPr>
        <w:pStyle w:val="BodyText"/>
      </w:pPr>
      <w:r>
        <w:t xml:space="preserve">Particolarmente istruttivo è SURPASS-CVOT</w:t>
      </w:r>
      <w:r>
        <w:rPr>
          <w:rStyle w:val="FootnoteReference"/>
        </w:rPr>
        <w:footnoteReference w:id="367"/>
      </w:r>
      <w:r>
        <w:t xml:space="preserve">, il primo grande studio di esito in cui due farmaci incretinici si sono confrontati direttamente. La tirzepatide non è risultata peggiore, ma nemmeno dimostratamente migliore della dulaglutide. Poiché la dulaglutide stessa aveva ridotto il rischio in REWIND, un „pareggio“ contro la dulaglutide è un risultato forte per entrambi i principi attivi. Un’analisi a posteriori con un endpoint cardio-renale più ampio ha rilevato un vantaggio per la tirzepatide (23,7% vs. 27,4%; HR 0,84)</w:t>
      </w:r>
      <w:r>
        <w:rPr>
          <w:rStyle w:val="FootnoteReference"/>
        </w:rPr>
        <w:footnoteReference w:id="368"/>
      </w:r>
      <w:r>
        <w:t xml:space="preserve">. Le analisi a posteriori sono però meno solide dell’endpoint principale stabilito in anticipo.</w:t>
      </w:r>
    </w:p>
    <w:bookmarkEnd w:id="369"/>
    <w:bookmarkStart w:id="372" w:name="maneggevolezza-la-penna-preriempita"/>
    <w:p>
      <w:pPr>
        <w:pStyle w:val="Heading4"/>
      </w:pPr>
      <w:r>
        <w:t xml:space="preserve">Maneggevolezza: la penna preriempita</w:t>
      </w:r>
    </w:p>
    <w:p>
      <w:pPr>
        <w:pStyle w:val="FirstParagraph"/>
      </w:pPr>
      <w:r>
        <w:t xml:space="preserve">Un aspetto pratico raramente considerato negli studi è l’uso. La dulaglutide viene fornita in una penna preriempita monouso, su cui non va montato alcun ago né impostata alcuna dose. In uno studio con 211 persone con diabete di tipo 2 che non si erano mai iniettate nulla da sole, alla fine l’iniezione è riuscita nel 99,1% dei casi; la paura dell’iniezione è diminuita</w:t>
      </w:r>
      <w:r>
        <w:rPr>
          <w:rStyle w:val="FootnoteReference"/>
        </w:rPr>
        <w:footnoteReference w:id="370"/>
      </w:r>
      <w:r>
        <w:t xml:space="preserve">. In uno studio di confronto finanziato dal produttore con 310 partecipanti, l’84,2% ha preferito la penna di dulaglutide alla penna di semaglutide di allora</w:t>
      </w:r>
      <w:r>
        <w:rPr>
          <w:rStyle w:val="FootnoteReference"/>
        </w:rPr>
        <w:footnoteReference w:id="371"/>
      </w:r>
      <w:r>
        <w:t xml:space="preserve">. Studi di preferenza di questo tipo non dicono nulla sull’efficacia, ma possono spiegare perché la dulaglutide sia diffusa proprio tra le persone anziane.</w:t>
      </w:r>
    </w:p>
    <w:bookmarkEnd w:id="372"/>
    <w:bookmarkStart w:id="374" w:name="bambini-e-adolescenti-1"/>
    <w:p>
      <w:pPr>
        <w:pStyle w:val="Heading4"/>
      </w:pPr>
      <w:r>
        <w:t xml:space="preserve">Bambini e adolescenti</w:t>
      </w:r>
    </w:p>
    <w:p>
      <w:pPr>
        <w:pStyle w:val="FirstParagraph"/>
      </w:pPr>
      <w:r>
        <w:t xml:space="preserve">In AWARD-PEDS, con 154 adolescenti con diabete di tipo 2, l’HbA1c con placebo è salito dopo 26 settimane di 0,6 punti percentuali ed è sceso con dulaglutide di 0,6 (0,75 mg) e 0,9 punti percentuali (1,5 mg) rispettivamente</w:t>
      </w:r>
      <w:r>
        <w:rPr>
          <w:rStyle w:val="FootnoteReference"/>
        </w:rPr>
        <w:footnoteReference w:id="373"/>
      </w:r>
      <w:r>
        <w:t xml:space="preserve">. Un HbA1c inferiore al 7% è stato raggiunto dal 51% contro il 14%. Sull’indice di massa corporea la dulaglutide non ha avuto effetto in questa fascia d’età. Questo studio è stato la base dell’autorizzazione dai 10 anni.</w:t>
      </w:r>
    </w:p>
    <w:bookmarkEnd w:id="374"/>
    <w:bookmarkStart w:id="378" w:name="altri-ambiti-dimpiego-negli-studi-2"/>
    <w:p>
      <w:pPr>
        <w:pStyle w:val="Heading4"/>
      </w:pPr>
      <w:r>
        <w:t xml:space="preserve">Altri ambiti d’impiego negli studi</w:t>
      </w:r>
    </w:p>
    <w:p>
      <w:pPr>
        <w:numPr>
          <w:ilvl w:val="0"/>
          <w:numId w:val="1049"/>
        </w:numPr>
        <w:pStyle w:val="Compact"/>
      </w:pPr>
      <w:r>
        <w:rPr>
          <w:bCs/>
          <w:b/>
        </w:rPr>
        <w:t xml:space="preserve">Smettere di fumare:</w:t>
      </w:r>
      <w:r>
        <w:t xml:space="preserve"> </w:t>
      </w:r>
      <w:r>
        <w:t xml:space="preserve">in uno studio con 255 persone la dulaglutide non ha migliorato il tasso di astinenza; dopo 52 settimane in entrambi i gruppi il 32% non fumava</w:t>
      </w:r>
      <w:r>
        <w:rPr>
          <w:rStyle w:val="FootnoteReference"/>
        </w:rPr>
        <w:footnoteReference w:id="375"/>
      </w:r>
      <w:r>
        <w:t xml:space="preserve">. L’abituale aumento di peso dopo aver smesso di fumare è stato evitato nelle prime 12 settimane, dopo un anno la differenza era scomparsa.</w:t>
      </w:r>
    </w:p>
    <w:p>
      <w:pPr>
        <w:numPr>
          <w:ilvl w:val="0"/>
          <w:numId w:val="1049"/>
        </w:numPr>
        <w:pStyle w:val="Compact"/>
      </w:pPr>
      <w:r>
        <w:rPr>
          <w:bCs/>
          <w:b/>
        </w:rPr>
        <w:t xml:space="preserve">Alcol:</w:t>
      </w:r>
      <w:r>
        <w:t xml:space="preserve"> </w:t>
      </w:r>
      <w:r>
        <w:t xml:space="preserve">in un’analisi aggiuntiva pianificata in anticipo dello stesso studio, i partecipanti con dulaglutide dopo 12 settimane bevevano il 29% di alcol in meno rispetto al placebo</w:t>
      </w:r>
      <w:r>
        <w:rPr>
          <w:rStyle w:val="FootnoteReference"/>
        </w:rPr>
        <w:footnoteReference w:id="376"/>
      </w:r>
      <w:r>
        <w:t xml:space="preserve">. Lo studio non era progettato per questa domanda.</w:t>
      </w:r>
    </w:p>
    <w:p>
      <w:pPr>
        <w:numPr>
          <w:ilvl w:val="0"/>
          <w:numId w:val="1049"/>
        </w:numPr>
        <w:pStyle w:val="Compact"/>
      </w:pPr>
      <w:r>
        <w:rPr>
          <w:bCs/>
          <w:b/>
        </w:rPr>
        <w:t xml:space="preserve">Polidipsia primaria</w:t>
      </w:r>
      <w:r>
        <w:t xml:space="preserve"> </w:t>
      </w:r>
      <w:r>
        <w:t xml:space="preserve">(assunzione patologicamente aumentata di liquidi): in uno studio crossover con 34 persone la dulaglutide ha ridotto la quantità bevuta durante un test di otto ore di 490 ml, pari al 17%</w:t>
      </w:r>
      <w:r>
        <w:rPr>
          <w:rStyle w:val="FootnoteReference"/>
        </w:rPr>
        <w:footnoteReference w:id="377"/>
      </w:r>
      <w:r>
        <w:t xml:space="preserve">. Un indizio che il GLP-1 influenza anche la sensazione di sete.</w:t>
      </w:r>
    </w:p>
    <w:bookmarkEnd w:id="378"/>
    <w:bookmarkEnd w:id="379"/>
    <w:bookmarkStart w:id="382" w:name="studi-su-animali-e-in-laboratorio-2"/>
    <w:p>
      <w:pPr>
        <w:pStyle w:val="Heading3"/>
      </w:pPr>
      <w:r>
        <w:t xml:space="preserve">Studi su animali e in laboratorio</w:t>
      </w:r>
    </w:p>
    <w:p>
      <w:pPr>
        <w:pStyle w:val="FirstParagraph"/>
      </w:pPr>
      <w:r>
        <w:t xml:space="preserve">La caratterizzazione preclinica della dulaglutide (allora LY2189265) è stata effettuata su cellule, ratti, topi e macachi cinomolghi</w:t>
      </w:r>
      <w:r>
        <w:rPr>
          <w:rStyle w:val="FootnoteReference"/>
        </w:rPr>
        <w:footnoteReference w:id="380"/>
      </w:r>
      <w:r>
        <w:t xml:space="preserve">. Negli esperimenti di laboratorio la proteina di fusione ha mantenuto il pieno effetto sul recettore del GLP-1. Nei topi diabetici una singola somministrazione ha migliorato la tolleranza al glucosio; somministrazioni due volte alla settimana per quattro settimane hanno ridotto il peso e ritardato l’aumento della glicemia. Nelle scimmie l’effetto sulla secrezione di insulina dopo una dose è durato fino a una settimana.</w:t>
      </w:r>
    </w:p>
    <w:p>
      <w:pPr>
        <w:pStyle w:val="BodyText"/>
      </w:pPr>
      <w:r>
        <w:t xml:space="preserve">Come per tutti gli agonisti del recettore del GLP-1, negli studi a lungo termine sui roditori si sono verificate alterazioni delle cellule C della tiroide; il meccanismo e la sua limitata trasferibilità all’uomo sono descritti nel capitolo Liraglutide</w:t>
      </w:r>
      <w:r>
        <w:rPr>
          <w:rStyle w:val="FootnoteReference"/>
        </w:rPr>
        <w:footnoteReference w:id="381"/>
      </w:r>
      <w:r>
        <w:t xml:space="preserve">.</w:t>
      </w:r>
    </w:p>
    <w:bookmarkEnd w:id="382"/>
    <w:bookmarkStart w:id="392" w:name="rischi-ed-effetti-collaterali-2"/>
    <w:p>
      <w:pPr>
        <w:pStyle w:val="Heading3"/>
      </w:pPr>
      <w:r>
        <w:t xml:space="preserve">Rischi ed effetti collaterali</w:t>
      </w:r>
    </w:p>
    <w:p>
      <w:pPr>
        <w:pStyle w:val="FirstParagraph"/>
      </w:pPr>
      <w:r>
        <w:rPr>
          <w:bCs/>
          <w:b/>
        </w:rPr>
        <w:t xml:space="preserve">Dimostrati da studi randomizzati:</w:t>
      </w:r>
    </w:p>
    <w:p>
      <w:pPr>
        <w:numPr>
          <w:ilvl w:val="0"/>
          <w:numId w:val="1050"/>
        </w:numPr>
        <w:pStyle w:val="Compact"/>
      </w:pPr>
      <w:r>
        <w:rPr>
          <w:bCs/>
          <w:b/>
        </w:rPr>
        <w:t xml:space="preserve">Disturbi gastrointestinali:</w:t>
      </w:r>
      <w:r>
        <w:t xml:space="preserve"> </w:t>
      </w:r>
      <w:r>
        <w:t xml:space="preserve">nausea, diarrea e vomito sono gli effetti collaterali più frequenti. In REWIND il 47,4% dei trattati ha riferito disturbi gastrointestinali contro il 34,1% con placebo</w:t>
      </w:r>
      <w:r>
        <w:rPr>
          <w:rStyle w:val="FootnoteReference"/>
        </w:rPr>
        <w:footnoteReference w:id="383"/>
      </w:r>
      <w:r>
        <w:t xml:space="preserve">. Con dosi più alte aumentano</w:t>
      </w:r>
      <w:r>
        <w:rPr>
          <w:rStyle w:val="FootnoteReference"/>
        </w:rPr>
        <w:footnoteReference w:id="384"/>
      </w:r>
      <w:r>
        <w:t xml:space="preserve">.</w:t>
      </w:r>
    </w:p>
    <w:p>
      <w:pPr>
        <w:numPr>
          <w:ilvl w:val="0"/>
          <w:numId w:val="1050"/>
        </w:numPr>
        <w:pStyle w:val="Compact"/>
      </w:pPr>
      <w:r>
        <w:rPr>
          <w:bCs/>
          <w:b/>
        </w:rPr>
        <w:t xml:space="preserve">Ipoglicemia:</w:t>
      </w:r>
      <w:r>
        <w:t xml:space="preserve"> </w:t>
      </w:r>
      <w:r>
        <w:t xml:space="preserve">rara in monoterapia; più frequente in combinazione con insulina o sulfoniluree, ma più rara che con la sola insulina</w:t>
      </w:r>
      <w:r>
        <w:rPr>
          <w:rStyle w:val="FootnoteReference"/>
        </w:rPr>
        <w:footnoteReference w:id="385"/>
      </w:r>
      <w:r>
        <w:t xml:space="preserve">.</w:t>
      </w:r>
    </w:p>
    <w:p>
      <w:pPr>
        <w:numPr>
          <w:ilvl w:val="0"/>
          <w:numId w:val="1050"/>
        </w:numPr>
        <w:pStyle w:val="Compact"/>
      </w:pPr>
      <w:r>
        <w:rPr>
          <w:bCs/>
          <w:b/>
        </w:rPr>
        <w:t xml:space="preserve">Enzimi pancreatici:</w:t>
      </w:r>
      <w:r>
        <w:t xml:space="preserve"> </w:t>
      </w:r>
      <w:r>
        <w:t xml:space="preserve">in AWARD-2 gli enzimi del pancreas sono aumentati con dulaglutide</w:t>
      </w:r>
      <w:r>
        <w:rPr>
          <w:rStyle w:val="FootnoteReference"/>
        </w:rPr>
        <w:footnoteReference w:id="386"/>
      </w:r>
      <w:r>
        <w:t xml:space="preserve">. La rilevanza clinica di tali aumenti in assenza di disturbi non è chiara.</w:t>
      </w:r>
    </w:p>
    <w:p>
      <w:pPr>
        <w:numPr>
          <w:ilvl w:val="0"/>
          <w:numId w:val="1050"/>
        </w:numPr>
        <w:pStyle w:val="Compact"/>
      </w:pPr>
      <w:r>
        <w:rPr>
          <w:bCs/>
          <w:b/>
        </w:rPr>
        <w:t xml:space="preserve">Anticorpi:</w:t>
      </w:r>
      <w:r>
        <w:t xml:space="preserve"> </w:t>
      </w:r>
      <w:r>
        <w:t xml:space="preserve">rari (1,6% dei trattati), senza un aumento delle reazioni di ipersensibilità</w:t>
      </w:r>
      <w:r>
        <w:rPr>
          <w:rStyle w:val="FootnoteReference"/>
        </w:rPr>
        <w:footnoteReference w:id="387"/>
      </w:r>
      <w:r>
        <w:t xml:space="preserve">.</w:t>
      </w:r>
    </w:p>
    <w:p>
      <w:pPr>
        <w:numPr>
          <w:ilvl w:val="0"/>
          <w:numId w:val="1050"/>
        </w:numPr>
        <w:pStyle w:val="Compact"/>
      </w:pPr>
      <w:r>
        <w:rPr>
          <w:bCs/>
          <w:b/>
        </w:rPr>
        <w:t xml:space="preserve">Colecisti:</w:t>
      </w:r>
      <w:r>
        <w:t xml:space="preserve"> </w:t>
      </w:r>
      <w:r>
        <w:t xml:space="preserve">per l’intera classe è dimostrato un rischio aumentato di calcoli biliari e colecistite</w:t>
      </w:r>
      <w:r>
        <w:rPr>
          <w:rStyle w:val="FootnoteReference"/>
        </w:rPr>
        <w:footnoteReference w:id="388"/>
      </w:r>
      <w:r>
        <w:t xml:space="preserve">; dettagli nel capitolo Liraglutide.</w:t>
      </w:r>
    </w:p>
    <w:p>
      <w:pPr>
        <w:pStyle w:val="FirstParagraph"/>
      </w:pPr>
      <w:r>
        <w:rPr>
          <w:bCs/>
          <w:b/>
        </w:rPr>
        <w:t xml:space="preserve">Studiati, ma incerti:</w:t>
      </w:r>
    </w:p>
    <w:p>
      <w:pPr>
        <w:numPr>
          <w:ilvl w:val="0"/>
          <w:numId w:val="1051"/>
        </w:numPr>
        <w:pStyle w:val="Compact"/>
      </w:pPr>
      <w:r>
        <w:rPr>
          <w:bCs/>
          <w:b/>
        </w:rPr>
        <w:t xml:space="preserve">Pancreatite e cancro del pancreas:</w:t>
      </w:r>
      <w:r>
        <w:t xml:space="preserve"> </w:t>
      </w:r>
      <w:r>
        <w:t xml:space="preserve">nella meta-analisi degli studi di esito nessun rischio aumentato per la classe</w:t>
      </w:r>
      <w:r>
        <w:rPr>
          <w:rStyle w:val="FootnoteReference"/>
        </w:rPr>
        <w:footnoteReference w:id="389"/>
      </w:r>
      <w:r>
        <w:t xml:space="preserve">. La pancreatite figura comunque come effetto collaterale raro nel Riassunto delle caratteristiche del prodotto.</w:t>
      </w:r>
    </w:p>
    <w:p>
      <w:pPr>
        <w:numPr>
          <w:ilvl w:val="0"/>
          <w:numId w:val="1051"/>
        </w:numPr>
        <w:pStyle w:val="Compact"/>
      </w:pPr>
      <w:r>
        <w:rPr>
          <w:bCs/>
          <w:b/>
        </w:rPr>
        <w:t xml:space="preserve">Cancro della tiroide:</w:t>
      </w:r>
      <w:r>
        <w:t xml:space="preserve"> </w:t>
      </w:r>
      <w:r>
        <w:t xml:space="preserve">segnale in studi osservazionali e meta-analisi per l’intera classe</w:t>
      </w:r>
      <w:r>
        <w:rPr>
          <w:rStyle w:val="FootnoteReference"/>
        </w:rPr>
        <w:footnoteReference w:id="390"/>
      </w:r>
      <w:r>
        <w:t xml:space="preserve">, non specifico per la dulaglutide; vedi capitolo Liraglutide e Parte IV.</w:t>
      </w:r>
    </w:p>
    <w:p>
      <w:pPr>
        <w:pStyle w:val="FirstParagraph"/>
      </w:pPr>
      <w:r>
        <w:rPr>
          <w:bCs/>
          <w:b/>
        </w:rPr>
        <w:t xml:space="preserve">Indicazioni per la pratica:</w:t>
      </w:r>
      <w:r>
        <w:t xml:space="preserve"> </w:t>
      </w:r>
      <w:r>
        <w:t xml:space="preserve">la dulaglutide rallenta lo svuotamento gastrico, il che ha un ruolo nelle anestesie e nelle gastroscopie; a questo riguardo è in corso un grande studio sulla questione se gli agonisti del recettore del GLP-1 debbano essere sospesi prima di una gastroscopia</w:t>
      </w:r>
      <w:r>
        <w:rPr>
          <w:rStyle w:val="FootnoteReference"/>
        </w:rPr>
        <w:footnoteReference w:id="391"/>
      </w:r>
      <w:r>
        <w:t xml:space="preserve">. Fanno fede il Riassunto delle caratteristiche del prodotto e l’accompagnamento medico.</w:t>
      </w:r>
    </w:p>
    <w:bookmarkEnd w:id="392"/>
    <w:bookmarkStart w:id="393" w:name="quadro-normativo-2"/>
    <w:p>
      <w:pPr>
        <w:pStyle w:val="Heading3"/>
      </w:pPr>
      <w:r>
        <w:t xml:space="preserve">Quadro normativo</w:t>
      </w:r>
    </w:p>
    <w:p>
      <w:pPr>
        <w:numPr>
          <w:ilvl w:val="0"/>
          <w:numId w:val="1052"/>
        </w:numPr>
        <w:pStyle w:val="Compact"/>
      </w:pPr>
      <w:r>
        <w:rPr>
          <w:bCs/>
          <w:b/>
        </w:rPr>
        <w:t xml:space="preserve">UE:</w:t>
      </w:r>
      <w:r>
        <w:t xml:space="preserve"> </w:t>
      </w:r>
      <w:r>
        <w:t xml:space="preserve">Trulicity è autorizzato con procedura centralizzata dal 2014 per il trattamento del diabete di tipo 2, ormai anche per adolescenti dai 10 anni. Soggetto a prescrizione. Nessuna autorizzazione per la riduzione del peso.</w:t>
      </w:r>
    </w:p>
    <w:p>
      <w:pPr>
        <w:numPr>
          <w:ilvl w:val="0"/>
          <w:numId w:val="1052"/>
        </w:numPr>
        <w:pStyle w:val="Compact"/>
      </w:pPr>
      <w:r>
        <w:rPr>
          <w:bCs/>
          <w:b/>
        </w:rPr>
        <w:t xml:space="preserve">Germania e Austria:</w:t>
      </w:r>
      <w:r>
        <w:t xml:space="preserve"> </w:t>
      </w:r>
      <w:r>
        <w:t xml:space="preserve">soggetta a prescrizione; rimborsabile nel diabete di tipo 2. Negli anni dal 2022 si sono verificate, come per altri preparati GLP-1, temporanee carenze di approvvigionamento (da verificare).</w:t>
      </w:r>
    </w:p>
    <w:p>
      <w:pPr>
        <w:numPr>
          <w:ilvl w:val="0"/>
          <w:numId w:val="1052"/>
        </w:numPr>
        <w:pStyle w:val="Compact"/>
      </w:pPr>
      <w:r>
        <w:rPr>
          <w:bCs/>
          <w:b/>
        </w:rPr>
        <w:t xml:space="preserve">USA:</w:t>
      </w:r>
      <w:r>
        <w:t xml:space="preserve"> </w:t>
      </w:r>
      <w:r>
        <w:t xml:space="preserve">autorizzata per il diabete di tipo 2 dai 10 anni e per la riduzione del rischio cardiovascolare.</w:t>
      </w:r>
    </w:p>
    <w:p>
      <w:pPr>
        <w:numPr>
          <w:ilvl w:val="0"/>
          <w:numId w:val="1052"/>
        </w:numPr>
        <w:pStyle w:val="Compact"/>
      </w:pPr>
      <w:r>
        <w:rPr>
          <w:bCs/>
          <w:b/>
        </w:rPr>
        <w:t xml:space="preserve">Generici:</w:t>
      </w:r>
      <w:r>
        <w:t xml:space="preserve"> </w:t>
      </w:r>
      <w:r>
        <w:t xml:space="preserve">poiché la dulaglutide è una proteina di fusione prodotta con tecniche di ingegneria genetica, i preparati di imitazione sarebbero biosimilari con una procedura di autorizzazione più complessa che per liraglutide o semaglutide. Al momento della stampa, secondo le migliori conoscenze, nell’UE non è in commercio alcun biosimilare (da verificare).</w:t>
      </w:r>
    </w:p>
    <w:p>
      <w:pPr>
        <w:numPr>
          <w:ilvl w:val="0"/>
          <w:numId w:val="1052"/>
        </w:numPr>
        <w:pStyle w:val="Compact"/>
      </w:pPr>
      <w:r>
        <w:rPr>
          <w:bCs/>
          <w:b/>
        </w:rPr>
        <w:t xml:space="preserve">Sport (WADA):</w:t>
      </w:r>
      <w:r>
        <w:t xml:space="preserve"> </w:t>
      </w:r>
      <w:r>
        <w:t xml:space="preserve">non elencata (aggiornato al 2026, da verificare).</w:t>
      </w:r>
    </w:p>
    <w:p>
      <w:pPr>
        <w:numPr>
          <w:ilvl w:val="0"/>
          <w:numId w:val="1052"/>
        </w:numPr>
        <w:pStyle w:val="Compact"/>
      </w:pPr>
      <w:r>
        <w:rPr>
          <w:bCs/>
          <w:b/>
        </w:rPr>
        <w:t xml:space="preserve">Mercato grigio:</w:t>
      </w:r>
      <w:r>
        <w:t xml:space="preserve"> </w:t>
      </w:r>
      <w:r>
        <w:t xml:space="preserve">la dulaglutide non ha praticamente alcun ruolo nel mercato grigio, perché una grande proteina di fusione non può essere prodotta per sintesi come i piccoli peptidi.</w:t>
      </w:r>
    </w:p>
    <w:bookmarkEnd w:id="393"/>
    <w:bookmarkStart w:id="400" w:name="studi-in-corso-e-prospettive-2"/>
    <w:p>
      <w:pPr>
        <w:pStyle w:val="Heading3"/>
      </w:pPr>
      <w:r>
        <w:t xml:space="preserve">Studi in corso e prospettive</w:t>
      </w:r>
    </w:p>
    <w:p>
      <w:pPr>
        <w:pStyle w:val="FirstParagraph"/>
      </w:pPr>
      <w:r>
        <w:rPr>
          <w:bCs/>
          <w:b/>
        </w:rPr>
        <w:t xml:space="preserve">Accertato (studi registrati):</w:t>
      </w:r>
    </w:p>
    <w:p>
      <w:pPr>
        <w:numPr>
          <w:ilvl w:val="0"/>
          <w:numId w:val="1053"/>
        </w:numPr>
        <w:pStyle w:val="Compact"/>
      </w:pPr>
      <w:r>
        <w:rPr>
          <w:bCs/>
          <w:b/>
        </w:rPr>
        <w:t xml:space="preserve">Bambini e adolescenti:</w:t>
      </w:r>
      <w:r>
        <w:t xml:space="preserve"> </w:t>
      </w:r>
      <w:r>
        <w:t xml:space="preserve">Lilly valuta le dosi più alte di 3,0 e 4,5 mg negli adolescenti con diabete di tipo 2</w:t>
      </w:r>
      <w:r>
        <w:rPr>
          <w:rStyle w:val="FootnoteReference"/>
        </w:rPr>
        <w:footnoteReference w:id="394"/>
      </w:r>
      <w:r>
        <w:t xml:space="preserve"> </w:t>
      </w:r>
      <w:r>
        <w:t xml:space="preserve">e confronta la compressa di orforglipron con la dulaglutide in questa fascia d’età</w:t>
      </w:r>
      <w:r>
        <w:rPr>
          <w:rStyle w:val="FootnoteReference"/>
        </w:rPr>
        <w:footnoteReference w:id="395"/>
      </w:r>
      <w:r>
        <w:t xml:space="preserve">.</w:t>
      </w:r>
    </w:p>
    <w:p>
      <w:pPr>
        <w:numPr>
          <w:ilvl w:val="0"/>
          <w:numId w:val="1053"/>
        </w:numPr>
        <w:pStyle w:val="Compact"/>
      </w:pPr>
      <w:r>
        <w:rPr>
          <w:bCs/>
          <w:b/>
        </w:rPr>
        <w:t xml:space="preserve">Vasi e interventi chirurgici:</w:t>
      </w:r>
      <w:r>
        <w:t xml:space="preserve"> </w:t>
      </w:r>
      <w:r>
        <w:t xml:space="preserve">uno studio esamina la dulaglutide nella stenosi grave dei vasi cerebrali</w:t>
      </w:r>
      <w:r>
        <w:rPr>
          <w:rStyle w:val="FootnoteReference"/>
        </w:rPr>
        <w:footnoteReference w:id="396"/>
      </w:r>
      <w:r>
        <w:t xml:space="preserve">, un altro se riduca i danni al muscolo cardiaco dopo interventi chirurgici non cardiaci</w:t>
      </w:r>
      <w:r>
        <w:rPr>
          <w:rStyle w:val="FootnoteReference"/>
        </w:rPr>
        <w:footnoteReference w:id="397"/>
      </w:r>
      <w:r>
        <w:t xml:space="preserve">.</w:t>
      </w:r>
    </w:p>
    <w:p>
      <w:pPr>
        <w:numPr>
          <w:ilvl w:val="0"/>
          <w:numId w:val="1053"/>
        </w:numPr>
        <w:pStyle w:val="Compact"/>
      </w:pPr>
      <w:r>
        <w:rPr>
          <w:bCs/>
          <w:b/>
        </w:rPr>
        <w:t xml:space="preserve">Fibrosi cistica:</w:t>
      </w:r>
      <w:r>
        <w:t xml:space="preserve"> </w:t>
      </w:r>
      <w:r>
        <w:t xml:space="preserve">un piccolo studio di fase 2 esamina la dulaglutide in caso di alterata utilizzazione del glucosio dovuta alla malattia</w:t>
      </w:r>
      <w:r>
        <w:rPr>
          <w:rStyle w:val="FootnoteReference"/>
        </w:rPr>
        <w:footnoteReference w:id="398"/>
      </w:r>
      <w:r>
        <w:t xml:space="preserve">.</w:t>
      </w:r>
    </w:p>
    <w:p>
      <w:pPr>
        <w:numPr>
          <w:ilvl w:val="0"/>
          <w:numId w:val="1053"/>
        </w:numPr>
        <w:pStyle w:val="Compact"/>
      </w:pPr>
      <w:r>
        <w:rPr>
          <w:bCs/>
          <w:b/>
        </w:rPr>
        <w:t xml:space="preserve">Come confronto:</w:t>
      </w:r>
      <w:r>
        <w:t xml:space="preserve"> </w:t>
      </w:r>
      <w:r>
        <w:t xml:space="preserve">numerosi nuovi principi attivi vengono valutati in studi di fase 3 contro la dulaglutide, tra cui la proteina di fusione dell’exendina-4 JY09</w:t>
      </w:r>
      <w:r>
        <w:rPr>
          <w:rStyle w:val="FootnoteReference"/>
        </w:rPr>
        <w:footnoteReference w:id="399"/>
      </w:r>
      <w:r>
        <w:t xml:space="preserve">.</w:t>
      </w:r>
    </w:p>
    <w:p>
      <w:pPr>
        <w:pStyle w:val="FirstParagraph"/>
      </w:pPr>
      <w:r>
        <w:rPr>
          <w:bCs/>
          <w:b/>
        </w:rPr>
        <w:t xml:space="preserve">Valutazione:</w:t>
      </w:r>
      <w:r>
        <w:t xml:space="preserve"> </w:t>
      </w:r>
      <w:r>
        <w:t xml:space="preserve">la dulaglutide è un principio attivo solido e ben studiato con un beneficio cardiovascolare dimostrato, ma viene superata da semaglutide e tirzepatide per glicemia e peso. Il suo ruolo dovrebbe spostarsi sempre più verso quello di standard di confronto negli studi. Poiché Lilly offre con tirzepatide e orforglipron i propri successori, un ulteriore sviluppo della dulaglutide per nuove indicazioni è poco probabile.</w:t>
      </w:r>
    </w:p>
    <w:bookmarkEnd w:id="400"/>
    <w:bookmarkStart w:id="401" w:name="conclusione-2"/>
    <w:p>
      <w:pPr>
        <w:pStyle w:val="Heading3"/>
      </w:pPr>
      <w:r>
        <w:t xml:space="preserve">Conclusione</w:t>
      </w:r>
    </w:p>
    <w:p>
      <w:pPr>
        <w:pStyle w:val="FirstParagraph"/>
      </w:pPr>
      <w:r>
        <w:t xml:space="preserve">La dulaglutide è una proteina di fusione GLP-1 iniettata settimanalmente, valutata nel programma AWARD contro quasi tutti gli antidiabetici comuni. Ha ridotto l’emoglobina glicata all’incirca quanto la liraglutide e più di exenatide, sitagliptin o metformina, ma è risultata inferiore alla semaglutide in SUSTAIN 7, soprattutto per il peso. In REWIND, con 9.901 partecipanti, tra cui molti senza malattia cardiovascolare nota, ha ridotto gli eventi cardiovascolari gravi del 12%. Gli effetti collaterali corrispondono a quelli della classe; gli anticorpi sono rari. Non è autorizzata per la riduzione del peso, e il trattamento va affidato al medico.</w:t>
      </w:r>
    </w:p>
    <w:bookmarkEnd w:id="401"/>
    <w:bookmarkEnd w:id="402"/>
    <w:bookmarkStart w:id="477" w:name="semaglutide"/>
    <w:p>
      <w:pPr>
        <w:pStyle w:val="Heading2"/>
      </w:pPr>
      <w:r>
        <w:t xml:space="preserve">Semaglutide</w:t>
      </w:r>
    </w:p>
    <w:bookmarkStart w:id="404" w:name="scheda-3"/>
    <w:p>
      <w:pPr>
        <w:pStyle w:val="Heading3"/>
      </w:pPr>
      <w:r>
        <w:t xml:space="preserve">Scheda</w:t>
      </w:r>
    </w:p>
    <w:p>
      <w:pPr>
        <w:numPr>
          <w:ilvl w:val="0"/>
          <w:numId w:val="1054"/>
        </w:numPr>
        <w:pStyle w:val="Compact"/>
      </w:pPr>
      <w:r>
        <w:rPr>
          <w:bCs/>
          <w:b/>
        </w:rPr>
        <w:t xml:space="preserve">Tipo/struttura:</w:t>
      </w:r>
      <w:r>
        <w:t xml:space="preserve"> </w:t>
      </w:r>
      <w:r>
        <w:t xml:space="preserve">GLP-1 umano modificato di 31 amminoacidi. Rispetto all’ormone endogeno sono sostituiti due amminoacidi; in un terzo punto è legata, tramite un elemento di collegamento, una catena di acido grasso che lega fortemente la molecola alla proteina del sangue albumina</w:t>
      </w:r>
      <w:r>
        <w:rPr>
          <w:rStyle w:val="FootnoteReference"/>
        </w:rPr>
        <w:footnoteReference w:id="403"/>
      </w:r>
      <w:r>
        <w:t xml:space="preserve">.</w:t>
      </w:r>
    </w:p>
    <w:p>
      <w:pPr>
        <w:numPr>
          <w:ilvl w:val="0"/>
          <w:numId w:val="1054"/>
        </w:numPr>
        <w:pStyle w:val="Compact"/>
      </w:pPr>
      <w:r>
        <w:rPr>
          <w:bCs/>
          <w:b/>
        </w:rPr>
        <w:t xml:space="preserve">Origine:</w:t>
      </w:r>
      <w:r>
        <w:t xml:space="preserve"> </w:t>
      </w:r>
      <w:r>
        <w:t xml:space="preserve">sviluppata da Novo Nordisk come evoluzione della liraglutide.</w:t>
      </w:r>
    </w:p>
    <w:p>
      <w:pPr>
        <w:numPr>
          <w:ilvl w:val="0"/>
          <w:numId w:val="1054"/>
        </w:numPr>
        <w:pStyle w:val="Compact"/>
      </w:pPr>
      <w:r>
        <w:rPr>
          <w:bCs/>
          <w:b/>
        </w:rPr>
        <w:t xml:space="preserve">Meccanismo d’azione:</w:t>
      </w:r>
      <w:r>
        <w:t xml:space="preserve"> </w:t>
      </w:r>
      <w:r>
        <w:t xml:space="preserve">agonista del recettore del GLP-1 con durata d’azione molto lunga – un’iniezione alla settimana o una compressa al giorno.</w:t>
      </w:r>
    </w:p>
    <w:p>
      <w:pPr>
        <w:numPr>
          <w:ilvl w:val="0"/>
          <w:numId w:val="1054"/>
        </w:numPr>
        <w:pStyle w:val="Compact"/>
      </w:pPr>
      <w:r>
        <w:rPr>
          <w:bCs/>
          <w:b/>
        </w:rPr>
        <w:t xml:space="preserve">Preparati:</w:t>
      </w:r>
      <w:r>
        <w:t xml:space="preserve"> </w:t>
      </w:r>
      <w:r>
        <w:t xml:space="preserve">Ozempic (iniezione, diabete di tipo 2), Wegovy (iniezione, gestione del peso e riduzione del rischio cardiovascolare), Rybelsus (compressa, diabete di tipo 2). Negli Stati Uniti dalla fine del 2025 è autorizzata anche una compressa di Wegovy per la gestione del peso (da verificare).</w:t>
      </w:r>
    </w:p>
    <w:p>
      <w:pPr>
        <w:numPr>
          <w:ilvl w:val="0"/>
          <w:numId w:val="1054"/>
        </w:numPr>
        <w:pStyle w:val="Compact"/>
      </w:pPr>
      <w:r>
        <w:rPr>
          <w:bCs/>
          <w:b/>
        </w:rPr>
        <w:t xml:space="preserve">Autorizzazione UE:</w:t>
      </w:r>
      <w:r>
        <w:t xml:space="preserve"> </w:t>
      </w:r>
      <w:r>
        <w:t xml:space="preserve">sì – diabete di tipo 2 (iniezione dal 2018, compressa dal 2020), gestione del peso (dal 2022, anche per adolescenti dai 12 anni).</w:t>
      </w:r>
    </w:p>
    <w:p>
      <w:pPr>
        <w:numPr>
          <w:ilvl w:val="0"/>
          <w:numId w:val="1054"/>
        </w:numPr>
        <w:pStyle w:val="Compact"/>
      </w:pPr>
      <w:r>
        <w:rPr>
          <w:bCs/>
          <w:b/>
        </w:rPr>
        <w:t xml:space="preserve">Autorizzazione USA:</w:t>
      </w:r>
      <w:r>
        <w:t xml:space="preserve"> </w:t>
      </w:r>
      <w:r>
        <w:t xml:space="preserve">sì – diabete di tipo 2, gestione del peso, riduzione del rischio cardiovascolare nel sovrappeso con malattia cardiovascolare, protezione renale nel diabete di tipo 2 con malattia renale cronica e steatoepatite (MASH) con fibrosi.</w:t>
      </w:r>
    </w:p>
    <w:p>
      <w:pPr>
        <w:numPr>
          <w:ilvl w:val="0"/>
          <w:numId w:val="1054"/>
        </w:numPr>
        <w:pStyle w:val="Compact"/>
      </w:pPr>
      <w:r>
        <w:rPr>
          <w:bCs/>
          <w:b/>
        </w:rPr>
        <w:t xml:space="preserve">WADA:</w:t>
      </w:r>
      <w:r>
        <w:t xml:space="preserve"> </w:t>
      </w:r>
      <w:r>
        <w:t xml:space="preserve">non elencata.</w:t>
      </w:r>
    </w:p>
    <w:p>
      <w:pPr>
        <w:numPr>
          <w:ilvl w:val="0"/>
          <w:numId w:val="1054"/>
        </w:numPr>
        <w:pStyle w:val="Compact"/>
      </w:pPr>
      <w:r>
        <w:rPr>
          <w:bCs/>
          <w:b/>
        </w:rPr>
        <w:t xml:space="preserve">Livello di evidenza:</w:t>
      </w:r>
      <w:r>
        <w:t xml:space="preserve"> </w:t>
      </w:r>
      <w:r>
        <w:rPr>
          <w:bCs/>
          <w:b/>
        </w:rPr>
        <w:t xml:space="preserve">A</w:t>
      </w:r>
      <w:r>
        <w:t xml:space="preserve"> </w:t>
      </w:r>
      <w:r>
        <w:t xml:space="preserve">– quattro grandi programmi registrativi (SUSTAIN, PIONEER, STEP, OASIS), diversi studi di esito con complessivamente oltre 40.000 partecipanti.</w:t>
      </w:r>
    </w:p>
    <w:bookmarkEnd w:id="404"/>
    <w:bookmarkStart w:id="407" w:name="come-dovrebbe-agire-3"/>
    <w:p>
      <w:pPr>
        <w:pStyle w:val="Heading3"/>
      </w:pPr>
      <w:r>
        <w:t xml:space="preserve">Come dovrebbe agire</w:t>
      </w:r>
    </w:p>
    <w:p>
      <w:pPr>
        <w:pStyle w:val="FirstParagraph"/>
      </w:pPr>
      <w:r>
        <w:t xml:space="preserve">La semaglutide agisce come l’ormone intestinale GLP-1: potenzia la secrezione di insulina dipendente dal glucosio, inibisce il glucagone che innalza la glicemia, rallenta lo svuotamento gastrico e attenua nel cervello la fame e il desiderio di cibo. Il meccanismo di base della classe è spiegato nel capitolo Exenatide.</w:t>
      </w:r>
    </w:p>
    <w:p>
      <w:pPr>
        <w:pStyle w:val="BodyText"/>
      </w:pPr>
      <w:r>
        <w:t xml:space="preserve">La novità della semaglutide è la durata. Gli sviluppatori sono partiti dalla liraglutide e hanno modificato due cose</w:t>
      </w:r>
      <w:r>
        <w:rPr>
          <w:rStyle w:val="FootnoteReference"/>
        </w:rPr>
        <w:footnoteReference w:id="405"/>
      </w:r>
      <w:r>
        <w:t xml:space="preserve">: la sostituzione di un amminoacido in posizione 8 rende la molecola del tutto insensibile all’enzima di degradazione DPP-4. E una catena di acido grasso più lunga con un diverso elemento di collegamento si lega molto più saldamente all’albumina. Così la semaglutide viene rilasciata ed eliminata solo lentamente. Nei minimaiali l’emivita dopo somministrazione endovenosa era di 46,1 ore; nell’uomo è ancora più lunga e consente un’iniezione alla settimana.</w:t>
      </w:r>
    </w:p>
    <w:p>
      <w:pPr>
        <w:pStyle w:val="BodyText"/>
      </w:pPr>
      <w:r>
        <w:t xml:space="preserve">Per la perdita di peso sono decisivi soprattutto gli effetti nel cervello. La semaglutide riduce l’apporto di cibo, la sensazione di fame e la voglia di cibi particolarmente ricchi di grassi e zuccheri. Un dispendio energetico apprezzabilmente maggiore non è dimostrato.</w:t>
      </w:r>
    </w:p>
    <w:p>
      <w:pPr>
        <w:pStyle w:val="BodyText"/>
      </w:pPr>
      <w:r>
        <w:rPr>
          <w:bCs/>
          <w:b/>
        </w:rPr>
        <w:t xml:space="preserve">La compressa:</w:t>
      </w:r>
      <w:r>
        <w:t xml:space="preserve"> </w:t>
      </w:r>
      <w:r>
        <w:t xml:space="preserve">normalmente i peptidi vengono digeriti nello stomaco e assorbiti a malapena. Per Rybelsus la semaglutide viene combinata con l’eccipiente SNAC. Questo tampona l’acido gastrico direttamente sulla superficie della compressa, protegge così dalla degradazione e facilita per breve tempo l’assorbimento attraverso la mucosa gastrica – negli studi sull’uomo e sui cani esclusivamente nello stomaco, non nell’intestino</w:t>
      </w:r>
      <w:r>
        <w:rPr>
          <w:rStyle w:val="FootnoteReference"/>
        </w:rPr>
        <w:footnoteReference w:id="406"/>
      </w:r>
      <w:r>
        <w:t xml:space="preserve">. Ciononostante solo una frazione molto piccola del principio attivo arriva nel sangue. La compressa contiene quindi un multiplo della dose iniettabile e deve essere assunta a digiuno con poca acqua; il Riassunto delle caratteristiche del prodotto ne regola i dettagli.</w:t>
      </w:r>
    </w:p>
    <w:bookmarkEnd w:id="407"/>
    <w:bookmarkStart w:id="448" w:name="studi-sulluomo-3"/>
    <w:p>
      <w:pPr>
        <w:pStyle w:val="Heading3"/>
      </w:pPr>
      <w:r>
        <w:t xml:space="preserve">Studi sull’uomo</w:t>
      </w:r>
    </w:p>
    <w:p>
      <w:pPr>
        <w:pStyle w:val="FirstParagraph"/>
      </w:pPr>
      <w:r>
        <w:t xml:space="preserve">La semaglutide è attualmente il principio attivo più studiato della sua classe. La ricerca su PubMed analizzata per questo libro (termine di ricerca „semaglutide“ nel titolo o nell’abstract, data della ricerca ottobre 2026) ha restituito 342 studi sull’uomo. Questo numero sottostima la reale quantità di ricerca, perché molte analisi dei grandi studi sono pubblicate con il nome di questi ultimi. Su ClinicalTrials.gov sono riportate 793 voci di registro – più che per qualsiasi altro peptide di questo libro.</w:t>
      </w:r>
    </w:p>
    <w:p>
      <w:pPr>
        <w:pStyle w:val="BodyText"/>
      </w:pPr>
      <w:r>
        <w:t xml:space="preserve">Gli studi si possono suddividere in quattro programmi: SUSTAIN (iniezione nel diabete di tipo 2), PIONEER (compressa nel diabete di tipo 2), STEP (iniezione nell’obesità) e OASIS (compressa nell’obesità). A questi si aggiungono grandi studi di esito su cuore (SUSTAIN 6, PIONEER 6, SOUL, SELECT), reni (FLOW), fegato (ESSENCE), scompenso cardiaco, articolazioni e cervello (evoke).</w:t>
      </w:r>
    </w:p>
    <w:bookmarkStart w:id="411" w:name="diabete-di-tipo-2-con-liniezione-sustain"/>
    <w:p>
      <w:pPr>
        <w:pStyle w:val="Heading4"/>
      </w:pPr>
      <w:r>
        <w:t xml:space="preserve">Diabete di tipo 2 con l’iniezione: SUSTAIN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SUSTAIN 1 (Sorli 2017), PMID 28110911</w:t>
            </w:r>
          </w:p>
        </w:tc>
        <w:tc>
          <w:tcPr/>
          <w:p>
            <w:pPr>
              <w:pStyle w:val="Compact"/>
              <w:jc w:val="left"/>
            </w:pPr>
            <w:r>
              <w:t xml:space="preserve">388 persone, monoterapia vs. placebo</w:t>
            </w:r>
          </w:p>
        </w:tc>
        <w:tc>
          <w:tcPr/>
          <w:p>
            <w:pPr>
              <w:pStyle w:val="Compact"/>
              <w:jc w:val="left"/>
            </w:pPr>
            <w:r>
              <w:t xml:space="preserve">30 settimane</w:t>
            </w:r>
          </w:p>
        </w:tc>
        <w:tc>
          <w:tcPr/>
          <w:p>
            <w:pPr>
              <w:pStyle w:val="Compact"/>
              <w:jc w:val="left"/>
            </w:pPr>
            <w:r>
              <w:t xml:space="preserve">HbA1c −1,55 (1,0 mg) vs. −0,02 punti percentuali; peso −4,53 vs. −0,98 kg</w:t>
            </w:r>
          </w:p>
        </w:tc>
      </w:tr>
      <w:tr>
        <w:tc>
          <w:tcPr/>
          <w:p>
            <w:pPr>
              <w:pStyle w:val="Compact"/>
              <w:jc w:val="left"/>
            </w:pPr>
            <w:r>
              <w:t xml:space="preserve">SUSTAIN FORTE (Frías 2021), PMID 34293304</w:t>
            </w:r>
          </w:p>
        </w:tc>
        <w:tc>
          <w:tcPr/>
          <w:p>
            <w:pPr>
              <w:pStyle w:val="Compact"/>
              <w:jc w:val="left"/>
            </w:pPr>
            <w:r>
              <w:t xml:space="preserve">961 persone; 2,0 mg vs. 1,0 mg</w:t>
            </w:r>
          </w:p>
        </w:tc>
        <w:tc>
          <w:tcPr/>
          <w:p>
            <w:pPr>
              <w:pStyle w:val="Compact"/>
              <w:jc w:val="left"/>
            </w:pPr>
            <w:r>
              <w:t xml:space="preserve">40 settimane</w:t>
            </w:r>
          </w:p>
        </w:tc>
        <w:tc>
          <w:tcPr/>
          <w:p>
            <w:pPr>
              <w:pStyle w:val="Compact"/>
              <w:jc w:val="left"/>
            </w:pPr>
            <w:r>
              <w:t xml:space="preserve">HbA1c −2,2 vs. −1,9; peso −6,9 vs. −6,0 kg</w:t>
            </w:r>
          </w:p>
        </w:tc>
      </w:tr>
      <w:tr>
        <w:tc>
          <w:tcPr/>
          <w:p>
            <w:pPr>
              <w:pStyle w:val="Compact"/>
              <w:jc w:val="left"/>
            </w:pPr>
            <w:r>
              <w:t xml:space="preserve">SUSTAIN 6 (Marso 2016), PMID 27633186</w:t>
            </w:r>
          </w:p>
        </w:tc>
        <w:tc>
          <w:tcPr/>
          <w:p>
            <w:pPr>
              <w:pStyle w:val="Compact"/>
              <w:jc w:val="left"/>
            </w:pPr>
            <w:r>
              <w:t xml:space="preserve">3.297 persone ad alto rischio cardiovascolare, vs. placebo</w:t>
            </w:r>
          </w:p>
        </w:tc>
        <w:tc>
          <w:tcPr/>
          <w:p>
            <w:pPr>
              <w:pStyle w:val="Compact"/>
              <w:jc w:val="left"/>
            </w:pPr>
            <w:r>
              <w:t xml:space="preserve">104 settimane</w:t>
            </w:r>
          </w:p>
        </w:tc>
        <w:tc>
          <w:tcPr/>
          <w:p>
            <w:pPr>
              <w:pStyle w:val="Compact"/>
              <w:jc w:val="left"/>
            </w:pPr>
            <w:r>
              <w:t xml:space="preserve">Eventi cardiovascolari gravi 6,6% vs. 8,9%; HR 0,74</w:t>
            </w:r>
          </w:p>
        </w:tc>
      </w:tr>
    </w:tbl>
    <w:p>
      <w:pPr>
        <w:pStyle w:val="BodyText"/>
      </w:pPr>
      <w:r>
        <w:t xml:space="preserve">Già lo studio in monoterapia SUSTAIN 1</w:t>
      </w:r>
      <w:r>
        <w:rPr>
          <w:rStyle w:val="FootnoteReference"/>
        </w:rPr>
        <w:footnoteReference w:id="408"/>
      </w:r>
      <w:r>
        <w:t xml:space="preserve"> </w:t>
      </w:r>
      <w:r>
        <w:t xml:space="preserve">ha mostrato che la semaglutide riduce l’emoglobina glicata HbA1c di circa 1,5 punti percentuali. In studi successivi con partecipanti che avevano valori di partenza più alti la riduzione è stata maggiore; con la dose di 2,0 mg ha raggiunto in SUSTAIN FORTE 2,2 punti percentuali</w:t>
      </w:r>
      <w:r>
        <w:rPr>
          <w:rStyle w:val="FootnoteReference"/>
        </w:rPr>
        <w:footnoteReference w:id="409"/>
      </w:r>
      <w:r>
        <w:t xml:space="preserve">.</w:t>
      </w:r>
    </w:p>
    <w:p>
      <w:pPr>
        <w:pStyle w:val="BodyText"/>
      </w:pPr>
      <w:r>
        <w:rPr>
          <w:bCs/>
          <w:b/>
        </w:rPr>
        <w:t xml:space="preserve">SUSTAIN 6</w:t>
      </w:r>
      <w:r>
        <w:rPr>
          <w:rStyle w:val="FootnoteReference"/>
        </w:rPr>
        <w:footnoteReference w:id="410"/>
      </w:r>
      <w:r>
        <w:t xml:space="preserve"> </w:t>
      </w:r>
      <w:r>
        <w:t xml:space="preserve">era impostato come studio di sicurezza, ma ha mostrato un netto vantaggio: morte per cause cardiovascolari, infarto miocardico non fatale o ictus si sono verificati in 108 persone su 1.648 con semaglutide (6,6%) contro 146 su 1.649 con placebo (8,9%). Gli ictus sono stati significativamente più rari (1,6% vs. 2,7%). Al tempo stesso è emerso un segnale d’allarme: le complicanze della retinopatia diabetica – per esempio emorragie vitreali o reperti che richiedono trattamento – erano più frequenti con semaglutide (HR 1,76). Questo segnale è discusso nella sezione sui rischi.</w:t>
      </w:r>
    </w:p>
    <w:bookmarkEnd w:id="411"/>
    <w:bookmarkStart w:id="417" w:name="X0647a94c75a3b08c9671be01d0271b3f38a9a2f"/>
    <w:p>
      <w:pPr>
        <w:pStyle w:val="Heading4"/>
      </w:pPr>
      <w:r>
        <w:t xml:space="preserve">Confronti diretti all’interno della classe GLP-1</w:t>
      </w:r>
    </w:p>
    <w:p>
      <w:pPr>
        <w:pStyle w:val="FirstParagraph"/>
      </w:pPr>
      <w:r>
        <w:t xml:space="preserve">Negli studi di confronto diretto la semaglutide si è misurata con tutti gli agonisti del recettore del GLP-1 più vecchi e li ha superati tutti.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Disegno</w:t>
            </w:r>
          </w:p>
        </w:tc>
        <w:tc>
          <w:tcPr/>
          <w:p>
            <w:pPr>
              <w:pStyle w:val="Compact"/>
              <w:jc w:val="left"/>
            </w:pPr>
            <w:r>
              <w:t xml:space="preserve">Durata</w:t>
            </w:r>
          </w:p>
        </w:tc>
        <w:tc>
          <w:tcPr/>
          <w:p>
            <w:pPr>
              <w:pStyle w:val="Compact"/>
              <w:jc w:val="left"/>
            </w:pPr>
            <w:r>
              <w:t xml:space="preserve">Risultato (semaglutide vs. confronto)</w:t>
            </w:r>
          </w:p>
        </w:tc>
      </w:tr>
      <w:tr>
        <w:tc>
          <w:tcPr/>
          <w:p>
            <w:pPr>
              <w:pStyle w:val="Compact"/>
              <w:jc w:val="left"/>
            </w:pPr>
            <w:r>
              <w:t xml:space="preserve">SUSTAIN 3 (Ahmann 2018), PMID 29246950</w:t>
            </w:r>
          </w:p>
        </w:tc>
        <w:tc>
          <w:tcPr/>
          <w:p>
            <w:pPr>
              <w:pStyle w:val="Compact"/>
              <w:jc w:val="left"/>
            </w:pPr>
            <w:r>
              <w:t xml:space="preserve">vs. exenatide settimanale, in aperto</w:t>
            </w:r>
          </w:p>
        </w:tc>
        <w:tc>
          <w:tcPr/>
          <w:p>
            <w:pPr>
              <w:pStyle w:val="Compact"/>
              <w:jc w:val="left"/>
            </w:pPr>
            <w:r>
              <w:t xml:space="preserve">56 settimane</w:t>
            </w:r>
          </w:p>
        </w:tc>
        <w:tc>
          <w:tcPr/>
          <w:p>
            <w:pPr>
              <w:pStyle w:val="Compact"/>
              <w:jc w:val="left"/>
            </w:pPr>
            <w:r>
              <w:t xml:space="preserve">HbA1c −1,5 vs. −0,9; peso −5,6 vs. −1,9 kg</w:t>
            </w:r>
          </w:p>
        </w:tc>
      </w:tr>
      <w:tr>
        <w:tc>
          <w:tcPr/>
          <w:p>
            <w:pPr>
              <w:pStyle w:val="Compact"/>
              <w:jc w:val="left"/>
            </w:pPr>
            <w:r>
              <w:t xml:space="preserve">SUSTAIN 7 (Pratley 2018), PMID 29397376</w:t>
            </w:r>
          </w:p>
        </w:tc>
        <w:tc>
          <w:tcPr/>
          <w:p>
            <w:pPr>
              <w:pStyle w:val="Compact"/>
              <w:jc w:val="left"/>
            </w:pPr>
            <w:r>
              <w:t xml:space="preserve">1.201 persone; 0,5/1,0 mg vs. dulaglutide 0,75/1,5 mg</w:t>
            </w:r>
          </w:p>
        </w:tc>
        <w:tc>
          <w:tcPr/>
          <w:p>
            <w:pPr>
              <w:pStyle w:val="Compact"/>
              <w:jc w:val="left"/>
            </w:pPr>
            <w:r>
              <w:t xml:space="preserve">40 settimane</w:t>
            </w:r>
          </w:p>
        </w:tc>
        <w:tc>
          <w:tcPr/>
          <w:p>
            <w:pPr>
              <w:pStyle w:val="Compact"/>
              <w:jc w:val="left"/>
            </w:pPr>
            <w:r>
              <w:t xml:space="preserve">HbA1c −1,8 vs. −1,4; peso −6,5 vs. −3,0 kg (dosi alte)</w:t>
            </w:r>
          </w:p>
        </w:tc>
      </w:tr>
      <w:tr>
        <w:tc>
          <w:tcPr/>
          <w:p>
            <w:pPr>
              <w:pStyle w:val="Compact"/>
              <w:jc w:val="left"/>
            </w:pPr>
            <w:r>
              <w:t xml:space="preserve">SUSTAIN 10 (Capehorn 2020), PMID 31539622</w:t>
            </w:r>
          </w:p>
        </w:tc>
        <w:tc>
          <w:tcPr/>
          <w:p>
            <w:pPr>
              <w:pStyle w:val="Compact"/>
              <w:jc w:val="left"/>
            </w:pPr>
            <w:r>
              <w:t xml:space="preserve">1,0 mg vs. liraglutide 1,2 mg</w:t>
            </w:r>
          </w:p>
        </w:tc>
        <w:tc>
          <w:tcPr/>
          <w:p>
            <w:pPr>
              <w:pStyle w:val="Compact"/>
              <w:jc w:val="left"/>
            </w:pPr>
            <w:r>
              <w:t xml:space="preserve">30 settimane</w:t>
            </w:r>
          </w:p>
        </w:tc>
        <w:tc>
          <w:tcPr/>
          <w:p>
            <w:pPr>
              <w:pStyle w:val="Compact"/>
              <w:jc w:val="left"/>
            </w:pPr>
            <w:r>
              <w:t xml:space="preserve">HbA1c −1,7 vs. −1,0; peso −5,8 vs. −1,9 kg</w:t>
            </w:r>
          </w:p>
        </w:tc>
      </w:tr>
      <w:tr>
        <w:tc>
          <w:tcPr/>
          <w:p>
            <w:pPr>
              <w:pStyle w:val="Compact"/>
              <w:jc w:val="left"/>
            </w:pPr>
            <w:r>
              <w:t xml:space="preserve">PIONEER 4 (Pratley 2019), PMID 31186120</w:t>
            </w:r>
          </w:p>
        </w:tc>
        <w:tc>
          <w:tcPr/>
          <w:p>
            <w:pPr>
              <w:pStyle w:val="Compact"/>
              <w:jc w:val="left"/>
            </w:pPr>
            <w:r>
              <w:t xml:space="preserve">711 persone; compressa 14 mg vs. iniezione di liraglutide 1,8 mg vs. placebo</w:t>
            </w:r>
          </w:p>
        </w:tc>
        <w:tc>
          <w:tcPr/>
          <w:p>
            <w:pPr>
              <w:pStyle w:val="Compact"/>
              <w:jc w:val="left"/>
            </w:pPr>
            <w:r>
              <w:t xml:space="preserve">52 settimane (analisi principale dopo 26 settimane)</w:t>
            </w:r>
          </w:p>
        </w:tc>
        <w:tc>
          <w:tcPr/>
          <w:p>
            <w:pPr>
              <w:pStyle w:val="Compact"/>
              <w:jc w:val="left"/>
            </w:pPr>
            <w:r>
              <w:t xml:space="preserve">HbA1c −1,2 vs. −1,1 (non inferiore); peso −4,4 vs. −3,1 kg</w:t>
            </w:r>
          </w:p>
        </w:tc>
      </w:tr>
      <w:tr>
        <w:tc>
          <w:tcPr/>
          <w:p>
            <w:pPr>
              <w:pStyle w:val="Compact"/>
              <w:jc w:val="left"/>
            </w:pPr>
            <w:r>
              <w:t xml:space="preserve">STEP 8 (Rubino 2022), PMID 35015037</w:t>
            </w:r>
          </w:p>
        </w:tc>
        <w:tc>
          <w:tcPr/>
          <w:p>
            <w:pPr>
              <w:pStyle w:val="Compact"/>
              <w:jc w:val="left"/>
            </w:pPr>
            <w:r>
              <w:t xml:space="preserve">338 persone con obesità senza diabete; 2,4 mg vs. liraglutide 3,0 mg</w:t>
            </w:r>
          </w:p>
        </w:tc>
        <w:tc>
          <w:tcPr/>
          <w:p>
            <w:pPr>
              <w:pStyle w:val="Compact"/>
              <w:jc w:val="left"/>
            </w:pPr>
            <w:r>
              <w:t xml:space="preserve">68 settimane</w:t>
            </w:r>
          </w:p>
        </w:tc>
        <w:tc>
          <w:tcPr/>
          <w:p>
            <w:pPr>
              <w:pStyle w:val="Compact"/>
              <w:jc w:val="left"/>
            </w:pPr>
            <w:r>
              <w:t xml:space="preserve">Peso −15,8% vs. −6,4%</w:t>
            </w:r>
          </w:p>
        </w:tc>
      </w:tr>
    </w:tbl>
    <w:p>
      <w:pPr>
        <w:pStyle w:val="BodyText"/>
      </w:pPr>
      <w:r>
        <w:t xml:space="preserve">Le differenze nell’emoglobina glicata sono comprese tra 0,1 e 0,7 punti percentuali a favore della semaglutide, nel peso tra 1,2 e circa 4 kg nel diabete. Il distacco era più marcato nell’obesità: in STEP 8</w:t>
      </w:r>
      <w:r>
        <w:rPr>
          <w:rStyle w:val="FootnoteReference"/>
        </w:rPr>
        <w:footnoteReference w:id="412"/>
      </w:r>
      <w:r>
        <w:t xml:space="preserve"> </w:t>
      </w:r>
      <w:r>
        <w:t xml:space="preserve">il 38,5% con semaglutide ha perso almeno il 20% del proprio peso, con liraglutide il 6,0%. Il prezzo in alcuni confronti è un tasso un po’ più alto di disturbi gastrointestinali: in SUSTAIN 10 l’11,4% contro il 6,6% ha interrotto il trattamento a causa di effetti collaterali</w:t>
      </w:r>
      <w:r>
        <w:rPr>
          <w:rStyle w:val="FootnoteReference"/>
        </w:rPr>
        <w:footnoteReference w:id="413"/>
      </w:r>
      <w:r>
        <w:t xml:space="preserve">. In SUSTAIN 3, invece, le reazioni nel sito di iniezione si sono verificate molto più spesso con exenatide (22,0% vs. 1,2%)</w:t>
      </w:r>
      <w:r>
        <w:rPr>
          <w:rStyle w:val="FootnoteReference"/>
        </w:rPr>
        <w:footnoteReference w:id="414"/>
      </w:r>
      <w:r>
        <w:t xml:space="preserve">.</w:t>
      </w:r>
    </w:p>
    <w:p>
      <w:pPr>
        <w:pStyle w:val="BodyText"/>
      </w:pPr>
      <w:r>
        <w:t xml:space="preserve">PIONEER 4</w:t>
      </w:r>
      <w:r>
        <w:rPr>
          <w:rStyle w:val="FootnoteReference"/>
        </w:rPr>
        <w:footnoteReference w:id="415"/>
      </w:r>
      <w:r>
        <w:t xml:space="preserve"> </w:t>
      </w:r>
      <w:r>
        <w:t xml:space="preserve">è degno di nota perché qui una compressa si è confrontata con un’iniezione: per l’HbA1c la compressa di semaglutide non è risultata peggiore dell’iniezione di liraglutide, per il peso è stata superiore di 1,2 kg.</w:t>
      </w:r>
    </w:p>
    <w:p>
      <w:pPr>
        <w:pStyle w:val="BodyText"/>
      </w:pPr>
      <w:r>
        <w:t xml:space="preserve">Al di fuori della classe GLP-1 la semaglutide è stata a sua volta superata: nel confronto diretto con l’agonista duale GIP/GLP-1 tirzepatide in 751 persone con obesità, la perdita di peso dopo 72 settimane è stata del −13,7% contro il −20,2%</w:t>
      </w:r>
      <w:r>
        <w:rPr>
          <w:rStyle w:val="FootnoteReference"/>
        </w:rPr>
        <w:footnoteReference w:id="416"/>
      </w:r>
      <w:r>
        <w:t xml:space="preserve">. I dettagli si trovano nel capitolo Tirzepatide.</w:t>
      </w:r>
    </w:p>
    <w:bookmarkEnd w:id="417"/>
    <w:bookmarkStart w:id="421" w:name="Xa70ab07b2ece5210b2523d85296248646a96077"/>
    <w:p>
      <w:pPr>
        <w:pStyle w:val="Heading4"/>
      </w:pPr>
      <w:r>
        <w:t xml:space="preserve">Diabete di tipo 2 con la compressa: PIONEER e SOUL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PIONEER 1 (Aroda 2019), PMID 31186300</w:t>
            </w:r>
          </w:p>
        </w:tc>
        <w:tc>
          <w:tcPr/>
          <w:p>
            <w:pPr>
              <w:pStyle w:val="Compact"/>
              <w:jc w:val="left"/>
            </w:pPr>
            <w:r>
              <w:t xml:space="preserve">703 persone, monoterapia; 3/7/14 mg vs. placebo</w:t>
            </w:r>
          </w:p>
        </w:tc>
        <w:tc>
          <w:tcPr/>
          <w:p>
            <w:pPr>
              <w:pStyle w:val="Compact"/>
              <w:jc w:val="left"/>
            </w:pPr>
            <w:r>
              <w:t xml:space="preserve">26 settimane</w:t>
            </w:r>
          </w:p>
        </w:tc>
        <w:tc>
          <w:tcPr/>
          <w:p>
            <w:pPr>
              <w:pStyle w:val="Compact"/>
              <w:jc w:val="left"/>
            </w:pPr>
            <w:r>
              <w:t xml:space="preserve">HbA1c −1,1 punti percentuali (14 mg) rispetto al placebo; peso −2,3 kg rispetto al placebo</w:t>
            </w:r>
          </w:p>
        </w:tc>
      </w:tr>
      <w:tr>
        <w:tc>
          <w:tcPr/>
          <w:p>
            <w:pPr>
              <w:pStyle w:val="Compact"/>
              <w:jc w:val="left"/>
            </w:pPr>
            <w:r>
              <w:t xml:space="preserve">PIONEER 6 (Husain 2019), PMID 31185157</w:t>
            </w:r>
          </w:p>
        </w:tc>
        <w:tc>
          <w:tcPr/>
          <w:p>
            <w:pPr>
              <w:pStyle w:val="Compact"/>
              <w:jc w:val="left"/>
            </w:pPr>
            <w:r>
              <w:t xml:space="preserve">3.183 persone ad alto rischio; vs. placebo</w:t>
            </w:r>
          </w:p>
        </w:tc>
        <w:tc>
          <w:tcPr/>
          <w:p>
            <w:pPr>
              <w:pStyle w:val="Compact"/>
              <w:jc w:val="left"/>
            </w:pPr>
            <w:r>
              <w:t xml:space="preserve">mediana 15,9 mesi</w:t>
            </w:r>
          </w:p>
        </w:tc>
        <w:tc>
          <w:tcPr/>
          <w:p>
            <w:pPr>
              <w:pStyle w:val="Compact"/>
              <w:jc w:val="left"/>
            </w:pPr>
            <w:r>
              <w:t xml:space="preserve">Eventi 3,8% vs. 4,8%; HR 0,79, non inferiore</w:t>
            </w:r>
          </w:p>
        </w:tc>
      </w:tr>
      <w:tr>
        <w:tc>
          <w:tcPr/>
          <w:p>
            <w:pPr>
              <w:pStyle w:val="Compact"/>
              <w:jc w:val="left"/>
            </w:pPr>
            <w:r>
              <w:t xml:space="preserve">PIONEER PLUS (Aroda 2023), PMID 37385279</w:t>
            </w:r>
          </w:p>
        </w:tc>
        <w:tc>
          <w:tcPr/>
          <w:p>
            <w:pPr>
              <w:pStyle w:val="Compact"/>
              <w:jc w:val="left"/>
            </w:pPr>
            <w:r>
              <w:t xml:space="preserve">1.606 persone; 25 e 50 mg vs. 14 mg</w:t>
            </w:r>
          </w:p>
        </w:tc>
        <w:tc>
          <w:tcPr/>
          <w:p>
            <w:pPr>
              <w:pStyle w:val="Compact"/>
              <w:jc w:val="left"/>
            </w:pPr>
            <w:r>
              <w:t xml:space="preserve">52 settimane</w:t>
            </w:r>
          </w:p>
        </w:tc>
        <w:tc>
          <w:tcPr/>
          <w:p>
            <w:pPr>
              <w:pStyle w:val="Compact"/>
              <w:jc w:val="left"/>
            </w:pPr>
            <w:r>
              <w:t xml:space="preserve">HbA1c −2,0 (50 mg) vs. −1,5 (14 mg)</w:t>
            </w:r>
          </w:p>
        </w:tc>
      </w:tr>
      <w:tr>
        <w:tc>
          <w:tcPr/>
          <w:p>
            <w:pPr>
              <w:pStyle w:val="Compact"/>
              <w:jc w:val="left"/>
            </w:pPr>
            <w:r>
              <w:t xml:space="preserve">SOUL (McGuire 2025), PMID 40162642</w:t>
            </w:r>
          </w:p>
        </w:tc>
        <w:tc>
          <w:tcPr/>
          <w:p>
            <w:pPr>
              <w:pStyle w:val="Compact"/>
              <w:jc w:val="left"/>
            </w:pPr>
            <w:r>
              <w:t xml:space="preserve">9.650 persone con malattia vascolare e/o renale; vs. placebo</w:t>
            </w:r>
          </w:p>
        </w:tc>
        <w:tc>
          <w:tcPr/>
          <w:p>
            <w:pPr>
              <w:pStyle w:val="Compact"/>
              <w:jc w:val="left"/>
            </w:pPr>
            <w:r>
              <w:t xml:space="preserve">mediana 49,5 mesi</w:t>
            </w:r>
          </w:p>
        </w:tc>
        <w:tc>
          <w:tcPr/>
          <w:p>
            <w:pPr>
              <w:pStyle w:val="Compact"/>
              <w:jc w:val="left"/>
            </w:pPr>
            <w:r>
              <w:t xml:space="preserve">Eventi 12,0% vs. 13,8%; HR 0,86 (0,77–0,96)</w:t>
            </w:r>
          </w:p>
        </w:tc>
      </w:tr>
    </w:tbl>
    <w:p>
      <w:pPr>
        <w:pStyle w:val="BodyText"/>
      </w:pPr>
      <w:r>
        <w:t xml:space="preserve">Alla dose standard di 14 mg la compressa agisce un po’ meno dell’iniezione. PIONEER PLUS</w:t>
      </w:r>
      <w:r>
        <w:rPr>
          <w:rStyle w:val="FootnoteReference"/>
        </w:rPr>
        <w:footnoteReference w:id="418"/>
      </w:r>
      <w:r>
        <w:t xml:space="preserve"> </w:t>
      </w:r>
      <w:r>
        <w:t xml:space="preserve">ha mostrato che dosi più alte in compresse riducono il distacco. PIONEER 6</w:t>
      </w:r>
      <w:r>
        <w:rPr>
          <w:rStyle w:val="FootnoteReference"/>
        </w:rPr>
        <w:footnoteReference w:id="419"/>
      </w:r>
      <w:r>
        <w:t xml:space="preserve"> </w:t>
      </w:r>
      <w:r>
        <w:t xml:space="preserve">era un breve studio di sicurezza; ha dimostrato che la compressa non aumenta il rischio cardiovascolare, ma era troppo piccolo per dimostrare un beneficio.</w:t>
      </w:r>
    </w:p>
    <w:p>
      <w:pPr>
        <w:pStyle w:val="BodyText"/>
      </w:pPr>
      <w:r>
        <w:t xml:space="preserve">Questo è stato fornito da</w:t>
      </w:r>
      <w:r>
        <w:t xml:space="preserve"> </w:t>
      </w:r>
      <w:r>
        <w:rPr>
          <w:bCs/>
          <w:b/>
        </w:rPr>
        <w:t xml:space="preserve">SOUL</w:t>
      </w:r>
      <w:r>
        <w:rPr>
          <w:rStyle w:val="FootnoteReference"/>
        </w:rPr>
        <w:footnoteReference w:id="420"/>
      </w:r>
      <w:r>
        <w:t xml:space="preserve">: in 9.650 persone con diabete di tipo 2 e malattia vascolare o renale, la compressa di semaglutide ha ridotto in circa quattro anni gli eventi cardiovascolari gravi del 14%. Gli endpoint secondari confermativi, tra cui gli esiti renali, non differivano in modo significativo. Gli eventi avversi gravi non sono stati più frequenti con semaglutide (47,9% vs. 50,3%).</w:t>
      </w:r>
    </w:p>
    <w:bookmarkEnd w:id="421"/>
    <w:bookmarkStart w:id="427" w:name="obesità-con-liniezione-step"/>
    <w:p>
      <w:pPr>
        <w:pStyle w:val="Heading4"/>
      </w:pPr>
      <w:r>
        <w:t xml:space="preserve">Obesità con l’iniezione: STEP</w:t>
      </w:r>
    </w:p>
    <w:p>
      <w:pPr>
        <w:pStyle w:val="FirstParagraph"/>
      </w:pPr>
      <w:r>
        <w:t xml:space="preserve">Con la dose di 2,4 mg alla settimana la semaglutide, come Wegovy, è diventata il primo farmaco con cui le persone con obesità hanno perso in grandi studi in media circa il 15% del proprio peso corporeo.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STEP 1 (Wilding 2021), PMID 33567185</w:t>
            </w:r>
          </w:p>
        </w:tc>
        <w:tc>
          <w:tcPr/>
          <w:p>
            <w:pPr>
              <w:pStyle w:val="Compact"/>
              <w:jc w:val="left"/>
            </w:pPr>
            <w:r>
              <w:t xml:space="preserve">1.961 adulti con obesità senza diabete, RCT contro placebo</w:t>
            </w:r>
          </w:p>
        </w:tc>
        <w:tc>
          <w:tcPr/>
          <w:p>
            <w:pPr>
              <w:pStyle w:val="Compact"/>
              <w:jc w:val="left"/>
            </w:pPr>
            <w:r>
              <w:t xml:space="preserve">68 settimane</w:t>
            </w:r>
          </w:p>
        </w:tc>
        <w:tc>
          <w:tcPr/>
          <w:p>
            <w:pPr>
              <w:pStyle w:val="Compact"/>
              <w:jc w:val="left"/>
            </w:pPr>
            <w:r>
              <w:t xml:space="preserve">−14,9% del peso corporeo vs. −2,4%</w:t>
            </w:r>
          </w:p>
        </w:tc>
      </w:tr>
      <w:tr>
        <w:tc>
          <w:tcPr/>
          <w:p>
            <w:pPr>
              <w:pStyle w:val="Compact"/>
              <w:jc w:val="left"/>
            </w:pPr>
            <w:r>
              <w:t xml:space="preserve">STEP 2 (Davies 2021), PMID 33667417</w:t>
            </w:r>
          </w:p>
        </w:tc>
        <w:tc>
          <w:tcPr/>
          <w:p>
            <w:pPr>
              <w:pStyle w:val="Compact"/>
              <w:jc w:val="left"/>
            </w:pPr>
            <w:r>
              <w:t xml:space="preserve">1.210 persone in sovrappeso con diabete di tipo 2</w:t>
            </w:r>
          </w:p>
        </w:tc>
        <w:tc>
          <w:tcPr/>
          <w:p>
            <w:pPr>
              <w:pStyle w:val="Compact"/>
              <w:jc w:val="left"/>
            </w:pPr>
            <w:r>
              <w:t xml:space="preserve">68 settimane</w:t>
            </w:r>
          </w:p>
        </w:tc>
        <w:tc>
          <w:tcPr/>
          <w:p>
            <w:pPr>
              <w:pStyle w:val="Compact"/>
              <w:jc w:val="left"/>
            </w:pPr>
            <w:r>
              <w:t xml:space="preserve">−9,6% vs. −3,4%</w:t>
            </w:r>
          </w:p>
        </w:tc>
      </w:tr>
      <w:tr>
        <w:tc>
          <w:tcPr/>
          <w:p>
            <w:pPr>
              <w:pStyle w:val="Compact"/>
              <w:jc w:val="left"/>
            </w:pPr>
            <w:r>
              <w:t xml:space="preserve">STEP 3 (Wadden 2021), PMID 33625476</w:t>
            </w:r>
          </w:p>
        </w:tc>
        <w:tc>
          <w:tcPr/>
          <w:p>
            <w:pPr>
              <w:pStyle w:val="Compact"/>
              <w:jc w:val="left"/>
            </w:pPr>
            <w:r>
              <w:t xml:space="preserve">611 persone, in aggiunta terapia comportamentale intensiva</w:t>
            </w:r>
          </w:p>
        </w:tc>
        <w:tc>
          <w:tcPr/>
          <w:p>
            <w:pPr>
              <w:pStyle w:val="Compact"/>
              <w:jc w:val="left"/>
            </w:pPr>
            <w:r>
              <w:t xml:space="preserve">68 settimane</w:t>
            </w:r>
          </w:p>
        </w:tc>
        <w:tc>
          <w:tcPr/>
          <w:p>
            <w:pPr>
              <w:pStyle w:val="Compact"/>
              <w:jc w:val="left"/>
            </w:pPr>
            <w:r>
              <w:t xml:space="preserve">−16,0% vs. −5,7%</w:t>
            </w:r>
          </w:p>
        </w:tc>
      </w:tr>
      <w:tr>
        <w:tc>
          <w:tcPr/>
          <w:p>
            <w:pPr>
              <w:pStyle w:val="Compact"/>
              <w:jc w:val="left"/>
            </w:pPr>
            <w:r>
              <w:t xml:space="preserve">STEP 4 (Rubino 2021), PMID 33755728</w:t>
            </w:r>
          </w:p>
        </w:tc>
        <w:tc>
          <w:tcPr/>
          <w:p>
            <w:pPr>
              <w:pStyle w:val="Compact"/>
              <w:jc w:val="left"/>
            </w:pPr>
            <w:r>
              <w:t xml:space="preserve">803 persone dopo 20 settimane di semaglutide: prosecuzione o passaggio al placebo</w:t>
            </w:r>
          </w:p>
        </w:tc>
        <w:tc>
          <w:tcPr/>
          <w:p>
            <w:pPr>
              <w:pStyle w:val="Compact"/>
              <w:jc w:val="left"/>
            </w:pPr>
            <w:r>
              <w:t xml:space="preserve">48 settimane</w:t>
            </w:r>
          </w:p>
        </w:tc>
        <w:tc>
          <w:tcPr/>
          <w:p>
            <w:pPr>
              <w:pStyle w:val="Compact"/>
              <w:jc w:val="left"/>
            </w:pPr>
            <w:r>
              <w:t xml:space="preserve">−7,9% (prosecuzione) vs. +6,9% (sospensione)</w:t>
            </w:r>
          </w:p>
        </w:tc>
      </w:tr>
      <w:tr>
        <w:tc>
          <w:tcPr/>
          <w:p>
            <w:pPr>
              <w:pStyle w:val="Compact"/>
              <w:jc w:val="left"/>
            </w:pPr>
            <w:r>
              <w:t xml:space="preserve">STEP 5 (Garvey 2022), PMID 36216945</w:t>
            </w:r>
          </w:p>
        </w:tc>
        <w:tc>
          <w:tcPr/>
          <w:p>
            <w:pPr>
              <w:pStyle w:val="Compact"/>
              <w:jc w:val="left"/>
            </w:pPr>
            <w:r>
              <w:t xml:space="preserve">304 persone</w:t>
            </w:r>
          </w:p>
        </w:tc>
        <w:tc>
          <w:tcPr/>
          <w:p>
            <w:pPr>
              <w:pStyle w:val="Compact"/>
              <w:jc w:val="left"/>
            </w:pPr>
            <w:r>
              <w:t xml:space="preserve">104 settimane</w:t>
            </w:r>
          </w:p>
        </w:tc>
        <w:tc>
          <w:tcPr/>
          <w:p>
            <w:pPr>
              <w:pStyle w:val="Compact"/>
              <w:jc w:val="left"/>
            </w:pPr>
            <w:r>
              <w:t xml:space="preserve">−15,2% vs. −2,6%</w:t>
            </w:r>
          </w:p>
        </w:tc>
      </w:tr>
      <w:tr>
        <w:tc>
          <w:tcPr/>
          <w:p>
            <w:pPr>
              <w:pStyle w:val="Compact"/>
              <w:jc w:val="left"/>
            </w:pPr>
            <w:r>
              <w:t xml:space="preserve">STEP 6 (Kadowaki 2022), PMID 35131037</w:t>
            </w:r>
          </w:p>
        </w:tc>
        <w:tc>
          <w:tcPr/>
          <w:p>
            <w:pPr>
              <w:pStyle w:val="Compact"/>
              <w:jc w:val="left"/>
            </w:pPr>
            <w:r>
              <w:t xml:space="preserve">401 persone in Asia orientale</w:t>
            </w:r>
          </w:p>
        </w:tc>
        <w:tc>
          <w:tcPr/>
          <w:p>
            <w:pPr>
              <w:pStyle w:val="Compact"/>
              <w:jc w:val="left"/>
            </w:pPr>
            <w:r>
              <w:t xml:space="preserve">68 settimane</w:t>
            </w:r>
          </w:p>
        </w:tc>
        <w:tc>
          <w:tcPr/>
          <w:p>
            <w:pPr>
              <w:pStyle w:val="Compact"/>
              <w:jc w:val="left"/>
            </w:pPr>
            <w:r>
              <w:t xml:space="preserve">−13,2% vs. −2,1%</w:t>
            </w:r>
          </w:p>
        </w:tc>
      </w:tr>
      <w:tr>
        <w:tc>
          <w:tcPr/>
          <w:p>
            <w:pPr>
              <w:pStyle w:val="Compact"/>
              <w:jc w:val="left"/>
            </w:pPr>
            <w:r>
              <w:t xml:space="preserve">STEP UP (Wharton 2025), PMID 40961952</w:t>
            </w:r>
          </w:p>
        </w:tc>
        <w:tc>
          <w:tcPr/>
          <w:p>
            <w:pPr>
              <w:pStyle w:val="Compact"/>
              <w:jc w:val="left"/>
            </w:pPr>
            <w:r>
              <w:t xml:space="preserve">1.407 persone; 7,2 mg vs. 2,4 mg vs. placebo</w:t>
            </w:r>
          </w:p>
        </w:tc>
        <w:tc>
          <w:tcPr/>
          <w:p>
            <w:pPr>
              <w:pStyle w:val="Compact"/>
              <w:jc w:val="left"/>
            </w:pPr>
            <w:r>
              <w:t xml:space="preserve">72 settimane</w:t>
            </w:r>
          </w:p>
        </w:tc>
        <w:tc>
          <w:tcPr/>
          <w:p>
            <w:pPr>
              <w:pStyle w:val="Compact"/>
              <w:jc w:val="left"/>
            </w:pPr>
            <w:r>
              <w:t xml:space="preserve">−18,7% vs. −15,6% vs. −3,9%</w:t>
            </w:r>
          </w:p>
        </w:tc>
      </w:tr>
    </w:tbl>
    <w:p>
      <w:pPr>
        <w:pStyle w:val="BodyText"/>
      </w:pPr>
      <w:r>
        <w:t xml:space="preserve">In</w:t>
      </w:r>
      <w:r>
        <w:t xml:space="preserve"> </w:t>
      </w:r>
      <w:r>
        <w:rPr>
          <w:bCs/>
          <w:b/>
        </w:rPr>
        <w:t xml:space="preserve">STEP 1</w:t>
      </w:r>
      <w:r>
        <w:rPr>
          <w:rStyle w:val="FootnoteReference"/>
        </w:rPr>
        <w:footnoteReference w:id="422"/>
      </w:r>
      <w:r>
        <w:t xml:space="preserve"> </w:t>
      </w:r>
      <w:r>
        <w:t xml:space="preserve">i partecipanti hanno perso in media 15,3 kg, contro 2,6 kg con placebo. La metà (50,5%) ha perso almeno il 15% del proprio peso. A causa di disturbi gastrointestinali il 4,5% ha interrotto il trattamento, contro lo 0,8% con placebo.</w:t>
      </w:r>
    </w:p>
    <w:p>
      <w:pPr>
        <w:pStyle w:val="BodyText"/>
      </w:pPr>
      <w:r>
        <w:t xml:space="preserve">Nelle persone con diabete di tipo 2 la perdita è stata minore (STEP 2, Davies 2021, PMID 33667417) – uno schema che si presenta con tutti i principi attivi di questa classe. In</w:t>
      </w:r>
      <w:r>
        <w:t xml:space="preserve"> </w:t>
      </w:r>
      <w:r>
        <w:rPr>
          <w:bCs/>
          <w:b/>
        </w:rPr>
        <w:t xml:space="preserve">STEP 5</w:t>
      </w:r>
      <w:r>
        <w:rPr>
          <w:rStyle w:val="FootnoteReference"/>
        </w:rPr>
        <w:footnoteReference w:id="423"/>
      </w:r>
      <w:r>
        <w:t xml:space="preserve"> </w:t>
      </w:r>
      <w:r>
        <w:t xml:space="preserve">l’effetto è rimasto stabile per due anni.</w:t>
      </w:r>
    </w:p>
    <w:p>
      <w:pPr>
        <w:pStyle w:val="BodyText"/>
      </w:pPr>
      <w:r>
        <w:rPr>
          <w:bCs/>
          <w:b/>
        </w:rPr>
        <w:t xml:space="preserve">Che cosa succede dopo la sospensione?</w:t>
      </w:r>
      <w:r>
        <w:t xml:space="preserve"> </w:t>
      </w:r>
      <w:r>
        <w:t xml:space="preserve">Questa domanda è centrale per la pratica. In STEP 4</w:t>
      </w:r>
      <w:r>
        <w:rPr>
          <w:rStyle w:val="FootnoteReference"/>
        </w:rPr>
        <w:footnoteReference w:id="424"/>
      </w:r>
      <w:r>
        <w:t xml:space="preserve"> </w:t>
      </w:r>
      <w:r>
        <w:t xml:space="preserve">tutti i partecipanti hanno ricevuto inizialmente semaglutide per 20 settimane, perdendo in media il 10,6%. Chi è poi passato al placebo ha ripreso nelle 48 settimane successive il 6,9%; chi ha continuato il trattamento ha perso un ulteriore 7,9%. Nell’estensione di STEP 1</w:t>
      </w:r>
      <w:r>
        <w:rPr>
          <w:rStyle w:val="FootnoteReference"/>
        </w:rPr>
        <w:footnoteReference w:id="425"/>
      </w:r>
      <w:r>
        <w:t xml:space="preserve"> </w:t>
      </w:r>
      <w:r>
        <w:t xml:space="preserve">i partecipanti, un anno dopo la sospensione, avevano ripreso circa due terzi del peso perso; anche pressione arteriosa, lipidi ematici e glicemia si erano riavvicinati ai valori di partenza. Le autrici e gli autori concludono che l’obesità è una malattia cronica e che il trattamento dovrebbe probabilmente essere permanente.</w:t>
      </w:r>
    </w:p>
    <w:p>
      <w:pPr>
        <w:pStyle w:val="BodyText"/>
      </w:pPr>
      <w:r>
        <w:rPr>
          <w:bCs/>
          <w:b/>
        </w:rPr>
        <w:t xml:space="preserve">Dose più alta:</w:t>
      </w:r>
      <w:r>
        <w:t xml:space="preserve"> </w:t>
      </w:r>
      <w:r>
        <w:t xml:space="preserve">in STEP UP</w:t>
      </w:r>
      <w:r>
        <w:rPr>
          <w:rStyle w:val="FootnoteReference"/>
        </w:rPr>
        <w:footnoteReference w:id="426"/>
      </w:r>
      <w:r>
        <w:t xml:space="preserve"> </w:t>
      </w:r>
      <w:r>
        <w:t xml:space="preserve">la dose tripla di 7,2 mg ha portato a una perdita di peso del 18,7%. I disturbi gastrointestinali sono stati più frequenti (70,8% vs. 61,2% con 2,4 mg), e il 22,9% ha riferito alterazioni della sensibilità cutanea (disestesia), contro il 6,0% con 2,4 mg.</w:t>
      </w:r>
    </w:p>
    <w:bookmarkEnd w:id="427"/>
    <w:bookmarkStart w:id="429" w:name="obesità-con-la-compressa-oasis"/>
    <w:p>
      <w:pPr>
        <w:pStyle w:val="Heading4"/>
      </w:pPr>
      <w:r>
        <w:t xml:space="preserve">Obesità con la compressa: OASIS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OASIS 1 (Knop 2023), PMID 37385278</w:t>
            </w:r>
          </w:p>
        </w:tc>
        <w:tc>
          <w:tcPr/>
          <w:p>
            <w:pPr>
              <w:pStyle w:val="Compact"/>
              <w:jc w:val="left"/>
            </w:pPr>
            <w:r>
              <w:t xml:space="preserve">667 persone con obesità senza diabete; 50 mg al giorno vs. placebo</w:t>
            </w:r>
          </w:p>
        </w:tc>
        <w:tc>
          <w:tcPr/>
          <w:p>
            <w:pPr>
              <w:pStyle w:val="Compact"/>
              <w:jc w:val="left"/>
            </w:pPr>
            <w:r>
              <w:t xml:space="preserve">68 settimane</w:t>
            </w:r>
          </w:p>
        </w:tc>
        <w:tc>
          <w:tcPr/>
          <w:p>
            <w:pPr>
              <w:pStyle w:val="Compact"/>
              <w:jc w:val="left"/>
            </w:pPr>
            <w:r>
              <w:t xml:space="preserve">−15,1% vs. −2,4%</w:t>
            </w:r>
          </w:p>
        </w:tc>
      </w:tr>
      <w:tr>
        <w:tc>
          <w:tcPr/>
          <w:p>
            <w:pPr>
              <w:pStyle w:val="Compact"/>
              <w:jc w:val="left"/>
            </w:pPr>
            <w:r>
              <w:t xml:space="preserve">OASIS 4 (Wharton 2025), PMID 40934115</w:t>
            </w:r>
          </w:p>
        </w:tc>
        <w:tc>
          <w:tcPr/>
          <w:p>
            <w:pPr>
              <w:pStyle w:val="Compact"/>
              <w:jc w:val="left"/>
            </w:pPr>
            <w:r>
              <w:t xml:space="preserve">307 persone; 25 mg al giorno vs. placebo</w:t>
            </w:r>
          </w:p>
        </w:tc>
        <w:tc>
          <w:tcPr/>
          <w:p>
            <w:pPr>
              <w:pStyle w:val="Compact"/>
              <w:jc w:val="left"/>
            </w:pPr>
            <w:r>
              <w:t xml:space="preserve">64 settimane</w:t>
            </w:r>
          </w:p>
        </w:tc>
        <w:tc>
          <w:tcPr/>
          <w:p>
            <w:pPr>
              <w:pStyle w:val="Compact"/>
              <w:jc w:val="left"/>
            </w:pPr>
            <w:r>
              <w:t xml:space="preserve">−13,6% vs. −2,2%</w:t>
            </w:r>
          </w:p>
        </w:tc>
      </w:tr>
    </w:tbl>
    <w:p>
      <w:pPr>
        <w:pStyle w:val="BodyText"/>
      </w:pPr>
      <w:r>
        <w:t xml:space="preserve">In questi studi le compresse hanno raggiunto valori simili a quelli dell’iniezione in STEP 1</w:t>
      </w:r>
      <w:r>
        <w:rPr>
          <w:rStyle w:val="FootnoteReference"/>
        </w:rPr>
        <w:footnoteReference w:id="428"/>
      </w:r>
      <w:r>
        <w:t xml:space="preserve">. Disturbi gastrointestinali si sono verificati nel 74–80%. La compressa da 25 mg di OASIS 4 è la base della compressa di Wegovy autorizzata negli Stati Uniti. Finora manca un confronto diretto con l’iniezione in un grande studio.</w:t>
      </w:r>
    </w:p>
    <w:bookmarkEnd w:id="429"/>
    <w:bookmarkStart w:id="432" w:name="bambini-e-adolescenti-2"/>
    <w:p>
      <w:pPr>
        <w:pStyle w:val="Heading4"/>
      </w:pPr>
      <w:r>
        <w:t xml:space="preserve">Bambini e adolescenti</w:t>
      </w:r>
    </w:p>
    <w:p>
      <w:pPr>
        <w:pStyle w:val="FirstParagraph"/>
      </w:pPr>
      <w:r>
        <w:t xml:space="preserve">In</w:t>
      </w:r>
      <w:r>
        <w:t xml:space="preserve"> </w:t>
      </w:r>
      <w:r>
        <w:rPr>
          <w:bCs/>
          <w:b/>
        </w:rPr>
        <w:t xml:space="preserve">STEP TEENS</w:t>
      </w:r>
      <w:r>
        <w:t xml:space="preserve">, con 201 adolescenti con obesità, l’indice di massa corporea (BMI) dopo 68 settimane è sceso del 16,1%, con placebo è salito dello 0,6%</w:t>
      </w:r>
      <w:r>
        <w:rPr>
          <w:rStyle w:val="FootnoteReference"/>
        </w:rPr>
        <w:footnoteReference w:id="430"/>
      </w:r>
      <w:r>
        <w:t xml:space="preserve">. Il 73% ha perso almeno il 5% del proprio peso, contro il 18% con placebo. Cinque adolescenti (4%) con semaglutide hanno sviluppato calcoli biliari, nessuno con placebo. È in corso uno studio con bambini dai 6 anni</w:t>
      </w:r>
      <w:r>
        <w:rPr>
          <w:rStyle w:val="FootnoteReference"/>
        </w:rPr>
        <w:footnoteReference w:id="431"/>
      </w:r>
      <w:r>
        <w:t xml:space="preserve">.</w:t>
      </w:r>
    </w:p>
    <w:bookmarkEnd w:id="432"/>
    <w:bookmarkStart w:id="434" w:name="X5b1656e595e60f19750a679cd9293c16321e61c"/>
    <w:p>
      <w:pPr>
        <w:pStyle w:val="Heading4"/>
      </w:pPr>
      <w:r>
        <w:t xml:space="preserve">SELECT: protezione cardiaca anche senza diabete</w:t>
      </w:r>
    </w:p>
    <w:p>
      <w:pPr>
        <w:pStyle w:val="FirstParagraph"/>
      </w:pPr>
      <w:r>
        <w:t xml:space="preserve">SELECT è stato una pietra miliare, perché ha mostrato per la prima volta che un farmaco per la riduzione del peso riduce infarti, ictus e decessi cardiovascolari nelle persone senza diabete.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SELECT (Lincoff 2023), PMID 37952131</w:t>
            </w:r>
          </w:p>
        </w:tc>
        <w:tc>
          <w:tcPr/>
          <w:p>
            <w:pPr>
              <w:pStyle w:val="Compact"/>
              <w:jc w:val="left"/>
            </w:pPr>
            <w:r>
              <w:t xml:space="preserve">17.604 persone in sovrappeso o con obesità e malattia cardiovascolare, senza diabete; 2,4 mg vs. placebo</w:t>
            </w:r>
          </w:p>
        </w:tc>
        <w:tc>
          <w:tcPr/>
          <w:p>
            <w:pPr>
              <w:pStyle w:val="Compact"/>
              <w:jc w:val="left"/>
            </w:pPr>
            <w:r>
              <w:t xml:space="preserve">osservazione media 39,8 mesi</w:t>
            </w:r>
          </w:p>
        </w:tc>
        <w:tc>
          <w:tcPr/>
          <w:p>
            <w:pPr>
              <w:pStyle w:val="Compact"/>
              <w:jc w:val="left"/>
            </w:pPr>
            <w:r>
              <w:t xml:space="preserve">Eventi cardiovascolari gravi 6,5% vs. 8,0%; HR 0,80 (0,72–0,90)</w:t>
            </w:r>
          </w:p>
        </w:tc>
      </w:tr>
    </w:tbl>
    <w:p>
      <w:pPr>
        <w:pStyle w:val="BodyText"/>
      </w:pPr>
      <w:r>
        <w:t xml:space="preserve">La riduzione relativa del rischio è stata del 20%</w:t>
      </w:r>
      <w:r>
        <w:rPr>
          <w:rStyle w:val="FootnoteReference"/>
        </w:rPr>
        <w:footnoteReference w:id="433"/>
      </w:r>
      <w:r>
        <w:t xml:space="preserve">. In numeri assoluti, in poco più di tre anni circa 1,5 trattati su cento hanno avuto un evento di questo tipo in meno. Colpiva l’elevato tasso di interruzione: il 16,6% ha terminato definitivamente il trattamento a causa di effetti collaterali, contro l’8,2% con placebo. Se il beneficio dipenda solo dalla perdita di peso o anche da effetti diretti su vasi e infiammazione non è stato definitivamente chiarito.</w:t>
      </w:r>
    </w:p>
    <w:bookmarkEnd w:id="434"/>
    <w:bookmarkStart w:id="436" w:name="flow-protezione-dei-reni"/>
    <w:p>
      <w:pPr>
        <w:pStyle w:val="Heading4"/>
      </w:pPr>
      <w:r>
        <w:t xml:space="preserve">FLOW: protezione dei reni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FLOW (Perkovic 2024), PMID 38785209</w:t>
            </w:r>
          </w:p>
        </w:tc>
        <w:tc>
          <w:tcPr/>
          <w:p>
            <w:pPr>
              <w:pStyle w:val="Compact"/>
              <w:jc w:val="left"/>
            </w:pPr>
            <w:r>
              <w:t xml:space="preserve">3.533 persone con diabete di tipo 2 e malattia renale cronica; 1,0 mg vs. placebo</w:t>
            </w:r>
          </w:p>
        </w:tc>
        <w:tc>
          <w:tcPr/>
          <w:p>
            <w:pPr>
              <w:pStyle w:val="Compact"/>
              <w:jc w:val="left"/>
            </w:pPr>
            <w:r>
              <w:t xml:space="preserve">mediana 3,4 anni (interrotto anticipatamente per efficacia)</w:t>
            </w:r>
          </w:p>
        </w:tc>
        <w:tc>
          <w:tcPr/>
          <w:p>
            <w:pPr>
              <w:pStyle w:val="Compact"/>
              <w:jc w:val="left"/>
            </w:pPr>
            <w:r>
              <w:t xml:space="preserve">Endpoint renale 331 vs. 410 eventi; HR 0,76; mortalità totale HR 0,80</w:t>
            </w:r>
          </w:p>
        </w:tc>
      </w:tr>
    </w:tbl>
    <w:p>
      <w:pPr>
        <w:pStyle w:val="BodyText"/>
      </w:pPr>
      <w:r>
        <w:t xml:space="preserve">FLOW</w:t>
      </w:r>
      <w:r>
        <w:rPr>
          <w:rStyle w:val="FootnoteReference"/>
        </w:rPr>
        <w:footnoteReference w:id="435"/>
      </w:r>
      <w:r>
        <w:t xml:space="preserve"> </w:t>
      </w:r>
      <w:r>
        <w:t xml:space="preserve">è stato il primo grande studio con un agonista del recettore del GLP-1 in cui l’obiettivo principale era un endpoint renale solido – insufficienza renale, forte perdita di funzione o morte per cause renali o cardiovascolari. È stato interrotto anticipatamente dopo un’analisi intermedia per chiara efficacia. La perdita annua di funzione renale (eGFR) era inferiore di 1,16 ml/min per 1,73 m² con semaglutide. Anche gli eventi cardiovascolari (HR 0,82) e la mortalità totale (HR 0,80) erano ridotti.</w:t>
      </w:r>
    </w:p>
    <w:bookmarkEnd w:id="436"/>
    <w:bookmarkStart w:id="442" w:name="X9c68d92fa33b730f51dc49a8f4b8331e924664c"/>
    <w:p>
      <w:pPr>
        <w:pStyle w:val="Heading4"/>
      </w:pPr>
      <w:r>
        <w:t xml:space="preserve">Altri organi: fegato, scompenso cardiaco, vasi, articolazioni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ESSENCE (Sanyal 2025), PMID 40305708</w:t>
            </w:r>
          </w:p>
        </w:tc>
        <w:tc>
          <w:tcPr/>
          <w:p>
            <w:pPr>
              <w:pStyle w:val="Compact"/>
              <w:jc w:val="left"/>
            </w:pPr>
            <w:r>
              <w:t xml:space="preserve">1.197 persone con steatoepatite (MASH) e fibrosi di stadio 2–3; analisi intermedia dei primi 800</w:t>
            </w:r>
          </w:p>
        </w:tc>
        <w:tc>
          <w:tcPr/>
          <w:p>
            <w:pPr>
              <w:pStyle w:val="Compact"/>
              <w:jc w:val="left"/>
            </w:pPr>
            <w:r>
              <w:t xml:space="preserve">72 settimane (prima parte)</w:t>
            </w:r>
          </w:p>
        </w:tc>
        <w:tc>
          <w:tcPr/>
          <w:p>
            <w:pPr>
              <w:pStyle w:val="Compact"/>
              <w:jc w:val="left"/>
            </w:pPr>
            <w:r>
              <w:t xml:space="preserve">Risoluzione dell’infiammazione 62,9% vs. 34,3%; meno fibrosi 36,8% vs. 22,4%</w:t>
            </w:r>
          </w:p>
        </w:tc>
      </w:tr>
      <w:tr>
        <w:tc>
          <w:tcPr/>
          <w:p>
            <w:pPr>
              <w:pStyle w:val="Compact"/>
              <w:jc w:val="left"/>
            </w:pPr>
            <w:r>
              <w:t xml:space="preserve">STEP-HFpEF (Kosiborod 2023), PMID 37622681</w:t>
            </w:r>
          </w:p>
        </w:tc>
        <w:tc>
          <w:tcPr/>
          <w:p>
            <w:pPr>
              <w:pStyle w:val="Compact"/>
              <w:jc w:val="left"/>
            </w:pPr>
            <w:r>
              <w:t xml:space="preserve">529 persone con scompenso cardiaco a funzione di pompa conservata e obesità; 2,4 mg vs. placebo</w:t>
            </w:r>
          </w:p>
        </w:tc>
        <w:tc>
          <w:tcPr/>
          <w:p>
            <w:pPr>
              <w:pStyle w:val="Compact"/>
              <w:jc w:val="left"/>
            </w:pPr>
            <w:r>
              <w:t xml:space="preserve">52 settimane</w:t>
            </w:r>
          </w:p>
        </w:tc>
        <w:tc>
          <w:tcPr/>
          <w:p>
            <w:pPr>
              <w:pStyle w:val="Compact"/>
              <w:jc w:val="left"/>
            </w:pPr>
            <w:r>
              <w:t xml:space="preserve">Punteggio dei sintomi +16,6 vs. +8,7 punti; distanza percorsa +21,5 vs. +1,2 m</w:t>
            </w:r>
          </w:p>
        </w:tc>
      </w:tr>
      <w:tr>
        <w:tc>
          <w:tcPr/>
          <w:p>
            <w:pPr>
              <w:pStyle w:val="Compact"/>
              <w:jc w:val="left"/>
            </w:pPr>
            <w:r>
              <w:t xml:space="preserve">STRIDE (Bonaca 2025), PMID 40169145</w:t>
            </w:r>
          </w:p>
        </w:tc>
        <w:tc>
          <w:tcPr/>
          <w:p>
            <w:pPr>
              <w:pStyle w:val="Compact"/>
              <w:jc w:val="left"/>
            </w:pPr>
            <w:r>
              <w:t xml:space="preserve">792 persone con claudicatio intermittens e diabete di tipo 2; 1,0 mg vs. placebo</w:t>
            </w:r>
          </w:p>
        </w:tc>
        <w:tc>
          <w:tcPr/>
          <w:p>
            <w:pPr>
              <w:pStyle w:val="Compact"/>
              <w:jc w:val="left"/>
            </w:pPr>
            <w:r>
              <w:t xml:space="preserve">52 settimane</w:t>
            </w:r>
          </w:p>
        </w:tc>
        <w:tc>
          <w:tcPr/>
          <w:p>
            <w:pPr>
              <w:pStyle w:val="Compact"/>
              <w:jc w:val="left"/>
            </w:pPr>
            <w:r>
              <w:t xml:space="preserve">distanza massima percorsa migliorata del 13% in più</w:t>
            </w:r>
          </w:p>
        </w:tc>
      </w:tr>
      <w:tr>
        <w:tc>
          <w:tcPr/>
          <w:p>
            <w:pPr>
              <w:pStyle w:val="Compact"/>
              <w:jc w:val="left"/>
            </w:pPr>
            <w:r>
              <w:t xml:space="preserve">STEP 9 (Bliddal 2024), PMID 39476339</w:t>
            </w:r>
          </w:p>
        </w:tc>
        <w:tc>
          <w:tcPr/>
          <w:p>
            <w:pPr>
              <w:pStyle w:val="Compact"/>
              <w:jc w:val="left"/>
            </w:pPr>
            <w:r>
              <w:t xml:space="preserve">407 persone con obesità e artrosi del ginocchio</w:t>
            </w:r>
          </w:p>
        </w:tc>
        <w:tc>
          <w:tcPr/>
          <w:p>
            <w:pPr>
              <w:pStyle w:val="Compact"/>
              <w:jc w:val="left"/>
            </w:pPr>
            <w:r>
              <w:t xml:space="preserve">68 settimane</w:t>
            </w:r>
          </w:p>
        </w:tc>
        <w:tc>
          <w:tcPr/>
          <w:p>
            <w:pPr>
              <w:pStyle w:val="Compact"/>
              <w:jc w:val="left"/>
            </w:pPr>
            <w:r>
              <w:t xml:space="preserve">Punteggio del dolore −41,7 vs. −27,5 punti; peso −13,7% vs. −3,2%</w:t>
            </w:r>
          </w:p>
        </w:tc>
      </w:tr>
    </w:tbl>
    <w:p>
      <w:pPr>
        <w:pStyle w:val="BodyText"/>
      </w:pPr>
      <w:r>
        <w:rPr>
          <w:bCs/>
          <w:b/>
        </w:rPr>
        <w:t xml:space="preserve">Fegato:</w:t>
      </w:r>
      <w:r>
        <w:t xml:space="preserve"> </w:t>
      </w:r>
      <w:r>
        <w:t xml:space="preserve">in ESSENCE</w:t>
      </w:r>
      <w:r>
        <w:rPr>
          <w:rStyle w:val="FootnoteReference"/>
        </w:rPr>
        <w:footnoteReference w:id="437"/>
      </w:r>
      <w:r>
        <w:t xml:space="preserve"> </w:t>
      </w:r>
      <w:r>
        <w:t xml:space="preserve">la steatoepatite nel campione di tessuto è regredita in quasi due terzi dei trattati, senza aumento della cicatrizzazione. Una riduzione della fibrosi – l’obiettivo clinicamente più importante – è stata raggiunta dal 36,8% contro il 22,4%. La seconda parte dello studio, con endpoint epatici solidi come la cirrosi, prosegue fino al 2029</w:t>
      </w:r>
      <w:r>
        <w:rPr>
          <w:rStyle w:val="FootnoteReference"/>
        </w:rPr>
        <w:footnoteReference w:id="438"/>
      </w:r>
      <w:r>
        <w:t xml:space="preserve">.</w:t>
      </w:r>
    </w:p>
    <w:p>
      <w:pPr>
        <w:pStyle w:val="BodyText"/>
      </w:pPr>
      <w:r>
        <w:rPr>
          <w:bCs/>
          <w:b/>
        </w:rPr>
        <w:t xml:space="preserve">Scompenso cardiaco:</w:t>
      </w:r>
      <w:r>
        <w:t xml:space="preserve"> </w:t>
      </w:r>
      <w:r>
        <w:t xml:space="preserve">nello scompenso cardiaco con funzione di pompa conservata e obesità, disturbi e capacità di sforzo sono migliorati nettamente</w:t>
      </w:r>
      <w:r>
        <w:rPr>
          <w:rStyle w:val="FootnoteReference"/>
        </w:rPr>
        <w:footnoteReference w:id="439"/>
      </w:r>
      <w:r>
        <w:t xml:space="preserve">. Gli eventi avversi gravi sono stati più rari con semaglutide (13,3% vs. 26,7%). Se la semaglutide riduca anche i ricoveri o i decessi per scompenso cardiaco non era l’obiettivo principale di questo studio.</w:t>
      </w:r>
    </w:p>
    <w:p>
      <w:pPr>
        <w:pStyle w:val="BodyText"/>
      </w:pPr>
      <w:r>
        <w:rPr>
          <w:bCs/>
          <w:b/>
        </w:rPr>
        <w:t xml:space="preserve">Claudicatio intermittens:</w:t>
      </w:r>
      <w:r>
        <w:t xml:space="preserve"> </w:t>
      </w:r>
      <w:r>
        <w:t xml:space="preserve">nell’arteriopatia obliterante periferica la semaglutide ha allungato la distanza massima percorsa</w:t>
      </w:r>
      <w:r>
        <w:rPr>
          <w:rStyle w:val="FootnoteReference"/>
        </w:rPr>
        <w:footnoteReference w:id="440"/>
      </w:r>
      <w:r>
        <w:t xml:space="preserve">.</w:t>
      </w:r>
    </w:p>
    <w:p>
      <w:pPr>
        <w:pStyle w:val="BodyText"/>
      </w:pPr>
      <w:r>
        <w:rPr>
          <w:bCs/>
          <w:b/>
        </w:rPr>
        <w:t xml:space="preserve">Artrosi del ginocchio:</w:t>
      </w:r>
      <w:r>
        <w:t xml:space="preserve"> </w:t>
      </w:r>
      <w:r>
        <w:t xml:space="preserve">in STEP 9</w:t>
      </w:r>
      <w:r>
        <w:rPr>
          <w:rStyle w:val="FootnoteReference"/>
        </w:rPr>
        <w:footnoteReference w:id="441"/>
      </w:r>
      <w:r>
        <w:t xml:space="preserve"> </w:t>
      </w:r>
      <w:r>
        <w:t xml:space="preserve">il dolore al ginocchio è diminuito più che con placebo. Se ciò dipenda solo dalla perdita di peso, lo studio lo lascia aperto.</w:t>
      </w:r>
    </w:p>
    <w:bookmarkEnd w:id="442"/>
    <w:bookmarkStart w:id="447" w:name="cervello-e-dipendenze"/>
    <w:p>
      <w:pPr>
        <w:pStyle w:val="Heading4"/>
      </w:pPr>
      <w:r>
        <w:t xml:space="preserve">Cervello e dipendenze</w:t>
      </w:r>
    </w:p>
    <w:p>
      <w:pPr>
        <w:pStyle w:val="FirstParagraph"/>
      </w:pPr>
      <w:r>
        <w:rPr>
          <w:bCs/>
          <w:b/>
        </w:rPr>
        <w:t xml:space="preserve">Malattia di Alzheimer:</w:t>
      </w:r>
      <w:r>
        <w:t xml:space="preserve"> </w:t>
      </w:r>
      <w:r>
        <w:t xml:space="preserve">la speranza che gli agonisti del recettore del GLP-1 potessero frenare il declino cognitivo si basava su esperimenti su animali e dati osservazionali. Novo Nordisk l’ha verificata in due grandi studi di fase 3, evoke ed evoke+, con complessivamente 3.808 persone con malattia di Alzheimer precoce, che per 104 settimane hanno ricevuto ogni giorno compresse di semaglutide o placebo</w:t>
      </w:r>
      <w:r>
        <w:rPr>
          <w:rStyle w:val="FootnoteReference"/>
        </w:rPr>
        <w:footnoteReference w:id="443"/>
      </w:r>
      <w:r>
        <w:t xml:space="preserve">. Il risultato è stato chiaramente negativo: la malattia è progredita con la stessa velocità in entrambi i gruppi (differenza sulla scala della demenza CDR-SB −0,08 e +0,10 punti, non significativa). La semaglutide come farmaco per l’Alzheimer è quindi, allo stato attuale, fallita; un commento sulla stessa rivista discute le conseguenze per il campo di ricerca</w:t>
      </w:r>
      <w:r>
        <w:rPr>
          <w:rStyle w:val="FootnoteReference"/>
        </w:rPr>
        <w:footnoteReference w:id="444"/>
      </w:r>
      <w:r>
        <w:t xml:space="preserve">.</w:t>
      </w:r>
    </w:p>
    <w:p>
      <w:pPr>
        <w:pStyle w:val="BodyText"/>
      </w:pPr>
      <w:r>
        <w:rPr>
          <w:bCs/>
          <w:b/>
        </w:rPr>
        <w:t xml:space="preserve">Alcol:</w:t>
      </w:r>
      <w:r>
        <w:t xml:space="preserve"> </w:t>
      </w:r>
      <w:r>
        <w:t xml:space="preserve">in un piccolo studio randomizzato con 48 persone con disturbo da uso di alcol, la semaglutide a basse dosi ha ridotto la quantità di alcol bevuta in un test di laboratorio, il desiderio di alcol e il numero di bevande nei giorni di consumo; il numero di giorni di consumo non è cambiato</w:t>
      </w:r>
      <w:r>
        <w:rPr>
          <w:rStyle w:val="FootnoteReference"/>
        </w:rPr>
        <w:footnoteReference w:id="445"/>
      </w:r>
      <w:r>
        <w:t xml:space="preserve">. In uno studio di registro svedese la semaglutide era associata a un rischio inferiore del 36% di ricoveri ospedalieri correlati all’alcol</w:t>
      </w:r>
      <w:r>
        <w:rPr>
          <w:rStyle w:val="FootnoteReference"/>
        </w:rPr>
        <w:footnoteReference w:id="446"/>
      </w:r>
      <w:r>
        <w:t xml:space="preserve">. Sono in corso studi randomizzati più grandi.</w:t>
      </w:r>
    </w:p>
    <w:bookmarkEnd w:id="447"/>
    <w:bookmarkEnd w:id="448"/>
    <w:bookmarkStart w:id="452" w:name="studi-su-animali-e-in-laboratorio-3"/>
    <w:p>
      <w:pPr>
        <w:pStyle w:val="Heading3"/>
      </w:pPr>
      <w:r>
        <w:t xml:space="preserve">Studi su animali e in laboratorio</w:t>
      </w:r>
    </w:p>
    <w:p>
      <w:pPr>
        <w:pStyle w:val="FirstParagraph"/>
      </w:pPr>
      <w:r>
        <w:t xml:space="preserve">La semaglutide è stata progettata in modo mirato a tavolino: tra numerose varianti gli sviluppatori hanno scelto quella con la migliore combinazione di legame all’albumina, effetto sul recettore e stabilità</w:t>
      </w:r>
      <w:r>
        <w:rPr>
          <w:rStyle w:val="FootnoteReference"/>
        </w:rPr>
        <w:footnoteReference w:id="449"/>
      </w:r>
      <w:r>
        <w:t xml:space="preserve">. L’emivita è stata determinata inizialmente nei minimaiali. L’assorbimento della compressa attraverso la mucosa gastrica è stato studiato nei cani e nell’uomo</w:t>
      </w:r>
      <w:r>
        <w:rPr>
          <w:rStyle w:val="FootnoteReference"/>
        </w:rPr>
        <w:footnoteReference w:id="450"/>
      </w:r>
      <w:r>
        <w:t xml:space="preserve">.</w:t>
      </w:r>
    </w:p>
    <w:p>
      <w:pPr>
        <w:pStyle w:val="BodyText"/>
      </w:pPr>
      <w:r>
        <w:t xml:space="preserve">Come per la liraglutide, esperimenti a lungo termine sui roditori hanno portato a tumori a cellule C della tiroide; la trasferibilità all’uomo è considerata dubbia a causa della bassa densità di recettori nelle cellule C umane</w:t>
      </w:r>
      <w:r>
        <w:rPr>
          <w:rStyle w:val="FootnoteReference"/>
        </w:rPr>
        <w:footnoteReference w:id="451"/>
      </w:r>
      <w:r>
        <w:t xml:space="preserve">. Gli esperimenti su animali su neuroprotezione, dipendenze e infiammazione hanno costituito la base degli studi sull’uomo descritti sopra – con esiti alterni, come mostra il fallimento di evoke.</w:t>
      </w:r>
    </w:p>
    <w:bookmarkEnd w:id="452"/>
    <w:bookmarkStart w:id="464" w:name="rischi-ed-effetti-collaterali-3"/>
    <w:p>
      <w:pPr>
        <w:pStyle w:val="Heading3"/>
      </w:pPr>
      <w:r>
        <w:t xml:space="preserve">Rischi ed effetti collaterali</w:t>
      </w:r>
    </w:p>
    <w:p>
      <w:pPr>
        <w:pStyle w:val="FirstParagraph"/>
      </w:pPr>
      <w:r>
        <w:rPr>
          <w:bCs/>
          <w:b/>
        </w:rPr>
        <w:t xml:space="preserve">Dimostrati da studi randomizzati:</w:t>
      </w:r>
    </w:p>
    <w:p>
      <w:pPr>
        <w:numPr>
          <w:ilvl w:val="0"/>
          <w:numId w:val="1055"/>
        </w:numPr>
        <w:pStyle w:val="Compact"/>
      </w:pPr>
      <w:r>
        <w:rPr>
          <w:bCs/>
          <w:b/>
        </w:rPr>
        <w:t xml:space="preserve">Disturbi gastrointestinali:</w:t>
      </w:r>
      <w:r>
        <w:t xml:space="preserve"> </w:t>
      </w:r>
      <w:r>
        <w:t xml:space="preserve">nausea, diarrea, vomito e stitichezza riguardano negli studi sull’obesità la maggioranza dei trattati, per lo più in forma lieve o moderata e transitoria, soprattutto durante l’aumento della dose</w:t>
      </w:r>
      <w:r>
        <w:rPr>
          <w:rStyle w:val="FootnoteReference"/>
        </w:rPr>
        <w:footnoteReference w:id="453"/>
      </w:r>
      <w:r>
        <w:t xml:space="preserve">. Sono il motivo più frequente di interruzione della terapia.</w:t>
      </w:r>
    </w:p>
    <w:p>
      <w:pPr>
        <w:numPr>
          <w:ilvl w:val="0"/>
          <w:numId w:val="1055"/>
        </w:numPr>
        <w:pStyle w:val="Compact"/>
      </w:pPr>
      <w:r>
        <w:rPr>
          <w:bCs/>
          <w:b/>
        </w:rPr>
        <w:t xml:space="preserve">Calcoli biliari e colecistite:</w:t>
      </w:r>
      <w:r>
        <w:t xml:space="preserve"> </w:t>
      </w:r>
      <w:r>
        <w:t xml:space="preserve">aumentati nella classe nel suo complesso, soprattutto a dosi alte e per la riduzione del peso</w:t>
      </w:r>
      <w:r>
        <w:rPr>
          <w:rStyle w:val="FootnoteReference"/>
        </w:rPr>
        <w:footnoteReference w:id="454"/>
      </w:r>
      <w:r>
        <w:t xml:space="preserve">; in STEP TEENS nel 4% degli adolescenti</w:t>
      </w:r>
      <w:r>
        <w:rPr>
          <w:rStyle w:val="FootnoteReference"/>
        </w:rPr>
        <w:footnoteReference w:id="455"/>
      </w:r>
      <w:r>
        <w:t xml:space="preserve">.</w:t>
      </w:r>
    </w:p>
    <w:p>
      <w:pPr>
        <w:numPr>
          <w:ilvl w:val="0"/>
          <w:numId w:val="1055"/>
        </w:numPr>
        <w:pStyle w:val="Compact"/>
      </w:pPr>
      <w:r>
        <w:rPr>
          <w:bCs/>
          <w:b/>
        </w:rPr>
        <w:t xml:space="preserve">Peggioramento di una retinopatia diabetica:</w:t>
      </w:r>
      <w:r>
        <w:t xml:space="preserve"> </w:t>
      </w:r>
      <w:r>
        <w:t xml:space="preserve">più frequente in SUSTAIN 6 (HR 1,76)</w:t>
      </w:r>
      <w:r>
        <w:rPr>
          <w:rStyle w:val="FootnoteReference"/>
        </w:rPr>
        <w:footnoteReference w:id="456"/>
      </w:r>
      <w:r>
        <w:t xml:space="preserve">. Si ipotizza che una riduzione molto rapida della glicemia in presenza di una retinopatia già esistente sia temporaneamente dannosa – un effetto noto anche con l’insulina. È in corso uno studio dedicato a questa domanda con 1.500 partecipanti</w:t>
      </w:r>
      <w:r>
        <w:rPr>
          <w:rStyle w:val="FootnoteReference"/>
        </w:rPr>
        <w:footnoteReference w:id="457"/>
      </w:r>
      <w:r>
        <w:t xml:space="preserve">. Le persone con retinopatia dovrebbero essere seguite dall’oculista.</w:t>
      </w:r>
    </w:p>
    <w:p>
      <w:pPr>
        <w:numPr>
          <w:ilvl w:val="0"/>
          <w:numId w:val="1055"/>
        </w:numPr>
        <w:pStyle w:val="Compact"/>
      </w:pPr>
      <w:r>
        <w:rPr>
          <w:bCs/>
          <w:b/>
        </w:rPr>
        <w:t xml:space="preserve">Perdita di massa muscolare:</w:t>
      </w:r>
      <w:r>
        <w:t xml:space="preserve"> </w:t>
      </w:r>
      <w:r>
        <w:t xml:space="preserve">con ogni forte perdita di peso si perde anche massa magra. Quanto ciò sia rilevante con la semaglutide, soprattutto nelle persone anziane, è ancora oggetto di studio; la Parte IV se ne occupa.</w:t>
      </w:r>
    </w:p>
    <w:p>
      <w:pPr>
        <w:pStyle w:val="FirstParagraph"/>
      </w:pPr>
      <w:r>
        <w:rPr>
          <w:bCs/>
          <w:b/>
        </w:rPr>
        <w:t xml:space="preserve">Dati osservazionali e segnali:</w:t>
      </w:r>
    </w:p>
    <w:p>
      <w:pPr>
        <w:numPr>
          <w:ilvl w:val="0"/>
          <w:numId w:val="1056"/>
        </w:numPr>
        <w:pStyle w:val="Compact"/>
      </w:pPr>
      <w:r>
        <w:rPr>
          <w:bCs/>
          <w:b/>
        </w:rPr>
        <w:t xml:space="preserve">NAION (disturbo della circolazione del nervo ottico):</w:t>
      </w:r>
      <w:r>
        <w:t xml:space="preserve"> </w:t>
      </w:r>
      <w:r>
        <w:t xml:space="preserve">nel 2024 uno studio statunitense di una clinica oculistica ha riferito un rischio nettamente aumentato di neuropatia ottica ischemica anteriore non arteritica, una perdita improvvisa della vista, per lo più indolore, in un occhio</w:t>
      </w:r>
      <w:r>
        <w:rPr>
          <w:rStyle w:val="FootnoteReference"/>
        </w:rPr>
        <w:footnoteReference w:id="458"/>
      </w:r>
      <w:r>
        <w:t xml:space="preserve">. In questo studio l’hazard ratio era 4,28 (diabete) e 7,64 (obesità), ma con numeri di casi molto piccoli. Uno studio di registro danese-norvegese con oltre 60.000 persone con diabete di tipo 2 ha confermato un rischio relativo aumentato (HR 2,81), con un rischio assoluto basso: circa 1,4 casi aggiuntivi per 10.000 anni-persona</w:t>
      </w:r>
      <w:r>
        <w:rPr>
          <w:rStyle w:val="FootnoteReference"/>
        </w:rPr>
        <w:footnoteReference w:id="459"/>
      </w:r>
      <w:r>
        <w:t xml:space="preserve">. Una meta-analisi del 2026 ha trovato il segnale solo negli studi osservazionali nel diabete (HR 1,85), non negli studi randomizzati né nell’obesità</w:t>
      </w:r>
      <w:r>
        <w:rPr>
          <w:rStyle w:val="FootnoteReference"/>
        </w:rPr>
        <w:footnoteReference w:id="460"/>
      </w:r>
      <w:r>
        <w:t xml:space="preserve">. Nel 2025 l’Agenzia europea per i medicinali ha inserito la NAION come effetto collaterale molto raro nel Riassunto delle caratteristiche del prodotto. Chi durante il trattamento con semaglutide vede improvvisamente peggio dovrebbe cercare immediatamente assistenza medica.</w:t>
      </w:r>
    </w:p>
    <w:p>
      <w:pPr>
        <w:numPr>
          <w:ilvl w:val="0"/>
          <w:numId w:val="1056"/>
        </w:numPr>
        <w:pStyle w:val="Compact"/>
      </w:pPr>
      <w:r>
        <w:rPr>
          <w:bCs/>
          <w:b/>
        </w:rPr>
        <w:t xml:space="preserve">Pancreatite e occlusione intestinale:</w:t>
      </w:r>
      <w:r>
        <w:t xml:space="preserve"> </w:t>
      </w:r>
      <w:r>
        <w:t xml:space="preserve">un’analisi di dati assicurativi ha rilevato con gli agonisti del recettore del GLP-1 usati per perdere peso un rischio aumentato di pancreatite, occlusione intestinale e gastroparesi</w:t>
      </w:r>
      <w:r>
        <w:rPr>
          <w:rStyle w:val="FootnoteReference"/>
        </w:rPr>
        <w:footnoteReference w:id="461"/>
      </w:r>
      <w:r>
        <w:t xml:space="preserve">. Nei grandi studi randomizzati la pancreatite è stata rara. Il Riassunto delle caratteristiche del prodotto la indica come possibile effetto collaterale.</w:t>
      </w:r>
    </w:p>
    <w:p>
      <w:pPr>
        <w:numPr>
          <w:ilvl w:val="0"/>
          <w:numId w:val="1056"/>
        </w:numPr>
        <w:pStyle w:val="Compact"/>
      </w:pPr>
      <w:r>
        <w:rPr>
          <w:bCs/>
          <w:b/>
        </w:rPr>
        <w:t xml:space="preserve">Cancro della tiroide:</w:t>
      </w:r>
      <w:r>
        <w:t xml:space="preserve"> </w:t>
      </w:r>
      <w:r>
        <w:t xml:space="preserve">segnale in studi osservazionali e meta-analisi per la classe</w:t>
      </w:r>
      <w:r>
        <w:rPr>
          <w:rStyle w:val="FootnoteReference"/>
        </w:rPr>
        <w:footnoteReference w:id="462"/>
      </w:r>
      <w:r>
        <w:t xml:space="preserve">; vedi capitolo Liraglutide.</w:t>
      </w:r>
    </w:p>
    <w:p>
      <w:pPr>
        <w:numPr>
          <w:ilvl w:val="0"/>
          <w:numId w:val="1056"/>
        </w:numPr>
        <w:pStyle w:val="Compact"/>
      </w:pPr>
      <w:r>
        <w:rPr>
          <w:bCs/>
          <w:b/>
        </w:rPr>
        <w:t xml:space="preserve">Effetti collaterali psichici:</w:t>
      </w:r>
      <w:r>
        <w:t xml:space="preserve"> </w:t>
      </w:r>
      <w:r>
        <w:t xml:space="preserve">dopo segnalazioni di pensieri suicidari, nel 2023/2024 le autorità hanno svolto verifiche senza trovare prove di un rapporto causale. In una grande coorte statunitense con 240.618 persone in sovrappeso, la semaglutide era addirittura associata a meno pensieri suicidari di nuova insorgenza rispetto ad altri farmaci per la riduzione del peso</w:t>
      </w:r>
      <w:r>
        <w:rPr>
          <w:rStyle w:val="FootnoteReference"/>
        </w:rPr>
        <w:footnoteReference w:id="463"/>
      </w:r>
      <w:r>
        <w:t xml:space="preserve">. I dati osservazionali non possono escludere con certezza le distorsioni.</w:t>
      </w:r>
    </w:p>
    <w:p>
      <w:pPr>
        <w:pStyle w:val="FirstParagraph"/>
      </w:pPr>
      <w:r>
        <w:rPr>
          <w:bCs/>
          <w:b/>
        </w:rPr>
        <w:t xml:space="preserve">Indicazioni per la pratica:</w:t>
      </w:r>
      <w:r>
        <w:t xml:space="preserve"> </w:t>
      </w:r>
      <w:r>
        <w:t xml:space="preserve">la semaglutide non è indicata in gravidanza; il Riassunto delle caratteristiche del prodotto raccomanda di sospenderla per tempo prima di una gravidanza pianificata. A causa del rallentato svuotamento gastrico, durante le anestesie può esserci un rischio aumentato che il contenuto gastrico finisca nei polmoni; i trattati dovrebbero segnalarlo prima di interventi chirurgici e gastroscopie. Per uso, aumento della dose e controindicazioni fanno fede il Riassunto delle caratteristiche del prodotto e l’accompagnamento medico.</w:t>
      </w:r>
    </w:p>
    <w:bookmarkEnd w:id="464"/>
    <w:bookmarkStart w:id="468" w:name="X866e778bcc319355388a4405a05957c7b336427"/>
    <w:p>
      <w:pPr>
        <w:pStyle w:val="Heading3"/>
      </w:pPr>
      <w:r>
        <w:t xml:space="preserve">Mercato grigio, compounding e contraffazioni</w:t>
      </w:r>
    </w:p>
    <w:p>
      <w:pPr>
        <w:pStyle w:val="FirstParagraph"/>
      </w:pPr>
      <w:r>
        <w:t xml:space="preserve">Nessun altro peptide di questo libro viene procurato così spesso al di fuori dei canali regolari come la semaglutide. Dal 2022 la domanda ha superato per anni l’offerta. Occorre distinguere tre problemi.</w:t>
      </w:r>
    </w:p>
    <w:p>
      <w:pPr>
        <w:pStyle w:val="BodyText"/>
      </w:pPr>
      <w:r>
        <w:rPr>
          <w:bCs/>
          <w:b/>
        </w:rPr>
        <w:t xml:space="preserve">Compounding (Stati Uniti):</w:t>
      </w:r>
      <w:r>
        <w:t xml:space="preserve"> </w:t>
      </w:r>
      <w:r>
        <w:t xml:space="preserve">durante le carenze ufficiali, le farmacie statunitensi potevano produrre semaglutide in proprio („compounding“), spesso come polvere o soluzione in flaconcini, in parte con altre forme saline del principio attivo. Dopo la fine della carenza, la FDA ha fortemente limitato questa pratica. Una serie di casi di un centro antiveleni ha descritto sovradosaggi di dieci volte, perché i pazienti maneggiavano siringhe e flaconcini invece di penne preriempite e confondevano millilitri, unità e milligrammi</w:t>
      </w:r>
      <w:r>
        <w:rPr>
          <w:rStyle w:val="FootnoteReference"/>
        </w:rPr>
        <w:footnoteReference w:id="465"/>
      </w:r>
      <w:r>
        <w:t xml:space="preserve">. In un’analisi della banca dati statunitense degli effetti collaterali, per i prodotti allestiti in farmacia le segnalazioni di errori di produzione, contaminazione e ricoveri ospedalieri erano sproporzionatamente frequenti</w:t>
      </w:r>
      <w:r>
        <w:rPr>
          <w:rStyle w:val="FootnoteReference"/>
        </w:rPr>
        <w:footnoteReference w:id="466"/>
      </w:r>
      <w:r>
        <w:t xml:space="preserve">.</w:t>
      </w:r>
    </w:p>
    <w:p>
      <w:pPr>
        <w:pStyle w:val="BodyText"/>
      </w:pPr>
      <w:r>
        <w:rPr>
          <w:bCs/>
          <w:b/>
        </w:rPr>
        <w:t xml:space="preserve">Negozi online illegali:</w:t>
      </w:r>
      <w:r>
        <w:t xml:space="preserve"> </w:t>
      </w:r>
      <w:r>
        <w:t xml:space="preserve">in un’indagine di mercato il 42,3% dei link a farmacie online trovati portava a venditori illegali che vendevano semaglutide senza ricetta</w:t>
      </w:r>
      <w:r>
        <w:rPr>
          <w:rStyle w:val="FootnoteReference"/>
        </w:rPr>
        <w:footnoteReference w:id="467"/>
      </w:r>
      <w:r>
        <w:t xml:space="preserve">. Negli acquisti di prova le penne di Ozempic ordinate non sono mai arrivate. I flaconcini consegnati contenevano sì semaglutide, ma la purezza era solo dal 7,7% al 14,37% invece del 99% dichiarato, e in tutti i campioni sono state rilevate endotossine (componenti di batteri che possono provocare febbre e infiammazioni).</w:t>
      </w:r>
    </w:p>
    <w:p>
      <w:pPr>
        <w:pStyle w:val="BodyText"/>
      </w:pPr>
      <w:r>
        <w:rPr>
          <w:bCs/>
          <w:b/>
        </w:rPr>
        <w:t xml:space="preserve">Contraffazioni:</w:t>
      </w:r>
      <w:r>
        <w:t xml:space="preserve"> </w:t>
      </w:r>
      <w:r>
        <w:t xml:space="preserve">penne di Ozempic contraffatte sono comparse in Europa e negli Stati Uniti, in parte riempite di insulina o prive di principio attivo; le autorità per i farmaci e l’Organizzazione mondiale della sanità hanno lanciato più volte avvertimenti. Informazioni generali sui prodotti del mercato grigio si trovano nella Parte I e nella Parte IV. Sicura è solo la via regolare: prescrizione medica e dispensazione in farmacia.</w:t>
      </w:r>
    </w:p>
    <w:bookmarkEnd w:id="468"/>
    <w:bookmarkStart w:id="469" w:name="quadro-normativo-3"/>
    <w:p>
      <w:pPr>
        <w:pStyle w:val="Heading3"/>
      </w:pPr>
      <w:r>
        <w:t xml:space="preserve">Quadro normativo</w:t>
      </w:r>
    </w:p>
    <w:p>
      <w:pPr>
        <w:numPr>
          <w:ilvl w:val="0"/>
          <w:numId w:val="1057"/>
        </w:numPr>
        <w:pStyle w:val="Compact"/>
      </w:pPr>
      <w:r>
        <w:rPr>
          <w:bCs/>
          <w:b/>
        </w:rPr>
        <w:t xml:space="preserve">UE:</w:t>
      </w:r>
      <w:r>
        <w:t xml:space="preserve"> </w:t>
      </w:r>
      <w:r>
        <w:t xml:space="preserve">Ozempic (2018), Rybelsus (2020) e Wegovy (2022) sono autorizzati con procedura centralizzata e soggetti a prescrizione. Wegovy è autorizzato per la gestione del peso negli adulti e negli adolescenti dai 12 anni; il Riassunto delle caratteristiche del prodotto contiene ormai anche informazioni sulla riduzione del rischio cardiovascolare tratte da SELECT.</w:t>
      </w:r>
    </w:p>
    <w:p>
      <w:pPr>
        <w:numPr>
          <w:ilvl w:val="0"/>
          <w:numId w:val="1057"/>
        </w:numPr>
        <w:pStyle w:val="Compact"/>
      </w:pPr>
      <w:r>
        <w:rPr>
          <w:bCs/>
          <w:b/>
        </w:rPr>
        <w:t xml:space="preserve">Germania:</w:t>
      </w:r>
      <w:r>
        <w:t xml:space="preserve"> </w:t>
      </w:r>
      <w:r>
        <w:t xml:space="preserve">Ozempic e Rybelsus vengono rimborsati nel diabete di tipo 2. Wegovy è considerato un farmaco per la riduzione del peso ed è in linea di principio escluso dal rimborso dell’assicurazione sanitaria obbligatoria ai sensi del § 34 SGB V; una modifica è oggetto di dibattito politico. La prescrizione di Ozempic per la sola perdita di peso è off-label ed è stata espressamente criticata dalle autorità durante le carenze.</w:t>
      </w:r>
    </w:p>
    <w:p>
      <w:pPr>
        <w:numPr>
          <w:ilvl w:val="0"/>
          <w:numId w:val="1057"/>
        </w:numPr>
        <w:pStyle w:val="Compact"/>
      </w:pPr>
      <w:r>
        <w:rPr>
          <w:bCs/>
          <w:b/>
        </w:rPr>
        <w:t xml:space="preserve">Austria:</w:t>
      </w:r>
      <w:r>
        <w:t xml:space="preserve"> </w:t>
      </w:r>
      <w:r>
        <w:t xml:space="preserve">soggetta a prescrizione; copertura dei costi per la gestione del peso solo limitata (da verificare).</w:t>
      </w:r>
    </w:p>
    <w:p>
      <w:pPr>
        <w:numPr>
          <w:ilvl w:val="0"/>
          <w:numId w:val="1057"/>
        </w:numPr>
        <w:pStyle w:val="Compact"/>
      </w:pPr>
      <w:r>
        <w:rPr>
          <w:bCs/>
          <w:b/>
        </w:rPr>
        <w:t xml:space="preserve">USA:</w:t>
      </w:r>
      <w:r>
        <w:t xml:space="preserve"> </w:t>
      </w:r>
      <w:r>
        <w:t xml:space="preserve">Ozempic, Rybelsus e Wegovy (iniezione e compressa) autorizzati, con indicazioni estese a cuore, reni e MASH.</w:t>
      </w:r>
    </w:p>
    <w:p>
      <w:pPr>
        <w:numPr>
          <w:ilvl w:val="0"/>
          <w:numId w:val="1057"/>
        </w:numPr>
        <w:pStyle w:val="Compact"/>
      </w:pPr>
      <w:r>
        <w:rPr>
          <w:bCs/>
          <w:b/>
        </w:rPr>
        <w:t xml:space="preserve">Brevetti e generici:</w:t>
      </w:r>
      <w:r>
        <w:t xml:space="preserve"> </w:t>
      </w:r>
      <w:r>
        <w:t xml:space="preserve">in diversi grandi mercati al di fuori di UE e Stati Uniti – tra cui Canada, Cina, India e Brasile – la protezione brevettuale della semaglutide scade nel 2026; lì i primi preparati di imitazione sono annunciati o già sul mercato. Nell’UE e negli Stati Uniti i generici sono attesi solo intorno al 2031/2032. Maggiori informazioni nella Parte V.</w:t>
      </w:r>
    </w:p>
    <w:p>
      <w:pPr>
        <w:numPr>
          <w:ilvl w:val="0"/>
          <w:numId w:val="1057"/>
        </w:numPr>
        <w:pStyle w:val="Compact"/>
      </w:pPr>
      <w:r>
        <w:rPr>
          <w:bCs/>
          <w:b/>
        </w:rPr>
        <w:t xml:space="preserve">Sport (WADA):</w:t>
      </w:r>
      <w:r>
        <w:t xml:space="preserve"> </w:t>
      </w:r>
      <w:r>
        <w:t xml:space="preserve">non elencata (aggiornato al 2026, da verificare).</w:t>
      </w:r>
    </w:p>
    <w:bookmarkEnd w:id="469"/>
    <w:bookmarkStart w:id="475" w:name="studi-in-corso-e-prospettive-3"/>
    <w:p>
      <w:pPr>
        <w:pStyle w:val="Heading3"/>
      </w:pPr>
      <w:r>
        <w:t xml:space="preserve">Studi in corso e prospettive</w:t>
      </w:r>
    </w:p>
    <w:p>
      <w:pPr>
        <w:pStyle w:val="FirstParagraph"/>
      </w:pPr>
      <w:r>
        <w:rPr>
          <w:bCs/>
          <w:b/>
        </w:rPr>
        <w:t xml:space="preserve">Accertato (studi registrati):</w:t>
      </w:r>
      <w:r>
        <w:t xml:space="preserve"> </w:t>
      </w:r>
      <w:r>
        <w:t xml:space="preserve">delle 793 voci di registro una gran parte riguarda combinazioni e successori. Esempi:</w:t>
      </w:r>
    </w:p>
    <w:p>
      <w:pPr>
        <w:numPr>
          <w:ilvl w:val="0"/>
          <w:numId w:val="1058"/>
        </w:numPr>
        <w:pStyle w:val="Compact"/>
      </w:pPr>
      <w:r>
        <w:rPr>
          <w:bCs/>
          <w:b/>
        </w:rPr>
        <w:t xml:space="preserve">Occhi:</w:t>
      </w:r>
      <w:r>
        <w:t xml:space="preserve"> </w:t>
      </w:r>
      <w:r>
        <w:t xml:space="preserve">uno studio con 1.500 partecipanti esamina in modo mirato l’effetto sulla retinopatia diabetica</w:t>
      </w:r>
      <w:r>
        <w:rPr>
          <w:rStyle w:val="FootnoteReference"/>
        </w:rPr>
        <w:footnoteReference w:id="470"/>
      </w:r>
      <w:r>
        <w:t xml:space="preserve">.</w:t>
      </w:r>
    </w:p>
    <w:p>
      <w:pPr>
        <w:numPr>
          <w:ilvl w:val="0"/>
          <w:numId w:val="1058"/>
        </w:numPr>
        <w:pStyle w:val="Compact"/>
      </w:pPr>
      <w:r>
        <w:rPr>
          <w:bCs/>
          <w:b/>
        </w:rPr>
        <w:t xml:space="preserve">Fegato:</w:t>
      </w:r>
      <w:r>
        <w:t xml:space="preserve"> </w:t>
      </w:r>
      <w:r>
        <w:t xml:space="preserve">la seconda parte di ESSENCE, con 1.205 partecipanti, dovrà chiarire se la semaglutide prevenga la cirrosi epatica e le complicanze epatiche</w:t>
      </w:r>
      <w:r>
        <w:rPr>
          <w:rStyle w:val="FootnoteReference"/>
        </w:rPr>
        <w:footnoteReference w:id="471"/>
      </w:r>
      <w:r>
        <w:t xml:space="preserve">.</w:t>
      </w:r>
    </w:p>
    <w:p>
      <w:pPr>
        <w:numPr>
          <w:ilvl w:val="0"/>
          <w:numId w:val="1058"/>
        </w:numPr>
        <w:pStyle w:val="Compact"/>
      </w:pPr>
      <w:r>
        <w:rPr>
          <w:bCs/>
          <w:b/>
        </w:rPr>
        <w:t xml:space="preserve">Bambini:</w:t>
      </w:r>
      <w:r>
        <w:t xml:space="preserve"> </w:t>
      </w:r>
      <w:r>
        <w:t xml:space="preserve">è in corso uno studio con 212 bambini e adolescenti</w:t>
      </w:r>
      <w:r>
        <w:rPr>
          <w:rStyle w:val="FootnoteReference"/>
        </w:rPr>
        <w:footnoteReference w:id="472"/>
      </w:r>
      <w:r>
        <w:t xml:space="preserve">.</w:t>
      </w:r>
    </w:p>
    <w:p>
      <w:pPr>
        <w:numPr>
          <w:ilvl w:val="0"/>
          <w:numId w:val="1058"/>
        </w:numPr>
        <w:pStyle w:val="Compact"/>
      </w:pPr>
      <w:r>
        <w:rPr>
          <w:bCs/>
          <w:b/>
        </w:rPr>
        <w:t xml:space="preserve">Compressa:</w:t>
      </w:r>
      <w:r>
        <w:t xml:space="preserve"> </w:t>
      </w:r>
      <w:r>
        <w:t xml:space="preserve">sono stati avviati ulteriori studi di fase 3 sulla compressa nell’obesità</w:t>
      </w:r>
      <w:r>
        <w:rPr>
          <w:rStyle w:val="FootnoteReference"/>
        </w:rPr>
        <w:footnoteReference w:id="473"/>
      </w:r>
      <w:r>
        <w:t xml:space="preserve">.</w:t>
      </w:r>
    </w:p>
    <w:p>
      <w:pPr>
        <w:numPr>
          <w:ilvl w:val="0"/>
          <w:numId w:val="1058"/>
        </w:numPr>
        <w:pStyle w:val="Compact"/>
      </w:pPr>
      <w:r>
        <w:rPr>
          <w:bCs/>
          <w:b/>
        </w:rPr>
        <w:t xml:space="preserve">Combinazione CagriSema:</w:t>
      </w:r>
      <w:r>
        <w:t xml:space="preserve"> </w:t>
      </w:r>
      <w:r>
        <w:t xml:space="preserve">la semaglutide in combinazione fissa con l’analogo dell’amilina cagrilintide viene valutata in uno studio cardiovascolare con 7.101 partecipanti</w:t>
      </w:r>
      <w:r>
        <w:rPr>
          <w:rStyle w:val="FootnoteReference"/>
        </w:rPr>
        <w:footnoteReference w:id="474"/>
      </w:r>
      <w:r>
        <w:t xml:space="preserve">; dettagli nel capitolo Cagrilintide/CagriSema.</w:t>
      </w:r>
    </w:p>
    <w:p>
      <w:pPr>
        <w:pStyle w:val="FirstParagraph"/>
      </w:pPr>
      <w:r>
        <w:rPr>
          <w:bCs/>
          <w:b/>
        </w:rPr>
        <w:t xml:space="preserve">Valutazione:</w:t>
      </w:r>
      <w:r>
        <w:t xml:space="preserve"> </w:t>
      </w:r>
      <w:r>
        <w:t xml:space="preserve">nei prossimi anni la semaglutide sarà messa sotto pressione da due lati – da successori più efficaci come tirzepatide, CagriSema o retatrutide e dai generici in grandi mercati. Al tempo stesso è il principio attivo con la base di prove più ampia per endpoint solidi (cuore, reni, fegato). La forma in compresse potrebbe ampliare notevolmente l’accesso. Gli studi falliti sull’Alzheimer mostrano che non tutte le speranze derivate da esperimenti su animali e dati osservazionali reggono.</w:t>
      </w:r>
    </w:p>
    <w:bookmarkEnd w:id="475"/>
    <w:bookmarkStart w:id="476" w:name="conclusione-3"/>
    <w:p>
      <w:pPr>
        <w:pStyle w:val="Heading3"/>
      </w:pPr>
      <w:r>
        <w:t xml:space="preserve">Conclusione</w:t>
      </w:r>
    </w:p>
    <w:p>
      <w:pPr>
        <w:pStyle w:val="FirstParagraph"/>
      </w:pPr>
      <w:r>
        <w:t xml:space="preserve">La semaglutide è l’agonista del recettore del GLP-1 studiato in modo più completo e nei confronti diretti ha superato exenatide, liraglutide e dulaglutide. Alla dose di 2,4 mg alla settimana le persone con obesità in STEP 1 hanno perso in media il 14,9% del proprio peso; dopo la sospensione gran parte del peso ritorna. Grandi studi di esito hanno mostrato una riduzione degli eventi cardiovascolari gravi – anche senza diabete (SELECT, 20%) – nonché una protezione dei reni (FLOW) e miglioramenti nella steatoepatite. Gli effetti collaterali frequenti riguardano il tratto gastrointestinale e la colecisti; segnali rari come la NAION continuano a essere osservati, mentre gli studi sull’Alzheimer non hanno mostrato alcun beneficio. I prodotti del mercato grigio comportano rischi considerevoli – il trattamento va affidato al medico e alla farmacia.</w:t>
      </w:r>
    </w:p>
    <w:bookmarkEnd w:id="476"/>
    <w:bookmarkEnd w:id="477"/>
    <w:bookmarkStart w:id="537" w:name="tirzepatide"/>
    <w:p>
      <w:pPr>
        <w:pStyle w:val="Heading2"/>
      </w:pPr>
      <w:r>
        <w:t xml:space="preserve">Tirzepatide</w:t>
      </w:r>
    </w:p>
    <w:bookmarkStart w:id="478" w:name="scheda-4"/>
    <w:p>
      <w:pPr>
        <w:pStyle w:val="Heading3"/>
      </w:pPr>
      <w:r>
        <w:t xml:space="preserve">Scheda</w:t>
      </w:r>
    </w:p>
    <w:p>
      <w:pPr>
        <w:numPr>
          <w:ilvl w:val="0"/>
          <w:numId w:val="1059"/>
        </w:numPr>
        <w:pStyle w:val="Compact"/>
      </w:pPr>
      <w:r>
        <w:rPr>
          <w:bCs/>
          <w:b/>
        </w:rPr>
        <w:t xml:space="preserve">Tipo/struttura:</w:t>
      </w:r>
      <w:r>
        <w:t xml:space="preserve"> </w:t>
      </w:r>
      <w:r>
        <w:t xml:space="preserve">peptide di sintesi la cui struttura di base riprende l’ormone intestinale endogeno GIP; una catena di acido grasso legata lo fissa nel sangue all’albumina e ne prolunga la durata d’azione al punto che basta un’iniezione alla settimana.</w:t>
      </w:r>
    </w:p>
    <w:p>
      <w:pPr>
        <w:numPr>
          <w:ilvl w:val="0"/>
          <w:numId w:val="1059"/>
        </w:numPr>
        <w:pStyle w:val="Compact"/>
      </w:pPr>
      <w:r>
        <w:rPr>
          <w:bCs/>
          <w:b/>
        </w:rPr>
        <w:t xml:space="preserve">Origine:</w:t>
      </w:r>
      <w:r>
        <w:t xml:space="preserve"> </w:t>
      </w:r>
      <w:r>
        <w:t xml:space="preserve">sviluppata da Eli Lilly, negli studi iniziali indicata con il codice LY3298176.</w:t>
      </w:r>
    </w:p>
    <w:p>
      <w:pPr>
        <w:numPr>
          <w:ilvl w:val="0"/>
          <w:numId w:val="1059"/>
        </w:numPr>
        <w:pStyle w:val="Compact"/>
      </w:pPr>
      <w:r>
        <w:rPr>
          <w:bCs/>
          <w:b/>
        </w:rPr>
        <w:t xml:space="preserve">Meccanismo d’azione:</w:t>
      </w:r>
      <w:r>
        <w:t xml:space="preserve"> </w:t>
      </w:r>
      <w:r>
        <w:t xml:space="preserve">doppio agonista (attivatore) di due recettori: il recettore del GIP e il recettore del GLP-1. Per questo è chiamata anche „twincretin“ o „agonista incretinico duale“.</w:t>
      </w:r>
    </w:p>
    <w:p>
      <w:pPr>
        <w:numPr>
          <w:ilvl w:val="0"/>
          <w:numId w:val="1059"/>
        </w:numPr>
        <w:pStyle w:val="Compact"/>
      </w:pPr>
      <w:r>
        <w:rPr>
          <w:bCs/>
          <w:b/>
        </w:rPr>
        <w:t xml:space="preserve">Autorizzazione UE:</w:t>
      </w:r>
      <w:r>
        <w:t xml:space="preserve"> </w:t>
      </w:r>
      <w:r>
        <w:t xml:space="preserve">sì (Mounjaro) per il diabete di tipo 2 e per la gestione del peso nell’obesità e nel sovrappeso con comorbidità.</w:t>
      </w:r>
    </w:p>
    <w:p>
      <w:pPr>
        <w:numPr>
          <w:ilvl w:val="0"/>
          <w:numId w:val="1059"/>
        </w:numPr>
        <w:pStyle w:val="Compact"/>
      </w:pPr>
      <w:r>
        <w:rPr>
          <w:bCs/>
          <w:b/>
        </w:rPr>
        <w:t xml:space="preserve">Autorizzazione USA:</w:t>
      </w:r>
      <w:r>
        <w:t xml:space="preserve"> </w:t>
      </w:r>
      <w:r>
        <w:t xml:space="preserve">sì (Mounjaro per il diabete di tipo 2; Zepbound per l’obesità e per l’apnea ostruttiva del sonno da moderata a grave nell’obesità).</w:t>
      </w:r>
    </w:p>
    <w:p>
      <w:pPr>
        <w:numPr>
          <w:ilvl w:val="0"/>
          <w:numId w:val="1059"/>
        </w:numPr>
        <w:pStyle w:val="Compact"/>
      </w:pPr>
      <w:r>
        <w:rPr>
          <w:bCs/>
          <w:b/>
        </w:rPr>
        <w:t xml:space="preserve">WADA:</w:t>
      </w:r>
      <w:r>
        <w:t xml:space="preserve"> </w:t>
      </w:r>
      <w:r>
        <w:t xml:space="preserve">non figura nella Lista delle sostanze proibite.</w:t>
      </w:r>
    </w:p>
    <w:p>
      <w:pPr>
        <w:numPr>
          <w:ilvl w:val="0"/>
          <w:numId w:val="1059"/>
        </w:numPr>
        <w:pStyle w:val="Compact"/>
      </w:pPr>
      <w:r>
        <w:rPr>
          <w:bCs/>
          <w:b/>
        </w:rPr>
        <w:t xml:space="preserve">Livello di evidenza:</w:t>
      </w:r>
      <w:r>
        <w:t xml:space="preserve"> </w:t>
      </w:r>
      <w:r>
        <w:rPr>
          <w:bCs/>
          <w:b/>
        </w:rPr>
        <w:t xml:space="preserve">A</w:t>
      </w:r>
      <w:r>
        <w:t xml:space="preserve"> </w:t>
      </w:r>
      <w:r>
        <w:t xml:space="preserve">– numerosi grandi studi randomizzati, studi di esito su cuore e scompenso cardiaco, autorizzazione in molti Paesi.</w:t>
      </w:r>
    </w:p>
    <w:bookmarkEnd w:id="478"/>
    <w:bookmarkStart w:id="482" w:name="come-dovrebbe-agire-4"/>
    <w:p>
      <w:pPr>
        <w:pStyle w:val="Heading3"/>
      </w:pPr>
      <w:r>
        <w:t xml:space="preserve">Come dovrebbe agire</w:t>
      </w:r>
    </w:p>
    <w:p>
      <w:pPr>
        <w:pStyle w:val="FirstParagraph"/>
      </w:pPr>
      <w:r>
        <w:t xml:space="preserve">Dopo un pasto l’intestino rilascia due ormoni chiamati incretine: GLP-1 (glucagon-like peptide-1) e GIP (polipeptide insulinotropico glucosio-dipendente). Entrambi segnalano al pancreas „sta arrivando cibo“ e potenziano la secrezione di insulina – ma solo finché la glicemia è elevata. È il motivo per cui i farmaci incretinici da soli provocano raramente ipoglicemie. Il GLP-1 inoltre frena lo svuotamento gastrico e agisce nel cervello sui centri della sazietà. Quale ruolo abbia il GIP sull’appetito è meno chiaro ed è stato a lungo controverso; in alcuni lavori meno recenti il GIP era considerato addirittura un „ormone che fa ingrassare“.</w:t>
      </w:r>
    </w:p>
    <w:p>
      <w:pPr>
        <w:pStyle w:val="BodyText"/>
      </w:pPr>
      <w:r>
        <w:t xml:space="preserve">La tirzepatide combina entrambi i segnali in un’unica molecola. Le analisi di laboratorio su linee cellulari hanno mostrato due particolarità</w:t>
      </w:r>
      <w:r>
        <w:rPr>
          <w:rStyle w:val="FootnoteReference"/>
        </w:rPr>
        <w:footnoteReference w:id="479"/>
      </w:r>
      <w:r>
        <w:t xml:space="preserve">: in primo luogo la tirzepatide è „sbilanciata“ – alle concentrazioni raggiunte con le dosi terapeutiche occupa il recettore del GIP più di quello del GLP-1. In secondo luogo, sul recettore del GLP-1 attiva preferenzialmente una determinata via di segnalazione (cAMP) e provoca meno internalizzazione del recettore, processo in cui il recettore viene trascinato all’interno della cellula e quindi temporaneamente disattivato. Se questa segnalazione „distorta“ abbia un ruolo nell’uomo è un’ipotesi basata su dati di laboratorio.</w:t>
      </w:r>
    </w:p>
    <w:p>
      <w:pPr>
        <w:pStyle w:val="BodyText"/>
      </w:pPr>
      <w:r>
        <w:t xml:space="preserve">Nei topi in sovrappeso la tirzepatide ha migliorato la sensibilità all’insulina più di un agonista puro del GLP-1, e in parte indipendentemente dalla perdita di peso – tramite il recettore del GIP e un migliore assorbimento del glucosio nel tessuto adiposo</w:t>
      </w:r>
      <w:r>
        <w:rPr>
          <w:rStyle w:val="FootnoteReference"/>
        </w:rPr>
        <w:footnoteReference w:id="480"/>
      </w:r>
      <w:r>
        <w:t xml:space="preserve">. Nell’uomo con la tirzepatide si riduce soprattutto l’apporto di cibo; in uno studio con 117 persone con diabete di tipo 2, con tirzepatide sono diminuiti appetito, apporto energetico e massa grassa rispetto al placebo. Per l’appetito, tuttavia, non si è differenziata in modo misurabile dalla semaglutide, benché la perdita di peso fosse maggiore – le autrici e gli autori ritengono quindi possibili ulteriori meccanismi</w:t>
      </w:r>
      <w:r>
        <w:rPr>
          <w:rStyle w:val="FootnoteReference"/>
        </w:rPr>
        <w:footnoteReference w:id="481"/>
      </w:r>
      <w:r>
        <w:t xml:space="preserve">.</w:t>
      </w:r>
    </w:p>
    <w:p>
      <w:pPr>
        <w:pStyle w:val="BodyText"/>
      </w:pPr>
      <w:r>
        <w:t xml:space="preserve">In parole semplici: la tirzepatide agisce come un farmaco GLP-1 con un „amplificatore“ GIP aggiuntivo. Gli studi mostrano che questo pacchetto produce su peso e glicemia più degli agonisti puri del GLP-1 finora disponibili – perché esattamente non è ancora del tutto compreso.</w:t>
      </w:r>
    </w:p>
    <w:bookmarkEnd w:id="482"/>
    <w:bookmarkStart w:id="515" w:name="studi-sulluomo-4"/>
    <w:p>
      <w:pPr>
        <w:pStyle w:val="Heading3"/>
      </w:pPr>
      <w:r>
        <w:t xml:space="preserve">Studi sull’uomo</w:t>
      </w:r>
    </w:p>
    <w:p>
      <w:pPr>
        <w:pStyle w:val="FirstParagraph"/>
      </w:pPr>
      <w:r>
        <w:rPr>
          <w:bCs/>
          <w:b/>
        </w:rPr>
        <w:t xml:space="preserve">Ordine di grandezza dei dati:</w:t>
      </w:r>
      <w:r>
        <w:t xml:space="preserve"> </w:t>
      </w:r>
      <w:r>
        <w:t xml:space="preserve">la ricerca automatizzata su PubMed (ottobre 2026) ha restituito 144 pubblicazioni classificate come studi sull’uomo con „tirzepatide“ nel titolo o nell’abstract, oltre a moltissime revisioni e meta-analisi. Su ClinicalTrials.gov erano registrati 307 studi, di cui oltre 100 ancora in fase di reclutamento (una voce di esempio palesemente fittizia di uno sponsor sconosciuto non è stata conteggiata). La tirzepatide è quindi uno dei principi attivi meglio studiati di questo libro. Il peso principale è sostenuto da due programmi registrativi:</w:t>
      </w:r>
      <w:r>
        <w:t xml:space="preserve"> </w:t>
      </w:r>
      <w:r>
        <w:rPr>
          <w:bCs/>
          <w:b/>
        </w:rPr>
        <w:t xml:space="preserve">SURPASS</w:t>
      </w:r>
      <w:r>
        <w:t xml:space="preserve"> </w:t>
      </w:r>
      <w:r>
        <w:t xml:space="preserve">(diabete di tipo 2) e</w:t>
      </w:r>
      <w:r>
        <w:t xml:space="preserve"> </w:t>
      </w:r>
      <w:r>
        <w:rPr>
          <w:bCs/>
          <w:b/>
        </w:rPr>
        <w:t xml:space="preserve">SURMOUNT</w:t>
      </w:r>
      <w:r>
        <w:t xml:space="preserve"> </w:t>
      </w:r>
      <w:r>
        <w:t xml:space="preserve">(obesità), integrati da studi su scompenso cardiaco, apnea notturna e steatosi epatica.</w:t>
      </w:r>
    </w:p>
    <w:bookmarkStart w:id="485" w:name="dal-laboratorio-alla-clinica-fase-1-e-2"/>
    <w:p>
      <w:pPr>
        <w:pStyle w:val="Heading4"/>
      </w:pPr>
      <w:r>
        <w:t xml:space="preserve">Dal laboratorio alla clinica: fase 1 e 2</w:t>
      </w:r>
    </w:p>
    <w:p>
      <w:pPr>
        <w:pStyle w:val="FirstParagraph"/>
      </w:pPr>
      <w:r>
        <w:t xml:space="preserve">I primi dati sull’uomo provengono da uno studio combinato di fase 1 con 142 persone che hanno ricevuto tirzepatide, dulaglutide o placebo. Nelle persone con diabete di tipo 2 le dosi più alte hanno ridotto nettamente dopo quattro settimane la glicemia a digiuno; gli effetti collaterali più frequenti riguardavano il tratto gastrointestinale</w:t>
      </w:r>
      <w:r>
        <w:rPr>
          <w:rStyle w:val="FootnoteReference"/>
        </w:rPr>
        <w:footnoteReference w:id="483"/>
      </w:r>
      <w:r>
        <w:t xml:space="preserve">.</w:t>
      </w:r>
    </w:p>
    <w:p>
      <w:pPr>
        <w:pStyle w:val="BodyText"/>
      </w:pPr>
      <w:r>
        <w:t xml:space="preserve">Nello studio di fase 2, 318 persone con diabete di tipo 2 hanno ricevuto per 26 settimane una di quattro dosi di tirzepatide, dulaglutide o placebo. L’emoglobina glicata HbA1c si è ridotta in modo dose-dipendente fino a 1,94 punti percentuali (dulaglutide: −1,21; placebo: −0,06). Il peso corporeo è variato con tirzepatide da −0,9 a −11,3 kg, con dulaglutide di −2,7 kg</w:t>
      </w:r>
      <w:r>
        <w:rPr>
          <w:rStyle w:val="FootnoteReference"/>
        </w:rPr>
        <w:footnoteReference w:id="484"/>
      </w:r>
      <w:r>
        <w:t xml:space="preserve">. Quest’ordine di grandezza della perdita di peso – in uno studio sul diabete – è stato il motivo del grande programma sull’obesità.</w:t>
      </w:r>
    </w:p>
    <w:bookmarkEnd w:id="485"/>
    <w:bookmarkStart w:id="491" w:name="surpass-diabete-di-tipo-2"/>
    <w:p>
      <w:pPr>
        <w:pStyle w:val="Heading4"/>
      </w:pPr>
      <w:r>
        <w:t xml:space="preserve">SURPASS: diabete di tipo 2</w:t>
      </w:r>
    </w:p>
    <w:p>
      <w:pPr>
        <w:pStyle w:val="FirstParagraph"/>
      </w:pPr>
      <w:r>
        <w:t xml:space="preserve">Il programma SURPASS ha valutato la tirzepatide a tre dosi (5, 10 e 15 mg alla settimana) contro placebo, contro semaglutide e contro insuline. Il valore di HbA1c rispecchia la glicemia media degli ultimi due-tre mesi; un valore inferiore al 7% è considerato per molte persone con diabete l’obiettivo terapeutico.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SURPASS-1 (Rosenstock 2021), PMID 34186022</w:t>
            </w:r>
          </w:p>
        </w:tc>
        <w:tc>
          <w:tcPr/>
          <w:p>
            <w:pPr>
              <w:pStyle w:val="Compact"/>
              <w:jc w:val="left"/>
            </w:pPr>
            <w:r>
              <w:t xml:space="preserve">478 adulti, solo dieta/attività fisica, contro placebo</w:t>
            </w:r>
          </w:p>
        </w:tc>
        <w:tc>
          <w:tcPr/>
          <w:p>
            <w:pPr>
              <w:pStyle w:val="Compact"/>
              <w:jc w:val="left"/>
            </w:pPr>
            <w:r>
              <w:t xml:space="preserve">40 settimane</w:t>
            </w:r>
          </w:p>
        </w:tc>
        <w:tc>
          <w:tcPr/>
          <w:p>
            <w:pPr>
              <w:pStyle w:val="Compact"/>
              <w:jc w:val="left"/>
            </w:pPr>
            <w:r>
              <w:t xml:space="preserve">HbA1c da −1,87 a −2,07 punti vs. +0,04; peso da −7,0 a −9,5 kg</w:t>
            </w:r>
          </w:p>
        </w:tc>
      </w:tr>
      <w:tr>
        <w:tc>
          <w:tcPr/>
          <w:p>
            <w:pPr>
              <w:pStyle w:val="Compact"/>
              <w:jc w:val="left"/>
            </w:pPr>
            <w:r>
              <w:t xml:space="preserve">SURPASS-2 (Frías 2021), PMID 34170647</w:t>
            </w:r>
          </w:p>
        </w:tc>
        <w:tc>
          <w:tcPr/>
          <w:p>
            <w:pPr>
              <w:pStyle w:val="Compact"/>
              <w:jc w:val="left"/>
            </w:pPr>
            <w:r>
              <w:t xml:space="preserve">1.879 adulti con metformina, in aperto contro semaglutide 1 mg</w:t>
            </w:r>
          </w:p>
        </w:tc>
        <w:tc>
          <w:tcPr/>
          <w:p>
            <w:pPr>
              <w:pStyle w:val="Compact"/>
              <w:jc w:val="left"/>
            </w:pPr>
            <w:r>
              <w:t xml:space="preserve">40 settimane</w:t>
            </w:r>
          </w:p>
        </w:tc>
        <w:tc>
          <w:tcPr/>
          <w:p>
            <w:pPr>
              <w:pStyle w:val="Compact"/>
              <w:jc w:val="left"/>
            </w:pPr>
            <w:r>
              <w:t xml:space="preserve">HbA1c da −2,01 a −2,30 vs. −1,86; peso ulteriore da −1,9 a −5,5 kg</w:t>
            </w:r>
          </w:p>
        </w:tc>
      </w:tr>
      <w:tr>
        <w:tc>
          <w:tcPr/>
          <w:p>
            <w:pPr>
              <w:pStyle w:val="Compact"/>
              <w:jc w:val="left"/>
            </w:pPr>
            <w:r>
              <w:t xml:space="preserve">SURPASS-3 (Ludvik 2021), PMID 34370970</w:t>
            </w:r>
          </w:p>
        </w:tc>
        <w:tc>
          <w:tcPr/>
          <w:p>
            <w:pPr>
              <w:pStyle w:val="Compact"/>
              <w:jc w:val="left"/>
            </w:pPr>
            <w:r>
              <w:t xml:space="preserve">1.444 adulti, in aperto contro insulina degludec</w:t>
            </w:r>
          </w:p>
        </w:tc>
        <w:tc>
          <w:tcPr/>
          <w:p>
            <w:pPr>
              <w:pStyle w:val="Compact"/>
              <w:jc w:val="left"/>
            </w:pPr>
            <w:r>
              <w:t xml:space="preserve">52 settimane</w:t>
            </w:r>
          </w:p>
        </w:tc>
        <w:tc>
          <w:tcPr/>
          <w:p>
            <w:pPr>
              <w:pStyle w:val="Compact"/>
              <w:jc w:val="left"/>
            </w:pPr>
            <w:r>
              <w:t xml:space="preserve">HbA1c da −1,93 a −2,37 vs. −1,34; peso da −7,5 a −12,9 kg vs. +2,3 kg</w:t>
            </w:r>
          </w:p>
        </w:tc>
      </w:tr>
      <w:tr>
        <w:tc>
          <w:tcPr/>
          <w:p>
            <w:pPr>
              <w:pStyle w:val="Compact"/>
              <w:jc w:val="left"/>
            </w:pPr>
            <w:r>
              <w:t xml:space="preserve">SURPASS-4 (Del Prato 2021), PMID 34672967</w:t>
            </w:r>
          </w:p>
        </w:tc>
        <w:tc>
          <w:tcPr/>
          <w:p>
            <w:pPr>
              <w:pStyle w:val="Compact"/>
              <w:jc w:val="left"/>
            </w:pPr>
            <w:r>
              <w:t xml:space="preserve">2.002 adulti ad alto rischio cardiovascolare, in aperto contro insulina glargine</w:t>
            </w:r>
          </w:p>
        </w:tc>
        <w:tc>
          <w:tcPr/>
          <w:p>
            <w:pPr>
              <w:pStyle w:val="Compact"/>
              <w:jc w:val="left"/>
            </w:pPr>
            <w:r>
              <w:t xml:space="preserve">da 52 a 104 settimane</w:t>
            </w:r>
          </w:p>
        </w:tc>
        <w:tc>
          <w:tcPr/>
          <w:p>
            <w:pPr>
              <w:pStyle w:val="Compact"/>
              <w:jc w:val="left"/>
            </w:pPr>
            <w:r>
              <w:t xml:space="preserve">HbA1c −2,43/−2,58 vs. −1,44; MACE-4 non aumentati (HR 0,74)</w:t>
            </w:r>
          </w:p>
        </w:tc>
      </w:tr>
      <w:tr>
        <w:tc>
          <w:tcPr/>
          <w:p>
            <w:pPr>
              <w:pStyle w:val="Compact"/>
              <w:jc w:val="left"/>
            </w:pPr>
            <w:r>
              <w:t xml:space="preserve">SURPASS-5 (Dahl 2022), PMID 35133415</w:t>
            </w:r>
          </w:p>
        </w:tc>
        <w:tc>
          <w:tcPr/>
          <w:p>
            <w:pPr>
              <w:pStyle w:val="Compact"/>
              <w:jc w:val="left"/>
            </w:pPr>
            <w:r>
              <w:t xml:space="preserve">475 adulti con insulina glargine, contro placebo</w:t>
            </w:r>
          </w:p>
        </w:tc>
        <w:tc>
          <w:tcPr/>
          <w:p>
            <w:pPr>
              <w:pStyle w:val="Compact"/>
              <w:jc w:val="left"/>
            </w:pPr>
            <w:r>
              <w:t xml:space="preserve">40 settimane</w:t>
            </w:r>
          </w:p>
        </w:tc>
        <w:tc>
          <w:tcPr/>
          <w:p>
            <w:pPr>
              <w:pStyle w:val="Compact"/>
              <w:jc w:val="left"/>
            </w:pPr>
            <w:r>
              <w:t xml:space="preserve">HbA1c da −2,11 a −2,40 vs. −0,86; peso da −5,4 a −8,8 kg vs. +1,6 kg</w:t>
            </w:r>
          </w:p>
        </w:tc>
      </w:tr>
      <w:tr>
        <w:tc>
          <w:tcPr/>
          <w:p>
            <w:pPr>
              <w:pStyle w:val="Compact"/>
              <w:jc w:val="left"/>
            </w:pPr>
            <w:r>
              <w:t xml:space="preserve">SURPASS-PEDS (Hannon 2025), PMID 40975112</w:t>
            </w:r>
          </w:p>
        </w:tc>
        <w:tc>
          <w:tcPr/>
          <w:p>
            <w:pPr>
              <w:pStyle w:val="Compact"/>
              <w:jc w:val="left"/>
            </w:pPr>
            <w:r>
              <w:t xml:space="preserve">99 adolescenti (10–17 anni) con diabete di tipo 2, contro placebo</w:t>
            </w:r>
          </w:p>
        </w:tc>
        <w:tc>
          <w:tcPr/>
          <w:p>
            <w:pPr>
              <w:pStyle w:val="Compact"/>
              <w:jc w:val="left"/>
            </w:pPr>
            <w:r>
              <w:t xml:space="preserve">30 settimane (+22 in aperto)</w:t>
            </w:r>
          </w:p>
        </w:tc>
        <w:tc>
          <w:tcPr/>
          <w:p>
            <w:pPr>
              <w:pStyle w:val="Compact"/>
              <w:jc w:val="left"/>
            </w:pPr>
            <w:r>
              <w:t xml:space="preserve">HbA1c −2,23 vs. +0,05; BMI da −7,4 a −11,2%</w:t>
            </w:r>
          </w:p>
        </w:tc>
      </w:tr>
    </w:tbl>
    <w:p>
      <w:pPr>
        <w:pStyle w:val="BodyText"/>
      </w:pPr>
      <w:r>
        <w:t xml:space="preserve">Alcuni punti meritano di essere evidenziati:</w:t>
      </w:r>
    </w:p>
    <w:p>
      <w:pPr>
        <w:numPr>
          <w:ilvl w:val="0"/>
          <w:numId w:val="1060"/>
        </w:numPr>
        <w:pStyle w:val="Compact"/>
      </w:pPr>
      <w:r>
        <w:rPr>
          <w:bCs/>
          <w:b/>
        </w:rPr>
        <w:t xml:space="preserve">Nel confronto diretto con la semaglutide</w:t>
      </w:r>
      <w:r>
        <w:t xml:space="preserve"> </w:t>
      </w:r>
      <w:r>
        <w:t xml:space="preserve">(SURPASS-2) la tirzepatide è risultata a tutte e tre le dosi non inferiore e superiore per l’HbA1c. Lo studio, tuttavia, usava la semaglutide alla dose di 1 mg; la dose per il diabete più alta, autorizzata in seguito, non era il comparatore. La frequenza di nausea (17–22% vs. 18%) e vomito (6–10% vs. 8%) era simile; eventi avversi gravi si sono verificati con tirzepatide nel 5–7% contro il 3% con semaglutide</w:t>
      </w:r>
      <w:r>
        <w:rPr>
          <w:rStyle w:val="FootnoteReference"/>
        </w:rPr>
        <w:footnoteReference w:id="486"/>
      </w:r>
      <w:r>
        <w:t xml:space="preserve">.</w:t>
      </w:r>
    </w:p>
    <w:p>
      <w:pPr>
        <w:numPr>
          <w:ilvl w:val="0"/>
          <w:numId w:val="1060"/>
        </w:numPr>
        <w:pStyle w:val="Compact"/>
      </w:pPr>
      <w:r>
        <w:rPr>
          <w:bCs/>
          <w:b/>
        </w:rPr>
        <w:t xml:space="preserve">Rispetto all’insulina</w:t>
      </w:r>
      <w:r>
        <w:t xml:space="preserve"> </w:t>
      </w:r>
      <w:r>
        <w:t xml:space="preserve">la tirzepatide ha portato a una maggiore riduzione della glicemia e al tempo stesso a una perdita di peso invece che a un aumento. Le ipoglicemie (sotto 54 mg/dl o gravi) sono state in SURPASS-3 nettamente più rare: 1–2% contro il 7% con insulina degludec</w:t>
      </w:r>
      <w:r>
        <w:rPr>
          <w:rStyle w:val="FootnoteReference"/>
        </w:rPr>
        <w:footnoteReference w:id="487"/>
      </w:r>
      <w:r>
        <w:t xml:space="preserve">.</w:t>
      </w:r>
    </w:p>
    <w:p>
      <w:pPr>
        <w:numPr>
          <w:ilvl w:val="0"/>
          <w:numId w:val="1060"/>
        </w:numPr>
        <w:pStyle w:val="Compact"/>
      </w:pPr>
      <w:r>
        <w:rPr>
          <w:bCs/>
          <w:b/>
        </w:rPr>
        <w:t xml:space="preserve">Bambini e adolescenti:</w:t>
      </w:r>
      <w:r>
        <w:t xml:space="preserve"> </w:t>
      </w:r>
      <w:r>
        <w:t xml:space="preserve">SURPASS-PEDS è uno dei pochi studi con incretine nel diabete di tipo 2 giovanile. L’effetto si è mantenuto nell’estensione in aperto fino alla settimana 52; il profilo degli effetti collaterali corrispondeva a quello degli adulti</w:t>
      </w:r>
      <w:r>
        <w:rPr>
          <w:rStyle w:val="FootnoteReference"/>
        </w:rPr>
        <w:footnoteReference w:id="488"/>
      </w:r>
      <w:r>
        <w:t xml:space="preserve">.</w:t>
      </w:r>
    </w:p>
    <w:p>
      <w:pPr>
        <w:numPr>
          <w:ilvl w:val="0"/>
          <w:numId w:val="1060"/>
        </w:numPr>
        <w:pStyle w:val="Compact"/>
      </w:pPr>
      <w:r>
        <w:rPr>
          <w:bCs/>
          <w:b/>
        </w:rPr>
        <w:t xml:space="preserve">Diabete di tipo 1:</w:t>
      </w:r>
      <w:r>
        <w:t xml:space="preserve"> </w:t>
      </w:r>
      <w:r>
        <w:t xml:space="preserve">un piccolo studio di fase 2 con 24 adulti con diabete di tipo 1 e obesità ha mostrato dopo dodici settimane una perdita di peso di 10,3 kg contro 0,7 kg con placebo e un fabbisogno di insulina inferiore del 35%</w:t>
      </w:r>
      <w:r>
        <w:rPr>
          <w:rStyle w:val="FootnoteReference"/>
        </w:rPr>
        <w:footnoteReference w:id="489"/>
      </w:r>
      <w:r>
        <w:t xml:space="preserve">. La tirzepatide non è autorizzata per il diabete di tipo 1; sono in corso studi più grandi (vedi prospettive).</w:t>
      </w:r>
    </w:p>
    <w:p>
      <w:pPr>
        <w:pStyle w:val="FirstParagraph"/>
      </w:pPr>
      <w:r>
        <w:t xml:space="preserve">Una meta-analisi pianificata in anticipo di tutti e sette gli studi SURPASS della durata di almeno 26 settimane (4.887 persone con tirzepatide, 2.328 nei gruppi di controllo) non ha trovato un rischio aumentato di eventi cardiovascolari gravi (MACE-4, hazard ratio 0,80; intervallo di confidenza al 95% 0,57–1,11)</w:t>
      </w:r>
      <w:r>
        <w:rPr>
          <w:rStyle w:val="FootnoteReference"/>
        </w:rPr>
        <w:footnoteReference w:id="490"/>
      </w:r>
      <w:r>
        <w:t xml:space="preserve">. È un’affermazione di sicurezza, non di beneficio – per quella era necessario lo studio di esito SURPASS-CVOT.</w:t>
      </w:r>
    </w:p>
    <w:bookmarkEnd w:id="491"/>
    <w:bookmarkStart w:id="495" w:name="surpass-cvot-endpoint-cardiovascolari"/>
    <w:p>
      <w:pPr>
        <w:pStyle w:val="Heading4"/>
      </w:pPr>
      <w:r>
        <w:t xml:space="preserve">SURPASS-CVOT: endpoint cardiovascolari</w:t>
      </w:r>
    </w:p>
    <w:p>
      <w:pPr>
        <w:pStyle w:val="FirstParagraph"/>
      </w:pPr>
      <w:r>
        <w:t xml:space="preserve">Per i farmaci antidiabetici le autorità chiedono la prova che non mettano in pericolo il cuore. SURPASS-CVOT è andato un passo oltre: invece che contro placebo, la tirzepatide si è confrontata con la dulaglutide, un farmaco GLP-1 che nello studio REWIND aveva a sua volta ridotto gli eventi cardiovascolari. Sono state randomizzate 13.299 persone con diabete di tipo 2 e malattia aterosclerotica in atto; ne sono state analizzate 13.165</w:t>
      </w:r>
      <w:r>
        <w:rPr>
          <w:rStyle w:val="FootnoteReference"/>
        </w:rPr>
        <w:footnoteReference w:id="492"/>
      </w:r>
      <w:r>
        <w:t xml:space="preserve">.</w:t>
      </w:r>
    </w:p>
    <w:p>
      <w:pPr>
        <w:pStyle w:val="BodyText"/>
      </w:pPr>
      <w:r>
        <w:t xml:space="preserve">L’endpoint principale – morte cardiovascolare, infarto o ictus – si è verificato in 801 persone (12,2%) con tirzepatide e in 862 (13,1%) con dulaglutide (hazard ratio 0,92; IC al 95,3% 0,83–1,01). La tirzepatide è risultata quindi</w:t>
      </w:r>
      <w:r>
        <w:t xml:space="preserve"> </w:t>
      </w:r>
      <w:r>
        <w:rPr>
          <w:bCs/>
          <w:b/>
        </w:rPr>
        <w:t xml:space="preserve">non inferiore</w:t>
      </w:r>
      <w:r>
        <w:t xml:space="preserve">; la superiorità formale è stata mancata di poco (p = 0,09). Gli effetti collaterali gastrointestinali sono stati più frequenti con tirzepatide.</w:t>
      </w:r>
    </w:p>
    <w:p>
      <w:pPr>
        <w:pStyle w:val="BodyText"/>
      </w:pPr>
      <w:r>
        <w:t xml:space="preserve">Un’analisi a posteriori (post hoc) con un endpoint più ampio composto da sei componenti – morte per qualsiasi causa, infarto, ictus, rivascolarizzazione, ricovero per scompenso cardiaco ed eventi renali – ha rilevato dopo una durata mediana di trattamento di quasi quattro anni eventi nel 23,7% contro il 27,4% (hazard ratio 0,84; IC al 95% 0,79–0,90)</w:t>
      </w:r>
      <w:r>
        <w:rPr>
          <w:rStyle w:val="FootnoteReference"/>
        </w:rPr>
        <w:footnoteReference w:id="493"/>
      </w:r>
      <w:r>
        <w:t xml:space="preserve">. Le analisi post hoc generano ipotesi; non possono sostituire un’analisi principale stabilita in anticipo.</w:t>
      </w:r>
    </w:p>
    <w:p>
      <w:pPr>
        <w:pStyle w:val="BodyText"/>
      </w:pPr>
      <w:r>
        <w:t xml:space="preserve">Quanto sia grande il beneficio rispetto a</w:t>
      </w:r>
      <w:r>
        <w:t xml:space="preserve"> </w:t>
      </w:r>
      <w:r>
        <w:rPr>
          <w:iCs/>
          <w:i/>
        </w:rPr>
        <w:t xml:space="preserve">nessun</w:t>
      </w:r>
      <w:r>
        <w:t xml:space="preserve"> </w:t>
      </w:r>
      <w:r>
        <w:t xml:space="preserve">trattamento non si può ricavare direttamente da un confronto con un farmaco efficace. Un’analisi pianificata in anticipo, ma indiretta, ha calcolato un „braccio placebo“ dai dati dello studio REWIND e ha ottenuto per la tirzepatide, rispetto a questo placebo calcolato, un hazard ratio di 0,72 (IC al 95% 0,55–0,94) per morte cardiovascolare, infarto o ictus</w:t>
      </w:r>
      <w:r>
        <w:rPr>
          <w:rStyle w:val="FootnoteReference"/>
        </w:rPr>
        <w:footnoteReference w:id="494"/>
      </w:r>
      <w:r>
        <w:t xml:space="preserve">. Tali calcoli modellistici si basano su ipotesi e non sostituiscono un vero confronto con placebo.</w:t>
      </w:r>
    </w:p>
    <w:bookmarkEnd w:id="495"/>
    <w:bookmarkStart w:id="501" w:name="surmount-obesità"/>
    <w:p>
      <w:pPr>
        <w:pStyle w:val="Heading4"/>
      </w:pPr>
      <w:r>
        <w:t xml:space="preserve">SURMOUNT: obesità</w:t>
      </w:r>
    </w:p>
    <w:p>
      <w:pPr>
        <w:pStyle w:val="FirstParagraph"/>
      </w:pPr>
      <w:r>
        <w:t xml:space="preserve">Nel programma sull’obesità la tirzepatide è stata studiata in persone con un indice di massa corporea (BMI) a partire da 30 o a partire da 27 con comorbidità, sempre in aggiunta a una consulenza su alimentazione e attività fisica.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SURMOUNT-1 (Jastreboff 2022), PMID 35658024</w:t>
            </w:r>
          </w:p>
        </w:tc>
        <w:tc>
          <w:tcPr/>
          <w:p>
            <w:pPr>
              <w:pStyle w:val="Compact"/>
              <w:jc w:val="left"/>
            </w:pPr>
            <w:r>
              <w:t xml:space="preserve">2.539 adulti senza diabete, contro placebo</w:t>
            </w:r>
          </w:p>
        </w:tc>
        <w:tc>
          <w:tcPr/>
          <w:p>
            <w:pPr>
              <w:pStyle w:val="Compact"/>
              <w:jc w:val="left"/>
            </w:pPr>
            <w:r>
              <w:t xml:space="preserve">72 settimane</w:t>
            </w:r>
          </w:p>
        </w:tc>
        <w:tc>
          <w:tcPr/>
          <w:p>
            <w:pPr>
              <w:pStyle w:val="Compact"/>
              <w:jc w:val="left"/>
            </w:pPr>
            <w:r>
              <w:t xml:space="preserve">−15,0 / −19,5 / −20,9% di peso (5/10/15 mg) vs. −3,1%</w:t>
            </w:r>
          </w:p>
        </w:tc>
      </w:tr>
      <w:tr>
        <w:tc>
          <w:tcPr/>
          <w:p>
            <w:pPr>
              <w:pStyle w:val="Compact"/>
              <w:jc w:val="left"/>
            </w:pPr>
            <w:r>
              <w:t xml:space="preserve">SURMOUNT-2 (Garvey 2023), PMID 37385275</w:t>
            </w:r>
          </w:p>
        </w:tc>
        <w:tc>
          <w:tcPr/>
          <w:p>
            <w:pPr>
              <w:pStyle w:val="Compact"/>
              <w:jc w:val="left"/>
            </w:pPr>
            <w:r>
              <w:t xml:space="preserve">938 adulti con diabete di tipo 2, contro placebo</w:t>
            </w:r>
          </w:p>
        </w:tc>
        <w:tc>
          <w:tcPr/>
          <w:p>
            <w:pPr>
              <w:pStyle w:val="Compact"/>
              <w:jc w:val="left"/>
            </w:pPr>
            <w:r>
              <w:t xml:space="preserve">72 settimane</w:t>
            </w:r>
          </w:p>
        </w:tc>
        <w:tc>
          <w:tcPr/>
          <w:p>
            <w:pPr>
              <w:pStyle w:val="Compact"/>
              <w:jc w:val="left"/>
            </w:pPr>
            <w:r>
              <w:t xml:space="preserve">−12,8 / −14,7% vs. −3,2%</w:t>
            </w:r>
          </w:p>
        </w:tc>
      </w:tr>
      <w:tr>
        <w:tc>
          <w:tcPr/>
          <w:p>
            <w:pPr>
              <w:pStyle w:val="Compact"/>
              <w:jc w:val="left"/>
            </w:pPr>
            <w:r>
              <w:t xml:space="preserve">SURMOUNT-3 (Wadden 2023), PMID 37840095</w:t>
            </w:r>
          </w:p>
        </w:tc>
        <w:tc>
          <w:tcPr/>
          <w:p>
            <w:pPr>
              <w:pStyle w:val="Compact"/>
              <w:jc w:val="left"/>
            </w:pPr>
            <w:r>
              <w:t xml:space="preserve">579 adulti dopo un intervento sullo stile di vita di 12 settimane riuscito</w:t>
            </w:r>
          </w:p>
        </w:tc>
        <w:tc>
          <w:tcPr/>
          <w:p>
            <w:pPr>
              <w:pStyle w:val="Compact"/>
              <w:jc w:val="left"/>
            </w:pPr>
            <w:r>
              <w:t xml:space="preserve">72 settimane</w:t>
            </w:r>
          </w:p>
        </w:tc>
        <w:tc>
          <w:tcPr/>
          <w:p>
            <w:pPr>
              <w:pStyle w:val="Compact"/>
              <w:jc w:val="left"/>
            </w:pPr>
            <w:r>
              <w:t xml:space="preserve">ulteriore −18,4% vs. +2,5%</w:t>
            </w:r>
          </w:p>
        </w:tc>
      </w:tr>
      <w:tr>
        <w:tc>
          <w:tcPr/>
          <w:p>
            <w:pPr>
              <w:pStyle w:val="Compact"/>
              <w:jc w:val="left"/>
            </w:pPr>
            <w:r>
              <w:t xml:space="preserve">SURMOUNT-4 (Aronne 2024), PMID 38078870</w:t>
            </w:r>
          </w:p>
        </w:tc>
        <w:tc>
          <w:tcPr/>
          <w:p>
            <w:pPr>
              <w:pStyle w:val="Compact"/>
              <w:jc w:val="left"/>
            </w:pPr>
            <w:r>
              <w:t xml:space="preserve">670 adulti dopo 36 settimane di tirzepatide, prosecuzione vs. sospensione</w:t>
            </w:r>
          </w:p>
        </w:tc>
        <w:tc>
          <w:tcPr/>
          <w:p>
            <w:pPr>
              <w:pStyle w:val="Compact"/>
              <w:jc w:val="left"/>
            </w:pPr>
            <w:r>
              <w:t xml:space="preserve">52 settimane (dopo la fase iniziale)</w:t>
            </w:r>
          </w:p>
        </w:tc>
        <w:tc>
          <w:tcPr/>
          <w:p>
            <w:pPr>
              <w:pStyle w:val="Compact"/>
              <w:jc w:val="left"/>
            </w:pPr>
            <w:r>
              <w:t xml:space="preserve">−5,5% con prosecuzione vs. +14,0% di ripresa</w:t>
            </w:r>
          </w:p>
        </w:tc>
      </w:tr>
      <w:tr>
        <w:tc>
          <w:tcPr/>
          <w:p>
            <w:pPr>
              <w:pStyle w:val="Compact"/>
              <w:jc w:val="left"/>
            </w:pPr>
            <w:r>
              <w:t xml:space="preserve">SURMOUNT-5 (Aronne 2025), PMID 40353578</w:t>
            </w:r>
          </w:p>
        </w:tc>
        <w:tc>
          <w:tcPr/>
          <w:p>
            <w:pPr>
              <w:pStyle w:val="Compact"/>
              <w:jc w:val="left"/>
            </w:pPr>
            <w:r>
              <w:t xml:space="preserve">751 adulti senza diabete, in aperto contro semaglutide 2,4 mg</w:t>
            </w:r>
          </w:p>
        </w:tc>
        <w:tc>
          <w:tcPr/>
          <w:p>
            <w:pPr>
              <w:pStyle w:val="Compact"/>
              <w:jc w:val="left"/>
            </w:pPr>
            <w:r>
              <w:t xml:space="preserve">72 settimane</w:t>
            </w:r>
          </w:p>
        </w:tc>
        <w:tc>
          <w:tcPr/>
          <w:p>
            <w:pPr>
              <w:pStyle w:val="Compact"/>
              <w:jc w:val="left"/>
            </w:pPr>
            <w:r>
              <w:t xml:space="preserve">−20,2% vs. −13,7%</w:t>
            </w:r>
          </w:p>
        </w:tc>
      </w:tr>
      <w:tr>
        <w:tc>
          <w:tcPr/>
          <w:p>
            <w:pPr>
              <w:pStyle w:val="Compact"/>
              <w:jc w:val="left"/>
            </w:pPr>
            <w:r>
              <w:t xml:space="preserve">SURMOUNT-1, dati a 3 anni (Jastreboff 2025), PMID 39536238</w:t>
            </w:r>
          </w:p>
        </w:tc>
        <w:tc>
          <w:tcPr/>
          <w:p>
            <w:pPr>
              <w:pStyle w:val="Compact"/>
              <w:jc w:val="left"/>
            </w:pPr>
            <w:r>
              <w:t xml:space="preserve">1.032 adulti con obesità e prediabete</w:t>
            </w:r>
          </w:p>
        </w:tc>
        <w:tc>
          <w:tcPr/>
          <w:p>
            <w:pPr>
              <w:pStyle w:val="Compact"/>
              <w:jc w:val="left"/>
            </w:pPr>
            <w:r>
              <w:t xml:space="preserve">176 settimane</w:t>
            </w:r>
          </w:p>
        </w:tc>
        <w:tc>
          <w:tcPr/>
          <w:p>
            <w:pPr>
              <w:pStyle w:val="Compact"/>
              <w:jc w:val="left"/>
            </w:pPr>
            <w:r>
              <w:t xml:space="preserve">da −12,3 a −19,7% vs. −1,3%; diabete di tipo 2 1,3% vs. 13,3%</w:t>
            </w:r>
          </w:p>
        </w:tc>
      </w:tr>
    </w:tbl>
    <w:p>
      <w:pPr>
        <w:pStyle w:val="BodyText"/>
      </w:pPr>
      <w:r>
        <w:rPr>
          <w:bCs/>
          <w:b/>
        </w:rPr>
        <w:t xml:space="preserve">SURMOUNT-1</w:t>
      </w:r>
      <w:r>
        <w:t xml:space="preserve"> </w:t>
      </w:r>
      <w:r>
        <w:t xml:space="preserve">è lo studio che ha reso nota la tirzepatide come farmaco per l’obesità. Con un peso di partenza medio di 104,8 kg, i partecipanti alla dose più alta hanno perso in media il 20,9% del loro peso corporeo. Il 57% nel gruppo 15 mg ha raggiunto una perdita di peso di almeno il 20%, con placebo il 3%. A causa di effetti collaterali hanno interrotto il trattamento il 4,3–7,1% con tirzepatide e il 2,6% con placebo</w:t>
      </w:r>
      <w:r>
        <w:rPr>
          <w:rStyle w:val="FootnoteReference"/>
        </w:rPr>
        <w:footnoteReference w:id="496"/>
      </w:r>
      <w:r>
        <w:t xml:space="preserve">.</w:t>
      </w:r>
    </w:p>
    <w:p>
      <w:pPr>
        <w:pStyle w:val="BodyText"/>
      </w:pPr>
      <w:r>
        <w:rPr>
          <w:bCs/>
          <w:b/>
        </w:rPr>
        <w:t xml:space="preserve">Le persone con diabete di tipo 2</w:t>
      </w:r>
      <w:r>
        <w:t xml:space="preserve"> </w:t>
      </w:r>
      <w:r>
        <w:t xml:space="preserve">perdono con tutti i farmaci incretinici meno peso delle persone senza diabete. Lo ha mostrato anche SURMOUNT-2: la differenza rispetto al placebo era di 9,6 e 11,6 punti percentuali rispettivamente</w:t>
      </w:r>
      <w:r>
        <w:rPr>
          <w:rStyle w:val="FootnoteReference"/>
        </w:rPr>
        <w:footnoteReference w:id="497"/>
      </w:r>
      <w:r>
        <w:t xml:space="preserve">.</w:t>
      </w:r>
    </w:p>
    <w:p>
      <w:pPr>
        <w:pStyle w:val="BodyText"/>
      </w:pPr>
      <w:r>
        <w:rPr>
          <w:bCs/>
          <w:b/>
        </w:rPr>
        <w:t xml:space="preserve">Che cosa succede dopo la sospensione?</w:t>
      </w:r>
      <w:r>
        <w:t xml:space="preserve"> </w:t>
      </w:r>
      <w:r>
        <w:t xml:space="preserve">SURMOUNT-4 ha risposto a questa domanda con un disegno di „randomized withdrawal“: tutti hanno ricevuto prima 36 settimane di tirzepatide, perdendo in media il 20,9%. Poi è stato sorteggiato chi avrebbe continuato a ricevere tirzepatide e chi, senza saperlo, placebo. Nelle 52 settimane successive il gruppo placebo ha ripreso il 14,0%, il gruppo tirzepatide ha perso un ulteriore 5,5%. Sull’intera durata dello studio la perdita di peso è stata del 25,3% contro il 9,9%</w:t>
      </w:r>
      <w:r>
        <w:rPr>
          <w:rStyle w:val="FootnoteReference"/>
        </w:rPr>
        <w:footnoteReference w:id="498"/>
      </w:r>
      <w:r>
        <w:t xml:space="preserve">. Il messaggio delle autrici e degli autori: l’obesità si comporta come una malattia cronica il cui trattamento deve per lo più essere permanente.</w:t>
      </w:r>
    </w:p>
    <w:p>
      <w:pPr>
        <w:pStyle w:val="BodyText"/>
      </w:pPr>
      <w:r>
        <w:rPr>
          <w:bCs/>
          <w:b/>
        </w:rPr>
        <w:t xml:space="preserve">Dose di mantenimento più bassa:</w:t>
      </w:r>
      <w:r>
        <w:t xml:space="preserve"> </w:t>
      </w:r>
      <w:r>
        <w:t xml:space="preserve">se dopo il dimagrimento si possa passare a una dose inferiore lo ha esaminato SURMOUNT-MAINTAIN con 378 persone randomizzate negli Stati Uniti. Dopo 60 settimane alla dose massima sono state suddivise in tre gruppi. Alla settimana 112 la perdita di peso dall’inizio dello studio era del −21,9% (prosecuzione della dose massima), del −16,6% (riduzione a 5 mg) e del −9,9% (placebo). Una terapia di salvataggio a causa di una ripresa di almeno il 50% è stata necessaria rispettivamente per l’8%, il 25% e il 67%</w:t>
      </w:r>
      <w:r>
        <w:rPr>
          <w:rStyle w:val="FootnoteReference"/>
        </w:rPr>
        <w:footnoteReference w:id="499"/>
      </w:r>
      <w:r>
        <w:t xml:space="preserve">. La riduzione della dose è quindi una soluzione intermedia con un successo individualmente molto variabile.</w:t>
      </w:r>
    </w:p>
    <w:p>
      <w:pPr>
        <w:pStyle w:val="BodyText"/>
      </w:pPr>
      <w:r>
        <w:rPr>
          <w:bCs/>
          <w:b/>
        </w:rPr>
        <w:t xml:space="preserve">Prevenzione del diabete:</w:t>
      </w:r>
      <w:r>
        <w:t xml:space="preserve"> </w:t>
      </w:r>
      <w:r>
        <w:t xml:space="preserve">nell’analisi a tre anni di SURMOUNT-1 nelle persone con prediabete (stadio preliminare del diabete), l’1,3% con tirzepatide e il 13,3% con placebo hanno sviluppato un diabete di tipo 2. Anche 17 settimane dopo la sospensione la differenza è rimasta netta (2,4% vs. 13,7%). In questi tre anni non sono emersi nuovi segnali di sicurezza</w:t>
      </w:r>
      <w:r>
        <w:rPr>
          <w:rStyle w:val="FootnoteReference"/>
        </w:rPr>
        <w:footnoteReference w:id="500"/>
      </w:r>
      <w:r>
        <w:t xml:space="preserve">.</w:t>
      </w:r>
    </w:p>
    <w:bookmarkEnd w:id="501"/>
    <w:bookmarkStart w:id="504" w:name="X1d393af7fd36bdeec4bf1306d21b316c1447968"/>
    <w:p>
      <w:pPr>
        <w:pStyle w:val="Heading4"/>
      </w:pPr>
      <w:r>
        <w:t xml:space="preserve">SURMOUNT-5: tirzepatide contro semaglutide</w:t>
      </w:r>
    </w:p>
    <w:p>
      <w:pPr>
        <w:pStyle w:val="FirstParagraph"/>
      </w:pPr>
      <w:r>
        <w:t xml:space="preserve">Il confronto diretto atteso da molti nell’obesità senza diabete è stato fornito da SURMOUNT-5</w:t>
      </w:r>
      <w:r>
        <w:rPr>
          <w:rStyle w:val="FootnoteReference"/>
        </w:rPr>
        <w:footnoteReference w:id="502"/>
      </w:r>
      <w:r>
        <w:t xml:space="preserve">. 751 adulti hanno ricevuto in aperto (cioè senza cecità) la rispettiva dose massima tollerata di tirzepatide (10 o 15 mg) o semaglutide (1,7 o 2,4 mg). Dopo 72 settimane:</w:t>
      </w:r>
    </w:p>
    <w:p>
      <w:pPr>
        <w:numPr>
          <w:ilvl w:val="0"/>
          <w:numId w:val="1061"/>
        </w:numPr>
        <w:pStyle w:val="Compact"/>
      </w:pPr>
      <w:r>
        <w:t xml:space="preserve">Variazione di peso: −20,2% con tirzepatide contro −13,7% con semaglutide.</w:t>
      </w:r>
    </w:p>
    <w:p>
      <w:pPr>
        <w:numPr>
          <w:ilvl w:val="0"/>
          <w:numId w:val="1061"/>
        </w:numPr>
        <w:pStyle w:val="Compact"/>
      </w:pPr>
      <w:r>
        <w:t xml:space="preserve">Circonferenza vita: −18,4 cm contro −13,0 cm.</w:t>
      </w:r>
    </w:p>
    <w:p>
      <w:pPr>
        <w:numPr>
          <w:ilvl w:val="0"/>
          <w:numId w:val="1061"/>
        </w:numPr>
        <w:pStyle w:val="Compact"/>
      </w:pPr>
      <w:r>
        <w:t xml:space="preserve">Più partecipanti con tirzepatide hanno raggiunto ciascuna delle soglie del 10, 15, 20 e 25%.</w:t>
      </w:r>
    </w:p>
    <w:p>
      <w:pPr>
        <w:numPr>
          <w:ilvl w:val="0"/>
          <w:numId w:val="1061"/>
        </w:numPr>
        <w:pStyle w:val="Compact"/>
      </w:pPr>
      <w:r>
        <w:t xml:space="preserve">Gli effetti collaterali erano in entrambi i gruppi prevalentemente disturbi gastrointestinali, per lo più lievi o moderati e soprattutto nella fase di aumento della dose.</w:t>
      </w:r>
    </w:p>
    <w:p>
      <w:pPr>
        <w:pStyle w:val="FirstParagraph"/>
      </w:pPr>
      <w:r>
        <w:t xml:space="preserve">Un’analisi successiva ha mostrato che il 44% con tirzepatide e il 21% con semaglutide avevano già perso almeno il 15% entro la settimana 24 („responder rapidi“). Questi hanno avuto un po’ più di eventi gastrointestinali e delle vie biliari, ma non hanno interrotto il trattamento più spesso</w:t>
      </w:r>
      <w:r>
        <w:rPr>
          <w:rStyle w:val="FootnoteReference"/>
        </w:rPr>
        <w:footnoteReference w:id="503"/>
      </w:r>
      <w:r>
        <w:t xml:space="preserve">.</w:t>
      </w:r>
    </w:p>
    <w:p>
      <w:pPr>
        <w:pStyle w:val="BodyText"/>
      </w:pPr>
      <w:r>
        <w:t xml:space="preserve">Per collocare il risultato: SURMOUNT-5 è stato finanziato dal produttore della tirzepatide e condotto in aperto. La differenza è comunque abbastanza grande da non poter essere spiegata solo da questi limiti. Un confronto di tutti i farmaci GLP-1 si trova nella Parte III.</w:t>
      </w:r>
    </w:p>
    <w:bookmarkEnd w:id="504"/>
    <w:bookmarkStart w:id="507" w:name="scompenso-cardiaco-summit"/>
    <w:p>
      <w:pPr>
        <w:pStyle w:val="Heading4"/>
      </w:pPr>
      <w:r>
        <w:t xml:space="preserve">Scompenso cardiaco: SUMMIT</w:t>
      </w:r>
    </w:p>
    <w:p>
      <w:pPr>
        <w:pStyle w:val="FirstParagraph"/>
      </w:pPr>
      <w:r>
        <w:t xml:space="preserve">Lo scompenso cardiaco con funzione di pompa conservata (HFpEF) è una forma frequente di insufficienza cardiaca in cui il cuore espelle normalmente il sangue, ma si riempie male. L’obesità ne è un importante fattore trainante. In SUMMIT 731 persone con HFpEF e BMI a partire da 30 sono state randomizzate a tirzepatide o placebo e osservate per una mediana di 104 settimane</w:t>
      </w:r>
      <w:r>
        <w:rPr>
          <w:rStyle w:val="FootnoteReference"/>
        </w:rPr>
        <w:footnoteReference w:id="505"/>
      </w:r>
      <w:r>
        <w:t xml:space="preserve">.</w:t>
      </w:r>
    </w:p>
    <w:p>
      <w:pPr>
        <w:numPr>
          <w:ilvl w:val="0"/>
          <w:numId w:val="1062"/>
        </w:numPr>
        <w:pStyle w:val="Compact"/>
      </w:pPr>
      <w:r>
        <w:t xml:space="preserve">Morte cardiovascolare o peggioramento dello scompenso cardiaco: 9,9% con tirzepatide vs. 15,3% con placebo (hazard ratio 0,62; IC al 95% 0,41–0,95).</w:t>
      </w:r>
    </w:p>
    <w:p>
      <w:pPr>
        <w:numPr>
          <w:ilvl w:val="0"/>
          <w:numId w:val="1062"/>
        </w:numPr>
        <w:pStyle w:val="Compact"/>
      </w:pPr>
      <w:r>
        <w:t xml:space="preserve">Questa differenza era dovuta a meno eventi di peggioramento (8,0% vs. 14,2%). I decessi cardiovascolari erano rari e numericamente addirittura un po’ più frequenti con tirzepatide (2,2% vs. 1,4%), con un intervallo di incertezza molto ampio.</w:t>
      </w:r>
    </w:p>
    <w:p>
      <w:pPr>
        <w:numPr>
          <w:ilvl w:val="0"/>
          <w:numId w:val="1062"/>
        </w:numPr>
        <w:pStyle w:val="Compact"/>
      </w:pPr>
      <w:r>
        <w:t xml:space="preserve">La qualità della vita (questionario KCCQ) è migliorata di più: +19,5 contro +12,7 punti.</w:t>
      </w:r>
    </w:p>
    <w:p>
      <w:pPr>
        <w:numPr>
          <w:ilvl w:val="0"/>
          <w:numId w:val="1062"/>
        </w:numPr>
        <w:pStyle w:val="Compact"/>
      </w:pPr>
      <w:r>
        <w:t xml:space="preserve">Interruzioni a causa di effetti collaterali: 6,3% vs. 1,4%.</w:t>
      </w:r>
    </w:p>
    <w:p>
      <w:pPr>
        <w:pStyle w:val="FirstParagraph"/>
      </w:pPr>
      <w:r>
        <w:t xml:space="preserve">Un sottostudio con risonanza magnetica cardiaca ha mostrato una riduzione della massa muscolare del ventricolo sinistro e del tessuto adiposo intorno al cuore</w:t>
      </w:r>
      <w:r>
        <w:rPr>
          <w:rStyle w:val="FootnoteReference"/>
        </w:rPr>
        <w:footnoteReference w:id="506"/>
      </w:r>
      <w:r>
        <w:t xml:space="preserve">. Con 731 persone e 92 eventi di endpoint, SUMMIT è uno studio di esito relativamente piccolo; i risultati sono incoraggianti, ma non solidi quanto i dati di studi con migliaia di partecipanti.</w:t>
      </w:r>
    </w:p>
    <w:bookmarkEnd w:id="507"/>
    <w:bookmarkStart w:id="509" w:name="apnea-ostruttiva-del-sonno-surmount-osa"/>
    <w:p>
      <w:pPr>
        <w:pStyle w:val="Heading4"/>
      </w:pPr>
      <w:r>
        <w:t xml:space="preserve">Apnea ostruttiva del sonno: SURMOUNT-OSA</w:t>
      </w:r>
    </w:p>
    <w:p>
      <w:pPr>
        <w:pStyle w:val="FirstParagraph"/>
      </w:pPr>
      <w:r>
        <w:t xml:space="preserve">Nell’apnea ostruttiva del sonno le vie aeree superiori collassano ripetutamente durante il sonno; il respiro si interrompe (apnea) o diventa superficiale (ipopnea). L’indice di apnea-ipopnea (AHI) conta questi eventi per ora; a partire da 30 l’apnea notturna è considerata grave. Il sovrappeso è uno dei principali fattori di rischio.</w:t>
      </w:r>
    </w:p>
    <w:p>
      <w:pPr>
        <w:pStyle w:val="BodyText"/>
      </w:pPr>
      <w:r>
        <w:t xml:space="preserve">SURMOUNT-OSA era composto da due studi paralleli con persone con obesità e apnea notturna da moderata a grave: senza terapia con maschera respiratoria (studio 1) e con maschera (CPAP, studio 2). AHI di partenza circa 50 eventi all’ora. Dopo 52 settimane</w:t>
      </w:r>
      <w:r>
        <w:rPr>
          <w:rStyle w:val="FootnoteReference"/>
        </w:rPr>
        <w:footnoteReference w:id="508"/>
      </w:r>
      <w:r>
        <w:t xml:space="preserve">:</w:t>
      </w:r>
    </w:p>
    <w:p>
      <w:pPr>
        <w:numPr>
          <w:ilvl w:val="0"/>
          <w:numId w:val="1063"/>
        </w:numPr>
        <w:pStyle w:val="Compact"/>
      </w:pPr>
      <w:r>
        <w:t xml:space="preserve">Studio 1: AHI −25,3 eventi/ora con tirzepatide vs. −5,3 con placebo.</w:t>
      </w:r>
    </w:p>
    <w:p>
      <w:pPr>
        <w:numPr>
          <w:ilvl w:val="0"/>
          <w:numId w:val="1063"/>
        </w:numPr>
        <w:pStyle w:val="Compact"/>
      </w:pPr>
      <w:r>
        <w:t xml:space="preserve">Studio 2: AHI −29,3 vs. −5,5.</w:t>
      </w:r>
    </w:p>
    <w:p>
      <w:pPr>
        <w:numPr>
          <w:ilvl w:val="0"/>
          <w:numId w:val="1063"/>
        </w:numPr>
        <w:pStyle w:val="Compact"/>
      </w:pPr>
      <w:r>
        <w:t xml:space="preserve">Sono inoltre migliorati il carico ipossico, i marcatori di infiammazione (hsCRP), la pressione arteriosa e i disturbi del sonno riferiti dai partecipanti.</w:t>
      </w:r>
    </w:p>
    <w:p>
      <w:pPr>
        <w:pStyle w:val="FirstParagraph"/>
      </w:pPr>
      <w:r>
        <w:t xml:space="preserve">Su questa base la tirzepatide è stata autorizzata negli Stati Uniti come primo farmaco per il trattamento dell’apnea notturna nell’obesità. Non sostituisce automaticamente una maschera respiratoria: anche dopo la riduzione, l’AHI di molti partecipanti restava nell’intervallo che richiede trattamento. La decisione sulla terapia spetta alla medicina del sonno.</w:t>
      </w:r>
    </w:p>
    <w:bookmarkEnd w:id="509"/>
    <w:bookmarkStart w:id="511" w:name="steatosi-epatica-mash"/>
    <w:p>
      <w:pPr>
        <w:pStyle w:val="Heading4"/>
      </w:pPr>
      <w:r>
        <w:t xml:space="preserve">Steatosi epatica (MASH)</w:t>
      </w:r>
    </w:p>
    <w:p>
      <w:pPr>
        <w:pStyle w:val="FirstParagraph"/>
      </w:pPr>
      <w:r>
        <w:t xml:space="preserve">La steatoepatite associata a disfunzione metabolica (MASH, in passato NASH) è una forma infiammatoria di steatosi epatica che può progredire verso cicatrizzazione (fibrosi) e cirrosi. Nello studio di fase 2 SYNERGY-NASH, 190 persone con MASH accertata con biopsia e fibrosi moderata o grave hanno ricevuto tirzepatide o placebo. Dopo 52 settimane la MASH è scomparsa senza peggioramento della fibrosi nel 44–62% con tirzepatide contro il 10% con placebo; un miglioramento della fibrosi di almeno uno stadio è stato osservato nel 51–55% contro il 30%</w:t>
      </w:r>
      <w:r>
        <w:rPr>
          <w:rStyle w:val="FootnoteReference"/>
        </w:rPr>
        <w:footnoteReference w:id="510"/>
      </w:r>
      <w:r>
        <w:t xml:space="preserve">. È in corso uno studio di fase 3 (vedi prospettive).</w:t>
      </w:r>
    </w:p>
    <w:bookmarkEnd w:id="511"/>
    <w:bookmarkStart w:id="514" w:name="altri-ambiti-dimpiego-e-meta-analisi"/>
    <w:p>
      <w:pPr>
        <w:pStyle w:val="Heading4"/>
      </w:pPr>
      <w:r>
        <w:t xml:space="preserve">Altri ambiti d’impiego e meta-analisi</w:t>
      </w:r>
    </w:p>
    <w:p>
      <w:pPr>
        <w:pStyle w:val="FirstParagraph"/>
      </w:pPr>
      <w:r>
        <w:t xml:space="preserve">La letteratura sulla tirzepatide cresce molto rapidamente. Accanto ai grandi programmi esistono studi su psoriasi e artrite psoriasica in combinazione con farmaci biologici: in uno studio di fase 3b in aperto con 274 persone, con ixekizumab più tirzepatide il 27,1% ha raggiunto contemporaneamente una guarigione completa delle lesioni cutanee (PASI 100) e una perdita di peso di almeno il 10%, con il solo ixekizumab il 5,8%</w:t>
      </w:r>
      <w:r>
        <w:rPr>
          <w:rStyle w:val="FootnoteReference"/>
        </w:rPr>
        <w:footnoteReference w:id="512"/>
      </w:r>
      <w:r>
        <w:t xml:space="preserve">. Altri lavori si occupano della sindrome dell’ovaio policistico, della funzione renale e di popolazioni specifiche asiatiche (SURMOUNT-J, SURMOUNT-CN, SURPASS-AP-Combo). Una presentazione complessiva di tutti i singoli studi andrebbe oltre lo scopo del libro; sono elencati nell’elenco degli studi in appendice.</w:t>
      </w:r>
    </w:p>
    <w:p>
      <w:pPr>
        <w:pStyle w:val="BodyText"/>
      </w:pPr>
      <w:r>
        <w:t xml:space="preserve">Sulla composizione corporea: in un sottostudio DXA di SURMOUNT-1 con 160 persone, circa il 75% del peso perso era costituito da grasso e circa il 25% da massa magra (di cui fa parte la muscolatura) – nello stesso rapporto del gruppo placebo</w:t>
      </w:r>
      <w:r>
        <w:rPr>
          <w:rStyle w:val="FootnoteReference"/>
        </w:rPr>
        <w:footnoteReference w:id="513"/>
      </w:r>
      <w:r>
        <w:t xml:space="preserve">. La preoccupazione per la perdita muscolare è quindi giustificata, ma non è un effetto specifico della tirzepatide, bensì tipico di ogni perdita di peso consistente.</w:t>
      </w:r>
    </w:p>
    <w:bookmarkEnd w:id="514"/>
    <w:bookmarkEnd w:id="515"/>
    <w:bookmarkStart w:id="519" w:name="studi-su-animali-e-in-laboratorio-4"/>
    <w:p>
      <w:pPr>
        <w:pStyle w:val="Heading3"/>
      </w:pPr>
      <w:r>
        <w:t xml:space="preserve">Studi su animali e in laboratorio</w:t>
      </w:r>
    </w:p>
    <w:p>
      <w:pPr>
        <w:pStyle w:val="FirstParagraph"/>
      </w:pPr>
      <w:r>
        <w:t xml:space="preserve">Lo sviluppo preclinico è pubblicato in modo insolitamente completo. In colture cellulari la tirzepatide attiva entrambi i recettori; nei topi ha ridotto peso e apporto di cibo più di un agonista puro del GLP-1</w:t>
      </w:r>
      <w:r>
        <w:rPr>
          <w:rStyle w:val="FootnoteReference"/>
        </w:rPr>
        <w:footnoteReference w:id="516"/>
      </w:r>
      <w:r>
        <w:t xml:space="preserve">. Studi su topi privi di un recettore del GLP-1 funzionante hanno mostrato che la componente GIP migliora la sensibilità all’insulina nel tessuto adiposo</w:t>
      </w:r>
      <w:r>
        <w:rPr>
          <w:rStyle w:val="FootnoteReference"/>
        </w:rPr>
        <w:footnoteReference w:id="517"/>
      </w:r>
      <w:r>
        <w:t xml:space="preserve">. Su distribuzione e degradazione nell’organismo esistono studi su uomo, ratti e scimmie: la molecola viene metabolizzata tramite scissione dello scheletro peptidico e degradazione della catena di acido grasso; nell’uomo circa il 66% della sostanza marcata è stato ritrovato nelle urine e circa il 33% nelle feci, mentre la tirzepatide immodificata non è stata trovata in nessuno dei due</w:t>
      </w:r>
      <w:r>
        <w:rPr>
          <w:rStyle w:val="FootnoteReference"/>
        </w:rPr>
        <w:footnoteReference w:id="518"/>
      </w:r>
      <w:r>
        <w:t xml:space="preserve">.</w:t>
      </w:r>
    </w:p>
    <w:p>
      <w:pPr>
        <w:pStyle w:val="BodyText"/>
      </w:pPr>
      <w:r>
        <w:t xml:space="preserve">Come per tutti gli agonisti del GLP-1 a lunga durata d’azione, negli studi a lungo termine sui roditori si sono verificati tumori delle cellule C della tiroide. Se questo risultato sia trasferibile all’uomo non è chiaro, perché i roditori portano su queste cellule molti più recettori del GLP-1. Questo risultato sugli animali è la base delle avvertenze nel Riassunto delle caratteristiche del prodotto (vedi sotto).</w:t>
      </w:r>
    </w:p>
    <w:bookmarkEnd w:id="519"/>
    <w:bookmarkStart w:id="528" w:name="rischi-ed-effetti-collaterali-4"/>
    <w:p>
      <w:pPr>
        <w:pStyle w:val="Heading3"/>
      </w:pPr>
      <w:r>
        <w:t xml:space="preserve">Rischi ed effetti collaterali</w:t>
      </w:r>
    </w:p>
    <w:p>
      <w:pPr>
        <w:pStyle w:val="FirstParagraph"/>
      </w:pPr>
      <w:r>
        <w:rPr>
          <w:bCs/>
          <w:b/>
        </w:rPr>
        <w:t xml:space="preserve">Dimostrati dagli studi:</w:t>
      </w:r>
    </w:p>
    <w:p>
      <w:pPr>
        <w:numPr>
          <w:ilvl w:val="0"/>
          <w:numId w:val="1064"/>
        </w:numPr>
        <w:pStyle w:val="Compact"/>
      </w:pPr>
      <w:r>
        <w:t xml:space="preserve">I</w:t>
      </w:r>
      <w:r>
        <w:t xml:space="preserve"> </w:t>
      </w:r>
      <w:r>
        <w:rPr>
          <w:bCs/>
          <w:b/>
        </w:rPr>
        <w:t xml:space="preserve">disturbi gastrointestinali</w:t>
      </w:r>
      <w:r>
        <w:t xml:space="preserve"> </w:t>
      </w:r>
      <w:r>
        <w:t xml:space="preserve">sono di gran lunga i più frequenti: nausea, diarrea, vomito, stitichezza, appetito ridotto. In SURPASS-3 il 12–24% ha riferito nausea, il 15–17% diarrea e il 6–10% vomito</w:t>
      </w:r>
      <w:r>
        <w:rPr>
          <w:rStyle w:val="FootnoteReference"/>
        </w:rPr>
        <w:footnoteReference w:id="520"/>
      </w:r>
      <w:r>
        <w:t xml:space="preserve">. I disturbi si verificano soprattutto nella fase di aumento della dose e per lo più si attenuano. Sono il motivo più frequente di interruzione della terapia.</w:t>
      </w:r>
    </w:p>
    <w:p>
      <w:pPr>
        <w:numPr>
          <w:ilvl w:val="0"/>
          <w:numId w:val="1064"/>
        </w:numPr>
        <w:pStyle w:val="Compact"/>
      </w:pPr>
      <w:r>
        <w:rPr>
          <w:bCs/>
          <w:b/>
        </w:rPr>
        <w:t xml:space="preserve">Colecisti e vie biliari:</w:t>
      </w:r>
      <w:r>
        <w:t xml:space="preserve"> </w:t>
      </w:r>
      <w:r>
        <w:t xml:space="preserve">una meta-analisi di nove studi con 9.871 partecipanti ha rilevato un rischio aumentato per la categoria complessiva delle malattie della colecisti o delle vie biliari rispetto a placebo o insulina (rischio relativo 1,97; IC al 95% 1,14–3,42), mentre per la pancreatite non ha trovato un aumento statisticamente significativo</w:t>
      </w:r>
      <w:r>
        <w:rPr>
          <w:rStyle w:val="FootnoteReference"/>
        </w:rPr>
        <w:footnoteReference w:id="521"/>
      </w:r>
      <w:r>
        <w:t xml:space="preserve">. La rapida perdita di peso favorisce di per sé i calcoli biliari.</w:t>
      </w:r>
    </w:p>
    <w:p>
      <w:pPr>
        <w:numPr>
          <w:ilvl w:val="0"/>
          <w:numId w:val="1064"/>
        </w:numPr>
        <w:pStyle w:val="Compact"/>
      </w:pPr>
      <w:r>
        <w:rPr>
          <w:bCs/>
          <w:b/>
        </w:rPr>
        <w:t xml:space="preserve">Ipoglicemia:</w:t>
      </w:r>
      <w:r>
        <w:t xml:space="preserve"> </w:t>
      </w:r>
      <w:r>
        <w:t xml:space="preserve">rara in monoterapia. Il rischio aumenta se si assumono contemporaneamente insulina o sulfoniluree – in SURPASS-4 le ipoglicemie senza sulfonilurea si sono verificate nell’1–3%</w:t>
      </w:r>
      <w:r>
        <w:rPr>
          <w:rStyle w:val="FootnoteReference"/>
        </w:rPr>
        <w:footnoteReference w:id="522"/>
      </w:r>
      <w:r>
        <w:t xml:space="preserve">.</w:t>
      </w:r>
    </w:p>
    <w:p>
      <w:pPr>
        <w:numPr>
          <w:ilvl w:val="0"/>
          <w:numId w:val="1064"/>
        </w:numPr>
        <w:pStyle w:val="Compact"/>
      </w:pPr>
      <w:r>
        <w:rPr>
          <w:bCs/>
          <w:b/>
        </w:rPr>
        <w:t xml:space="preserve">Salute mentale:</w:t>
      </w:r>
      <w:r>
        <w:t xml:space="preserve"> </w:t>
      </w:r>
      <w:r>
        <w:t xml:space="preserve">un’analisi successiva di SURMOUNT-1–3 con 4.056 persone senza malattia psichica grave nota non ha trovato indizi di un aumento delle depressioni; pensieri suicidari sono stati riferiti nello 0,6% in entrambi i gruppi</w:t>
      </w:r>
      <w:r>
        <w:rPr>
          <w:rStyle w:val="FootnoteReference"/>
        </w:rPr>
        <w:footnoteReference w:id="523"/>
      </w:r>
      <w:r>
        <w:t xml:space="preserve">. Per le persone con gravi malattie psichiche mancano dati sufficienti.</w:t>
      </w:r>
    </w:p>
    <w:p>
      <w:pPr>
        <w:numPr>
          <w:ilvl w:val="0"/>
          <w:numId w:val="1064"/>
        </w:numPr>
        <w:pStyle w:val="Compact"/>
      </w:pPr>
      <w:r>
        <w:rPr>
          <w:bCs/>
          <w:b/>
        </w:rPr>
        <w:t xml:space="preserve">Perdita di massa magra:</w:t>
      </w:r>
      <w:r>
        <w:t xml:space="preserve"> </w:t>
      </w:r>
      <w:r>
        <w:t xml:space="preserve">circa un quarto del peso perso</w:t>
      </w:r>
      <w:r>
        <w:rPr>
          <w:rStyle w:val="FootnoteReference"/>
        </w:rPr>
        <w:footnoteReference w:id="524"/>
      </w:r>
      <w:r>
        <w:t xml:space="preserve">. Negli ambienti specialistici si raccomandano allenamento di forza e un adeguato apporto proteico per contrastarla; i dati solidi sul beneficio funzionale sono limitati.</w:t>
      </w:r>
    </w:p>
    <w:p>
      <w:pPr>
        <w:pStyle w:val="FirstParagraph"/>
      </w:pPr>
      <w:r>
        <w:rPr>
          <w:bCs/>
          <w:b/>
        </w:rPr>
        <w:t xml:space="preserve">Da dati successivi all’immissione in commercio:</w:t>
      </w:r>
      <w:r>
        <w:t xml:space="preserve"> </w:t>
      </w:r>
      <w:r>
        <w:t xml:space="preserve">un’analisi della banca dati statunitense degli effetti collaterali FAERS ha rilevato un numero sproporzionato di segnalazioni di nausea, pancreatite, retinopatia diabetica e cancro midollare della tiroide – rispetto ad altri agonisti del GLP-1, però, nessun rischio aumentato</w:t>
      </w:r>
      <w:r>
        <w:rPr>
          <w:rStyle w:val="FootnoteReference"/>
        </w:rPr>
        <w:footnoteReference w:id="525"/>
      </w:r>
      <w:r>
        <w:t xml:space="preserve">. Tali dati di segnalazione mostrano segnali, non cause: i rischi noti vengono segnalati più spesso. In un grande studio di coorte con oltre 46.000 coppie in trattamento di routine, il rischio di eventi gastrointestinali gravi (pancreatite, malattie delle vie biliari, occlusione intestinale, gastroparesi, stitichezza grave) non differiva sostanzialmente tra tirzepatide e semaglutide (hazard ratio 1,07; IC al 95% 0,90–1,26)</w:t>
      </w:r>
      <w:r>
        <w:rPr>
          <w:rStyle w:val="FootnoteReference"/>
        </w:rPr>
        <w:footnoteReference w:id="526"/>
      </w:r>
      <w:r>
        <w:t xml:space="preserve">.</w:t>
      </w:r>
    </w:p>
    <w:p>
      <w:pPr>
        <w:pStyle w:val="BodyText"/>
      </w:pPr>
      <w:r>
        <w:rPr>
          <w:bCs/>
          <w:b/>
        </w:rPr>
        <w:t xml:space="preserve">Teorici o derivati da dati su animali:</w:t>
      </w:r>
      <w:r>
        <w:t xml:space="preserve"> </w:t>
      </w:r>
      <w:r>
        <w:t xml:space="preserve">cancro midollare della tiroide (risultato sugli animali, vedi sopra). Per questo i Riassunti delle caratteristiche del prodotto prevedono un’avvertenza o una controindicazione in caso di carcinoma midollare della tiroide nella propria anamnesi o in quella familiare e di sindrome MEN 2.</w:t>
      </w:r>
    </w:p>
    <w:p>
      <w:pPr>
        <w:pStyle w:val="BodyText"/>
      </w:pPr>
      <w:r>
        <w:rPr>
          <w:bCs/>
          <w:b/>
        </w:rPr>
        <w:t xml:space="preserve">Importante per la pratica (secondo il Riassunto delle caratteristiche del prodotto, da non intendere come istruzioni):</w:t>
      </w:r>
      <w:r>
        <w:t xml:space="preserve"> </w:t>
      </w:r>
      <w:r>
        <w:t xml:space="preserve">il ritardato svuotamento gastrico può influenzare l’assorbimento delle compresse, il che è rilevante per esempio per la pillola contraccettiva. In gravidanza e allattamento la tirzepatide non viene usata. Prima di interventi chirurgici in anestesia va considerato il ritardato svuotamento gastrico. Su tutti i dettagli informano il Riassunto delle caratteristiche del prodotto e il medico curante.</w:t>
      </w:r>
    </w:p>
    <w:p>
      <w:pPr>
        <w:pStyle w:val="BodyText"/>
      </w:pPr>
      <w:r>
        <w:rPr>
          <w:bCs/>
          <w:b/>
        </w:rPr>
        <w:t xml:space="preserve">Prodotti di imitazione:</w:t>
      </w:r>
      <w:r>
        <w:t xml:space="preserve"> </w:t>
      </w:r>
      <w:r>
        <w:t xml:space="preserve">durante le carenze degli anni dal 2022 al 2024, negli Stati Uniti sono state prodotte in farmacia preparazioni di tirzepatide („compounding“), e parallelamente è nato un grande mercato grigio online. Un’indagine del 2025 ha trovato 33 preparazioni con semaglutide o tirzepatide in forme farmaceutiche non autorizzate – per esempio pastiglie da sciogliere in bocca o miscele con vitamine; per questi prodotti mancano dati su efficacia e sicurezza</w:t>
      </w:r>
      <w:r>
        <w:rPr>
          <w:rStyle w:val="FootnoteReference"/>
        </w:rPr>
        <w:footnoteReference w:id="527"/>
      </w:r>
      <w:r>
        <w:t xml:space="preserve">. Per la merce „da ricerca“ senza autorizzazione come farmaco ciò vale in misura ancora maggiore (vedi Parte I e Parte IV).</w:t>
      </w:r>
    </w:p>
    <w:bookmarkEnd w:id="528"/>
    <w:bookmarkStart w:id="529" w:name="quadro-normativo-4"/>
    <w:p>
      <w:pPr>
        <w:pStyle w:val="Heading3"/>
      </w:pPr>
      <w:r>
        <w:t xml:space="preserve">Quadro normativo</w:t>
      </w:r>
    </w:p>
    <w:p>
      <w:pPr>
        <w:numPr>
          <w:ilvl w:val="0"/>
          <w:numId w:val="1065"/>
        </w:numPr>
        <w:pStyle w:val="Compact"/>
      </w:pPr>
      <w:r>
        <w:rPr>
          <w:bCs/>
          <w:b/>
        </w:rPr>
        <w:t xml:space="preserve">UE / Austria / Germania:</w:t>
      </w:r>
      <w:r>
        <w:t xml:space="preserve"> </w:t>
      </w:r>
      <w:r>
        <w:t xml:space="preserve">la tirzepatide è autorizzata con procedura centralizzata nell’UE come Mounjaro (nel 2022 per il diabete di tipo 2, dalla fine del 2023 anche per la gestione del peso). È soggetta a prescrizione. Se la cassa malattia copra i costi dipende dall’indicazione: per il diabete di tipo 2 un rimborso è in linea di principio possibile; i farmaci per la riduzione del peso sono in Germania per legge in gran parte esclusi dal rimborso, in Austria valgono regole proprie e restrittive. I dettagli cambiano – da verificare.</w:t>
      </w:r>
    </w:p>
    <w:p>
      <w:pPr>
        <w:numPr>
          <w:ilvl w:val="0"/>
          <w:numId w:val="1065"/>
        </w:numPr>
        <w:pStyle w:val="Compact"/>
      </w:pPr>
      <w:r>
        <w:rPr>
          <w:bCs/>
          <w:b/>
        </w:rPr>
        <w:t xml:space="preserve">USA:</w:t>
      </w:r>
      <w:r>
        <w:t xml:space="preserve"> </w:t>
      </w:r>
      <w:r>
        <w:t xml:space="preserve">autorizzata come Mounjaro (2022, diabete di tipo 2) e come Zepbound (2023, gestione cronica del peso; nel 2024 anche apnea ostruttiva del sonno nell’obesità). Dopo la fine della carenza ufficiale, la FDA ha fortemente limitato la produzione di copie nelle farmacie.</w:t>
      </w:r>
    </w:p>
    <w:p>
      <w:pPr>
        <w:numPr>
          <w:ilvl w:val="0"/>
          <w:numId w:val="1065"/>
        </w:numPr>
        <w:pStyle w:val="Compact"/>
      </w:pPr>
      <w:r>
        <w:rPr>
          <w:bCs/>
          <w:b/>
        </w:rPr>
        <w:t xml:space="preserve">Sport:</w:t>
      </w:r>
      <w:r>
        <w:t xml:space="preserve"> </w:t>
      </w:r>
      <w:r>
        <w:t xml:space="preserve">la tirzepatide non figura nella Lista delle sostanze proibite della WADA (aggiornato al 2026, da verificare).</w:t>
      </w:r>
    </w:p>
    <w:p>
      <w:pPr>
        <w:numPr>
          <w:ilvl w:val="0"/>
          <w:numId w:val="1065"/>
        </w:numPr>
        <w:pStyle w:val="Compact"/>
      </w:pPr>
      <w:r>
        <w:rPr>
          <w:bCs/>
          <w:b/>
        </w:rPr>
        <w:t xml:space="preserve">Mercato grigio:</w:t>
      </w:r>
      <w:r>
        <w:t xml:space="preserve"> </w:t>
      </w:r>
      <w:r>
        <w:t xml:space="preserve">il commercio di prodotti di tirzepatide non autorizzati („for research use only“) non è nell’UE una via legale per ottenere un farmaco; i prodotti non sono soggetti ad alcun controllo di qualità.</w:t>
      </w:r>
    </w:p>
    <w:bookmarkEnd w:id="529"/>
    <w:bookmarkStart w:id="535" w:name="studi-in-corso-e-prospettive-4"/>
    <w:p>
      <w:pPr>
        <w:pStyle w:val="Heading3"/>
      </w:pPr>
      <w:r>
        <w:t xml:space="preserve">Studi in corso e prospettive</w:t>
      </w:r>
    </w:p>
    <w:p>
      <w:pPr>
        <w:pStyle w:val="FirstParagraph"/>
      </w:pPr>
      <w:r>
        <w:rPr>
          <w:bCs/>
          <w:b/>
        </w:rPr>
        <w:t xml:space="preserve">Accertato (studi registrati, aggiornati a ottobre 2026):</w:t>
      </w:r>
    </w:p>
    <w:p>
      <w:pPr>
        <w:numPr>
          <w:ilvl w:val="0"/>
          <w:numId w:val="1066"/>
        </w:numPr>
        <w:pStyle w:val="Compact"/>
      </w:pPr>
      <w:r>
        <w:rPr>
          <w:bCs/>
          <w:b/>
        </w:rPr>
        <w:t xml:space="preserve">SURMOUNT-MMO</w:t>
      </w:r>
      <w:r>
        <w:rPr>
          <w:rStyle w:val="FootnoteReference"/>
        </w:rPr>
        <w:footnoteReference w:id="530"/>
      </w:r>
      <w:r>
        <w:t xml:space="preserve">: studio di esito con circa 15.000 persone con obesità senza diabete e alto rischio cardiovascolare, tirzepatide contro placebo. L’endpoint principale comprende infarto, ictus, rivascolarizzazione, eventi di scompenso cardiaco e morte per qualsiasi causa; conclusione prevista nel 2027. Secondo la pubblicazione sul disegno è il primo studio di esito con incretine che esamini sia la prevenzione primaria sia quella secondaria delle malattie cardiovascolari</w:t>
      </w:r>
      <w:r>
        <w:rPr>
          <w:rStyle w:val="FootnoteReference"/>
        </w:rPr>
        <w:footnoteReference w:id="531"/>
      </w:r>
      <w:r>
        <w:t xml:space="preserve">.</w:t>
      </w:r>
    </w:p>
    <w:p>
      <w:pPr>
        <w:numPr>
          <w:ilvl w:val="0"/>
          <w:numId w:val="1066"/>
        </w:numPr>
        <w:pStyle w:val="Compact"/>
      </w:pPr>
      <w:r>
        <w:rPr>
          <w:bCs/>
          <w:b/>
        </w:rPr>
        <w:t xml:space="preserve">SYNERGY-Outcomes</w:t>
      </w:r>
      <w:r>
        <w:rPr>
          <w:rStyle w:val="FootnoteReference"/>
        </w:rPr>
        <w:footnoteReference w:id="532"/>
      </w:r>
      <w:r>
        <w:t xml:space="preserve">: protocollo master di fase 3 sulla steatosi epatica con 4.500 partecipanti previsti.</w:t>
      </w:r>
    </w:p>
    <w:p>
      <w:pPr>
        <w:numPr>
          <w:ilvl w:val="0"/>
          <w:numId w:val="1066"/>
        </w:numPr>
        <w:pStyle w:val="Compact"/>
      </w:pPr>
      <w:r>
        <w:rPr>
          <w:bCs/>
          <w:b/>
        </w:rPr>
        <w:t xml:space="preserve">Diabete di tipo 1 con obesità</w:t>
      </w:r>
      <w:r>
        <w:rPr>
          <w:rStyle w:val="FootnoteReference"/>
        </w:rPr>
        <w:footnoteReference w:id="533"/>
      </w:r>
      <w:r>
        <w:t xml:space="preserve">: due studi di fase 3.</w:t>
      </w:r>
    </w:p>
    <w:p>
      <w:pPr>
        <w:numPr>
          <w:ilvl w:val="0"/>
          <w:numId w:val="1066"/>
        </w:numPr>
        <w:pStyle w:val="Compact"/>
      </w:pPr>
      <w:r>
        <w:rPr>
          <w:bCs/>
          <w:b/>
        </w:rPr>
        <w:t xml:space="preserve">Adolescenti con obesità</w:t>
      </w:r>
      <w:r>
        <w:t xml:space="preserve"> </w:t>
      </w:r>
      <w:r>
        <w:t xml:space="preserve">(NCT06439277, SURMOUNT-ADOLESCENTS-2) e bambini</w:t>
      </w:r>
      <w:r>
        <w:rPr>
          <w:rStyle w:val="FootnoteReference"/>
        </w:rPr>
        <w:footnoteReference w:id="534"/>
      </w:r>
      <w:r>
        <w:t xml:space="preserve">.</w:t>
      </w:r>
    </w:p>
    <w:p>
      <w:pPr>
        <w:numPr>
          <w:ilvl w:val="0"/>
          <w:numId w:val="1066"/>
        </w:numPr>
        <w:pStyle w:val="Compact"/>
      </w:pPr>
      <w:r>
        <w:rPr>
          <w:bCs/>
          <w:b/>
        </w:rPr>
        <w:t xml:space="preserve">Confronto diretto con il successore retatrutide</w:t>
      </w:r>
      <w:r>
        <w:t xml:space="preserve"> </w:t>
      </w:r>
      <w:r>
        <w:t xml:space="preserve">(NCT06662383, vedi capitolo Retatrutide).</w:t>
      </w:r>
    </w:p>
    <w:p>
      <w:pPr>
        <w:numPr>
          <w:ilvl w:val="0"/>
          <w:numId w:val="1066"/>
        </w:numPr>
        <w:pStyle w:val="Compact"/>
      </w:pPr>
      <w:r>
        <w:t xml:space="preserve">Numerosi studi su artrosi del ginocchio, psoriasi, malattie renali e ictus.</w:t>
      </w:r>
    </w:p>
    <w:p>
      <w:pPr>
        <w:pStyle w:val="FirstParagraph"/>
      </w:pPr>
      <w:r>
        <w:rPr>
          <w:bCs/>
          <w:b/>
        </w:rPr>
        <w:t xml:space="preserve">Valutazione:</w:t>
      </w:r>
      <w:r>
        <w:t xml:space="preserve"> </w:t>
      </w:r>
      <w:r>
        <w:t xml:space="preserve">nel 2026 la tirzepatide è il metro di paragone con cui devono confrontarsi i nuovi farmaci dimagranti. La prossima grande domanda è se SURMOUNT-MMO mostrerà nelle persone senza diabete un beneficio cardiovascolare simile a quello dello studio SELECT per la semaglutide. La concorrenza arriva da tripli agonisti (retatrutide), combinazioni con amilina (CagriSema, amycretin) e compresse (orforglipron). Quando scadranno i brevetti e saranno possibili preparati di imitazione più economici è trattato nella Parte V.</w:t>
      </w:r>
    </w:p>
    <w:bookmarkEnd w:id="535"/>
    <w:bookmarkStart w:id="536" w:name="conclusione-4"/>
    <w:p>
      <w:pPr>
        <w:pStyle w:val="Heading3"/>
      </w:pPr>
      <w:r>
        <w:t xml:space="preserve">Conclusione</w:t>
      </w:r>
    </w:p>
    <w:p>
      <w:pPr>
        <w:pStyle w:val="FirstParagraph"/>
      </w:pPr>
      <w:r>
        <w:t xml:space="preserve">La tirzepatide è un doppio agonista GIP/GLP-1 studiato in uno dei più grandi programmi di studi della medicina del diabete e dell’obesità. In SURMOUNT-1 il peso corporeo si è ridotto alla dose più alta in media di circa il 21%, nel confronto diretto con la semaglutide (SURMOUNT-5) del 20,2% contro il 13,7%. Contro la dulaglutide non è risultata inferiore per gli eventi cardiovascolari, e nello scompenso cardiaco con funzione di pompa conservata e nell’apnea notturna ha mostrato effetti favorevoli. Gli effetti collaterali riguardano soprattutto il tratto gastrointestinale e la colecisti; dopo la sospensione gran parte del peso ritorna. Il trattamento va affidato al medico – con il preparato originale, non con merce del mercato grigio.</w:t>
      </w:r>
    </w:p>
    <w:bookmarkEnd w:id="536"/>
    <w:bookmarkEnd w:id="537"/>
    <w:bookmarkStart w:id="577" w:name="retatrutide"/>
    <w:p>
      <w:pPr>
        <w:pStyle w:val="Heading2"/>
      </w:pPr>
      <w:r>
        <w:t xml:space="preserve">Retatrutide</w:t>
      </w:r>
    </w:p>
    <w:bookmarkStart w:id="538" w:name="scheda-5"/>
    <w:p>
      <w:pPr>
        <w:pStyle w:val="Heading3"/>
      </w:pPr>
      <w:r>
        <w:t xml:space="preserve">Scheda</w:t>
      </w:r>
    </w:p>
    <w:p>
      <w:pPr>
        <w:numPr>
          <w:ilvl w:val="0"/>
          <w:numId w:val="1067"/>
        </w:numPr>
        <w:pStyle w:val="Compact"/>
      </w:pPr>
      <w:r>
        <w:rPr>
          <w:bCs/>
          <w:b/>
        </w:rPr>
        <w:t xml:space="preserve">Tipo/struttura:</w:t>
      </w:r>
      <w:r>
        <w:t xml:space="preserve"> </w:t>
      </w:r>
      <w:r>
        <w:t xml:space="preserve">peptide sintetico con una catena di acido grasso legata, per la somministrazione sottocutanea una volta alla settimana; codice di sviluppo LY3437943.</w:t>
      </w:r>
    </w:p>
    <w:p>
      <w:pPr>
        <w:numPr>
          <w:ilvl w:val="0"/>
          <w:numId w:val="1067"/>
        </w:numPr>
        <w:pStyle w:val="Compact"/>
      </w:pPr>
      <w:r>
        <w:rPr>
          <w:bCs/>
          <w:b/>
        </w:rPr>
        <w:t xml:space="preserve">Origine:</w:t>
      </w:r>
      <w:r>
        <w:t xml:space="preserve"> </w:t>
      </w:r>
      <w:r>
        <w:t xml:space="preserve">sviluppato da Eli Lilly come successore di tirzepatide.</w:t>
      </w:r>
    </w:p>
    <w:p>
      <w:pPr>
        <w:numPr>
          <w:ilvl w:val="0"/>
          <w:numId w:val="1067"/>
        </w:numPr>
        <w:pStyle w:val="Compact"/>
      </w:pPr>
      <w:r>
        <w:rPr>
          <w:bCs/>
          <w:b/>
        </w:rPr>
        <w:t xml:space="preserve">Principio d’azione:</w:t>
      </w:r>
      <w:r>
        <w:t xml:space="preserve"> </w:t>
      </w:r>
      <w:r>
        <w:t xml:space="preserve">«triplo agonista» su tre recettori: GIP, GLP-1 e glucagone. Nei media è spesso chiamato «Triple G».</w:t>
      </w:r>
    </w:p>
    <w:p>
      <w:pPr>
        <w:numPr>
          <w:ilvl w:val="0"/>
          <w:numId w:val="1067"/>
        </w:numPr>
        <w:pStyle w:val="Compact"/>
      </w:pPr>
      <w:r>
        <w:rPr>
          <w:bCs/>
          <w:b/>
        </w:rPr>
        <w:t xml:space="preserve">Autorizzazione UE:</w:t>
      </w:r>
      <w:r>
        <w:t xml:space="preserve"> </w:t>
      </w:r>
      <w:r>
        <w:t xml:space="preserve">no (aggiornato a ottobre 2026; programma di fase 3 TRIUMPH in parte concluso).</w:t>
      </w:r>
    </w:p>
    <w:p>
      <w:pPr>
        <w:numPr>
          <w:ilvl w:val="0"/>
          <w:numId w:val="1067"/>
        </w:numPr>
        <w:pStyle w:val="Compact"/>
      </w:pPr>
      <w:r>
        <w:rPr>
          <w:bCs/>
          <w:b/>
        </w:rPr>
        <w:t xml:space="preserve">Autorizzazione USA:</w:t>
      </w:r>
      <w:r>
        <w:t xml:space="preserve"> </w:t>
      </w:r>
      <w:r>
        <w:t xml:space="preserve">no (aggiornato a ottobre 2026, da verificare).</w:t>
      </w:r>
    </w:p>
    <w:p>
      <w:pPr>
        <w:numPr>
          <w:ilvl w:val="0"/>
          <w:numId w:val="1067"/>
        </w:numPr>
        <w:pStyle w:val="Compact"/>
      </w:pPr>
      <w:r>
        <w:rPr>
          <w:bCs/>
          <w:b/>
        </w:rPr>
        <w:t xml:space="preserve">WADA:</w:t>
      </w:r>
      <w:r>
        <w:t xml:space="preserve"> </w:t>
      </w:r>
      <w:r>
        <w:t xml:space="preserve">non elencato nominalmente; in quanto principio attivo non autorizzato in alcun Paese, retatrutide rientra però nella classe S0 «Sostanze non approvate» ed è quindi vietato nello sport in ogni momento.</w:t>
      </w:r>
    </w:p>
    <w:p>
      <w:pPr>
        <w:numPr>
          <w:ilvl w:val="0"/>
          <w:numId w:val="1067"/>
        </w:numPr>
        <w:pStyle w:val="Compact"/>
      </w:pPr>
      <w:r>
        <w:rPr>
          <w:bCs/>
          <w:b/>
        </w:rPr>
        <w:t xml:space="preserve">Livello di evidenza:</w:t>
      </w:r>
      <w:r>
        <w:t xml:space="preserve"> </w:t>
      </w:r>
      <w:r>
        <w:rPr>
          <w:bCs/>
          <w:b/>
        </w:rPr>
        <w:t xml:space="preserve">B</w:t>
      </w:r>
      <w:r>
        <w:t xml:space="preserve"> </w:t>
      </w:r>
      <w:r>
        <w:t xml:space="preserve">– pubblicati diversi grandi studi di fase 3, ma ancora nessuna autorizzazione e nessun dato sugli esiti cardiaci e renali. Con un’autorizzazione si raggiungerebbe il livello A.</w:t>
      </w:r>
    </w:p>
    <w:bookmarkEnd w:id="538"/>
    <w:bookmarkStart w:id="542" w:name="come-dovrebbe-agire-5"/>
    <w:p>
      <w:pPr>
        <w:pStyle w:val="Heading3"/>
      </w:pPr>
      <w:r>
        <w:t xml:space="preserve">Come dovrebbe agire</w:t>
      </w:r>
    </w:p>
    <w:p>
      <w:pPr>
        <w:pStyle w:val="FirstParagraph"/>
      </w:pPr>
      <w:r>
        <w:t xml:space="preserve">Retatrutide si basa sul principio di tirzepatide (si veda il relativo capitolo) e aggiunge un terzo bersaglio: il recettore del glucagone. A prima vista sembra contraddittorio, perché il glucagone è l’«ormone antagonista» dell’insulina: induce il fegato a rilasciare zucchero e aumenta la glicemia. Il glucagone ha però anche altri effetti: aumenta il dispendio energetico, favorisce la degradazione dei grassi nel fegato e contribuisce alla sazietà. L’idea alla base di retatrutide è sfruttare questi effetti favorevoli, mentre la componente GLP-1 e GIP compensa l’effetto di aumento della glicemia.</w:t>
      </w:r>
    </w:p>
    <w:p>
      <w:pPr>
        <w:pStyle w:val="BodyText"/>
      </w:pPr>
      <w:r>
        <w:t xml:space="preserve">Negli esperimenti su cellule retatrutide agisce con intensità simile sul recettore del glucagone e su quello del GLP-1, e con maggiore intensità sul recettore del GIP. Nei topi obesi la componente glucagonica ha potenziato la perdita di peso attraverso un aumento del dispendio energetico, mentre GIP e GLP-1 hanno ridotto l’apporto calorico</w:t>
      </w:r>
      <w:r>
        <w:rPr>
          <w:rStyle w:val="FootnoteReference"/>
        </w:rPr>
        <w:footnoteReference w:id="539"/>
      </w:r>
      <w:r>
        <w:t xml:space="preserve">. Se il dispendio energetico aumenti in misura rilevante anche nell’uomo non è ancora stato studiato a sufficienza; uno studio di fase 1 in merito è registrato</w:t>
      </w:r>
      <w:r>
        <w:rPr>
          <w:rStyle w:val="FootnoteReference"/>
        </w:rPr>
        <w:footnoteReference w:id="540"/>
      </w:r>
      <w:r>
        <w:t xml:space="preserve">.</w:t>
      </w:r>
    </w:p>
    <w:p>
      <w:pPr>
        <w:pStyle w:val="BodyText"/>
      </w:pPr>
      <w:r>
        <w:t xml:space="preserve">Nell’uomo, i partecipanti a uno studio di fase 2 hanno riferito, alle dosi più elevate, meno fame e una minore tendenza alla «perdita di controllo» durante i pasti; questi cambiamenti erano correlati alla perdita di peso</w:t>
      </w:r>
      <w:r>
        <w:rPr>
          <w:rStyle w:val="FootnoteReference"/>
        </w:rPr>
        <w:footnoteReference w:id="541"/>
      </w:r>
      <w:r>
        <w:t xml:space="preserve">.</w:t>
      </w:r>
    </w:p>
    <w:bookmarkEnd w:id="542"/>
    <w:bookmarkStart w:id="557" w:name="studi-sulluomo-5"/>
    <w:p>
      <w:pPr>
        <w:pStyle w:val="Heading3"/>
      </w:pPr>
      <w:r>
        <w:t xml:space="preserve">Studi sull’uomo</w:t>
      </w:r>
    </w:p>
    <w:p>
      <w:pPr>
        <w:pStyle w:val="FirstParagraph"/>
      </w:pPr>
      <w:r>
        <w:rPr>
          <w:bCs/>
          <w:b/>
        </w:rPr>
        <w:t xml:space="preserve">Dimensioni della letteratura:</w:t>
      </w:r>
      <w:r>
        <w:t xml:space="preserve"> </w:t>
      </w:r>
      <w:r>
        <w:t xml:space="preserve">la ricerca automatizzata su PubMed (ottobre 2026) ha individuato 10 studi sull’uomo, integrati dalla ricerca mirata delle pubblicazioni di fase 1 e fase 3. Su ClinicalTrials.gov risultavano registrati 32 studi (una voce di esempio palesemente fittizia non è stata conteggiata), tra cui il programma registrativo TRIUMPH (obesità) e TRANSCEND (diabete di tipo 2). Per un principio attivo non autorizzato si tratta di una base di dati insolitamente solida, che però proviene quasi interamente da studi finanziati dal produttore.</w:t>
      </w:r>
    </w:p>
    <w:bookmarkStart w:id="545" w:name="primi-studi"/>
    <w:p>
      <w:pPr>
        <w:pStyle w:val="Heading4"/>
      </w:pPr>
      <w:r>
        <w:t xml:space="preserve">Primi studi</w:t>
      </w:r>
    </w:p>
    <w:p>
      <w:pPr>
        <w:pStyle w:val="FirstParagraph"/>
      </w:pPr>
      <w:r>
        <w:t xml:space="preserve">Dopo uno studio a dose singola su persone sane, in cui il peso corporeo è rimasto ridotto fino a 43 giorni dopo una sola iniezione</w:t>
      </w:r>
      <w:r>
        <w:rPr>
          <w:rStyle w:val="FootnoteReference"/>
        </w:rPr>
        <w:footnoteReference w:id="543"/>
      </w:r>
      <w:r>
        <w:t xml:space="preserve">, è seguito uno studio di fase 1b di dodici settimane su 72 persone con diabete di tipo 2. L’emivita era di circa sei giorni, il che consente la somministrazione settimanale. Nel gruppo con la dose più alta la perdita di peso rispetto al placebo è arrivata a poco meno di 9 kg</w:t>
      </w:r>
      <w:r>
        <w:rPr>
          <w:rStyle w:val="FootnoteReference"/>
        </w:rPr>
        <w:footnoteReference w:id="544"/>
      </w:r>
      <w:r>
        <w:t xml:space="preserve">.</w:t>
      </w:r>
    </w:p>
    <w:bookmarkEnd w:id="545"/>
    <w:bookmarkStart w:id="551" w:name="fase-2-obesità-e-diabete-di-tipo-2"/>
    <w:p>
      <w:pPr>
        <w:pStyle w:val="Heading4"/>
      </w:pPr>
      <w:r>
        <w:t xml:space="preserve">Fase 2: obesità e diabete di tipo 2</w:t>
      </w:r>
    </w:p>
    <w:p>
      <w:pPr>
        <w:pStyle w:val="FirstParagraph"/>
      </w:pPr>
      <w:r>
        <w:t xml:space="preserve">Lo studio di fase 2 sull’obesità ha fatto notizia nel 2023</w:t>
      </w:r>
      <w:r>
        <w:rPr>
          <w:rStyle w:val="FootnoteReference"/>
        </w:rPr>
        <w:footnoteReference w:id="546"/>
      </w:r>
      <w:r>
        <w:t xml:space="preserve">. 338 adulti hanno ricevuto per 48 settimane diverse dosi o placebo. Nel gruppo con la dose più alta il peso corporeo si è ridotto in media del 24,2% (placebo: −2,1%); l’83% di questo gruppo ha perso almeno il 15%. Erano i valori più alti fino ad allora misurati in uno studio farmacologico sull’obesità. Gli effetti collaterali gastrointestinali aumentavano con la dose ed erano minori con una titolazione più lenta. La frequenza cardiaca è aumentata in modo dose-dipendente, ha raggiunto il valore massimo dopo 24 settimane e poi è diminuita.</w:t>
      </w:r>
    </w:p>
    <w:p>
      <w:pPr>
        <w:pStyle w:val="BodyText"/>
      </w:pPr>
      <w:r>
        <w:t xml:space="preserve">Lo studio parallelo di fase 2 su 281 persone con diabete di tipo 2 ha mostrato dopo 24 settimane riduzioni dell’HbA1c fino a 2,02 punti percentuali (dulaglutide: −1,41) e dopo 36 settimane una perdita di peso fino al 16,94%</w:t>
      </w:r>
      <w:r>
        <w:rPr>
          <w:rStyle w:val="FootnoteReference"/>
        </w:rPr>
        <w:footnoteReference w:id="547"/>
      </w:r>
      <w:r>
        <w:t xml:space="preserve">. In un sottostudio con misurazione della composizione corporea (DXA) la massa grassa è diminuita del 23–26% con le dosi più alte</w:t>
      </w:r>
      <w:r>
        <w:rPr>
          <w:rStyle w:val="FootnoteReference"/>
        </w:rPr>
        <w:footnoteReference w:id="548"/>
      </w:r>
      <w:r>
        <w:t xml:space="preserve">.</w:t>
      </w:r>
    </w:p>
    <w:p>
      <w:pPr>
        <w:pStyle w:val="BodyText"/>
      </w:pPr>
      <w:r>
        <w:t xml:space="preserve">Un sottostudio su 98 partecipanti con steatosi epatica (almeno il 10% di grasso nel fegato) ha rilevato dopo 24 settimane una riduzione relativa del grasso epatico fino all’82,4%; con la dose più alta l’86% aveva successivamente valori normali di grasso epatico, con il placebo nessuno</w:t>
      </w:r>
      <w:r>
        <w:rPr>
          <w:rStyle w:val="FootnoteReference"/>
        </w:rPr>
        <w:footnoteReference w:id="549"/>
      </w:r>
      <w:r>
        <w:t xml:space="preserve">. Il contenuto di grasso epatico è un parametro surrogato: non è ancora dimostrato che in questo modo si riducano infiammazione epatica, fibrosi e cirrosi.</w:t>
      </w:r>
    </w:p>
    <w:p>
      <w:pPr>
        <w:pStyle w:val="BodyText"/>
      </w:pPr>
      <w:r>
        <w:t xml:space="preserve">Le analisi successive degli studi di fase 2 hanno mostrato miglioramenti dei lipidi ematici e dei marcatori infiammatori, per esempio un colesterolo non-HDL inferiore fino al 26,9% e un valore di PCR inferiore del 54,8% nello studio sull’obesità</w:t>
      </w:r>
      <w:r>
        <w:rPr>
          <w:rStyle w:val="FootnoteReference"/>
        </w:rPr>
        <w:footnoteReference w:id="550"/>
      </w:r>
      <w:r>
        <w:t xml:space="preserve">. Anche questi sono valori di laboratorio, non esiti clinici «duri».</w:t>
      </w:r>
    </w:p>
    <w:bookmarkEnd w:id="551"/>
    <w:bookmarkStart w:id="556" w:name="fase-3-i-programmi-triumph-e-transcend"/>
    <w:p>
      <w:pPr>
        <w:pStyle w:val="Heading4"/>
      </w:pPr>
      <w:r>
        <w:t xml:space="preserve">Fase 3: i programmi TRIUMPH e TRANSCEND</w:t>
      </w:r>
    </w:p>
    <w:p>
      <w:pPr>
        <w:pStyle w:val="FirstParagraph"/>
      </w:pPr>
      <w:r>
        <w:t xml:space="preserve">Il programma registrativo per l’obesità, TRIUMPH, comprende quattro studi con complessivamente oltre 5.800 partecipanti. Una particolarità è il disegno «basket»: all’interno dei grandi studi sul peso sono stati valutati sottogruppi con artrosi del ginocchio o apnea del sonno, con propri endpoint primari</w:t>
      </w:r>
      <w:r>
        <w:rPr>
          <w:rStyle w:val="FootnoteReference"/>
        </w:rPr>
        <w:footnoteReference w:id="552"/>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Fase 2 obesità (Jastreboff 2023), PMID 37366315</w:t>
            </w:r>
          </w:p>
        </w:tc>
        <w:tc>
          <w:tcPr/>
          <w:p>
            <w:pPr>
              <w:pStyle w:val="Compact"/>
              <w:jc w:val="left"/>
            </w:pPr>
            <w:r>
              <w:t xml:space="preserve">338 adulti senza diabete, contro placebo</w:t>
            </w:r>
          </w:p>
        </w:tc>
        <w:tc>
          <w:tcPr/>
          <w:p>
            <w:pPr>
              <w:pStyle w:val="Compact"/>
              <w:jc w:val="left"/>
            </w:pPr>
            <w:r>
              <w:t xml:space="preserve">48 settimane</w:t>
            </w:r>
          </w:p>
        </w:tc>
        <w:tc>
          <w:tcPr/>
          <w:p>
            <w:pPr>
              <w:pStyle w:val="Compact"/>
              <w:jc w:val="left"/>
            </w:pPr>
            <w:r>
              <w:t xml:space="preserve">fino a −24,2% di peso vs. −2,1%</w:t>
            </w:r>
          </w:p>
        </w:tc>
      </w:tr>
      <w:tr>
        <w:tc>
          <w:tcPr/>
          <w:p>
            <w:pPr>
              <w:pStyle w:val="Compact"/>
              <w:jc w:val="left"/>
            </w:pPr>
            <w:r>
              <w:t xml:space="preserve">Fase 2 diabete di tipo 2 (Rosenstock 2023), PMID 37385280</w:t>
            </w:r>
          </w:p>
        </w:tc>
        <w:tc>
          <w:tcPr/>
          <w:p>
            <w:pPr>
              <w:pStyle w:val="Compact"/>
              <w:jc w:val="left"/>
            </w:pPr>
            <w:r>
              <w:t xml:space="preserve">281 adulti, contro placebo e dulaglutide</w:t>
            </w:r>
          </w:p>
        </w:tc>
        <w:tc>
          <w:tcPr/>
          <w:p>
            <w:pPr>
              <w:pStyle w:val="Compact"/>
              <w:jc w:val="left"/>
            </w:pPr>
            <w:r>
              <w:t xml:space="preserve">36 settimane</w:t>
            </w:r>
          </w:p>
        </w:tc>
        <w:tc>
          <w:tcPr/>
          <w:p>
            <w:pPr>
              <w:pStyle w:val="Compact"/>
              <w:jc w:val="left"/>
            </w:pPr>
            <w:r>
              <w:t xml:space="preserve">HbA1c fino a −2,02 punti; peso fino a −16,94%</w:t>
            </w:r>
          </w:p>
        </w:tc>
      </w:tr>
      <w:tr>
        <w:tc>
          <w:tcPr/>
          <w:p>
            <w:pPr>
              <w:pStyle w:val="Compact"/>
              <w:jc w:val="left"/>
            </w:pPr>
            <w:r>
              <w:t xml:space="preserve">TRIUMPH-1 (Jastreboff 2026), PMID 42814954</w:t>
            </w:r>
          </w:p>
        </w:tc>
        <w:tc>
          <w:tcPr/>
          <w:p>
            <w:pPr>
              <w:pStyle w:val="Compact"/>
              <w:jc w:val="left"/>
            </w:pPr>
            <w:r>
              <w:t xml:space="preserve">2.339 adulti con obesità senza diabete, contro placebo</w:t>
            </w:r>
          </w:p>
        </w:tc>
        <w:tc>
          <w:tcPr/>
          <w:p>
            <w:pPr>
              <w:pStyle w:val="Compact"/>
              <w:jc w:val="left"/>
            </w:pPr>
            <w:r>
              <w:t xml:space="preserve">80 settimane</w:t>
            </w:r>
          </w:p>
        </w:tc>
        <w:tc>
          <w:tcPr/>
          <w:p>
            <w:pPr>
              <w:pStyle w:val="Compact"/>
              <w:jc w:val="left"/>
            </w:pPr>
            <w:r>
              <w:t xml:space="preserve">−17,6 / −23,7 / −25,0% (4/9/12 mg) vs. −3,9%</w:t>
            </w:r>
          </w:p>
        </w:tc>
      </w:tr>
      <w:tr>
        <w:tc>
          <w:tcPr/>
          <w:p>
            <w:pPr>
              <w:pStyle w:val="Compact"/>
              <w:jc w:val="left"/>
            </w:pPr>
            <w:r>
              <w:t xml:space="preserve">TRIUMPH-2 (Bellido 2026), PMID 42810372</w:t>
            </w:r>
          </w:p>
        </w:tc>
        <w:tc>
          <w:tcPr/>
          <w:p>
            <w:pPr>
              <w:pStyle w:val="Compact"/>
              <w:jc w:val="left"/>
            </w:pPr>
            <w:r>
              <w:t xml:space="preserve">1.152 adulti con obesità e diabete di tipo 2, contro placebo</w:t>
            </w:r>
          </w:p>
        </w:tc>
        <w:tc>
          <w:tcPr/>
          <w:p>
            <w:pPr>
              <w:pStyle w:val="Compact"/>
              <w:jc w:val="left"/>
            </w:pPr>
            <w:r>
              <w:t xml:space="preserve">80 settimane</w:t>
            </w:r>
          </w:p>
        </w:tc>
        <w:tc>
          <w:tcPr/>
          <w:p>
            <w:pPr>
              <w:pStyle w:val="Compact"/>
              <w:jc w:val="left"/>
            </w:pPr>
            <w:r>
              <w:t xml:space="preserve">−11,9 / −16,8 / −18,8% vs. −5,1%</w:t>
            </w:r>
          </w:p>
        </w:tc>
      </w:tr>
      <w:tr>
        <w:tc>
          <w:tcPr/>
          <w:p>
            <w:pPr>
              <w:pStyle w:val="Compact"/>
              <w:jc w:val="left"/>
            </w:pPr>
            <w:r>
              <w:t xml:space="preserve">TRANSCEND-T2D-1 (Bajaj 2026), PMID 42250575</w:t>
            </w:r>
          </w:p>
        </w:tc>
        <w:tc>
          <w:tcPr/>
          <w:p>
            <w:pPr>
              <w:pStyle w:val="Compact"/>
              <w:jc w:val="left"/>
            </w:pPr>
            <w:r>
              <w:t xml:space="preserve">537 adulti con diabete di tipo 2 senza farmaci, contro placebo</w:t>
            </w:r>
          </w:p>
        </w:tc>
        <w:tc>
          <w:tcPr/>
          <w:p>
            <w:pPr>
              <w:pStyle w:val="Compact"/>
              <w:jc w:val="left"/>
            </w:pPr>
            <w:r>
              <w:t xml:space="preserve">40 settimane</w:t>
            </w:r>
          </w:p>
        </w:tc>
        <w:tc>
          <w:tcPr/>
          <w:p>
            <w:pPr>
              <w:pStyle w:val="Compact"/>
              <w:jc w:val="left"/>
            </w:pPr>
            <w:r>
              <w:t xml:space="preserve">HbA1c da −1,69 a −1,94 vs. −0,81; peso fino a −15,3%</w:t>
            </w:r>
          </w:p>
        </w:tc>
      </w:tr>
    </w:tbl>
    <w:p>
      <w:pPr>
        <w:pStyle w:val="BodyText"/>
      </w:pPr>
      <w:r>
        <w:rPr>
          <w:bCs/>
          <w:b/>
        </w:rPr>
        <w:t xml:space="preserve">TRIUMPH-1</w:t>
      </w:r>
      <w:r>
        <w:rPr>
          <w:rStyle w:val="FootnoteReference"/>
        </w:rPr>
        <w:footnoteReference w:id="553"/>
      </w:r>
      <w:r>
        <w:t xml:space="preserve"> </w:t>
      </w:r>
      <w:r>
        <w:t xml:space="preserve">è lo studio principale. In 2.339 adulti con obesità senza diabete il peso corporeo si è ridotto dopo 80 settimane, con la dose più alta, in media del 25,0%. Per confronto: in SURMOUNT-1 tirzepatide alla dose più alta ha raggiunto il 20,9% dopo 72 settimane. Un simile confronto incrociato tra studi con durata e popolazione diverse è però solo un orientamento approssimativo; il confronto diretto dovrebbe arrivare da uno studio in corso (si vedano le prospettive).</w:t>
      </w:r>
    </w:p>
    <w:p>
      <w:pPr>
        <w:pStyle w:val="BodyText"/>
      </w:pPr>
      <w:r>
        <w:t xml:space="preserve">Negli studi secondari integrati:</w:t>
      </w:r>
    </w:p>
    <w:p>
      <w:pPr>
        <w:numPr>
          <w:ilvl w:val="0"/>
          <w:numId w:val="1068"/>
        </w:numPr>
        <w:pStyle w:val="Compact"/>
      </w:pPr>
      <w:r>
        <w:rPr>
          <w:bCs/>
          <w:b/>
        </w:rPr>
        <w:t xml:space="preserve">Artrosi del ginocchio</w:t>
      </w:r>
      <w:r>
        <w:t xml:space="preserve"> </w:t>
      </w:r>
      <w:r>
        <w:t xml:space="preserve">(574 partecipanti): il punteggio del dolore (WOMAC, scala da 1 a 10) è diminuito rispettivamente di 3,5 e 3,6 punti con 9 e 12 mg, rispetto a 1,9 punti con il placebo.</w:t>
      </w:r>
    </w:p>
    <w:p>
      <w:pPr>
        <w:numPr>
          <w:ilvl w:val="0"/>
          <w:numId w:val="1068"/>
        </w:numPr>
        <w:pStyle w:val="Compact"/>
      </w:pPr>
      <w:r>
        <w:rPr>
          <w:bCs/>
          <w:b/>
        </w:rPr>
        <w:t xml:space="preserve">Apnea del sonno</w:t>
      </w:r>
      <w:r>
        <w:t xml:space="preserve"> </w:t>
      </w:r>
      <w:r>
        <w:t xml:space="preserve">(243 partecipanti): l’indice di apnea-ipopnea è diminuito di circa 32–34 eventi all’ora, con il placebo di poco meno di 10.</w:t>
      </w:r>
    </w:p>
    <w:p>
      <w:pPr>
        <w:pStyle w:val="FirstParagraph"/>
      </w:pPr>
      <w:r>
        <w:rPr>
          <w:bCs/>
          <w:b/>
        </w:rPr>
        <w:t xml:space="preserve">TRIUMPH-2</w:t>
      </w:r>
      <w:r>
        <w:rPr>
          <w:rStyle w:val="FootnoteReference"/>
        </w:rPr>
        <w:footnoteReference w:id="554"/>
      </w:r>
      <w:r>
        <w:t xml:space="preserve"> </w:t>
      </w:r>
      <w:r>
        <w:t xml:space="preserve">ha confermato lo schema noto secondo cui le persone con diabete di tipo 2 perdono meno peso: −18,8% con la dose più alta rispetto a −5,1% con il placebo. Questo studio ha fornito anche i dati di sicurezza finora più precisi (si veda più avanti).</w:t>
      </w:r>
    </w:p>
    <w:p>
      <w:pPr>
        <w:pStyle w:val="BodyText"/>
      </w:pPr>
      <w:r>
        <w:rPr>
          <w:bCs/>
          <w:b/>
        </w:rPr>
        <w:t xml:space="preserve">TRANSCEND-T2D-1</w:t>
      </w:r>
      <w:r>
        <w:rPr>
          <w:rStyle w:val="FootnoteReference"/>
        </w:rPr>
        <w:footnoteReference w:id="555"/>
      </w:r>
      <w:r>
        <w:t xml:space="preserve"> </w:t>
      </w:r>
      <w:r>
        <w:t xml:space="preserve">ha valutato retatrutide come unico trattamento antidiabetico in persone con diabete di breve durata. L’HbA1c è diminuita fino a 1,94 punti percentuali, il peso fino al 15,3%; non si sono verificate ipoglicemie gravi.</w:t>
      </w:r>
    </w:p>
    <w:p>
      <w:pPr>
        <w:pStyle w:val="BodyText"/>
      </w:pPr>
      <w:r>
        <w:t xml:space="preserve">TRIUMPH-3 (obesità con malattia cardiovascolare, NCT05882045) e TRIUMPH-4 (artrosi del ginocchio, NCT05931367) risultano conclusi secondo il registro; alla chiusura redazionale di questi capitoli non era ancora disponibile una pubblicazione sottoposta a revisione paritaria.</w:t>
      </w:r>
    </w:p>
    <w:bookmarkEnd w:id="556"/>
    <w:bookmarkEnd w:id="557"/>
    <w:bookmarkStart w:id="561" w:name="studi-su-animali-e-in-laboratorio-5"/>
    <w:p>
      <w:pPr>
        <w:pStyle w:val="Heading3"/>
      </w:pPr>
      <w:r>
        <w:t xml:space="preserve">Studi su animali e in laboratorio</w:t>
      </w:r>
    </w:p>
    <w:p>
      <w:pPr>
        <w:pStyle w:val="FirstParagraph"/>
      </w:pPr>
      <w:r>
        <w:t xml:space="preserve">Le basi precliniche provengono in gran parte dal produttore. Nelle colture cellulari retatrutide attiva tutti e tre i recettori; nei topi obesi ha ridotto peso e glicemia, e la componente glucagonica ha aumentato il dispendio energetico</w:t>
      </w:r>
      <w:r>
        <w:rPr>
          <w:rStyle w:val="FootnoteReference"/>
        </w:rPr>
        <w:footnoteReference w:id="558"/>
      </w:r>
      <w:r>
        <w:t xml:space="preserve">. Un lavoro su topi obesi descrive che tumori pancreatici e polmonari trapiantati attecchivano meno spesso e crescevano più lentamente sotto retatrutide</w:t>
      </w:r>
      <w:r>
        <w:rPr>
          <w:rStyle w:val="FootnoteReference"/>
        </w:rPr>
        <w:footnoteReference w:id="559"/>
      </w:r>
      <w:r>
        <w:t xml:space="preserve">: un risultato su animali da cui non si può dedurre nulla per l’uomo.</w:t>
      </w:r>
    </w:p>
    <w:p>
      <w:pPr>
        <w:pStyle w:val="BodyText"/>
      </w:pPr>
      <w:r>
        <w:t xml:space="preserve">Per le analisi antidoping è stato sviluppato nel 2026 un metodo di rilevamento. A questo scopo sono stati analizzati campioni di sangue e di urina di quattro persone che si erano iniettate retatrutide da sole, al di fuori degli studi. Nelle urine non è stato trovato retatrutide intatto; nel sangue era rilevabile fino a circa 56 giorni dopo la prima iniezione</w:t>
      </w:r>
      <w:r>
        <w:rPr>
          <w:rStyle w:val="FootnoteReference"/>
        </w:rPr>
        <w:footnoteReference w:id="560"/>
      </w:r>
      <w:r>
        <w:t xml:space="preserve">. Gli autori fanno riferimento a segnalazioni sull’uso tra sportivi amatoriali.</w:t>
      </w:r>
    </w:p>
    <w:bookmarkEnd w:id="561"/>
    <w:bookmarkStart w:id="565" w:name="rischi-ed-effetti-collaterali-5"/>
    <w:p>
      <w:pPr>
        <w:pStyle w:val="Heading3"/>
      </w:pPr>
      <w:r>
        <w:t xml:space="preserve">Rischi ed effetti collaterali</w:t>
      </w:r>
    </w:p>
    <w:p>
      <w:pPr>
        <w:pStyle w:val="FirstParagraph"/>
      </w:pPr>
      <w:r>
        <w:rPr>
          <w:bCs/>
          <w:b/>
        </w:rPr>
        <w:t xml:space="preserve">Documentati dagli studi:</w:t>
      </w:r>
    </w:p>
    <w:p>
      <w:pPr>
        <w:numPr>
          <w:ilvl w:val="0"/>
          <w:numId w:val="1069"/>
        </w:numPr>
        <w:pStyle w:val="Compact"/>
      </w:pPr>
      <w:r>
        <w:rPr>
          <w:bCs/>
          <w:b/>
        </w:rPr>
        <w:t xml:space="preserve">Disturbi gastrointestinali:</w:t>
      </w:r>
      <w:r>
        <w:t xml:space="preserve"> </w:t>
      </w:r>
      <w:r>
        <w:t xml:space="preserve">sono gli effetti collaterali più frequenti e nettamente dose-dipendenti. In TRIUMPH-2 la diarrea si è verificata nel 27–34% (placebo 13%) e la nausea nel 14–28% (placebo 8%)</w:t>
      </w:r>
      <w:r>
        <w:rPr>
          <w:rStyle w:val="FootnoteReference"/>
        </w:rPr>
        <w:footnoteReference w:id="562"/>
      </w:r>
      <w:r>
        <w:t xml:space="preserve">.</w:t>
      </w:r>
    </w:p>
    <w:p>
      <w:pPr>
        <w:numPr>
          <w:ilvl w:val="0"/>
          <w:numId w:val="1069"/>
        </w:numPr>
        <w:pStyle w:val="Compact"/>
      </w:pPr>
      <w:r>
        <w:rPr>
          <w:bCs/>
          <w:b/>
        </w:rPr>
        <w:t xml:space="preserve">Interruzioni del trattamento:</w:t>
      </w:r>
      <w:r>
        <w:t xml:space="preserve"> </w:t>
      </w:r>
      <w:r>
        <w:t xml:space="preserve">in TRIUMPH-2 il 12% (9 mg) e l’8% (12 mg) hanno interrotto il trattamento per effetti collaterali o decesso, con 4 mg il 4% e con il placebo il 5%.</w:t>
      </w:r>
    </w:p>
    <w:p>
      <w:pPr>
        <w:numPr>
          <w:ilvl w:val="0"/>
          <w:numId w:val="1069"/>
        </w:numPr>
        <w:pStyle w:val="Compact"/>
      </w:pPr>
      <w:r>
        <w:rPr>
          <w:bCs/>
          <w:b/>
        </w:rPr>
        <w:t xml:space="preserve">Disestesia</w:t>
      </w:r>
      <w:r>
        <w:t xml:space="preserve"> </w:t>
      </w:r>
      <w:r>
        <w:t xml:space="preserve">– sensazioni cutanee sgradevoli come formicolio, bruciore o ipersensibilità al tatto – si è verificata in TRIUMPH-2 in modo dose-dipendente nel 4–7% rispetto all’1% con il placebo. Questo segnale è relativamente nuovo per retatrutide; la causa non è chiarita.</w:t>
      </w:r>
    </w:p>
    <w:p>
      <w:pPr>
        <w:numPr>
          <w:ilvl w:val="0"/>
          <w:numId w:val="1069"/>
        </w:numPr>
        <w:pStyle w:val="Compact"/>
      </w:pPr>
      <w:r>
        <w:rPr>
          <w:bCs/>
          <w:b/>
        </w:rPr>
        <w:t xml:space="preserve">Pressione bassa</w:t>
      </w:r>
      <w:r>
        <w:t xml:space="preserve"> </w:t>
      </w:r>
      <w:r>
        <w:t xml:space="preserve">(ipotensione): 1–6% rispetto a meno dell’1% con il placebo (TRIUMPH-2).</w:t>
      </w:r>
    </w:p>
    <w:p>
      <w:pPr>
        <w:numPr>
          <w:ilvl w:val="0"/>
          <w:numId w:val="1069"/>
        </w:numPr>
        <w:pStyle w:val="Compact"/>
      </w:pPr>
      <w:r>
        <w:rPr>
          <w:bCs/>
          <w:b/>
        </w:rPr>
        <w:t xml:space="preserve">Frequenza cardiaca:</w:t>
      </w:r>
      <w:r>
        <w:t xml:space="preserve"> </w:t>
      </w:r>
      <w:r>
        <w:t xml:space="preserve">nello studio di fase 2 il polso è aumentato in modo dose-dipendente ed è poi diminuito dopo 24 settimane</w:t>
      </w:r>
      <w:r>
        <w:rPr>
          <w:rStyle w:val="FootnoteReference"/>
        </w:rPr>
        <w:footnoteReference w:id="563"/>
      </w:r>
      <w:r>
        <w:t xml:space="preserve">. Una frequenza a riposo più alta è nota per tutti i farmaci GLP-1; se nel triplo agonista sia clinicamente rilevante dovranno chiarirlo gli studi sugli esiti.</w:t>
      </w:r>
    </w:p>
    <w:p>
      <w:pPr>
        <w:numPr>
          <w:ilvl w:val="0"/>
          <w:numId w:val="1069"/>
        </w:numPr>
        <w:pStyle w:val="Compact"/>
      </w:pPr>
      <w:r>
        <w:rPr>
          <w:bCs/>
          <w:b/>
        </w:rPr>
        <w:t xml:space="preserve">Perdita di massa magra:</w:t>
      </w:r>
      <w:r>
        <w:t xml:space="preserve"> </w:t>
      </w:r>
      <w:r>
        <w:t xml:space="preserve">come per ogni forte calo di peso (si veda tirzepatide).</w:t>
      </w:r>
    </w:p>
    <w:p>
      <w:pPr>
        <w:pStyle w:val="FirstParagraph"/>
      </w:pPr>
      <w:r>
        <w:rPr>
          <w:bCs/>
          <w:b/>
        </w:rPr>
        <w:t xml:space="preserve">Teorici o ancora studiati in modo insufficiente:</w:t>
      </w:r>
      <w:r>
        <w:t xml:space="preserve"> </w:t>
      </w:r>
      <w:r>
        <w:t xml:space="preserve">la componente glucagonica potrebbe avere a lungo termine effetti sul metabolismo degli aminoacidi, sul ritmo cardiaco e sulle ossa; non esistono in merito dati affidabili a lungo termine. Per i rischi di classe dei farmaci GLP-1 (colecisti, pancreas, cellule C della tiroide negli esperimenti sugli animali) per retatrutide ci sono ancora troppo pochi anni-paziente per formulare valutazioni proprie.</w:t>
      </w:r>
    </w:p>
    <w:p>
      <w:pPr>
        <w:pStyle w:val="BodyText"/>
      </w:pPr>
      <w:r>
        <w:rPr>
          <w:bCs/>
          <w:b/>
        </w:rPr>
        <w:t xml:space="preserve">Mercato grigio:</w:t>
      </w:r>
      <w:r>
        <w:t xml:space="preserve"> </w:t>
      </w:r>
      <w:r>
        <w:t xml:space="preserve">dalla pubblicazione della fase 2 retatrutide viene offerto su internet come «research peptide»; la rivista JAMA ha riferito nel 2026 di un crescente mercato nero di retatrutide e zenagamtide</w:t>
      </w:r>
      <w:r>
        <w:rPr>
          <w:rStyle w:val="FootnoteReference"/>
        </w:rPr>
        <w:footnoteReference w:id="564"/>
      </w:r>
      <w:r>
        <w:t xml:space="preserve">. Questi prodotti non sono medicinali, il loro contenuto non è verificato e con essi non è possibile riprodurre in modo affidabile gli schemi di titolazione usati negli studi. La concentrazione di effetti collaterali in caso di rapido aumento della dose negli studi mostra che proprio questo aspetto è decisivo per la tollerabilità. Si vedano in proposito la Parte I e la Parte IV.</w:t>
      </w:r>
    </w:p>
    <w:bookmarkEnd w:id="565"/>
    <w:bookmarkStart w:id="567" w:name="quadro-normativo-5"/>
    <w:p>
      <w:pPr>
        <w:pStyle w:val="Heading3"/>
      </w:pPr>
      <w:r>
        <w:t xml:space="preserve">Quadro normativo</w:t>
      </w:r>
    </w:p>
    <w:p>
      <w:pPr>
        <w:numPr>
          <w:ilvl w:val="0"/>
          <w:numId w:val="1070"/>
        </w:numPr>
        <w:pStyle w:val="Compact"/>
      </w:pPr>
      <w:r>
        <w:rPr>
          <w:bCs/>
          <w:b/>
        </w:rPr>
        <w:t xml:space="preserve">UE / Austria / Germania:</w:t>
      </w:r>
      <w:r>
        <w:t xml:space="preserve"> </w:t>
      </w:r>
      <w:r>
        <w:t xml:space="preserve">non autorizzato. Retatrutide può essere usato solo nell’ambito di studi clinici. La vendita come «sostanza chimica per la ricerca» destinata all’uso sull’uomo non è consentita dalla normativa sui medicinali.</w:t>
      </w:r>
    </w:p>
    <w:p>
      <w:pPr>
        <w:numPr>
          <w:ilvl w:val="0"/>
          <w:numId w:val="1070"/>
        </w:numPr>
        <w:pStyle w:val="Compact"/>
      </w:pPr>
      <w:r>
        <w:rPr>
          <w:bCs/>
          <w:b/>
        </w:rPr>
        <w:t xml:space="preserve">USA:</w:t>
      </w:r>
      <w:r>
        <w:t xml:space="preserve"> </w:t>
      </w:r>
      <w:r>
        <w:t xml:space="preserve">non autorizzato (aggiornato a ottobre 2026). Nel registro è iscritto un programma di accesso allargato prima dell’autorizzazione («Expanded Access»)</w:t>
      </w:r>
      <w:r>
        <w:rPr>
          <w:rStyle w:val="FootnoteReference"/>
        </w:rPr>
        <w:footnoteReference w:id="566"/>
      </w:r>
      <w:r>
        <w:t xml:space="preserve">. Se e quando venga o sia stata presentata una domanda di autorizzazione: da verificare.</w:t>
      </w:r>
    </w:p>
    <w:p>
      <w:pPr>
        <w:numPr>
          <w:ilvl w:val="0"/>
          <w:numId w:val="1070"/>
        </w:numPr>
        <w:pStyle w:val="Compact"/>
      </w:pPr>
      <w:r>
        <w:rPr>
          <w:bCs/>
          <w:b/>
        </w:rPr>
        <w:t xml:space="preserve">Sport:</w:t>
      </w:r>
      <w:r>
        <w:t xml:space="preserve"> </w:t>
      </w:r>
      <w:r>
        <w:t xml:space="preserve">in quanto principio attivo non autorizzato, retatrutide rientra nella classe WADA S0 (aggiornato al 2026, da verificare). È descritto un metodo specifico di rilevamento nel sangue.</w:t>
      </w:r>
    </w:p>
    <w:bookmarkEnd w:id="567"/>
    <w:bookmarkStart w:id="575" w:name="studi-in-corso-e-prospettive-5"/>
    <w:p>
      <w:pPr>
        <w:pStyle w:val="Heading3"/>
      </w:pPr>
      <w:r>
        <w:t xml:space="preserve">Studi in corso e prospettive</w:t>
      </w:r>
    </w:p>
    <w:p>
      <w:pPr>
        <w:pStyle w:val="FirstParagraph"/>
      </w:pPr>
      <w:r>
        <w:rPr>
          <w:bCs/>
          <w:b/>
        </w:rPr>
        <w:t xml:space="preserve">Certo (studi registrati, aggiornato a ottobre 2026):</w:t>
      </w:r>
    </w:p>
    <w:p>
      <w:pPr>
        <w:numPr>
          <w:ilvl w:val="0"/>
          <w:numId w:val="1071"/>
        </w:numPr>
        <w:pStyle w:val="Compact"/>
      </w:pPr>
      <w:r>
        <w:rPr>
          <w:bCs/>
          <w:b/>
        </w:rPr>
        <w:t xml:space="preserve">TRIUMPH-Outcomes</w:t>
      </w:r>
      <w:r>
        <w:rPr>
          <w:rStyle w:val="FootnoteReference"/>
        </w:rPr>
        <w:footnoteReference w:id="568"/>
      </w:r>
      <w:r>
        <w:t xml:space="preserve">: studio sugli esiti cardiovascolari e renali con circa 10.000 partecipanti con obesità, conclusione prevista nel 2029.</w:t>
      </w:r>
    </w:p>
    <w:p>
      <w:pPr>
        <w:numPr>
          <w:ilvl w:val="0"/>
          <w:numId w:val="1071"/>
        </w:numPr>
        <w:pStyle w:val="Compact"/>
      </w:pPr>
      <w:r>
        <w:rPr>
          <w:bCs/>
          <w:b/>
        </w:rPr>
        <w:t xml:space="preserve">Retatrutide contro tirzepatide</w:t>
      </w:r>
      <w:r>
        <w:rPr>
          <w:rStyle w:val="FootnoteReference"/>
        </w:rPr>
        <w:footnoteReference w:id="569"/>
      </w:r>
      <w:r>
        <w:t xml:space="preserve">: confronto diretto su 800 adulti con obesità, fine dello studio prevista a dicembre 2026.</w:t>
      </w:r>
    </w:p>
    <w:p>
      <w:pPr>
        <w:numPr>
          <w:ilvl w:val="0"/>
          <w:numId w:val="1071"/>
        </w:numPr>
        <w:pStyle w:val="Compact"/>
      </w:pPr>
      <w:r>
        <w:rPr>
          <w:bCs/>
          <w:b/>
        </w:rPr>
        <w:t xml:space="preserve">Retatrutide contro semaglutide</w:t>
      </w:r>
      <w:r>
        <w:t xml:space="preserve"> </w:t>
      </w:r>
      <w:r>
        <w:t xml:space="preserve">nel diabete di tipo 2</w:t>
      </w:r>
      <w:r>
        <w:rPr>
          <w:rStyle w:val="FootnoteReference"/>
        </w:rPr>
        <w:footnoteReference w:id="570"/>
      </w:r>
      <w:r>
        <w:t xml:space="preserve">.</w:t>
      </w:r>
    </w:p>
    <w:p>
      <w:pPr>
        <w:numPr>
          <w:ilvl w:val="0"/>
          <w:numId w:val="1071"/>
        </w:numPr>
        <w:pStyle w:val="Compact"/>
      </w:pPr>
      <w:r>
        <w:rPr>
          <w:bCs/>
          <w:b/>
        </w:rPr>
        <w:t xml:space="preserve">Mantenimento del peso</w:t>
      </w:r>
      <w:r>
        <w:t xml:space="preserve"> </w:t>
      </w:r>
      <w:r>
        <w:t xml:space="preserve">dopo il calo</w:t>
      </w:r>
      <w:r>
        <w:rPr>
          <w:rStyle w:val="FootnoteReference"/>
        </w:rPr>
        <w:footnoteReference w:id="571"/>
      </w:r>
      <w:r>
        <w:t xml:space="preserve">,</w:t>
      </w:r>
      <w:r>
        <w:t xml:space="preserve"> </w:t>
      </w:r>
      <w:r>
        <w:rPr>
          <w:bCs/>
          <w:b/>
        </w:rPr>
        <w:t xml:space="preserve">funzione renale</w:t>
      </w:r>
      <w:r>
        <w:t xml:space="preserve"> </w:t>
      </w:r>
      <w:r>
        <w:t xml:space="preserve">nel diabete di tipo 2 con insufficienza renale</w:t>
      </w:r>
      <w:r>
        <w:rPr>
          <w:rStyle w:val="FootnoteReference"/>
        </w:rPr>
        <w:footnoteReference w:id="572"/>
      </w:r>
      <w:r>
        <w:t xml:space="preserve">,</w:t>
      </w:r>
      <w:r>
        <w:t xml:space="preserve"> </w:t>
      </w:r>
      <w:r>
        <w:rPr>
          <w:bCs/>
          <w:b/>
        </w:rPr>
        <w:t xml:space="preserve">lombalgia cronica</w:t>
      </w:r>
      <w:r>
        <w:t xml:space="preserve"> </w:t>
      </w:r>
      <w:r>
        <w:t xml:space="preserve">nell’obesità</w:t>
      </w:r>
      <w:r>
        <w:rPr>
          <w:rStyle w:val="FootnoteReference"/>
        </w:rPr>
        <w:footnoteReference w:id="573"/>
      </w:r>
      <w:r>
        <w:t xml:space="preserve">.</w:t>
      </w:r>
    </w:p>
    <w:p>
      <w:pPr>
        <w:numPr>
          <w:ilvl w:val="0"/>
          <w:numId w:val="1071"/>
        </w:numPr>
        <w:pStyle w:val="Compact"/>
      </w:pPr>
      <w:r>
        <w:t xml:space="preserve">Retatrutide fa inoltre parte di un protocollo master di fase 3 sulla steatosi epatica</w:t>
      </w:r>
      <w:r>
        <w:rPr>
          <w:rStyle w:val="FootnoteReference"/>
        </w:rPr>
        <w:footnoteReference w:id="574"/>
      </w:r>
      <w:r>
        <w:t xml:space="preserve">.</w:t>
      </w:r>
    </w:p>
    <w:p>
      <w:pPr>
        <w:pStyle w:val="FirstParagraph"/>
      </w:pPr>
      <w:r>
        <w:rPr>
          <w:bCs/>
          <w:b/>
        </w:rPr>
        <w:t xml:space="preserve">Valutazione:</w:t>
      </w:r>
      <w:r>
        <w:t xml:space="preserve"> </w:t>
      </w:r>
      <w:r>
        <w:t xml:space="preserve">dopo i dati di TRIUMPH-1 e TRIUMPH-2 sono da attendersi domande di autorizzazione negli USA e nell’UE; un’introduzione sul mercato nel 2027 o nel 2028 appare plausibile, ma non è certa. Se una perdita di peso aggiuntiva rispetto a tirzepatide compensi i tassi di interruzione un po’ più alti e il nuovo segnale della disestesia lo mostrerà il confronto diretto. Per molte persone una perdita di peso media e ben tollerata è più importante di un valore record.</w:t>
      </w:r>
    </w:p>
    <w:bookmarkEnd w:id="575"/>
    <w:bookmarkStart w:id="576" w:name="conclusione-5"/>
    <w:p>
      <w:pPr>
        <w:pStyle w:val="Heading3"/>
      </w:pPr>
      <w:r>
        <w:t xml:space="preserve">Conclusione</w:t>
      </w:r>
    </w:p>
    <w:p>
      <w:pPr>
        <w:pStyle w:val="FirstParagraph"/>
      </w:pPr>
      <w:r>
        <w:t xml:space="preserve">Retatrutide è un triplo agonista dei recettori GIP, GLP-1 e del glucagone e nello studio di fase 3 TRIUMPH-1 ha ottenuto una perdita di peso media del 25,0% dopo 80 settimane: il valore più alto finora misurato in un grande studio farmacologico. Effetti netti si sono osservati anche nel diabete di tipo 2, nell’artrosi del ginocchio e nell’apnea del sonno. Gli effetti collaterali riguardano soprattutto il tratto gastrointestinale; nuove sono le sensazioni cutanee anomale, e i tassi di interruzione aumentano alle dosi alte. Mancano ancora i dati sugli eventi cardiovascolari e un’autorizzazione. I prodotti del mercato grigio con la scritta «Retatrutide» non sono una scorciatoia sicura verso questo farmaco.</w:t>
      </w:r>
    </w:p>
    <w:bookmarkEnd w:id="576"/>
    <w:bookmarkEnd w:id="577"/>
    <w:bookmarkStart w:id="613" w:name="survodutide"/>
    <w:p>
      <w:pPr>
        <w:pStyle w:val="Heading2"/>
      </w:pPr>
      <w:r>
        <w:t xml:space="preserve">Survodutide</w:t>
      </w:r>
    </w:p>
    <w:bookmarkStart w:id="578" w:name="scheda-6"/>
    <w:p>
      <w:pPr>
        <w:pStyle w:val="Heading3"/>
      </w:pPr>
      <w:r>
        <w:t xml:space="preserve">Scheda</w:t>
      </w:r>
    </w:p>
    <w:p>
      <w:pPr>
        <w:numPr>
          <w:ilvl w:val="0"/>
          <w:numId w:val="1072"/>
        </w:numPr>
        <w:pStyle w:val="Compact"/>
      </w:pPr>
      <w:r>
        <w:rPr>
          <w:bCs/>
          <w:b/>
        </w:rPr>
        <w:t xml:space="preserve">Tipo/struttura:</w:t>
      </w:r>
      <w:r>
        <w:t xml:space="preserve"> </w:t>
      </w:r>
      <w:r>
        <w:t xml:space="preserve">peptide sintetico modificato con acido grasso, per la somministrazione sottocutanea una volta alla settimana; codice di sviluppo BI 456906.</w:t>
      </w:r>
    </w:p>
    <w:p>
      <w:pPr>
        <w:numPr>
          <w:ilvl w:val="0"/>
          <w:numId w:val="1072"/>
        </w:numPr>
        <w:pStyle w:val="Compact"/>
      </w:pPr>
      <w:r>
        <w:rPr>
          <w:bCs/>
          <w:b/>
        </w:rPr>
        <w:t xml:space="preserve">Origine:</w:t>
      </w:r>
      <w:r>
        <w:t xml:space="preserve"> </w:t>
      </w:r>
      <w:r>
        <w:t xml:space="preserve">sviluppato da Boehringer Ingelheim in collaborazione con l’azienda danese Zealand Pharma.</w:t>
      </w:r>
    </w:p>
    <w:p>
      <w:pPr>
        <w:numPr>
          <w:ilvl w:val="0"/>
          <w:numId w:val="1072"/>
        </w:numPr>
        <w:pStyle w:val="Compact"/>
      </w:pPr>
      <w:r>
        <w:rPr>
          <w:bCs/>
          <w:b/>
        </w:rPr>
        <w:t xml:space="preserve">Principio d’azione:</w:t>
      </w:r>
      <w:r>
        <w:t xml:space="preserve"> </w:t>
      </w:r>
      <w:r>
        <w:t xml:space="preserve">doppio agonista dei recettori del glucagone e del GLP-1 (senza componente GIP).</w:t>
      </w:r>
    </w:p>
    <w:p>
      <w:pPr>
        <w:numPr>
          <w:ilvl w:val="0"/>
          <w:numId w:val="1072"/>
        </w:numPr>
        <w:pStyle w:val="Compact"/>
      </w:pPr>
      <w:r>
        <w:rPr>
          <w:bCs/>
          <w:b/>
        </w:rPr>
        <w:t xml:space="preserve">Autorizzazione UE:</w:t>
      </w:r>
      <w:r>
        <w:t xml:space="preserve"> </w:t>
      </w:r>
      <w:r>
        <w:t xml:space="preserve">no (aggiornato a ottobre 2026).</w:t>
      </w:r>
    </w:p>
    <w:p>
      <w:pPr>
        <w:numPr>
          <w:ilvl w:val="0"/>
          <w:numId w:val="1072"/>
        </w:numPr>
        <w:pStyle w:val="Compact"/>
      </w:pPr>
      <w:r>
        <w:rPr>
          <w:bCs/>
          <w:b/>
        </w:rPr>
        <w:t xml:space="preserve">Autorizzazione USA:</w:t>
      </w:r>
      <w:r>
        <w:t xml:space="preserve"> </w:t>
      </w:r>
      <w:r>
        <w:t xml:space="preserve">no (aggiornato a ottobre 2026).</w:t>
      </w:r>
    </w:p>
    <w:p>
      <w:pPr>
        <w:numPr>
          <w:ilvl w:val="0"/>
          <w:numId w:val="1072"/>
        </w:numPr>
        <w:pStyle w:val="Compact"/>
      </w:pPr>
      <w:r>
        <w:rPr>
          <w:bCs/>
          <w:b/>
        </w:rPr>
        <w:t xml:space="preserve">WADA:</w:t>
      </w:r>
      <w:r>
        <w:t xml:space="preserve"> </w:t>
      </w:r>
      <w:r>
        <w:t xml:space="preserve">in quanto principio attivo non autorizzato in alcun Paese, vietato in base alla classe S0 «Sostanze non approvate».</w:t>
      </w:r>
    </w:p>
    <w:p>
      <w:pPr>
        <w:numPr>
          <w:ilvl w:val="0"/>
          <w:numId w:val="1072"/>
        </w:numPr>
        <w:pStyle w:val="Compact"/>
      </w:pPr>
      <w:r>
        <w:rPr>
          <w:bCs/>
          <w:b/>
        </w:rPr>
        <w:t xml:space="preserve">Livello di evidenza:</w:t>
      </w:r>
      <w:r>
        <w:t xml:space="preserve"> </w:t>
      </w:r>
      <w:r>
        <w:rPr>
          <w:bCs/>
          <w:b/>
        </w:rPr>
        <w:t xml:space="preserve">B</w:t>
      </w:r>
      <w:r>
        <w:t xml:space="preserve"> </w:t>
      </w:r>
      <w:r>
        <w:t xml:space="preserve">– pubblicati studi randomizzati di fase 2 e i primi studi di fase 3, nessuna autorizzazione.</w:t>
      </w:r>
    </w:p>
    <w:bookmarkEnd w:id="578"/>
    <w:bookmarkStart w:id="582" w:name="come-dovrebbe-agire-6"/>
    <w:p>
      <w:pPr>
        <w:pStyle w:val="Heading3"/>
      </w:pPr>
      <w:r>
        <w:t xml:space="preserve">Come dovrebbe agire</w:t>
      </w:r>
    </w:p>
    <w:p>
      <w:pPr>
        <w:pStyle w:val="FirstParagraph"/>
      </w:pPr>
      <w:r>
        <w:t xml:space="preserve">Survodutide combina due ormoni dell’intestino e del pancreas: il GLP-1, che favorisce la sazietà e potenzia la secrezione di insulina, e il glucagone, che aumenta il dispendio energetico e stimola il fegato a degradare i grassi. Mentre tirzepatide punta su GIP più GLP-1 e retatrutide riunisce tutti e tre i segnali, survodutide rinuncia alla componente GIP e accentua invece l’effetto del glucagone. Il produttore mira così soprattutto al fegato: la steatoepatite MASH è, accanto all’obesità, la seconda principale area di sviluppo.</w:t>
      </w:r>
    </w:p>
    <w:p>
      <w:pPr>
        <w:pStyle w:val="BodyText"/>
      </w:pPr>
      <w:r>
        <w:t xml:space="preserve">Survodutide è stato scelto tra 19 candidati simili perché negli esperimenti sugli animali agiva in modo bilanciato su entrambi i recettori. Nei topi obesi il peso corporeo si è ridotto di circa un quarto</w:t>
      </w:r>
      <w:r>
        <w:rPr>
          <w:rStyle w:val="FootnoteReference"/>
        </w:rPr>
        <w:footnoteReference w:id="579"/>
      </w:r>
      <w:r>
        <w:t xml:space="preserve">. Studi sui topi indicano che l’effetto di riduzione dell’appetito nel cervello passa soprattutto attraverso il recettore del GLP-1; la componente glucagonica agisce piuttosto nel resto dell’organismo, per esempio nel fegato</w:t>
      </w:r>
      <w:r>
        <w:rPr>
          <w:rStyle w:val="FootnoteReference"/>
        </w:rPr>
        <w:footnoteReference w:id="580"/>
      </w:r>
      <w:r>
        <w:t xml:space="preserve">. Sono risultati su animali; nell’uomo l’effetto sul dispendio energetico viene attualmente misurato in uno studio dedicato</w:t>
      </w:r>
      <w:r>
        <w:rPr>
          <w:rStyle w:val="FootnoteReference"/>
        </w:rPr>
        <w:footnoteReference w:id="581"/>
      </w:r>
      <w:r>
        <w:t xml:space="preserve">.</w:t>
      </w:r>
    </w:p>
    <w:bookmarkEnd w:id="582"/>
    <w:bookmarkStart w:id="592" w:name="studi-sulluomo-6"/>
    <w:p>
      <w:pPr>
        <w:pStyle w:val="Heading3"/>
      </w:pPr>
      <w:r>
        <w:t xml:space="preserve">Studi sull’uomo</w:t>
      </w:r>
    </w:p>
    <w:p>
      <w:pPr>
        <w:pStyle w:val="FirstParagraph"/>
      </w:pPr>
      <w:r>
        <w:rPr>
          <w:bCs/>
          <w:b/>
        </w:rPr>
        <w:t xml:space="preserve">Dimensioni della letteratura:</w:t>
      </w:r>
      <w:r>
        <w:t xml:space="preserve"> </w:t>
      </w:r>
      <w:r>
        <w:t xml:space="preserve">la ricerca automatizzata su PubMed (ottobre 2026) ha individuato 10 studi sull’uomo; a questi si aggiunge la pubblicazione dello studio di fase 3 SYNCHRONIZE-2, reperita con una ricerca mirata. Su ClinicalTrials.gov risultavano registrati 29 studi, tra cui il programma di fase 3 SYNCHRONIZE (obesità) e LIVERAGE (MASH).</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Fase 2 diabete di tipo 2 (Blüher 2024), PMID 38095657</w:t>
            </w:r>
          </w:p>
        </w:tc>
        <w:tc>
          <w:tcPr/>
          <w:p>
            <w:pPr>
              <w:pStyle w:val="Compact"/>
              <w:jc w:val="left"/>
            </w:pPr>
            <w:r>
              <w:t xml:space="preserve">413 adulti in terapia con metformina, contro placebo e semaglutide in aperto</w:t>
            </w:r>
          </w:p>
        </w:tc>
        <w:tc>
          <w:tcPr/>
          <w:p>
            <w:pPr>
              <w:pStyle w:val="Compact"/>
              <w:jc w:val="left"/>
            </w:pPr>
            <w:r>
              <w:t xml:space="preserve">16 settimane</w:t>
            </w:r>
          </w:p>
        </w:tc>
        <w:tc>
          <w:tcPr/>
          <w:p>
            <w:pPr>
              <w:pStyle w:val="Compact"/>
              <w:jc w:val="left"/>
            </w:pPr>
            <w:r>
              <w:t xml:space="preserve">HbA1c fino a −1,71 punti; peso fino a −8,7% (semaglutide −5,3%)</w:t>
            </w:r>
          </w:p>
        </w:tc>
      </w:tr>
      <w:tr>
        <w:tc>
          <w:tcPr/>
          <w:p>
            <w:pPr>
              <w:pStyle w:val="Compact"/>
              <w:jc w:val="left"/>
            </w:pPr>
            <w:r>
              <w:t xml:space="preserve">Fase 2 obesità (le Roux 2024), PMID 38330987</w:t>
            </w:r>
          </w:p>
        </w:tc>
        <w:tc>
          <w:tcPr/>
          <w:p>
            <w:pPr>
              <w:pStyle w:val="Compact"/>
              <w:jc w:val="left"/>
            </w:pPr>
            <w:r>
              <w:t xml:space="preserve">387 adulti senza diabete, contro placebo</w:t>
            </w:r>
          </w:p>
        </w:tc>
        <w:tc>
          <w:tcPr/>
          <w:p>
            <w:pPr>
              <w:pStyle w:val="Compact"/>
              <w:jc w:val="left"/>
            </w:pPr>
            <w:r>
              <w:t xml:space="preserve">46 settimane</w:t>
            </w:r>
          </w:p>
        </w:tc>
        <w:tc>
          <w:tcPr/>
          <w:p>
            <w:pPr>
              <w:pStyle w:val="Compact"/>
              <w:jc w:val="left"/>
            </w:pPr>
            <w:r>
              <w:t xml:space="preserve">da −6,2 a −14,9% di peso vs. −2,8%</w:t>
            </w:r>
          </w:p>
        </w:tc>
      </w:tr>
      <w:tr>
        <w:tc>
          <w:tcPr/>
          <w:p>
            <w:pPr>
              <w:pStyle w:val="Compact"/>
              <w:jc w:val="left"/>
            </w:pPr>
            <w:r>
              <w:t xml:space="preserve">Fase 2 MASH (Sanyal 2024), PMID 38847460</w:t>
            </w:r>
          </w:p>
        </w:tc>
        <w:tc>
          <w:tcPr/>
          <w:p>
            <w:pPr>
              <w:pStyle w:val="Compact"/>
              <w:jc w:val="left"/>
            </w:pPr>
            <w:r>
              <w:t xml:space="preserve">293 adulti con MASH confermata da biopsia e fibrosi F1–F3</w:t>
            </w:r>
          </w:p>
        </w:tc>
        <w:tc>
          <w:tcPr/>
          <w:p>
            <w:pPr>
              <w:pStyle w:val="Compact"/>
              <w:jc w:val="left"/>
            </w:pPr>
            <w:r>
              <w:t xml:space="preserve">48 settimane</w:t>
            </w:r>
          </w:p>
        </w:tc>
        <w:tc>
          <w:tcPr/>
          <w:p>
            <w:pPr>
              <w:pStyle w:val="Compact"/>
              <w:jc w:val="left"/>
            </w:pPr>
            <w:r>
              <w:t xml:space="preserve">miglioramento della MASH nel 43–62% vs. 14%</w:t>
            </w:r>
          </w:p>
        </w:tc>
      </w:tr>
      <w:tr>
        <w:tc>
          <w:tcPr/>
          <w:p>
            <w:pPr>
              <w:pStyle w:val="Compact"/>
              <w:jc w:val="left"/>
            </w:pPr>
            <w:r>
              <w:t xml:space="preserve">SYNCHRONIZE-1 (le Roux 2026), PMID 42253238</w:t>
            </w:r>
          </w:p>
        </w:tc>
        <w:tc>
          <w:tcPr/>
          <w:p>
            <w:pPr>
              <w:pStyle w:val="Compact"/>
              <w:jc w:val="left"/>
            </w:pPr>
            <w:r>
              <w:t xml:space="preserve">725 adulti con obesità senza diabete, contro placebo</w:t>
            </w:r>
          </w:p>
        </w:tc>
        <w:tc>
          <w:tcPr/>
          <w:p>
            <w:pPr>
              <w:pStyle w:val="Compact"/>
              <w:jc w:val="left"/>
            </w:pPr>
            <w:r>
              <w:t xml:space="preserve">76 settimane</w:t>
            </w:r>
          </w:p>
        </w:tc>
        <w:tc>
          <w:tcPr/>
          <w:p>
            <w:pPr>
              <w:pStyle w:val="Compact"/>
              <w:jc w:val="left"/>
            </w:pPr>
            <w:r>
              <w:t xml:space="preserve">−12,2 / −13,0% (3,6/6,0 mg) vs. −5,4%</w:t>
            </w:r>
          </w:p>
        </w:tc>
      </w:tr>
      <w:tr>
        <w:tc>
          <w:tcPr/>
          <w:p>
            <w:pPr>
              <w:pStyle w:val="Compact"/>
              <w:jc w:val="left"/>
            </w:pPr>
            <w:r>
              <w:t xml:space="preserve">SYNCHRONIZE-2 (Wharton 2026), PMID 42820639</w:t>
            </w:r>
          </w:p>
        </w:tc>
        <w:tc>
          <w:tcPr/>
          <w:p>
            <w:pPr>
              <w:pStyle w:val="Compact"/>
              <w:jc w:val="left"/>
            </w:pPr>
            <w:r>
              <w:t xml:space="preserve">752 adulti con obesità e diabete di tipo 2, contro placebo</w:t>
            </w:r>
          </w:p>
        </w:tc>
        <w:tc>
          <w:tcPr/>
          <w:p>
            <w:pPr>
              <w:pStyle w:val="Compact"/>
              <w:jc w:val="left"/>
            </w:pPr>
            <w:r>
              <w:t xml:space="preserve">76 settimane</w:t>
            </w:r>
          </w:p>
        </w:tc>
        <w:tc>
          <w:tcPr/>
          <w:p>
            <w:pPr>
              <w:pStyle w:val="Compact"/>
              <w:jc w:val="left"/>
            </w:pPr>
            <w:r>
              <w:t xml:space="preserve">−8,2 / −9,8% vs. −3,9%</w:t>
            </w:r>
          </w:p>
        </w:tc>
      </w:tr>
      <w:tr>
        <w:tc>
          <w:tcPr/>
          <w:p>
            <w:pPr>
              <w:pStyle w:val="Compact"/>
              <w:jc w:val="left"/>
            </w:pPr>
            <w:r>
              <w:t xml:space="preserve">SYNCHRONIZE-MASLD (Kaplan 2026), PMID 42252333</w:t>
            </w:r>
          </w:p>
        </w:tc>
        <w:tc>
          <w:tcPr/>
          <w:p>
            <w:pPr>
              <w:pStyle w:val="Compact"/>
              <w:jc w:val="left"/>
            </w:pPr>
            <w:r>
              <w:t xml:space="preserve">216 adulti con obesità e steatosi epatica con segni di rischio</w:t>
            </w:r>
          </w:p>
        </w:tc>
        <w:tc>
          <w:tcPr/>
          <w:p>
            <w:pPr>
              <w:pStyle w:val="Compact"/>
              <w:jc w:val="left"/>
            </w:pPr>
            <w:r>
              <w:t xml:space="preserve">48 settimane</w:t>
            </w:r>
          </w:p>
        </w:tc>
        <w:tc>
          <w:tcPr/>
          <w:p>
            <w:pPr>
              <w:pStyle w:val="Compact"/>
              <w:jc w:val="left"/>
            </w:pPr>
            <w:r>
              <w:t xml:space="preserve">grasso epatico −30% o più nell’84,2% vs. 24,3%</w:t>
            </w:r>
          </w:p>
        </w:tc>
      </w:tr>
    </w:tbl>
    <w:bookmarkStart w:id="587" w:name="obesità-e-diabete-di-tipo-2"/>
    <w:p>
      <w:pPr>
        <w:pStyle w:val="Heading4"/>
      </w:pPr>
      <w:r>
        <w:t xml:space="preserve">Obesità e diabete di tipo 2</w:t>
      </w:r>
    </w:p>
    <w:p>
      <w:pPr>
        <w:pStyle w:val="FirstParagraph"/>
      </w:pPr>
      <w:r>
        <w:t xml:space="preserve">Lo studio di fase 2 sull’obesità</w:t>
      </w:r>
      <w:r>
        <w:rPr>
          <w:rStyle w:val="FootnoteReference"/>
        </w:rPr>
        <w:footnoteReference w:id="583"/>
      </w:r>
      <w:r>
        <w:t xml:space="preserve"> </w:t>
      </w:r>
      <w:r>
        <w:t xml:space="preserve">ha mostrato dopo 46 settimane una perdita di peso dose-dipendente fino al 14,9%. Colpiva l’alto tasso di interruzione: solo il 61% dei partecipanti trattati con survodutide ha completato le 46 settimane di trattamento, ma anche solo il 60% di quelli con placebo. Effetti collaterali gastrointestinali si sono verificati nel 75% con survodutide e nel 42% con placebo. In questo studio la titolazione era relativamente rapida.</w:t>
      </w:r>
    </w:p>
    <w:p>
      <w:pPr>
        <w:pStyle w:val="BodyText"/>
      </w:pPr>
      <w:r>
        <w:t xml:space="preserve">Nello studio di fase 3</w:t>
      </w:r>
      <w:r>
        <w:t xml:space="preserve"> </w:t>
      </w:r>
      <w:r>
        <w:rPr>
          <w:bCs/>
          <w:b/>
        </w:rPr>
        <w:t xml:space="preserve">SYNCHRONIZE-1</w:t>
      </w:r>
      <w:r>
        <w:rPr>
          <w:rStyle w:val="FootnoteReference"/>
        </w:rPr>
        <w:footnoteReference w:id="584"/>
      </w:r>
      <w:r>
        <w:t xml:space="preserve"> </w:t>
      </w:r>
      <w:r>
        <w:t xml:space="preserve">la titolazione è stata più lenta. Dopo 76 settimane i partecipanti con la dose più alta hanno perso il 13,0% del loro peso corporeo, con il placebo il 5,4%. Si tratta di valori inferiori a quelli raggiunti da tirzepatide o retatrutide in studi di impostazione simile. Va considerato che l’analisi principale includeva tutte le persone, anche quelle che avevano interrotto il trattamento o per le quali la titolazione era stata prolungata. I disturbi gastrointestinali hanno riguardato rispettivamente l’80,9% e l’89,7% rispetto al 47,9% con il placebo; non si sono verificati decessi.</w:t>
      </w:r>
    </w:p>
    <w:p>
      <w:pPr>
        <w:pStyle w:val="BodyText"/>
      </w:pPr>
      <w:r>
        <w:rPr>
          <w:bCs/>
          <w:b/>
        </w:rPr>
        <w:t xml:space="preserve">SYNCHRONIZE-2</w:t>
      </w:r>
      <w:r>
        <w:rPr>
          <w:rStyle w:val="FootnoteReference"/>
        </w:rPr>
        <w:footnoteReference w:id="585"/>
      </w:r>
      <w:r>
        <w:t xml:space="preserve"> </w:t>
      </w:r>
      <w:r>
        <w:t xml:space="preserve">ha studiato 752 persone con obesità e diabete di tipo 2. La perdita di peso dopo 76 settimane è stata rispettivamente dell’8,2% e del 9,8% rispetto al 3,9% con il placebo; l’HbA1c è diminuita, partendo dal 7,4%, di 0,8–0,9 punti percentuali.</w:t>
      </w:r>
    </w:p>
    <w:p>
      <w:pPr>
        <w:pStyle w:val="BodyText"/>
      </w:pPr>
      <w:r>
        <w:t xml:space="preserve">Nello studio di fase 2 sul diabete di tipo 2 survodutide a bassa dose ha ridotto l’HbA1c dopo 16 settimane in misura simile a semaglutide 1 mg (circa −1,46 e −1,47 punti rispettivamente); le dosi più alte hanno portato a una perdita di peso maggiore rispetto a semaglutide</w:t>
      </w:r>
      <w:r>
        <w:rPr>
          <w:rStyle w:val="FootnoteReference"/>
        </w:rPr>
        <w:footnoteReference w:id="586"/>
      </w:r>
      <w:r>
        <w:t xml:space="preserve">. Il braccio con semaglutide era però in aperto e lo studio breve.</w:t>
      </w:r>
    </w:p>
    <w:bookmarkEnd w:id="587"/>
    <w:bookmarkStart w:id="591" w:name="steatosi-epatica-masld-e-mash"/>
    <w:p>
      <w:pPr>
        <w:pStyle w:val="Heading4"/>
      </w:pPr>
      <w:r>
        <w:t xml:space="preserve">Steatosi epatica (MASLD e MASH)</w:t>
      </w:r>
    </w:p>
    <w:p>
      <w:pPr>
        <w:pStyle w:val="FirstParagraph"/>
      </w:pPr>
      <w:r>
        <w:t xml:space="preserve">Qui risiede il vero punto di forza dei dati finora disponibili. Nello studio di fase 2 sulla MASH con fibrosi confermata da biopsia</w:t>
      </w:r>
      <w:r>
        <w:rPr>
          <w:rStyle w:val="FootnoteReference"/>
        </w:rPr>
        <w:footnoteReference w:id="588"/>
      </w:r>
      <w:r>
        <w:t xml:space="preserve"> </w:t>
      </w:r>
      <w:r>
        <w:t xml:space="preserve">l’infiammazione epatica è migliorata senza peggioramento della fibrosi nel 47%, 62% e 43% dei tre gruppi di dose rispetto al 14% con il placebo. Un miglioramento della fibrosi di almeno uno stadio si è osservato nel 34–36% rispetto al 22%. La curva dose-risposta non era lineare: la dose intermedia ha dato i risultati migliori.</w:t>
      </w:r>
    </w:p>
    <w:p>
      <w:pPr>
        <w:pStyle w:val="BodyText"/>
      </w:pPr>
      <w:r>
        <w:t xml:space="preserve">Lo studio di fase 3</w:t>
      </w:r>
      <w:r>
        <w:t xml:space="preserve"> </w:t>
      </w:r>
      <w:r>
        <w:rPr>
          <w:bCs/>
          <w:b/>
        </w:rPr>
        <w:t xml:space="preserve">SYNCHRONIZE-MASLD</w:t>
      </w:r>
      <w:r>
        <w:rPr>
          <w:rStyle w:val="FootnoteReference"/>
        </w:rPr>
        <w:footnoteReference w:id="589"/>
      </w:r>
      <w:r>
        <w:t xml:space="preserve"> </w:t>
      </w:r>
      <w:r>
        <w:t xml:space="preserve">su 216 adulti ha mostrato dopo 48 settimane, nell’84,2% dei trattati con survodutide, una riduzione del grasso epatico di almeno il 30% (placebo 24,3%), misurata con risonanza magnetica. Secondo l’analisi più rigorosa, che tiene conto anche delle interruzioni del trattamento, si trattava del 68,5% rispetto al 28,6%. Gli autori stessi indicano come limiti la breve durata e il reclutamento solo negli USA e in Spagna.</w:t>
      </w:r>
    </w:p>
    <w:p>
      <w:pPr>
        <w:pStyle w:val="BodyText"/>
      </w:pPr>
      <w:r>
        <w:t xml:space="preserve">In uno studio di fase 1 in aperto survodutide è stato studiato anche in persone con cirrosi epatica, compresi gli stadi avanzati. I livelli nel sangue non differivano sostanzialmente da quelli di persone con fegato sano; grasso epatico, rigidità epatica e peso corporeo sono diminuiti nell’arco di 28 settimane</w:t>
      </w:r>
      <w:r>
        <w:rPr>
          <w:rStyle w:val="FootnoteReference"/>
        </w:rPr>
        <w:footnoteReference w:id="590"/>
      </w:r>
      <w:r>
        <w:t xml:space="preserve">. Questo studio era piccolo e non controllato.</w:t>
      </w:r>
    </w:p>
    <w:bookmarkEnd w:id="591"/>
    <w:bookmarkEnd w:id="592"/>
    <w:bookmarkStart w:id="595" w:name="studi-su-animali-e-in-laboratorio-6"/>
    <w:p>
      <w:pPr>
        <w:pStyle w:val="Heading3"/>
      </w:pPr>
      <w:r>
        <w:t xml:space="preserve">Studi su animali e in laboratorio</w:t>
      </w:r>
    </w:p>
    <w:p>
      <w:pPr>
        <w:pStyle w:val="FirstParagraph"/>
      </w:pPr>
      <w:r>
        <w:t xml:space="preserve">I dati preclinici provengono in gran parte dai laboratori del produttore: profili recettoriali in linee cellulari, perdita di peso in topi con obesità indotta dalla dieta e riduzione della glicemia in topi diabetici</w:t>
      </w:r>
      <w:r>
        <w:rPr>
          <w:rStyle w:val="FootnoteReference"/>
        </w:rPr>
        <w:footnoteReference w:id="593"/>
      </w:r>
      <w:r>
        <w:t xml:space="preserve">. Sul sito d’azione nel cervello esistono studi su topi e su tessuto umano</w:t>
      </w:r>
      <w:r>
        <w:rPr>
          <w:rStyle w:val="FootnoteReference"/>
        </w:rPr>
        <w:footnoteReference w:id="594"/>
      </w:r>
      <w:r>
        <w:t xml:space="preserve">. Gli studi indipendenti sugli animali sono rari.</w:t>
      </w:r>
    </w:p>
    <w:bookmarkEnd w:id="595"/>
    <w:bookmarkStart w:id="599" w:name="rischi-ed-effetti-collaterali-6"/>
    <w:p>
      <w:pPr>
        <w:pStyle w:val="Heading3"/>
      </w:pPr>
      <w:r>
        <w:t xml:space="preserve">Rischi ed effetti collaterali</w:t>
      </w:r>
    </w:p>
    <w:p>
      <w:pPr>
        <w:pStyle w:val="FirstParagraph"/>
      </w:pPr>
      <w:r>
        <w:rPr>
          <w:bCs/>
          <w:b/>
        </w:rPr>
        <w:t xml:space="preserve">Documentati dagli studi:</w:t>
      </w:r>
    </w:p>
    <w:p>
      <w:pPr>
        <w:numPr>
          <w:ilvl w:val="0"/>
          <w:numId w:val="1073"/>
        </w:numPr>
        <w:pStyle w:val="Compact"/>
      </w:pPr>
      <w:r>
        <w:rPr>
          <w:bCs/>
          <w:b/>
        </w:rPr>
        <w:t xml:space="preserve">Disturbi gastrointestinali:</w:t>
      </w:r>
      <w:r>
        <w:t xml:space="preserve"> </w:t>
      </w:r>
      <w:r>
        <w:t xml:space="preserve">con survodutide sono particolarmente frequenti. Nello studio sulla MASH si sono verificati nausea nel 66% (placebo 23%), diarrea nel 49% (23%) e vomito nel 41% (4%)</w:t>
      </w:r>
      <w:r>
        <w:rPr>
          <w:rStyle w:val="FootnoteReference"/>
        </w:rPr>
        <w:footnoteReference w:id="596"/>
      </w:r>
      <w:r>
        <w:t xml:space="preserve">. In SYNCHRONIZE-1 fino all’89,7% ha riferito disturbi gastrointestinali</w:t>
      </w:r>
      <w:r>
        <w:rPr>
          <w:rStyle w:val="FootnoteReference"/>
        </w:rPr>
        <w:footnoteReference w:id="597"/>
      </w:r>
      <w:r>
        <w:t xml:space="preserve">. La frequenza è alta rispetto ad altri farmaci incretinici, anche se la maggior parte dei disturbi era da lieve a moderata.</w:t>
      </w:r>
    </w:p>
    <w:p>
      <w:pPr>
        <w:numPr>
          <w:ilvl w:val="0"/>
          <w:numId w:val="1073"/>
        </w:numPr>
        <w:pStyle w:val="Compact"/>
      </w:pPr>
      <w:r>
        <w:rPr>
          <w:bCs/>
          <w:b/>
        </w:rPr>
        <w:t xml:space="preserve">Eventi avversi gravi:</w:t>
      </w:r>
      <w:r>
        <w:t xml:space="preserve"> </w:t>
      </w:r>
      <w:r>
        <w:t xml:space="preserve">nello studio sulla MASH erano altrettanto frequenti con survodutide (8%) e con il placebo (7%).</w:t>
      </w:r>
    </w:p>
    <w:p>
      <w:pPr>
        <w:numPr>
          <w:ilvl w:val="0"/>
          <w:numId w:val="1073"/>
        </w:numPr>
        <w:pStyle w:val="Compact"/>
      </w:pPr>
      <w:r>
        <w:rPr>
          <w:bCs/>
          <w:b/>
        </w:rPr>
        <w:t xml:space="preserve">Interruzioni:</w:t>
      </w:r>
      <w:r>
        <w:t xml:space="preserve"> </w:t>
      </w:r>
      <w:r>
        <w:t xml:space="preserve">nello studio di fase 2 sull’obesità solo circa il 60% ha completato la fase di trattamento, in entrambi i gruppi.</w:t>
      </w:r>
    </w:p>
    <w:p>
      <w:pPr>
        <w:pStyle w:val="FirstParagraph"/>
      </w:pPr>
      <w:r>
        <w:rPr>
          <w:bCs/>
          <w:b/>
        </w:rPr>
        <w:t xml:space="preserve">Ancora aperto:</w:t>
      </w:r>
      <w:r>
        <w:t xml:space="preserve"> </w:t>
      </w:r>
      <w:r>
        <w:t xml:space="preserve">aumenti della frequenza cardiaca sono noti per gli agonisti del glucagone e del GLP-1; è stato condotto uno studio dedicato alla sicurezza cardiaca</w:t>
      </w:r>
      <w:r>
        <w:rPr>
          <w:rStyle w:val="FootnoteReference"/>
        </w:rPr>
        <w:footnoteReference w:id="598"/>
      </w:r>
      <w:r>
        <w:t xml:space="preserve">. Il grande studio di sicurezza cardiovascolare SYNCHRONIZE-CVOT risulta concluso secondo il registro; alla chiusura redazionale i risultati non erano ancora pubblicati in una rivista con revisione paritaria. Gli effetti a lungo termine della componente glucagonica su muscoli, ossa e metabolismo degli aminoacidi non sono stati studiati.</w:t>
      </w:r>
    </w:p>
    <w:bookmarkEnd w:id="599"/>
    <w:bookmarkStart w:id="600" w:name="quadro-normativo-6"/>
    <w:p>
      <w:pPr>
        <w:pStyle w:val="Heading3"/>
      </w:pPr>
      <w:r>
        <w:t xml:space="preserve">Quadro normativo</w:t>
      </w:r>
    </w:p>
    <w:p>
      <w:pPr>
        <w:numPr>
          <w:ilvl w:val="0"/>
          <w:numId w:val="1074"/>
        </w:numPr>
        <w:pStyle w:val="Compact"/>
      </w:pPr>
      <w:r>
        <w:rPr>
          <w:bCs/>
          <w:b/>
        </w:rPr>
        <w:t xml:space="preserve">UE / Austria / Germania:</w:t>
      </w:r>
      <w:r>
        <w:t xml:space="preserve"> </w:t>
      </w:r>
      <w:r>
        <w:t xml:space="preserve">non autorizzato; uso solo in studi clinici. Le offerte del mercato grigio non sono medicinali legali.</w:t>
      </w:r>
    </w:p>
    <w:p>
      <w:pPr>
        <w:numPr>
          <w:ilvl w:val="0"/>
          <w:numId w:val="1074"/>
        </w:numPr>
        <w:pStyle w:val="Compact"/>
      </w:pPr>
      <w:r>
        <w:rPr>
          <w:bCs/>
          <w:b/>
        </w:rPr>
        <w:t xml:space="preserve">USA:</w:t>
      </w:r>
      <w:r>
        <w:t xml:space="preserve"> </w:t>
      </w:r>
      <w:r>
        <w:t xml:space="preserve">non autorizzato. La FDA ha classificato survodutide come «Breakthrough Therapy» per il trattamento della MASH, il che può accelerare la procedura di valutazione.</w:t>
      </w:r>
    </w:p>
    <w:p>
      <w:pPr>
        <w:numPr>
          <w:ilvl w:val="0"/>
          <w:numId w:val="1074"/>
        </w:numPr>
        <w:pStyle w:val="Compact"/>
      </w:pPr>
      <w:r>
        <w:rPr>
          <w:bCs/>
          <w:b/>
        </w:rPr>
        <w:t xml:space="preserve">Sport:</w:t>
      </w:r>
      <w:r>
        <w:t xml:space="preserve"> </w:t>
      </w:r>
      <w:r>
        <w:t xml:space="preserve">classe WADA S0 (sostanza non approvata), aggiornato al 2026, da verificare.</w:t>
      </w:r>
    </w:p>
    <w:bookmarkEnd w:id="600"/>
    <w:bookmarkStart w:id="611" w:name="studi-in-corso-e-prospettive-6"/>
    <w:p>
      <w:pPr>
        <w:pStyle w:val="Heading3"/>
      </w:pPr>
      <w:r>
        <w:t xml:space="preserve">Studi in corso e prospettive</w:t>
      </w:r>
    </w:p>
    <w:p>
      <w:pPr>
        <w:pStyle w:val="FirstParagraph"/>
      </w:pPr>
      <w:r>
        <w:rPr>
          <w:bCs/>
          <w:b/>
        </w:rPr>
        <w:t xml:space="preserve">Certo (studi registrati, aggiornato a ottobre 2026):</w:t>
      </w:r>
    </w:p>
    <w:p>
      <w:pPr>
        <w:numPr>
          <w:ilvl w:val="0"/>
          <w:numId w:val="1075"/>
        </w:numPr>
        <w:pStyle w:val="Compact"/>
      </w:pPr>
      <w:r>
        <w:rPr>
          <w:bCs/>
          <w:b/>
        </w:rPr>
        <w:t xml:space="preserve">SYNCHRONIZE-CVOT</w:t>
      </w:r>
      <w:r>
        <w:rPr>
          <w:rStyle w:val="FootnoteReference"/>
        </w:rPr>
        <w:footnoteReference w:id="601"/>
      </w:r>
      <w:r>
        <w:t xml:space="preserve">: studio di sicurezza cardiovascolare con 5.531 partecipanti, concluso secondo il registro; disegno descritto in Kosiborod 2024</w:t>
      </w:r>
      <w:r>
        <w:rPr>
          <w:rStyle w:val="FootnoteReference"/>
        </w:rPr>
        <w:footnoteReference w:id="602"/>
      </w:r>
      <w:r>
        <w:t xml:space="preserve">.</w:t>
      </w:r>
    </w:p>
    <w:p>
      <w:pPr>
        <w:numPr>
          <w:ilvl w:val="0"/>
          <w:numId w:val="1075"/>
        </w:numPr>
        <w:pStyle w:val="Compact"/>
      </w:pPr>
      <w:r>
        <w:rPr>
          <w:bCs/>
          <w:b/>
        </w:rPr>
        <w:t xml:space="preserve">LIVERAGE</w:t>
      </w:r>
      <w:r>
        <w:rPr>
          <w:rStyle w:val="FootnoteReference"/>
        </w:rPr>
        <w:footnoteReference w:id="603"/>
      </w:r>
      <w:r>
        <w:t xml:space="preserve"> </w:t>
      </w:r>
      <w:r>
        <w:t xml:space="preserve">con 1.800 partecipanti con MASH e fibrosi e</w:t>
      </w:r>
      <w:r>
        <w:t xml:space="preserve"> </w:t>
      </w:r>
      <w:r>
        <w:rPr>
          <w:bCs/>
          <w:b/>
        </w:rPr>
        <w:t xml:space="preserve">LIVERAGE-Cirrhosis</w:t>
      </w:r>
      <w:r>
        <w:rPr>
          <w:rStyle w:val="FootnoteReference"/>
        </w:rPr>
        <w:footnoteReference w:id="604"/>
      </w:r>
      <w:r>
        <w:t xml:space="preserve"> </w:t>
      </w:r>
      <w:r>
        <w:t xml:space="preserve">con 1.590 partecipanti con cirrosi da MASH: gli studi decisivi per un’autorizzazione in epatologia, con date di conclusione previste tra il 2029 e il 2031.</w:t>
      </w:r>
    </w:p>
    <w:p>
      <w:pPr>
        <w:numPr>
          <w:ilvl w:val="0"/>
          <w:numId w:val="1075"/>
        </w:numPr>
        <w:pStyle w:val="Compact"/>
      </w:pPr>
      <w:r>
        <w:t xml:space="preserve">Altri studi di fase 3: diabete di tipo 2</w:t>
      </w:r>
      <w:r>
        <w:rPr>
          <w:rStyle w:val="FootnoteReference"/>
        </w:rPr>
        <w:footnoteReference w:id="605"/>
      </w:r>
      <w:r>
        <w:t xml:space="preserve">, donne con obesità</w:t>
      </w:r>
      <w:r>
        <w:rPr>
          <w:rStyle w:val="FootnoteReference"/>
        </w:rPr>
        <w:footnoteReference w:id="606"/>
      </w:r>
      <w:r>
        <w:t xml:space="preserve">, struttura cardiaca nell’obesità</w:t>
      </w:r>
      <w:r>
        <w:rPr>
          <w:rStyle w:val="FootnoteReference"/>
        </w:rPr>
        <w:footnoteReference w:id="607"/>
      </w:r>
      <w:r>
        <w:t xml:space="preserve">, persone senza trattamento precedente</w:t>
      </w:r>
      <w:r>
        <w:rPr>
          <w:rStyle w:val="FootnoteReference"/>
        </w:rPr>
        <w:footnoteReference w:id="608"/>
      </w:r>
      <w:r>
        <w:t xml:space="preserve">.</w:t>
      </w:r>
    </w:p>
    <w:p>
      <w:pPr>
        <w:numPr>
          <w:ilvl w:val="0"/>
          <w:numId w:val="1075"/>
        </w:numPr>
        <w:pStyle w:val="Compact"/>
      </w:pPr>
      <w:r>
        <w:t xml:space="preserve">Gli studi di fase 3 in Cina</w:t>
      </w:r>
      <w:r>
        <w:rPr>
          <w:rStyle w:val="FootnoteReference"/>
        </w:rPr>
        <w:footnoteReference w:id="609"/>
      </w:r>
      <w:r>
        <w:t xml:space="preserve"> </w:t>
      </w:r>
      <w:r>
        <w:t xml:space="preserve">e in Giappone</w:t>
      </w:r>
      <w:r>
        <w:rPr>
          <w:rStyle w:val="FootnoteReference"/>
        </w:rPr>
        <w:footnoteReference w:id="610"/>
      </w:r>
      <w:r>
        <w:t xml:space="preserve"> </w:t>
      </w:r>
      <w:r>
        <w:t xml:space="preserve">sono conclusi.</w:t>
      </w:r>
    </w:p>
    <w:p>
      <w:pPr>
        <w:pStyle w:val="FirstParagraph"/>
      </w:pPr>
      <w:r>
        <w:rPr>
          <w:bCs/>
          <w:b/>
        </w:rPr>
        <w:t xml:space="preserve">Valutazione:</w:t>
      </w:r>
      <w:r>
        <w:t xml:space="preserve"> </w:t>
      </w:r>
      <w:r>
        <w:t xml:space="preserve">come semplice farmaco dimagrante survodutide avrà probabilmente vita difficile contro tirzepatide, semaglutide e i tripli agonisti in arrivo: la perdita di peso in SYNCHRONIZE-1 è stata minore e gli effetti collaterali gastrointestinali frequenti. La sua nicchia potrebbe diventare la steatosi epatica, in particolare gli stadi avanzati fino alla cirrosi, per i quali le opzioni di trattamento sono scarse. Se ci riuscirà lo decideranno gli studi LIVERAGE.</w:t>
      </w:r>
    </w:p>
    <w:bookmarkEnd w:id="611"/>
    <w:bookmarkStart w:id="612" w:name="conclusione-6"/>
    <w:p>
      <w:pPr>
        <w:pStyle w:val="Heading3"/>
      </w:pPr>
      <w:r>
        <w:t xml:space="preserve">Conclusione</w:t>
      </w:r>
    </w:p>
    <w:p>
      <w:pPr>
        <w:pStyle w:val="FirstParagraph"/>
      </w:pPr>
      <w:r>
        <w:t xml:space="preserve">Survodutide è un doppio agonista del glucagone e del GLP-1 che negli studi di fase 3 ha ridotto il peso corporeo dopo 76 settimane fino al 13,0% (senza diabete) e al 9,8% (con diabete di tipo 2). Più netti sono stati gli effetti sul fegato: nello studio di fase 2 l’infiammazione epatica è migliorata fino al 62% rispetto al 14% con il placebo. I disturbi gastrointestinali sono molto frequenti. Survodutide non è autorizzato; se abbia un futuro come farmaco per il fegato lo mostreranno gli studi di fase 3 in corso.</w:t>
      </w:r>
    </w:p>
    <w:bookmarkEnd w:id="612"/>
    <w:bookmarkEnd w:id="613"/>
    <w:bookmarkStart w:id="651" w:name="mazdutide"/>
    <w:p>
      <w:pPr>
        <w:pStyle w:val="Heading2"/>
      </w:pPr>
      <w:r>
        <w:t xml:space="preserve">Mazdutide</w:t>
      </w:r>
    </w:p>
    <w:bookmarkStart w:id="614" w:name="scheda-7"/>
    <w:p>
      <w:pPr>
        <w:pStyle w:val="Heading3"/>
      </w:pPr>
      <w:r>
        <w:t xml:space="preserve">Scheda</w:t>
      </w:r>
    </w:p>
    <w:p>
      <w:pPr>
        <w:numPr>
          <w:ilvl w:val="0"/>
          <w:numId w:val="1076"/>
        </w:numPr>
        <w:pStyle w:val="Compact"/>
      </w:pPr>
      <w:r>
        <w:rPr>
          <w:bCs/>
          <w:b/>
        </w:rPr>
        <w:t xml:space="preserve">Tipo/struttura:</w:t>
      </w:r>
      <w:r>
        <w:t xml:space="preserve"> </w:t>
      </w:r>
      <w:r>
        <w:t xml:space="preserve">peptide sintetico modificato con acido grasso, derivato dall’ormone intestinale ossintomodulina; somministrazione sottocutanea una volta alla settimana. Codici di sviluppo LY3305677 (Eli Lilly) e IBI362 (Innovent Biologics).</w:t>
      </w:r>
    </w:p>
    <w:p>
      <w:pPr>
        <w:numPr>
          <w:ilvl w:val="0"/>
          <w:numId w:val="1076"/>
        </w:numPr>
        <w:pStyle w:val="Compact"/>
      </w:pPr>
      <w:r>
        <w:rPr>
          <w:bCs/>
          <w:b/>
        </w:rPr>
        <w:t xml:space="preserve">Origine:</w:t>
      </w:r>
      <w:r>
        <w:t xml:space="preserve"> </w:t>
      </w:r>
      <w:r>
        <w:t xml:space="preserve">sviluppato originariamente da Eli Lilly; in Cina portato fino all’autorizzazione da Innovent Biologics, al di fuori della Cina ulteriormente studiato da Lilly.</w:t>
      </w:r>
    </w:p>
    <w:p>
      <w:pPr>
        <w:numPr>
          <w:ilvl w:val="0"/>
          <w:numId w:val="1076"/>
        </w:numPr>
        <w:pStyle w:val="Compact"/>
      </w:pPr>
      <w:r>
        <w:rPr>
          <w:bCs/>
          <w:b/>
        </w:rPr>
        <w:t xml:space="preserve">Principio d’azione:</w:t>
      </w:r>
      <w:r>
        <w:t xml:space="preserve"> </w:t>
      </w:r>
      <w:r>
        <w:t xml:space="preserve">doppio agonista dei recettori del GLP-1 e del glucagone, come survodutide, ma si tratta di una molecola distinta.</w:t>
      </w:r>
    </w:p>
    <w:p>
      <w:pPr>
        <w:numPr>
          <w:ilvl w:val="0"/>
          <w:numId w:val="1076"/>
        </w:numPr>
        <w:pStyle w:val="Compact"/>
      </w:pPr>
      <w:r>
        <w:rPr>
          <w:bCs/>
          <w:b/>
        </w:rPr>
        <w:t xml:space="preserve">Autorizzazione UE:</w:t>
      </w:r>
      <w:r>
        <w:t xml:space="preserve"> </w:t>
      </w:r>
      <w:r>
        <w:t xml:space="preserve">no.</w:t>
      </w:r>
    </w:p>
    <w:p>
      <w:pPr>
        <w:numPr>
          <w:ilvl w:val="0"/>
          <w:numId w:val="1076"/>
        </w:numPr>
        <w:pStyle w:val="Compact"/>
      </w:pPr>
      <w:r>
        <w:rPr>
          <w:bCs/>
          <w:b/>
        </w:rPr>
        <w:t xml:space="preserve">Autorizzazione USA:</w:t>
      </w:r>
      <w:r>
        <w:t xml:space="preserve"> </w:t>
      </w:r>
      <w:r>
        <w:t xml:space="preserve">no.</w:t>
      </w:r>
    </w:p>
    <w:p>
      <w:pPr>
        <w:numPr>
          <w:ilvl w:val="0"/>
          <w:numId w:val="1076"/>
        </w:numPr>
        <w:pStyle w:val="Compact"/>
      </w:pPr>
      <w:r>
        <w:rPr>
          <w:bCs/>
          <w:b/>
        </w:rPr>
        <w:t xml:space="preserve">Autorizzazione Cina:</w:t>
      </w:r>
      <w:r>
        <w:t xml:space="preserve"> </w:t>
      </w:r>
      <w:r>
        <w:t xml:space="preserve">sì, da giugno 2025 per la gestione del peso, da settembre 2025 anche per il diabete di tipo 2 (nome commerciale Xinermei).</w:t>
      </w:r>
    </w:p>
    <w:p>
      <w:pPr>
        <w:numPr>
          <w:ilvl w:val="0"/>
          <w:numId w:val="1076"/>
        </w:numPr>
        <w:pStyle w:val="Compact"/>
      </w:pPr>
      <w:r>
        <w:rPr>
          <w:bCs/>
          <w:b/>
        </w:rPr>
        <w:t xml:space="preserve">WADA:</w:t>
      </w:r>
      <w:r>
        <w:t xml:space="preserve"> </w:t>
      </w:r>
      <w:r>
        <w:t xml:space="preserve">non elencato nominalmente. Poiché mazdutide è autorizzato da un’autorità sanitaria statale (Cina), secondo la lettera del regolamento non rientra più nella classe S0; un uso nello sport senza indicazione medica resta comunque problematico.</w:t>
      </w:r>
    </w:p>
    <w:p>
      <w:pPr>
        <w:numPr>
          <w:ilvl w:val="0"/>
          <w:numId w:val="1076"/>
        </w:numPr>
        <w:pStyle w:val="Compact"/>
      </w:pPr>
      <w:r>
        <w:rPr>
          <w:bCs/>
          <w:b/>
        </w:rPr>
        <w:t xml:space="preserve">Livello di evidenza:</w:t>
      </w:r>
      <w:r>
        <w:t xml:space="preserve"> </w:t>
      </w:r>
      <w:r>
        <w:rPr>
          <w:bCs/>
          <w:b/>
        </w:rPr>
        <w:t xml:space="preserve">A</w:t>
      </w:r>
      <w:r>
        <w:t xml:space="preserve"> </w:t>
      </w:r>
      <w:r>
        <w:t xml:space="preserve">– diversi grandi studi di fase 3 e un’autorizzazione, però quasi esclusivamente con partecipanti cinesi.</w:t>
      </w:r>
    </w:p>
    <w:bookmarkEnd w:id="614"/>
    <w:bookmarkStart w:id="615" w:name="come-dovrebbe-agire-7"/>
    <w:p>
      <w:pPr>
        <w:pStyle w:val="Heading3"/>
      </w:pPr>
      <w:r>
        <w:t xml:space="preserve">Come dovrebbe agire</w:t>
      </w:r>
    </w:p>
    <w:p>
      <w:pPr>
        <w:pStyle w:val="FirstParagraph"/>
      </w:pPr>
      <w:r>
        <w:t xml:space="preserve">L’ossintomodulina è un ormone naturale dell’intestino che, come il GLP-1, viene secreto dopo i pasti. Attiva sia il recettore del GLP-1 sia quello del glucagone, ma solo debolmente e per pochissimo tempo. Mazdutide è una versione stabilizzata e a lunga durata d’azione di questo principio.</w:t>
      </w:r>
    </w:p>
    <w:p>
      <w:pPr>
        <w:pStyle w:val="BodyText"/>
      </w:pPr>
      <w:r>
        <w:t xml:space="preserve">La componente GLP-1 attenua l’appetito, rallenta lo svuotamento gastrico e favorisce la secrezione di insulina dipendente dalla glicemia. La componente glucagonica dovrebbe aumentare il dispendio energetico e favorire la degradazione dei grassi nel fegato (si veda anche il capitolo Survodutide). Nell’uomo il contributo della componente glucagonica alla perdita di peso non è stato misurato direttamente; l’ipotesi si basa soprattutto su dati animali.</w:t>
      </w:r>
    </w:p>
    <w:bookmarkEnd w:id="615"/>
    <w:bookmarkStart w:id="630" w:name="studi-sulluomo-7"/>
    <w:p>
      <w:pPr>
        <w:pStyle w:val="Heading3"/>
      </w:pPr>
      <w:r>
        <w:t xml:space="preserve">Studi sull’uomo</w:t>
      </w:r>
    </w:p>
    <w:p>
      <w:pPr>
        <w:pStyle w:val="FirstParagraph"/>
      </w:pPr>
      <w:r>
        <w:rPr>
          <w:bCs/>
          <w:b/>
        </w:rPr>
        <w:t xml:space="preserve">Dimensioni della letteratura:</w:t>
      </w:r>
      <w:r>
        <w:t xml:space="preserve"> </w:t>
      </w:r>
      <w:r>
        <w:t xml:space="preserve">la ricerca automatizzata su PubMed (ottobre 2026) ha individuato 9 studi sull’uomo, integrati da uno studio di fase 1 ad alte dosi e da un caso clinico. Su ClinicalTrials.gov risultavano registrati 44 studi, la maggior parte in Cina. Gli studi registrativi si chiamano</w:t>
      </w:r>
      <w:r>
        <w:t xml:space="preserve"> </w:t>
      </w:r>
      <w:r>
        <w:rPr>
          <w:bCs/>
          <w:b/>
        </w:rPr>
        <w:t xml:space="preserve">GLORY</w:t>
      </w:r>
      <w:r>
        <w:t xml:space="preserve"> </w:t>
      </w:r>
      <w:r>
        <w:t xml:space="preserve">(obesità) e</w:t>
      </w:r>
      <w:r>
        <w:t xml:space="preserve"> </w:t>
      </w:r>
      <w:r>
        <w:rPr>
          <w:bCs/>
          <w:b/>
        </w:rPr>
        <w:t xml:space="preserve">DREAMS</w:t>
      </w:r>
      <w:r>
        <w:t xml:space="preserve"> </w:t>
      </w:r>
      <w:r>
        <w:t xml:space="preserve">(diabete di tipo 2).</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Fase 2 obesità (Ji 2023), PMID 38092790</w:t>
            </w:r>
          </w:p>
        </w:tc>
        <w:tc>
          <w:tcPr/>
          <w:p>
            <w:pPr>
              <w:pStyle w:val="Compact"/>
              <w:jc w:val="left"/>
            </w:pPr>
            <w:r>
              <w:t xml:space="preserve">248 adulti cinesi con sovrappeso/obesità</w:t>
            </w:r>
          </w:p>
        </w:tc>
        <w:tc>
          <w:tcPr/>
          <w:p>
            <w:pPr>
              <w:pStyle w:val="Compact"/>
              <w:jc w:val="left"/>
            </w:pPr>
            <w:r>
              <w:t xml:space="preserve">24 settimane</w:t>
            </w:r>
          </w:p>
        </w:tc>
        <w:tc>
          <w:tcPr/>
          <w:p>
            <w:pPr>
              <w:pStyle w:val="Compact"/>
              <w:jc w:val="left"/>
            </w:pPr>
            <w:r>
              <w:t xml:space="preserve">da −6,7 a −11,3% di peso vs. +1,0%</w:t>
            </w:r>
          </w:p>
        </w:tc>
      </w:tr>
      <w:tr>
        <w:tc>
          <w:tcPr/>
          <w:p>
            <w:pPr>
              <w:pStyle w:val="Compact"/>
              <w:jc w:val="left"/>
            </w:pPr>
            <w:r>
              <w:t xml:space="preserve">Fase 2 diabete di tipo 2 (Zhang 2024), PMID 37943529</w:t>
            </w:r>
          </w:p>
        </w:tc>
        <w:tc>
          <w:tcPr/>
          <w:p>
            <w:pPr>
              <w:pStyle w:val="Compact"/>
              <w:jc w:val="left"/>
            </w:pPr>
            <w:r>
              <w:t xml:space="preserve">250 adulti cinesi, contro placebo e dulaglutide in aperto</w:t>
            </w:r>
          </w:p>
        </w:tc>
        <w:tc>
          <w:tcPr/>
          <w:p>
            <w:pPr>
              <w:pStyle w:val="Compact"/>
              <w:jc w:val="left"/>
            </w:pPr>
            <w:r>
              <w:t xml:space="preserve">20 settimane</w:t>
            </w:r>
          </w:p>
        </w:tc>
        <w:tc>
          <w:tcPr/>
          <w:p>
            <w:pPr>
              <w:pStyle w:val="Compact"/>
              <w:jc w:val="left"/>
            </w:pPr>
            <w:r>
              <w:t xml:space="preserve">HbA1c da −1,41 a −1,67 (dulaglutide −1,35)</w:t>
            </w:r>
          </w:p>
        </w:tc>
      </w:tr>
      <w:tr>
        <w:tc>
          <w:tcPr/>
          <w:p>
            <w:pPr>
              <w:pStyle w:val="Compact"/>
              <w:jc w:val="left"/>
            </w:pPr>
            <w:r>
              <w:t xml:space="preserve">GLORY-1 (Ji 2025), PMID 40421736</w:t>
            </w:r>
          </w:p>
        </w:tc>
        <w:tc>
          <w:tcPr/>
          <w:p>
            <w:pPr>
              <w:pStyle w:val="Compact"/>
              <w:jc w:val="left"/>
            </w:pPr>
            <w:r>
              <w:t xml:space="preserve">610 adulti cinesi con sovrappeso/obesità, contro placebo</w:t>
            </w:r>
          </w:p>
        </w:tc>
        <w:tc>
          <w:tcPr/>
          <w:p>
            <w:pPr>
              <w:pStyle w:val="Compact"/>
              <w:jc w:val="left"/>
            </w:pPr>
            <w:r>
              <w:t xml:space="preserve">48 settimane</w:t>
            </w:r>
          </w:p>
        </w:tc>
        <w:tc>
          <w:tcPr/>
          <w:p>
            <w:pPr>
              <w:pStyle w:val="Compact"/>
              <w:jc w:val="left"/>
            </w:pPr>
            <w:r>
              <w:t xml:space="preserve">−11,00 / −14,01% (4/6 mg) vs. +0,30%</w:t>
            </w:r>
          </w:p>
        </w:tc>
      </w:tr>
      <w:tr>
        <w:tc>
          <w:tcPr/>
          <w:p>
            <w:pPr>
              <w:pStyle w:val="Compact"/>
              <w:jc w:val="left"/>
            </w:pPr>
            <w:r>
              <w:t xml:space="preserve">GLORY-2 (Gao 2026), PMID 42251595</w:t>
            </w:r>
          </w:p>
        </w:tc>
        <w:tc>
          <w:tcPr/>
          <w:p>
            <w:pPr>
              <w:pStyle w:val="Compact"/>
              <w:jc w:val="left"/>
            </w:pPr>
            <w:r>
              <w:t xml:space="preserve">461 adulti cinesi con obesità, dose più alta contro placebo</w:t>
            </w:r>
          </w:p>
        </w:tc>
        <w:tc>
          <w:tcPr/>
          <w:p>
            <w:pPr>
              <w:pStyle w:val="Compact"/>
              <w:jc w:val="left"/>
            </w:pPr>
            <w:r>
              <w:t xml:space="preserve">60 settimane</w:t>
            </w:r>
          </w:p>
        </w:tc>
        <w:tc>
          <w:tcPr/>
          <w:p>
            <w:pPr>
              <w:pStyle w:val="Compact"/>
              <w:jc w:val="left"/>
            </w:pPr>
            <w:r>
              <w:t xml:space="preserve">−16,65% vs. −1,50%</w:t>
            </w:r>
          </w:p>
        </w:tc>
      </w:tr>
      <w:tr>
        <w:tc>
          <w:tcPr/>
          <w:p>
            <w:pPr>
              <w:pStyle w:val="Compact"/>
              <w:jc w:val="left"/>
            </w:pPr>
            <w:r>
              <w:t xml:space="preserve">DREAMS-1 (Zhu 2026), PMID 41407859</w:t>
            </w:r>
          </w:p>
        </w:tc>
        <w:tc>
          <w:tcPr/>
          <w:p>
            <w:pPr>
              <w:pStyle w:val="Compact"/>
              <w:jc w:val="left"/>
            </w:pPr>
            <w:r>
              <w:t xml:space="preserve">320 adulti cinesi con diabete di tipo 2, contro placebo</w:t>
            </w:r>
          </w:p>
        </w:tc>
        <w:tc>
          <w:tcPr/>
          <w:p>
            <w:pPr>
              <w:pStyle w:val="Compact"/>
              <w:jc w:val="left"/>
            </w:pPr>
            <w:r>
              <w:t xml:space="preserve">24 settimane</w:t>
            </w:r>
          </w:p>
        </w:tc>
        <w:tc>
          <w:tcPr/>
          <w:p>
            <w:pPr>
              <w:pStyle w:val="Compact"/>
              <w:jc w:val="left"/>
            </w:pPr>
            <w:r>
              <w:t xml:space="preserve">HbA1c −1,57 / −2,15 vs. −0,14</w:t>
            </w:r>
          </w:p>
        </w:tc>
      </w:tr>
      <w:tr>
        <w:tc>
          <w:tcPr/>
          <w:p>
            <w:pPr>
              <w:pStyle w:val="Compact"/>
              <w:jc w:val="left"/>
            </w:pPr>
            <w:r>
              <w:t xml:space="preserve">DREAMS-2 (Guo 2026), PMID 41407860</w:t>
            </w:r>
          </w:p>
        </w:tc>
        <w:tc>
          <w:tcPr/>
          <w:p>
            <w:pPr>
              <w:pStyle w:val="Compact"/>
              <w:jc w:val="left"/>
            </w:pPr>
            <w:r>
              <w:t xml:space="preserve">731 adulti cinesi con diabete di tipo 2, contro dulaglutide</w:t>
            </w:r>
          </w:p>
        </w:tc>
        <w:tc>
          <w:tcPr/>
          <w:p>
            <w:pPr>
              <w:pStyle w:val="Compact"/>
              <w:jc w:val="left"/>
            </w:pPr>
            <w:r>
              <w:t xml:space="preserve">28 settimane</w:t>
            </w:r>
          </w:p>
        </w:tc>
        <w:tc>
          <w:tcPr/>
          <w:p>
            <w:pPr>
              <w:pStyle w:val="Compact"/>
              <w:jc w:val="left"/>
            </w:pPr>
            <w:r>
              <w:t xml:space="preserve">HbA1c ulteriori −0,24 / −0,30; peso ulteriori −3,78 / −5,76%</w:t>
            </w:r>
          </w:p>
        </w:tc>
      </w:tr>
      <w:tr>
        <w:tc>
          <w:tcPr/>
          <w:p>
            <w:pPr>
              <w:pStyle w:val="Compact"/>
              <w:jc w:val="left"/>
            </w:pPr>
            <w:r>
              <w:t xml:space="preserve">Fase 2 USA (Hsia 2026), PMID 42628555</w:t>
            </w:r>
          </w:p>
        </w:tc>
        <w:tc>
          <w:tcPr/>
          <w:p>
            <w:pPr>
              <w:pStyle w:val="Compact"/>
              <w:jc w:val="left"/>
            </w:pPr>
            <w:r>
              <w:t xml:space="preserve">179 adulti con sovrappeso/obesità, contro placebo</w:t>
            </w:r>
          </w:p>
        </w:tc>
        <w:tc>
          <w:tcPr/>
          <w:p>
            <w:pPr>
              <w:pStyle w:val="Compact"/>
              <w:jc w:val="left"/>
            </w:pPr>
            <w:r>
              <w:t xml:space="preserve">48 settimane (endpoint primario 32)</w:t>
            </w:r>
          </w:p>
        </w:tc>
        <w:tc>
          <w:tcPr/>
          <w:p>
            <w:pPr>
              <w:pStyle w:val="Compact"/>
              <w:jc w:val="left"/>
            </w:pPr>
            <w:r>
              <w:t xml:space="preserve">da −7,3 a −18,1% dopo 32 settimane vs. −0,9%</w:t>
            </w:r>
          </w:p>
        </w:tc>
      </w:tr>
    </w:tbl>
    <w:bookmarkStart w:id="618" w:name="obesità-glory-1-e-glory-2"/>
    <w:p>
      <w:pPr>
        <w:pStyle w:val="Heading4"/>
      </w:pPr>
      <w:r>
        <w:t xml:space="preserve">Obesità: GLORY-1 e GLORY-2</w:t>
      </w:r>
    </w:p>
    <w:p>
      <w:pPr>
        <w:pStyle w:val="FirstParagraph"/>
      </w:pPr>
      <w:r>
        <w:rPr>
          <w:bCs/>
          <w:b/>
        </w:rPr>
        <w:t xml:space="preserve">GLORY-1</w:t>
      </w:r>
      <w:r>
        <w:rPr>
          <w:rStyle w:val="FootnoteReference"/>
        </w:rPr>
        <w:footnoteReference w:id="616"/>
      </w:r>
      <w:r>
        <w:t xml:space="preserve"> </w:t>
      </w:r>
      <w:r>
        <w:t xml:space="preserve">è stato lo studio registrativo per la Cina. I criteri di inclusione si basavano sui valori soglia cinesi: BMI da 28 o da 24 con una malattia concomitante. Con un peso iniziale di 87,2 kg il peso si è ridotto dopo 48 settimane dell’11,0% (4 mg) e del 14,0% (6 mg); con il placebo è rimasto praticamente invariato. Almeno il 15% lo hanno perso rispettivamente il 35,7% e il 49,5% dei partecipanti. Le interruzioni per effetti collaterali sono state molto rare, con lo 0,5–1,5%.</w:t>
      </w:r>
    </w:p>
    <w:p>
      <w:pPr>
        <w:pStyle w:val="BodyText"/>
      </w:pPr>
      <w:r>
        <w:rPr>
          <w:bCs/>
          <w:b/>
        </w:rPr>
        <w:t xml:space="preserve">GLORY-2</w:t>
      </w:r>
      <w:r>
        <w:rPr>
          <w:rStyle w:val="FootnoteReference"/>
        </w:rPr>
        <w:footnoteReference w:id="617"/>
      </w:r>
      <w:r>
        <w:t xml:space="preserve"> </w:t>
      </w:r>
      <w:r>
        <w:t xml:space="preserve">ha valutato una dose più alta in persone con BMI da 30 in su. I partecipanti erano sorprendentemente giovani, con un’età media di 33,9 anni. Dopo 60 settimane la perdita di peso era del 16,65% rispetto all’1,50% con il placebo. Il prezzo è stato un numero nettamente maggiore di disturbi gastrointestinali: vomito nel 53,1% (placebo 1,3%), nausea nel 46,9% (3,2%) e diarrea nel 39,4% (6,5%). Ciononostante solo il 2,9% ha interrotto il trattamento per effetti collaterali.</w:t>
      </w:r>
    </w:p>
    <w:bookmarkEnd w:id="618"/>
    <w:bookmarkStart w:id="623" w:name="diabete-di-tipo-2-dreams-1-e-dreams-2"/>
    <w:p>
      <w:pPr>
        <w:pStyle w:val="Heading4"/>
      </w:pPr>
      <w:r>
        <w:t xml:space="preserve">Diabete di tipo 2: DREAMS-1 e DREAMS-2</w:t>
      </w:r>
    </w:p>
    <w:p>
      <w:pPr>
        <w:pStyle w:val="FirstParagraph"/>
      </w:pPr>
      <w:r>
        <w:t xml:space="preserve">In</w:t>
      </w:r>
      <w:r>
        <w:t xml:space="preserve"> </w:t>
      </w:r>
      <w:r>
        <w:rPr>
          <w:bCs/>
          <w:b/>
        </w:rPr>
        <w:t xml:space="preserve">DREAMS-1</w:t>
      </w:r>
      <w:r>
        <w:rPr>
          <w:rStyle w:val="FootnoteReference"/>
        </w:rPr>
        <w:footnoteReference w:id="619"/>
      </w:r>
      <w:r>
        <w:t xml:space="preserve"> </w:t>
      </w:r>
      <w:r>
        <w:t xml:space="preserve">persone con diabete di tipo 2 non sufficientemente controllato con sola dieta e attività fisica (durata media del diabete 1,9 anni) hanno ricevuto mazdutide senza altri farmaci antidiabetici. Con la dose più alta l’HbA1c è diminuita dopo 24 settimane di 2,15 punti percentuali (placebo −0,14), il peso del 7,81%.</w:t>
      </w:r>
    </w:p>
    <w:p>
      <w:pPr>
        <w:pStyle w:val="BodyText"/>
      </w:pPr>
      <w:r>
        <w:rPr>
          <w:bCs/>
          <w:b/>
        </w:rPr>
        <w:t xml:space="preserve">DREAMS-2</w:t>
      </w:r>
      <w:r>
        <w:rPr>
          <w:rStyle w:val="FootnoteReference"/>
        </w:rPr>
        <w:footnoteReference w:id="620"/>
      </w:r>
      <w:r>
        <w:t xml:space="preserve"> </w:t>
      </w:r>
      <w:r>
        <w:t xml:space="preserve">è finora lo studio di confronto più importante: rispetto al farmaco GLP-1 consolidato dulaglutide, mazdutide è risultato non inferiore e superiore per l’HbA1c, anche se con un piccolo margine (rispettivamente −0,24 e −0,30 punti percentuali in più). Più marcata è stata la differenza sul peso (rispettivamente −3,78 e −5,76% in più). Gli effetti collaterali gastrointestinali erano più frequenti con mazdutide che con dulaglutide.</w:t>
      </w:r>
    </w:p>
    <w:p>
      <w:pPr>
        <w:pStyle w:val="BodyText"/>
      </w:pPr>
      <w:r>
        <w:t xml:space="preserve">Uno studio di confronto con semaglutide in persone con diabete di tipo 2 precoce e obesità (DREAMS-3) risulta concluso secondo il registro</w:t>
      </w:r>
      <w:r>
        <w:rPr>
          <w:rStyle w:val="FootnoteReference"/>
        </w:rPr>
        <w:footnoteReference w:id="621"/>
      </w:r>
      <w:r>
        <w:t xml:space="preserve">; il disegno e i dati iniziali dei 349 partecipanti sono pubblicati</w:t>
      </w:r>
      <w:r>
        <w:rPr>
          <w:rStyle w:val="FootnoteReference"/>
        </w:rPr>
        <w:footnoteReference w:id="622"/>
      </w:r>
      <w:r>
        <w:t xml:space="preserve">, i risultati non ancora.</w:t>
      </w:r>
    </w:p>
    <w:bookmarkEnd w:id="623"/>
    <w:bookmarkStart w:id="626" w:name="Xda0d399d6a731469ebd9f51929d6a1bd64f50b3"/>
    <w:p>
      <w:pPr>
        <w:pStyle w:val="Heading4"/>
      </w:pPr>
      <w:r>
        <w:t xml:space="preserve">Studi al di fuori della Cina e dosi più alte</w:t>
      </w:r>
    </w:p>
    <w:p>
      <w:pPr>
        <w:pStyle w:val="FirstParagraph"/>
      </w:pPr>
      <w:r>
        <w:t xml:space="preserve">Lilly studia mazdutide al di fuori della Cina a dosi più alte. In un piccolo studio di fase 1 con 32 adulti negli USA il peso corporeo con la dose più alta si è ridotto dopo 20 settimane rispettivamente del 20,0% e del 21,0% (due schemi di titolazione) rispetto allo 0,1% con il placebo; non si sono verificati effetti collaterali gravi</w:t>
      </w:r>
      <w:r>
        <w:rPr>
          <w:rStyle w:val="FootnoteReference"/>
        </w:rPr>
        <w:footnoteReference w:id="624"/>
      </w:r>
      <w:r>
        <w:t xml:space="preserve">.</w:t>
      </w:r>
    </w:p>
    <w:p>
      <w:pPr>
        <w:pStyle w:val="BodyText"/>
      </w:pPr>
      <w:r>
        <w:t xml:space="preserve">Nello studio statunitense di fase 2 con 179 partecipanti</w:t>
      </w:r>
      <w:r>
        <w:rPr>
          <w:rStyle w:val="FootnoteReference"/>
        </w:rPr>
        <w:footnoteReference w:id="625"/>
      </w:r>
      <w:r>
        <w:t xml:space="preserve"> </w:t>
      </w:r>
      <w:r>
        <w:t xml:space="preserve">la perdita di peso dopo 32 settimane è arrivata al 18,1% con la dose più alta. Tuttavia, con la dose più alta il 20% ha interrotto il trattamento per effetti collaterali, soprattutto per disturbi gastrointestinali. L’analisi principale utilizzava inoltre lo «stimatore di efficacia», che dopo un’interruzione non considera più le persone e quindi tende a rappresentare l’effetto in modo più favorevole.</w:t>
      </w:r>
    </w:p>
    <w:bookmarkEnd w:id="626"/>
    <w:bookmarkStart w:id="629" w:name="casi-singoli"/>
    <w:p>
      <w:pPr>
        <w:pStyle w:val="Heading4"/>
      </w:pPr>
      <w:r>
        <w:t xml:space="preserve">Casi singoli</w:t>
      </w:r>
    </w:p>
    <w:p>
      <w:pPr>
        <w:pStyle w:val="FirstParagraph"/>
      </w:pPr>
      <w:r>
        <w:t xml:space="preserve">Un caso clinico descrive un paziente quindicenne con obesità, diabete di tipo 2 e acido urico elevato che ha ricevuto mazdutide in aggiunta a metformina e insulina e ha perso 16,8 kg in 36 settimane</w:t>
      </w:r>
      <w:r>
        <w:rPr>
          <w:rStyle w:val="FootnoteReference"/>
        </w:rPr>
        <w:footnoteReference w:id="627"/>
      </w:r>
      <w:r>
        <w:t xml:space="preserve">. Un singolo caso non consente conclusioni sull’efficacia o sulla sicurezza negli adolescenti; uno studio in merito è in corso</w:t>
      </w:r>
      <w:r>
        <w:rPr>
          <w:rStyle w:val="FootnoteReference"/>
        </w:rPr>
        <w:footnoteReference w:id="628"/>
      </w:r>
      <w:r>
        <w:t xml:space="preserve">.</w:t>
      </w:r>
    </w:p>
    <w:bookmarkEnd w:id="629"/>
    <w:bookmarkEnd w:id="630"/>
    <w:bookmarkStart w:id="634" w:name="studi-su-animali-e-in-laboratorio-7"/>
    <w:p>
      <w:pPr>
        <w:pStyle w:val="Heading3"/>
      </w:pPr>
      <w:r>
        <w:t xml:space="preserve">Studi su animali e in laboratorio</w:t>
      </w:r>
    </w:p>
    <w:p>
      <w:pPr>
        <w:pStyle w:val="FirstParagraph"/>
      </w:pPr>
      <w:r>
        <w:t xml:space="preserve">Nei topi diabetici (modello db/db) mazdutide ha ottenuto risultati migliori di dulaglutide nei test di memoria e di comportamento; nel tessuto cerebrale si sono osservati meno danni</w:t>
      </w:r>
      <w:r>
        <w:rPr>
          <w:rStyle w:val="FootnoteReference"/>
        </w:rPr>
        <w:footnoteReference w:id="631"/>
      </w:r>
      <w:r>
        <w:t xml:space="preserve">. Nei topi con steatosi epatica indotta dalla dieta e in colture di cellule epatiche mazdutide ha ridotto l’accumulo di grasso e i segni di infiammazione</w:t>
      </w:r>
      <w:r>
        <w:rPr>
          <w:rStyle w:val="FootnoteReference"/>
        </w:rPr>
        <w:footnoteReference w:id="632"/>
      </w:r>
      <w:r>
        <w:t xml:space="preserve">. Se ne derivino vantaggi per l’uomo è una questione aperta; in Cina è registrato uno studio sul diabete di tipo 2 con deterioramento cognitivo iniziale</w:t>
      </w:r>
      <w:r>
        <w:rPr>
          <w:rStyle w:val="FootnoteReference"/>
        </w:rPr>
        <w:footnoteReference w:id="633"/>
      </w:r>
      <w:r>
        <w:t xml:space="preserve">.</w:t>
      </w:r>
    </w:p>
    <w:bookmarkEnd w:id="634"/>
    <w:bookmarkStart w:id="639" w:name="rischi-ed-effetti-collaterali-7"/>
    <w:p>
      <w:pPr>
        <w:pStyle w:val="Heading3"/>
      </w:pPr>
      <w:r>
        <w:t xml:space="preserve">Rischi ed effetti collaterali</w:t>
      </w:r>
    </w:p>
    <w:p>
      <w:pPr>
        <w:pStyle w:val="FirstParagraph"/>
      </w:pPr>
      <w:r>
        <w:rPr>
          <w:bCs/>
          <w:b/>
        </w:rPr>
        <w:t xml:space="preserve">Documentati dagli studi:</w:t>
      </w:r>
    </w:p>
    <w:p>
      <w:pPr>
        <w:numPr>
          <w:ilvl w:val="0"/>
          <w:numId w:val="1077"/>
        </w:numPr>
        <w:pStyle w:val="Compact"/>
      </w:pPr>
      <w:r>
        <w:rPr>
          <w:bCs/>
          <w:b/>
        </w:rPr>
        <w:t xml:space="preserve">Disturbi gastrointestinali:</w:t>
      </w:r>
      <w:r>
        <w:t xml:space="preserve"> </w:t>
      </w:r>
      <w:r>
        <w:t xml:space="preserve">sono gli effetti collaterali più frequenti; la loro frequenza aumenta con la dose. Nello studio di fase 2 sul diabete si sono verificati diarrea nel 36%, riduzione dell’appetito nel 29%, nausea nel 23% e vomito nel 14%</w:t>
      </w:r>
      <w:r>
        <w:rPr>
          <w:rStyle w:val="FootnoteReference"/>
        </w:rPr>
        <w:footnoteReference w:id="635"/>
      </w:r>
      <w:r>
        <w:t xml:space="preserve">. In GLORY-2 più della metà dei partecipanti ha vomitato almeno una volta</w:t>
      </w:r>
      <w:r>
        <w:rPr>
          <w:rStyle w:val="FootnoteReference"/>
        </w:rPr>
        <w:footnoteReference w:id="636"/>
      </w:r>
      <w:r>
        <w:t xml:space="preserve">.</w:t>
      </w:r>
    </w:p>
    <w:p>
      <w:pPr>
        <w:numPr>
          <w:ilvl w:val="0"/>
          <w:numId w:val="1077"/>
        </w:numPr>
        <w:pStyle w:val="Compact"/>
      </w:pPr>
      <w:r>
        <w:rPr>
          <w:bCs/>
          <w:b/>
        </w:rPr>
        <w:t xml:space="preserve">Ipoglicemia:</w:t>
      </w:r>
      <w:r>
        <w:t xml:space="preserve"> </w:t>
      </w:r>
      <w:r>
        <w:t xml:space="preserve">nello studio di fase 2 sul diabete sono state segnalate ipoglicemie nel 10% con mazdutide e nell’8% con placebo</w:t>
      </w:r>
      <w:r>
        <w:rPr>
          <w:rStyle w:val="FootnoteReference"/>
        </w:rPr>
        <w:footnoteReference w:id="637"/>
      </w:r>
      <w:r>
        <w:t xml:space="preserve">.</w:t>
      </w:r>
    </w:p>
    <w:p>
      <w:pPr>
        <w:numPr>
          <w:ilvl w:val="0"/>
          <w:numId w:val="1077"/>
        </w:numPr>
        <w:pStyle w:val="Compact"/>
      </w:pPr>
      <w:r>
        <w:rPr>
          <w:bCs/>
          <w:b/>
        </w:rPr>
        <w:t xml:space="preserve">Interruzioni alle dosi alte:</w:t>
      </w:r>
      <w:r>
        <w:t xml:space="preserve"> </w:t>
      </w:r>
      <w:r>
        <w:t xml:space="preserve">fino al 20% nello studio statunitense di fase 2</w:t>
      </w:r>
      <w:r>
        <w:rPr>
          <w:rStyle w:val="FootnoteReference"/>
        </w:rPr>
        <w:footnoteReference w:id="638"/>
      </w:r>
      <w:r>
        <w:t xml:space="preserve">.</w:t>
      </w:r>
    </w:p>
    <w:p>
      <w:pPr>
        <w:pStyle w:val="FirstParagraph"/>
      </w:pPr>
      <w:r>
        <w:rPr>
          <w:bCs/>
          <w:b/>
        </w:rPr>
        <w:t xml:space="preserve">Ancora aperto:</w:t>
      </w:r>
      <w:r>
        <w:t xml:space="preserve"> </w:t>
      </w:r>
      <w:r>
        <w:t xml:space="preserve">non esiste uno studio sugli esiti cardiovascolari. Mancano dati a lungo termine oltre le 60 settimane. Gli studi hanno incluso quasi esclusivamente persone di origine cinese, che a parità di perdita di peso avevano valori iniziali diversi (peso corporeo più basso) rispetto alle popolazioni degli studi europei. I rischi di classe noti per i farmaci GLP-1 (colecisti, pancreas, cellule C della tiroide negli esperimenti sugli animali) per mazdutide non sono ancora stati valutati in modo autonomo per mancanza di anni-paziente.</w:t>
      </w:r>
    </w:p>
    <w:bookmarkEnd w:id="639"/>
    <w:bookmarkStart w:id="641" w:name="quadro-normativo-7"/>
    <w:p>
      <w:pPr>
        <w:pStyle w:val="Heading3"/>
      </w:pPr>
      <w:r>
        <w:t xml:space="preserve">Quadro normativo</w:t>
      </w:r>
    </w:p>
    <w:p>
      <w:pPr>
        <w:numPr>
          <w:ilvl w:val="0"/>
          <w:numId w:val="1078"/>
        </w:numPr>
        <w:pStyle w:val="Compact"/>
      </w:pPr>
      <w:r>
        <w:rPr>
          <w:bCs/>
          <w:b/>
        </w:rPr>
        <w:t xml:space="preserve">Cina:</w:t>
      </w:r>
      <w:r>
        <w:t xml:space="preserve"> </w:t>
      </w:r>
      <w:r>
        <w:t xml:space="preserve">autorizzato (giugno 2025 per la gestione del peso, settembre 2025 per il diabete di tipo 2)</w:t>
      </w:r>
      <w:r>
        <w:rPr>
          <w:rStyle w:val="FootnoteReference"/>
        </w:rPr>
        <w:footnoteReference w:id="640"/>
      </w:r>
      <w:r>
        <w:t xml:space="preserve">.</w:t>
      </w:r>
    </w:p>
    <w:p>
      <w:pPr>
        <w:numPr>
          <w:ilvl w:val="0"/>
          <w:numId w:val="1078"/>
        </w:numPr>
        <w:pStyle w:val="Compact"/>
      </w:pPr>
      <w:r>
        <w:rPr>
          <w:bCs/>
          <w:b/>
        </w:rPr>
        <w:t xml:space="preserve">UE / Austria / Germania:</w:t>
      </w:r>
      <w:r>
        <w:t xml:space="preserve"> </w:t>
      </w:r>
      <w:r>
        <w:t xml:space="preserve">non autorizzato. Un’importazione per l’uso non è legale senza autorizzazione; i prodotti «Mazdutide» offerti sul mercato grigio non sono medicinali verificati.</w:t>
      </w:r>
    </w:p>
    <w:p>
      <w:pPr>
        <w:numPr>
          <w:ilvl w:val="0"/>
          <w:numId w:val="1078"/>
        </w:numPr>
        <w:pStyle w:val="Compact"/>
      </w:pPr>
      <w:r>
        <w:rPr>
          <w:bCs/>
          <w:b/>
        </w:rPr>
        <w:t xml:space="preserve">USA:</w:t>
      </w:r>
      <w:r>
        <w:t xml:space="preserve"> </w:t>
      </w:r>
      <w:r>
        <w:t xml:space="preserve">non autorizzato; Lilly conduce propri studi.</w:t>
      </w:r>
    </w:p>
    <w:p>
      <w:pPr>
        <w:numPr>
          <w:ilvl w:val="0"/>
          <w:numId w:val="1078"/>
        </w:numPr>
        <w:pStyle w:val="Compact"/>
      </w:pPr>
      <w:r>
        <w:rPr>
          <w:bCs/>
          <w:b/>
        </w:rPr>
        <w:t xml:space="preserve">Sport:</w:t>
      </w:r>
      <w:r>
        <w:t xml:space="preserve"> </w:t>
      </w:r>
      <w:r>
        <w:t xml:space="preserve">non elencato nominalmente; lo status rispetto alla classe S0 non è chiaro a causa dell’autorizzazione cinese (aggiornato al 2026, da verificare).</w:t>
      </w:r>
    </w:p>
    <w:bookmarkEnd w:id="641"/>
    <w:bookmarkStart w:id="649" w:name="studi-in-corso-e-prospettive-7"/>
    <w:p>
      <w:pPr>
        <w:pStyle w:val="Heading3"/>
      </w:pPr>
      <w:r>
        <w:t xml:space="preserve">Studi in corso e prospettive</w:t>
      </w:r>
    </w:p>
    <w:p>
      <w:pPr>
        <w:pStyle w:val="FirstParagraph"/>
      </w:pPr>
      <w:r>
        <w:rPr>
          <w:bCs/>
          <w:b/>
        </w:rPr>
        <w:t xml:space="preserve">Certo (studi registrati, aggiornato a ottobre 2026):</w:t>
      </w:r>
    </w:p>
    <w:p>
      <w:pPr>
        <w:numPr>
          <w:ilvl w:val="0"/>
          <w:numId w:val="1079"/>
        </w:numPr>
        <w:pStyle w:val="Compact"/>
      </w:pPr>
      <w:r>
        <w:t xml:space="preserve">Confronto con semaglutide nella steatosi epatica</w:t>
      </w:r>
      <w:r>
        <w:rPr>
          <w:rStyle w:val="FootnoteReference"/>
        </w:rPr>
        <w:footnoteReference w:id="642"/>
      </w:r>
      <w:r>
        <w:t xml:space="preserve"> </w:t>
      </w:r>
      <w:r>
        <w:t xml:space="preserve">e nel diabete di tipo 2 precoce (NCT06184568, concluso).</w:t>
      </w:r>
    </w:p>
    <w:p>
      <w:pPr>
        <w:numPr>
          <w:ilvl w:val="0"/>
          <w:numId w:val="1079"/>
        </w:numPr>
        <w:pStyle w:val="Compact"/>
      </w:pPr>
      <w:r>
        <w:t xml:space="preserve">Apnea del sonno</w:t>
      </w:r>
      <w:r>
        <w:rPr>
          <w:rStyle w:val="FootnoteReference"/>
        </w:rPr>
        <w:footnoteReference w:id="643"/>
      </w:r>
      <w:r>
        <w:t xml:space="preserve">, ipertensione con obesità</w:t>
      </w:r>
      <w:r>
        <w:rPr>
          <w:rStyle w:val="FootnoteReference"/>
        </w:rPr>
        <w:footnoteReference w:id="644"/>
      </w:r>
      <w:r>
        <w:t xml:space="preserve">, adolescenti</w:t>
      </w:r>
      <w:r>
        <w:rPr>
          <w:rStyle w:val="FootnoteReference"/>
        </w:rPr>
        <w:footnoteReference w:id="645"/>
      </w:r>
      <w:r>
        <w:t xml:space="preserve">.</w:t>
      </w:r>
    </w:p>
    <w:p>
      <w:pPr>
        <w:numPr>
          <w:ilvl w:val="0"/>
          <w:numId w:val="1079"/>
        </w:numPr>
        <w:pStyle w:val="Compact"/>
      </w:pPr>
      <w:r>
        <w:t xml:space="preserve">Studi di fase 2 su MASH</w:t>
      </w:r>
      <w:r>
        <w:rPr>
          <w:rStyle w:val="FootnoteReference"/>
        </w:rPr>
        <w:footnoteReference w:id="646"/>
      </w:r>
      <w:r>
        <w:t xml:space="preserve">, insufficienza cardiaca con obesità</w:t>
      </w:r>
      <w:r>
        <w:rPr>
          <w:rStyle w:val="FootnoteReference"/>
        </w:rPr>
        <w:footnoteReference w:id="647"/>
      </w:r>
      <w:r>
        <w:t xml:space="preserve"> </w:t>
      </w:r>
      <w:r>
        <w:t xml:space="preserve">e disturbo da uso di alcol (NCT06817356, concluso, sponsor Lilly).</w:t>
      </w:r>
    </w:p>
    <w:p>
      <w:pPr>
        <w:numPr>
          <w:ilvl w:val="0"/>
          <w:numId w:val="1079"/>
        </w:numPr>
        <w:pStyle w:val="Compact"/>
      </w:pPr>
      <w:r>
        <w:t xml:space="preserve">Lilly valuta mazdutide inoltre in un protocollo master di fase 2</w:t>
      </w:r>
      <w:r>
        <w:rPr>
          <w:rStyle w:val="FootnoteReference"/>
        </w:rPr>
        <w:footnoteReference w:id="648"/>
      </w:r>
      <w:r>
        <w:t xml:space="preserve">.</w:t>
      </w:r>
    </w:p>
    <w:p>
      <w:pPr>
        <w:pStyle w:val="FirstParagraph"/>
      </w:pPr>
      <w:r>
        <w:rPr>
          <w:bCs/>
          <w:b/>
        </w:rPr>
        <w:t xml:space="preserve">Valutazione:</w:t>
      </w:r>
      <w:r>
        <w:t xml:space="preserve"> </w:t>
      </w:r>
      <w:r>
        <w:t xml:space="preserve">mazdutide è il primo farmaco doppio glucagone/GLP-1 con un’autorizzazione, però solo in Cina. Se Lilly punterà a un’autorizzazione negli USA e in Europa dipende probabilmente dalla possibilità di differenziare la molecola rispetto a tirzepatide e retatrutide della stessa azienda, per esempio nella steatosi epatica o nel disturbo da uso di alcol. Si tratta di una valutazione; non sono note domande di autorizzazione concrete al di fuori della Cina.</w:t>
      </w:r>
    </w:p>
    <w:bookmarkEnd w:id="649"/>
    <w:bookmarkStart w:id="650" w:name="conclusione-7"/>
    <w:p>
      <w:pPr>
        <w:pStyle w:val="Heading3"/>
      </w:pPr>
      <w:r>
        <w:t xml:space="preserve">Conclusione</w:t>
      </w:r>
    </w:p>
    <w:p>
      <w:pPr>
        <w:pStyle w:val="FirstParagraph"/>
      </w:pPr>
      <w:r>
        <w:t xml:space="preserve">Mazdutide è un derivato a lunga durata d’azione dell’ormone intestinale ossintomodulina, che attiva contemporaneamente i recettori del GLP-1 e del glucagone. Negli studi cinesi di fase 3 il peso corporeo si è ridotto dell’11–14% dopo 48 settimane e del 16,65% dopo 60 settimane con la dose più alta; nel diabete di tipo 2 è risultato leggermente superiore a dulaglutide. Gli effetti collaterali più frequenti sono i disturbi gastrointestinali, che alle dosi più alte diventano molto frequenti. Mazdutide è autorizzato solo in Cina; mancano in larga parte dati sugli esiti cardiovascolari e su popolazioni non asiatiche.</w:t>
      </w:r>
    </w:p>
    <w:bookmarkEnd w:id="650"/>
    <w:bookmarkEnd w:id="651"/>
    <w:bookmarkStart w:id="699" w:name="cagrilintide-e-cagrisema"/>
    <w:p>
      <w:pPr>
        <w:pStyle w:val="Heading2"/>
      </w:pPr>
      <w:r>
        <w:t xml:space="preserve">Cagrilintide e CagriSema</w:t>
      </w:r>
    </w:p>
    <w:bookmarkStart w:id="652" w:name="scheda-8"/>
    <w:p>
      <w:pPr>
        <w:pStyle w:val="Heading3"/>
      </w:pPr>
      <w:r>
        <w:t xml:space="preserve">Scheda</w:t>
      </w:r>
    </w:p>
    <w:p>
      <w:pPr>
        <w:numPr>
          <w:ilvl w:val="0"/>
          <w:numId w:val="1080"/>
        </w:numPr>
        <w:pStyle w:val="Compact"/>
      </w:pPr>
      <w:r>
        <w:rPr>
          <w:bCs/>
          <w:b/>
        </w:rPr>
        <w:t xml:space="preserve">Tipo/struttura:</w:t>
      </w:r>
      <w:r>
        <w:t xml:space="preserve"> </w:t>
      </w:r>
      <w:r>
        <w:t xml:space="preserve">cagrilintide è un analogo sintetico dell’ormone amilina modificato con acido grasso, per la somministrazione sottocutanea una volta alla settimana.</w:t>
      </w:r>
      <w:r>
        <w:t xml:space="preserve"> </w:t>
      </w:r>
      <w:r>
        <w:rPr>
          <w:bCs/>
          <w:b/>
        </w:rPr>
        <w:t xml:space="preserve">CagriSema</w:t>
      </w:r>
      <w:r>
        <w:t xml:space="preserve"> </w:t>
      </w:r>
      <w:r>
        <w:t xml:space="preserve">è la combinazione fissa di cagrilintide e semaglutide in un unico dispositivo per iniezione.</w:t>
      </w:r>
    </w:p>
    <w:p>
      <w:pPr>
        <w:numPr>
          <w:ilvl w:val="0"/>
          <w:numId w:val="1080"/>
        </w:numPr>
        <w:pStyle w:val="Compact"/>
      </w:pPr>
      <w:r>
        <w:rPr>
          <w:bCs/>
          <w:b/>
        </w:rPr>
        <w:t xml:space="preserve">Origine:</w:t>
      </w:r>
      <w:r>
        <w:t xml:space="preserve"> </w:t>
      </w:r>
      <w:r>
        <w:t xml:space="preserve">sviluppato da Novo Nordisk, il produttore di semaglutide.</w:t>
      </w:r>
    </w:p>
    <w:p>
      <w:pPr>
        <w:numPr>
          <w:ilvl w:val="0"/>
          <w:numId w:val="1080"/>
        </w:numPr>
        <w:pStyle w:val="Compact"/>
      </w:pPr>
      <w:r>
        <w:rPr>
          <w:bCs/>
          <w:b/>
        </w:rPr>
        <w:t xml:space="preserve">Principio d’azione:</w:t>
      </w:r>
      <w:r>
        <w:t xml:space="preserve"> </w:t>
      </w:r>
      <w:r>
        <w:t xml:space="preserve">cagrilintide attiva i recettori dell’amilina e inoltre il recettore affine della calcitonina (un «agonista duale dei recettori dell’amilina e della calcitonina»). In CagriSema si aggiunge l’effetto GLP-1 di semaglutide.</w:t>
      </w:r>
    </w:p>
    <w:p>
      <w:pPr>
        <w:numPr>
          <w:ilvl w:val="0"/>
          <w:numId w:val="1080"/>
        </w:numPr>
        <w:pStyle w:val="Compact"/>
      </w:pPr>
      <w:r>
        <w:rPr>
          <w:bCs/>
          <w:b/>
        </w:rPr>
        <w:t xml:space="preserve">Autorizzazione UE:</w:t>
      </w:r>
      <w:r>
        <w:t xml:space="preserve"> </w:t>
      </w:r>
      <w:r>
        <w:t xml:space="preserve">no (aggiornato a ottobre 2026).</w:t>
      </w:r>
    </w:p>
    <w:p>
      <w:pPr>
        <w:numPr>
          <w:ilvl w:val="0"/>
          <w:numId w:val="1080"/>
        </w:numPr>
        <w:pStyle w:val="Compact"/>
      </w:pPr>
      <w:r>
        <w:rPr>
          <w:bCs/>
          <w:b/>
        </w:rPr>
        <w:t xml:space="preserve">Autorizzazione USA:</w:t>
      </w:r>
      <w:r>
        <w:t xml:space="preserve"> </w:t>
      </w:r>
      <w:r>
        <w:t xml:space="preserve">no (aggiornato a ottobre 2026; una procedura di autorizzazione per CagriSema è annunciata o potrebbe essere già in corso – da verificare).</w:t>
      </w:r>
    </w:p>
    <w:p>
      <w:pPr>
        <w:numPr>
          <w:ilvl w:val="0"/>
          <w:numId w:val="1080"/>
        </w:numPr>
        <w:pStyle w:val="Compact"/>
      </w:pPr>
      <w:r>
        <w:rPr>
          <w:bCs/>
          <w:b/>
        </w:rPr>
        <w:t xml:space="preserve">WADA:</w:t>
      </w:r>
      <w:r>
        <w:t xml:space="preserve"> </w:t>
      </w:r>
      <w:r>
        <w:t xml:space="preserve">in quanto sostanza non approvata, vietata in base alla classe S0.</w:t>
      </w:r>
    </w:p>
    <w:p>
      <w:pPr>
        <w:numPr>
          <w:ilvl w:val="0"/>
          <w:numId w:val="1080"/>
        </w:numPr>
        <w:pStyle w:val="Compact"/>
      </w:pPr>
      <w:r>
        <w:rPr>
          <w:bCs/>
          <w:b/>
        </w:rPr>
        <w:t xml:space="preserve">Livello di evidenza:</w:t>
      </w:r>
      <w:r>
        <w:t xml:space="preserve"> </w:t>
      </w:r>
      <w:r>
        <w:rPr>
          <w:bCs/>
          <w:b/>
        </w:rPr>
        <w:t xml:space="preserve">B</w:t>
      </w:r>
      <w:r>
        <w:t xml:space="preserve"> </w:t>
      </w:r>
      <w:r>
        <w:t xml:space="preserve">– pubblicati diversi grandi studi di fase 3, ma ancora nessuna autorizzazione. Con l’autorizzazione CagriSema raggiungerebbe il livello A.</w:t>
      </w:r>
    </w:p>
    <w:bookmarkEnd w:id="652"/>
    <w:bookmarkStart w:id="657" w:name="come-dovrebbe-agire-8"/>
    <w:p>
      <w:pPr>
        <w:pStyle w:val="Heading3"/>
      </w:pPr>
      <w:r>
        <w:t xml:space="preserve">Come dovrebbe agire</w:t>
      </w:r>
    </w:p>
    <w:p>
      <w:pPr>
        <w:pStyle w:val="FirstParagraph"/>
      </w:pPr>
      <w:r>
        <w:t xml:space="preserve">L’amilina è un ormone che le cellule beta del pancreas secernono insieme all’insulina. Agisce soprattutto nel tronco encefalico: favorisce il senso di sazietà, rallenta lo svuotamento gastrico e frena la secrezione di glucagone dopo i pasti. Alle persone con diabete di tipo 1 manca, oltre all’insulina, anche l’amilina.</w:t>
      </w:r>
    </w:p>
    <w:p>
      <w:pPr>
        <w:pStyle w:val="BodyText"/>
      </w:pPr>
      <w:r>
        <w:t xml:space="preserve">L’amilina naturale non è adatta come farmaco, perché tende ad aggregarsi (forma le cosiddette fibrille amiloidi) e rimane nel sangue solo pochi minuti. Il primo farmaco a base di amilina, pramlintide (si veda il capitolo dedicato), deve quindi essere iniettato più volte al giorno. Cagrilintide è stato modificato in modo mirato per restare stabile e, grazie a una catena di acido grasso, agire per una settimana</w:t>
      </w:r>
      <w:r>
        <w:rPr>
          <w:rStyle w:val="FootnoteReference"/>
        </w:rPr>
        <w:footnoteReference w:id="653"/>
      </w:r>
      <w:r>
        <w:t xml:space="preserve">. Nei dati di fase 1 l’emivita era di 159–195 ore, cioè circa una settimana</w:t>
      </w:r>
      <w:r>
        <w:rPr>
          <w:rStyle w:val="FootnoteReference"/>
        </w:rPr>
        <w:footnoteReference w:id="654"/>
      </w:r>
      <w:r>
        <w:t xml:space="preserve">.</w:t>
      </w:r>
    </w:p>
    <w:p>
      <w:pPr>
        <w:pStyle w:val="BodyText"/>
      </w:pPr>
      <w:r>
        <w:t xml:space="preserve">La combinazione con semaglutide segue un’idea semplice: amilina e GLP-1 agiscono sulla sazietà attraverso recettori diversi e in parte attraverso regioni cerebrali diverse, quindi gli effetti potrebbero sommarsi. Studi su topi geneticamente modificati mostrano che cagrilintide, per il suo effetto di riduzione del peso, ha bisogno dei sottotipi 1 e 3 del recettore dell’amilina nel cervello</w:t>
      </w:r>
      <w:r>
        <w:rPr>
          <w:rStyle w:val="FootnoteReference"/>
        </w:rPr>
        <w:footnoteReference w:id="655"/>
      </w:r>
      <w:r>
        <w:t xml:space="preserve">. Nei ratti CagriSema ha ridotto soprattutto l’apporto energetico, mentre il dispendio energetico è rimasto in gran parte invariato</w:t>
      </w:r>
      <w:r>
        <w:rPr>
          <w:rStyle w:val="FootnoteReference"/>
        </w:rPr>
        <w:footnoteReference w:id="656"/>
      </w:r>
      <w:r>
        <w:t xml:space="preserve">.</w:t>
      </w:r>
    </w:p>
    <w:bookmarkEnd w:id="657"/>
    <w:bookmarkStart w:id="672" w:name="studi-sulluomo-8"/>
    <w:p>
      <w:pPr>
        <w:pStyle w:val="Heading3"/>
      </w:pPr>
      <w:r>
        <w:t xml:space="preserve">Studi sull’uomo</w:t>
      </w:r>
    </w:p>
    <w:p>
      <w:pPr>
        <w:pStyle w:val="FirstParagraph"/>
      </w:pPr>
      <w:r>
        <w:rPr>
          <w:bCs/>
          <w:b/>
        </w:rPr>
        <w:t xml:space="preserve">Dimensioni della letteratura:</w:t>
      </w:r>
      <w:r>
        <w:t xml:space="preserve"> </w:t>
      </w:r>
      <w:r>
        <w:t xml:space="preserve">la ricerca automatizzata su PubMed (ottobre 2026) ha individuato 15 studi sull’uomo su cagrilintide o CagriSema. Su ClinicalTrials.gov risultavano registrati 44 studi. Il programma registrativo si chiama</w:t>
      </w:r>
      <w:r>
        <w:t xml:space="preserve"> </w:t>
      </w:r>
      <w:r>
        <w:rPr>
          <w:bCs/>
          <w:b/>
        </w:rPr>
        <w:t xml:space="preserve">REDEFINE</w:t>
      </w:r>
      <w:r>
        <w:t xml:space="preserve"> </w:t>
      </w:r>
      <w:r>
        <w:t xml:space="preserve">(gestione del peso) e</w:t>
      </w:r>
      <w:r>
        <w:t xml:space="preserve"> </w:t>
      </w:r>
      <w:r>
        <w:rPr>
          <w:bCs/>
          <w:b/>
        </w:rPr>
        <w:t xml:space="preserve">REIMAGINE</w:t>
      </w:r>
      <w:r>
        <w:t xml:space="preserve"> </w:t>
      </w:r>
      <w:r>
        <w:t xml:space="preserve">(diabete di tipo 2).</w:t>
      </w:r>
    </w:p>
    <w:bookmarkStart w:id="660" w:name="cagrilintide-da-solo"/>
    <w:p>
      <w:pPr>
        <w:pStyle w:val="Heading4"/>
      </w:pPr>
      <w:r>
        <w:t xml:space="preserve">Cagrilintide da solo</w:t>
      </w:r>
    </w:p>
    <w:p>
      <w:pPr>
        <w:pStyle w:val="FirstParagraph"/>
      </w:pPr>
      <w:r>
        <w:t xml:space="preserve">Nello studio di fase 2 per la ricerca della dose</w:t>
      </w:r>
      <w:r>
        <w:rPr>
          <w:rStyle w:val="FootnoteReference"/>
        </w:rPr>
        <w:footnoteReference w:id="658"/>
      </w:r>
      <w:r>
        <w:t xml:space="preserve"> </w:t>
      </w:r>
      <w:r>
        <w:t xml:space="preserve">706 adulti con sovrappeso o obesità hanno ricevuto per 26 settimane cagrilintide in cinque dosi, 99 liraglutide e 101 placebo. Il peso è diminuito in modo dose-dipendente del 6,0–10,8% (placebo 3,0%). La dose più alta è risultata leggermente superiore a liraglutide 3,0 mg (10,8% vs. 9,0%). La nausea si è verificata nel 20–47% (placebo 18%). Da solo, cagrilintide raggiunge quindi circa l’ordine di grandezza dei farmaci GLP-1 più datati, non quello di semaglutide o tirzepatide. Nel frattempo viene valutato in fase 3 anche come sostanza singola</w:t>
      </w:r>
      <w:r>
        <w:rPr>
          <w:rStyle w:val="FootnoteReference"/>
        </w:rPr>
        <w:footnoteReference w:id="659"/>
      </w:r>
      <w:r>
        <w:t xml:space="preserve">.</w:t>
      </w:r>
    </w:p>
    <w:bookmarkEnd w:id="660"/>
    <w:bookmarkStart w:id="663" w:name="cagrisema-primi-studi"/>
    <w:p>
      <w:pPr>
        <w:pStyle w:val="Heading4"/>
      </w:pPr>
      <w:r>
        <w:t xml:space="preserve">CagriSema: primi studi</w:t>
      </w:r>
    </w:p>
    <w:p>
      <w:pPr>
        <w:pStyle w:val="FirstParagraph"/>
      </w:pPr>
      <w:r>
        <w:t xml:space="preserve">In uno studio di fase 1b su 95 persone sane in sovrappeso, i partecipanti trattati con semaglutide più cagrilintide hanno perso dopo 20 settimane fino al 17,1% del loro peso, quelli con semaglutide più placebo il 9,8%</w:t>
      </w:r>
      <w:r>
        <w:rPr>
          <w:rStyle w:val="FootnoteReference"/>
        </w:rPr>
        <w:footnoteReference w:id="661"/>
      </w:r>
      <w:r>
        <w:t xml:space="preserve">. Cagrilintide non ha modificato i livelli ematici di semaglutide.</w:t>
      </w:r>
    </w:p>
    <w:p>
      <w:pPr>
        <w:pStyle w:val="BodyText"/>
      </w:pPr>
      <w:r>
        <w:t xml:space="preserve">Un piccolo studio di fase 2 su 92 persone con diabete di tipo 2 ha confrontato direttamente CagriSema con le due sostanze singole</w:t>
      </w:r>
      <w:r>
        <w:rPr>
          <w:rStyle w:val="FootnoteReference"/>
        </w:rPr>
        <w:footnoteReference w:id="662"/>
      </w:r>
      <w:r>
        <w:t xml:space="preserve">. Dopo 32 settimane la perdita di peso era del 15,6% con CagriSema, del 5,1% con semaglutide e dell’8,1% con cagrilintide. Per l’HbA1c, CagriSema con −2,2 punti percentuali non è risultato statisticamente superiore a semaglutide (−1,8).</w:t>
      </w:r>
    </w:p>
    <w:bookmarkEnd w:id="663"/>
    <w:bookmarkStart w:id="671" w:name="cagrisema-fase-3-redefine-e-reimagine"/>
    <w:p>
      <w:pPr>
        <w:pStyle w:val="Heading4"/>
      </w:pPr>
      <w:r>
        <w:t xml:space="preserve">CagriSema: fase 3 (REDEFINE e REIMAGINE)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REDEFINE 1 (Garvey 2025), PMID 40544433</w:t>
            </w:r>
          </w:p>
        </w:tc>
        <w:tc>
          <w:tcPr/>
          <w:p>
            <w:pPr>
              <w:pStyle w:val="Compact"/>
              <w:jc w:val="left"/>
            </w:pPr>
            <w:r>
              <w:t xml:space="preserve">3.417 adulti con sovrappeso/obesità senza diabete; contro placebo e sostanze singole</w:t>
            </w:r>
          </w:p>
        </w:tc>
        <w:tc>
          <w:tcPr/>
          <w:p>
            <w:pPr>
              <w:pStyle w:val="Compact"/>
              <w:jc w:val="left"/>
            </w:pPr>
            <w:r>
              <w:t xml:space="preserve">68 settimane</w:t>
            </w:r>
          </w:p>
        </w:tc>
        <w:tc>
          <w:tcPr/>
          <w:p>
            <w:pPr>
              <w:pStyle w:val="Compact"/>
              <w:jc w:val="left"/>
            </w:pPr>
            <w:r>
              <w:t xml:space="preserve">−20,4% di peso vs. −3,0%</w:t>
            </w:r>
          </w:p>
        </w:tc>
      </w:tr>
      <w:tr>
        <w:tc>
          <w:tcPr/>
          <w:p>
            <w:pPr>
              <w:pStyle w:val="Compact"/>
              <w:jc w:val="left"/>
            </w:pPr>
            <w:r>
              <w:t xml:space="preserve">REDEFINE 2 (Davies 2025), PMID 40544432</w:t>
            </w:r>
          </w:p>
        </w:tc>
        <w:tc>
          <w:tcPr/>
          <w:p>
            <w:pPr>
              <w:pStyle w:val="Compact"/>
              <w:jc w:val="left"/>
            </w:pPr>
            <w:r>
              <w:t xml:space="preserve">1.206 adulti con obesità e diabete di tipo 2, contro placebo</w:t>
            </w:r>
          </w:p>
        </w:tc>
        <w:tc>
          <w:tcPr/>
          <w:p>
            <w:pPr>
              <w:pStyle w:val="Compact"/>
              <w:jc w:val="left"/>
            </w:pPr>
            <w:r>
              <w:t xml:space="preserve">68 settimane</w:t>
            </w:r>
          </w:p>
        </w:tc>
        <w:tc>
          <w:tcPr/>
          <w:p>
            <w:pPr>
              <w:pStyle w:val="Compact"/>
              <w:jc w:val="left"/>
            </w:pPr>
            <w:r>
              <w:t xml:space="preserve">−13,7% vs. −3,4%</w:t>
            </w:r>
          </w:p>
        </w:tc>
      </w:tr>
      <w:tr>
        <w:tc>
          <w:tcPr/>
          <w:p>
            <w:pPr>
              <w:pStyle w:val="Compact"/>
              <w:jc w:val="left"/>
            </w:pPr>
            <w:r>
              <w:t xml:space="preserve">REDEFINE 5 (Yamauchi 2026), PMID 42009015</w:t>
            </w:r>
          </w:p>
        </w:tc>
        <w:tc>
          <w:tcPr/>
          <w:p>
            <w:pPr>
              <w:pStyle w:val="Compact"/>
              <w:jc w:val="left"/>
            </w:pPr>
            <w:r>
              <w:t xml:space="preserve">331 adulti in Giappone e Taiwan, contro semaglutide</w:t>
            </w:r>
          </w:p>
        </w:tc>
        <w:tc>
          <w:tcPr/>
          <w:p>
            <w:pPr>
              <w:pStyle w:val="Compact"/>
              <w:jc w:val="left"/>
            </w:pPr>
            <w:r>
              <w:t xml:space="preserve">68 settimane</w:t>
            </w:r>
          </w:p>
        </w:tc>
        <w:tc>
          <w:tcPr/>
          <w:p>
            <w:pPr>
              <w:pStyle w:val="Compact"/>
              <w:jc w:val="left"/>
            </w:pPr>
            <w:r>
              <w:t xml:space="preserve">−18,4% vs. −11,9% (semaglutide)</w:t>
            </w:r>
          </w:p>
        </w:tc>
      </w:tr>
      <w:tr>
        <w:tc>
          <w:tcPr/>
          <w:p>
            <w:pPr>
              <w:pStyle w:val="Compact"/>
              <w:jc w:val="left"/>
            </w:pPr>
            <w:r>
              <w:t xml:space="preserve">REIMAGINE 1 (Aroda 2026), PMID 42251860</w:t>
            </w:r>
          </w:p>
        </w:tc>
        <w:tc>
          <w:tcPr/>
          <w:p>
            <w:pPr>
              <w:pStyle w:val="Compact"/>
              <w:jc w:val="left"/>
            </w:pPr>
            <w:r>
              <w:t xml:space="preserve">189 adulti con diabete di tipo 2 senza farmaci, contro placebo</w:t>
            </w:r>
          </w:p>
        </w:tc>
        <w:tc>
          <w:tcPr/>
          <w:p>
            <w:pPr>
              <w:pStyle w:val="Compact"/>
              <w:jc w:val="left"/>
            </w:pPr>
            <w:r>
              <w:t xml:space="preserve">40 settimane</w:t>
            </w:r>
          </w:p>
        </w:tc>
        <w:tc>
          <w:tcPr/>
          <w:p>
            <w:pPr>
              <w:pStyle w:val="Compact"/>
              <w:jc w:val="left"/>
            </w:pPr>
            <w:r>
              <w:t xml:space="preserve">HbA1c −1,8 vs. −0,1; peso −13,8% vs. −1,4%</w:t>
            </w:r>
          </w:p>
        </w:tc>
      </w:tr>
      <w:tr>
        <w:tc>
          <w:tcPr/>
          <w:p>
            <w:pPr>
              <w:pStyle w:val="Compact"/>
              <w:jc w:val="left"/>
            </w:pPr>
            <w:r>
              <w:t xml:space="preserve">REIMAGINE 2 (Buse 2026), PMID 42251859</w:t>
            </w:r>
          </w:p>
        </w:tc>
        <w:tc>
          <w:tcPr/>
          <w:p>
            <w:pPr>
              <w:pStyle w:val="Compact"/>
              <w:jc w:val="left"/>
            </w:pPr>
            <w:r>
              <w:t xml:space="preserve">2.713 adulti con diabete di tipo 2, contro semaglutide, cagrilintide e placebo</w:t>
            </w:r>
          </w:p>
        </w:tc>
        <w:tc>
          <w:tcPr/>
          <w:p>
            <w:pPr>
              <w:pStyle w:val="Compact"/>
              <w:jc w:val="left"/>
            </w:pPr>
            <w:r>
              <w:t xml:space="preserve">68 settimane</w:t>
            </w:r>
          </w:p>
        </w:tc>
        <w:tc>
          <w:tcPr/>
          <w:p>
            <w:pPr>
              <w:pStyle w:val="Compact"/>
              <w:jc w:val="left"/>
            </w:pPr>
            <w:r>
              <w:t xml:space="preserve">HbA1c −1,91 vs. −1,75 (semaglutide 2,4 mg)</w:t>
            </w:r>
          </w:p>
        </w:tc>
      </w:tr>
      <w:tr>
        <w:tc>
          <w:tcPr/>
          <w:p>
            <w:pPr>
              <w:pStyle w:val="Compact"/>
              <w:jc w:val="left"/>
            </w:pPr>
            <w:r>
              <w:t xml:space="preserve">REIMAGINE 3 (Rosenstock 2026), PMID 42251856</w:t>
            </w:r>
          </w:p>
        </w:tc>
        <w:tc>
          <w:tcPr/>
          <w:p>
            <w:pPr>
              <w:pStyle w:val="Compact"/>
              <w:jc w:val="left"/>
            </w:pPr>
            <w:r>
              <w:t xml:space="preserve">274 adulti con diabete di tipo 2 e insulina basale, contro placebo</w:t>
            </w:r>
          </w:p>
        </w:tc>
        <w:tc>
          <w:tcPr/>
          <w:p>
            <w:pPr>
              <w:pStyle w:val="Compact"/>
              <w:jc w:val="left"/>
            </w:pPr>
            <w:r>
              <w:t xml:space="preserve">40 settimane</w:t>
            </w:r>
          </w:p>
        </w:tc>
        <w:tc>
          <w:tcPr/>
          <w:p>
            <w:pPr>
              <w:pStyle w:val="Compact"/>
              <w:jc w:val="left"/>
            </w:pPr>
            <w:r>
              <w:t xml:space="preserve">HbA1c −2,33 vs. −0,66; peso da −10 a −12%</w:t>
            </w:r>
          </w:p>
        </w:tc>
      </w:tr>
    </w:tbl>
    <w:p>
      <w:pPr>
        <w:pStyle w:val="BodyText"/>
      </w:pPr>
      <w:r>
        <w:rPr>
          <w:bCs/>
          <w:b/>
        </w:rPr>
        <w:t xml:space="preserve">REDEFINE 1</w:t>
      </w:r>
      <w:r>
        <w:rPr>
          <w:rStyle w:val="FootnoteReference"/>
        </w:rPr>
        <w:footnoteReference w:id="664"/>
      </w:r>
      <w:r>
        <w:t xml:space="preserve"> </w:t>
      </w:r>
      <w:r>
        <w:t xml:space="preserve">è lo studio principale. In 3.417 adulti senza diabete il peso corporeo si è ridotto dopo 68 settimane in media del 20,4% rispetto al 3,0% con il placebo. Lo studio comprendeva anche gruppi più piccoli con solo semaglutide e solo cagrilintide. In un’analisi successiva, il 30,3% con CagriSema, il 19,1% con semaglutide, il 9,0% con cagrilintide e il 3,3% con placebo hanno raggiunto sia un BMI inferiore a 27 sia un rapporto favorevole tra circonferenza vita e statura</w:t>
      </w:r>
      <w:r>
        <w:rPr>
          <w:rStyle w:val="FootnoteReference"/>
        </w:rPr>
        <w:footnoteReference w:id="665"/>
      </w:r>
      <w:r>
        <w:t xml:space="preserve">. La pressione sistolica è diminuita con CagriSema di 10,9 mmHg (placebo −2,8)</w:t>
      </w:r>
      <w:r>
        <w:rPr>
          <w:rStyle w:val="FootnoteReference"/>
        </w:rPr>
        <w:footnoteReference w:id="666"/>
      </w:r>
      <w:r>
        <w:t xml:space="preserve">.</w:t>
      </w:r>
    </w:p>
    <w:p>
      <w:pPr>
        <w:pStyle w:val="BodyText"/>
      </w:pPr>
      <w:r>
        <w:t xml:space="preserve">Per inquadrare il dato: il 20,4% raggiunto è dell’ordine di grandezza di tirzepatide in SURMOUNT-1 (20,9% dopo 72 settimane alla dose più alta). Un simile confronto incrociato tra studi diversi è solo un orientamento approssimativo; il confronto diretto è ancora in attesa (si veda più avanti).</w:t>
      </w:r>
    </w:p>
    <w:p>
      <w:pPr>
        <w:pStyle w:val="BodyText"/>
      </w:pPr>
      <w:r>
        <w:rPr>
          <w:bCs/>
          <w:b/>
        </w:rPr>
        <w:t xml:space="preserve">REDEFINE 2</w:t>
      </w:r>
      <w:r>
        <w:rPr>
          <w:rStyle w:val="FootnoteReference"/>
        </w:rPr>
        <w:footnoteReference w:id="667"/>
      </w:r>
      <w:r>
        <w:t xml:space="preserve"> </w:t>
      </w:r>
      <w:r>
        <w:t xml:space="preserve">ha confermato lo schema nelle persone con diabete di tipo 2: −13,7% rispetto a −3,4%. Il 73,5% ha raggiunto un valore di HbA1c non superiore al 6,5% (placebo 15,9%).</w:t>
      </w:r>
    </w:p>
    <w:p>
      <w:pPr>
        <w:pStyle w:val="BodyText"/>
      </w:pPr>
      <w:r>
        <w:rPr>
          <w:bCs/>
          <w:b/>
        </w:rPr>
        <w:t xml:space="preserve">REDEFINE 5</w:t>
      </w:r>
      <w:r>
        <w:rPr>
          <w:rStyle w:val="FootnoteReference"/>
        </w:rPr>
        <w:footnoteReference w:id="668"/>
      </w:r>
      <w:r>
        <w:t xml:space="preserve"> </w:t>
      </w:r>
      <w:r>
        <w:t xml:space="preserve">è il primo studio di fase 3 in cieco pubblicato a confronto diretto con semaglutide 2,4 mg: in Giappone e Taiwan i partecipanti hanno perso il 18,4% con CagriSema rispetto all’11,9% con semaglutide da solo. I disturbi gastrointestinali sono stati altrettanto frequenti, 53% contro 51%.</w:t>
      </w:r>
    </w:p>
    <w:p>
      <w:pPr>
        <w:pStyle w:val="BodyText"/>
      </w:pPr>
      <w:r>
        <w:rPr>
          <w:bCs/>
          <w:b/>
        </w:rPr>
        <w:t xml:space="preserve">REIMAGINE 2</w:t>
      </w:r>
      <w:r>
        <w:rPr>
          <w:rStyle w:val="FootnoteReference"/>
        </w:rPr>
        <w:footnoteReference w:id="669"/>
      </w:r>
      <w:r>
        <w:t xml:space="preserve"> </w:t>
      </w:r>
      <w:r>
        <w:t xml:space="preserve">ha mostrato nel diabete di tipo 2 che CagriSema riduce l’HbA1c solo di poco più di semaglutide 2,4 mg da solo (−1,91 vs. −1,75 punti percentuali). Il beneficio aggiuntivo di cagrilintide riguarda quindi soprattutto il peso, poco la glicemia.</w:t>
      </w:r>
    </w:p>
    <w:p>
      <w:pPr>
        <w:pStyle w:val="BodyText"/>
      </w:pPr>
      <w:r>
        <w:t xml:space="preserve">Lo studio di confronto diretto con tirzepatide nell’obesità (REDEFINE 4, NCT06131437) e due studi di confronto con tirzepatide nel diabete di tipo 2</w:t>
      </w:r>
      <w:r>
        <w:rPr>
          <w:rStyle w:val="FootnoteReference"/>
        </w:rPr>
        <w:footnoteReference w:id="670"/>
      </w:r>
      <w:r>
        <w:t xml:space="preserve"> </w:t>
      </w:r>
      <w:r>
        <w:t xml:space="preserve">risultano conclusi secondo il registro; al momento della ricerca non erano ancora disponibili pubblicazioni sottoposte a revisione paritaria.</w:t>
      </w:r>
    </w:p>
    <w:bookmarkEnd w:id="671"/>
    <w:bookmarkEnd w:id="672"/>
    <w:bookmarkStart w:id="677" w:name="studi-su-animali-e-in-laboratorio-8"/>
    <w:p>
      <w:pPr>
        <w:pStyle w:val="Heading3"/>
      </w:pPr>
      <w:r>
        <w:t xml:space="preserve">Studi su animali e in laboratorio</w:t>
      </w:r>
    </w:p>
    <w:p>
      <w:pPr>
        <w:pStyle w:val="FirstParagraph"/>
      </w:pPr>
      <w:r>
        <w:t xml:space="preserve">Studi di biologia strutturale mostrano come cagrilintide si lega ai recettori dell’amilina e della calcitonina</w:t>
      </w:r>
      <w:r>
        <w:rPr>
          <w:rStyle w:val="FootnoteReference"/>
        </w:rPr>
        <w:footnoteReference w:id="673"/>
      </w:r>
      <w:r>
        <w:t xml:space="preserve">. Nei topi privi dei sottotipi 1 e 3 del recettore dell’amilina l’effetto era fortemente attenuato</w:t>
      </w:r>
      <w:r>
        <w:rPr>
          <w:rStyle w:val="FootnoteReference"/>
        </w:rPr>
        <w:footnoteReference w:id="674"/>
      </w:r>
      <w:r>
        <w:t xml:space="preserve">. Nei ratti CagriSema ha ridotto l’assunzione di cibo del 39%; secondo i calcoli degli autori, circa un terzo della perdita di peso era dovuto al fatto che il dispendio energetico non si riduceva nella misura abituale</w:t>
      </w:r>
      <w:r>
        <w:rPr>
          <w:rStyle w:val="FootnoteReference"/>
        </w:rPr>
        <w:footnoteReference w:id="675"/>
      </w:r>
      <w:r>
        <w:t xml:space="preserve">. In un altro studio sui ratti la combinazione di cagrilintide con retatrutide ha potenziato la perdita di peso</w:t>
      </w:r>
      <w:r>
        <w:rPr>
          <w:rStyle w:val="FootnoteReference"/>
        </w:rPr>
        <w:footnoteReference w:id="676"/>
      </w:r>
      <w:r>
        <w:t xml:space="preserve">: un indizio che in futuro i principi attivi a base di amilina potrebbero essere combinati anche con altri farmaci incretinici. Tutti questi risultati provengono da esperimenti sugli animali.</w:t>
      </w:r>
    </w:p>
    <w:bookmarkEnd w:id="677"/>
    <w:bookmarkStart w:id="685" w:name="rischi-ed-effetti-collaterali-8"/>
    <w:p>
      <w:pPr>
        <w:pStyle w:val="Heading3"/>
      </w:pPr>
      <w:r>
        <w:t xml:space="preserve">Rischi ed effetti collaterali</w:t>
      </w:r>
    </w:p>
    <w:p>
      <w:pPr>
        <w:pStyle w:val="FirstParagraph"/>
      </w:pPr>
      <w:r>
        <w:rPr>
          <w:bCs/>
          <w:b/>
        </w:rPr>
        <w:t xml:space="preserve">Documentati dagli studi:</w:t>
      </w:r>
    </w:p>
    <w:p>
      <w:pPr>
        <w:numPr>
          <w:ilvl w:val="0"/>
          <w:numId w:val="1081"/>
        </w:numPr>
        <w:pStyle w:val="Compact"/>
      </w:pPr>
      <w:r>
        <w:rPr>
          <w:bCs/>
          <w:b/>
        </w:rPr>
        <w:t xml:space="preserve">Disturbi gastrointestinali</w:t>
      </w:r>
      <w:r>
        <w:t xml:space="preserve"> </w:t>
      </w:r>
      <w:r>
        <w:t xml:space="preserve">– nausea, vomito, diarrea, stitichezza, dolori addominali – hanno riguardato in REDEFINE 1 il 79,6% con CagriSema rispetto al 39,9% con placebo; erano per lo più transitori e da lievi a moderati</w:t>
      </w:r>
      <w:r>
        <w:rPr>
          <w:rStyle w:val="FootnoteReference"/>
        </w:rPr>
        <w:footnoteReference w:id="678"/>
      </w:r>
      <w:r>
        <w:t xml:space="preserve">. In REDEFINE 2 erano il 72,5% rispetto al 34,4%</w:t>
      </w:r>
      <w:r>
        <w:rPr>
          <w:rStyle w:val="FootnoteReference"/>
        </w:rPr>
        <w:footnoteReference w:id="679"/>
      </w:r>
      <w:r>
        <w:t xml:space="preserve">.</w:t>
      </w:r>
    </w:p>
    <w:p>
      <w:pPr>
        <w:numPr>
          <w:ilvl w:val="0"/>
          <w:numId w:val="1081"/>
        </w:numPr>
        <w:pStyle w:val="Compact"/>
      </w:pPr>
      <w:r>
        <w:rPr>
          <w:bCs/>
          <w:b/>
        </w:rPr>
        <w:t xml:space="preserve">Ipoglicemia:</w:t>
      </w:r>
      <w:r>
        <w:t xml:space="preserve"> </w:t>
      </w:r>
      <w:r>
        <w:t xml:space="preserve">in REIMAGINE 3, nonostante il contemporaneo trattamento insulinico, non si sono verificate ipoglicemie gravi</w:t>
      </w:r>
      <w:r>
        <w:rPr>
          <w:rStyle w:val="FootnoteReference"/>
        </w:rPr>
        <w:footnoteReference w:id="680"/>
      </w:r>
      <w:r>
        <w:t xml:space="preserve">. In combinazione con insulina o sulfoniluree il rischio rimane però in linea di principio.</w:t>
      </w:r>
    </w:p>
    <w:p>
      <w:pPr>
        <w:numPr>
          <w:ilvl w:val="0"/>
          <w:numId w:val="1081"/>
        </w:numPr>
        <w:pStyle w:val="Compact"/>
      </w:pPr>
      <w:r>
        <w:rPr>
          <w:bCs/>
          <w:b/>
        </w:rPr>
        <w:t xml:space="preserve">Ritmo cardiaco:</w:t>
      </w:r>
      <w:r>
        <w:t xml:space="preserve"> </w:t>
      </w:r>
      <w:r>
        <w:t xml:space="preserve">in uno studio dedicato con 105 persone sane cagrilintide non ha prolungato l’intervallo QT all’ECG in misura clinicamente rilevante</w:t>
      </w:r>
      <w:r>
        <w:rPr>
          <w:rStyle w:val="FootnoteReference"/>
        </w:rPr>
        <w:footnoteReference w:id="681"/>
      </w:r>
      <w:r>
        <w:t xml:space="preserve">.</w:t>
      </w:r>
    </w:p>
    <w:p>
      <w:pPr>
        <w:numPr>
          <w:ilvl w:val="0"/>
          <w:numId w:val="1081"/>
        </w:numPr>
        <w:pStyle w:val="Compact"/>
      </w:pPr>
      <w:r>
        <w:rPr>
          <w:bCs/>
          <w:b/>
        </w:rPr>
        <w:t xml:space="preserve">Funzione renale ed epatica:</w:t>
      </w:r>
      <w:r>
        <w:t xml:space="preserve"> </w:t>
      </w:r>
      <w:r>
        <w:t xml:space="preserve">i livelli ematici di cagrilintide non si sono modificati sostanzialmente in caso di ridotta funzione renale o epatica</w:t>
      </w:r>
      <w:r>
        <w:rPr>
          <w:rStyle w:val="FootnoteReference"/>
        </w:rPr>
        <w:footnoteReference w:id="682"/>
      </w:r>
      <w:r>
        <w:t xml:space="preserve">.</w:t>
      </w:r>
    </w:p>
    <w:p>
      <w:pPr>
        <w:pStyle w:val="FirstParagraph"/>
      </w:pPr>
      <w:r>
        <w:rPr>
          <w:bCs/>
          <w:b/>
        </w:rPr>
        <w:t xml:space="preserve">Teorici o ancora non sufficientemente studiati:</w:t>
      </w:r>
      <w:r>
        <w:t xml:space="preserve"> </w:t>
      </w:r>
      <w:r>
        <w:t xml:space="preserve">il recettore della calcitonina è presente anche nelle ossa; come la stimolazione continua influisca sul metabolismo osseo è attualmente oggetto di studio</w:t>
      </w:r>
      <w:r>
        <w:rPr>
          <w:rStyle w:val="FootnoteReference"/>
        </w:rPr>
        <w:footnoteReference w:id="683"/>
      </w:r>
      <w:r>
        <w:t xml:space="preserve">. Altrettanto non chiarito è se la combinazione influenzi la perdita di massa muscolare</w:t>
      </w:r>
      <w:r>
        <w:rPr>
          <w:rStyle w:val="FootnoteReference"/>
        </w:rPr>
        <w:footnoteReference w:id="684"/>
      </w:r>
      <w:r>
        <w:t xml:space="preserve">. Per i rischi di classe di semaglutide (colecisti, pancreas, cellule C della tiroide negli esperimenti sugli animali) si veda il capitolo Semaglutide.</w:t>
      </w:r>
    </w:p>
    <w:bookmarkEnd w:id="685"/>
    <w:bookmarkStart w:id="686" w:name="quadro-normativo-8"/>
    <w:p>
      <w:pPr>
        <w:pStyle w:val="Heading3"/>
      </w:pPr>
      <w:r>
        <w:t xml:space="preserve">Quadro normativo</w:t>
      </w:r>
    </w:p>
    <w:p>
      <w:pPr>
        <w:numPr>
          <w:ilvl w:val="0"/>
          <w:numId w:val="1082"/>
        </w:numPr>
        <w:pStyle w:val="Compact"/>
      </w:pPr>
      <w:r>
        <w:rPr>
          <w:bCs/>
          <w:b/>
        </w:rPr>
        <w:t xml:space="preserve">UE / Austria / Germania:</w:t>
      </w:r>
      <w:r>
        <w:t xml:space="preserve"> </w:t>
      </w:r>
      <w:r>
        <w:t xml:space="preserve">né cagrilintide né CagriSema sono autorizzati; uso solo negli studi. Le offerte di «Cagrilintide» sul mercato grigio non sono medicinali e non sono verificate.</w:t>
      </w:r>
    </w:p>
    <w:p>
      <w:pPr>
        <w:numPr>
          <w:ilvl w:val="0"/>
          <w:numId w:val="1082"/>
        </w:numPr>
        <w:pStyle w:val="Compact"/>
      </w:pPr>
      <w:r>
        <w:rPr>
          <w:bCs/>
          <w:b/>
        </w:rPr>
        <w:t xml:space="preserve">USA:</w:t>
      </w:r>
      <w:r>
        <w:t xml:space="preserve"> </w:t>
      </w:r>
      <w:r>
        <w:t xml:space="preserve">non autorizzato (aggiornato a ottobre 2026, da verificare).</w:t>
      </w:r>
    </w:p>
    <w:p>
      <w:pPr>
        <w:numPr>
          <w:ilvl w:val="0"/>
          <w:numId w:val="1082"/>
        </w:numPr>
        <w:pStyle w:val="Compact"/>
      </w:pPr>
      <w:r>
        <w:rPr>
          <w:bCs/>
          <w:b/>
        </w:rPr>
        <w:t xml:space="preserve">Sport:</w:t>
      </w:r>
      <w:r>
        <w:t xml:space="preserve"> </w:t>
      </w:r>
      <w:r>
        <w:t xml:space="preserve">classe WADA S0 (non approvata), aggiornato al 2026, da verificare.</w:t>
      </w:r>
    </w:p>
    <w:bookmarkEnd w:id="686"/>
    <w:bookmarkStart w:id="697" w:name="studi-in-corso-e-prospettive-8"/>
    <w:p>
      <w:pPr>
        <w:pStyle w:val="Heading3"/>
      </w:pPr>
      <w:r>
        <w:t xml:space="preserve">Studi in corso e prospettive</w:t>
      </w:r>
    </w:p>
    <w:p>
      <w:pPr>
        <w:pStyle w:val="FirstParagraph"/>
      </w:pPr>
      <w:r>
        <w:rPr>
          <w:bCs/>
          <w:b/>
        </w:rPr>
        <w:t xml:space="preserve">Certo (studi registrati, aggiornato a ottobre 2026):</w:t>
      </w:r>
    </w:p>
    <w:p>
      <w:pPr>
        <w:numPr>
          <w:ilvl w:val="0"/>
          <w:numId w:val="1083"/>
        </w:numPr>
        <w:pStyle w:val="Compact"/>
      </w:pPr>
      <w:r>
        <w:rPr>
          <w:bCs/>
          <w:b/>
        </w:rPr>
        <w:t xml:space="preserve">REDEFINE 3</w:t>
      </w:r>
      <w:r>
        <w:rPr>
          <w:rStyle w:val="FootnoteReference"/>
        </w:rPr>
        <w:footnoteReference w:id="687"/>
      </w:r>
      <w:r>
        <w:t xml:space="preserve">: studio sugli esiti cardiovascolari con 7.076 persone randomizzate con malattia cardiovascolare accertata e sovrappeso; conclusione prevista nel 2027. Disegno e dati iniziali sono pubblicati</w:t>
      </w:r>
      <w:r>
        <w:rPr>
          <w:rStyle w:val="FootnoteReference"/>
        </w:rPr>
        <w:footnoteReference w:id="688"/>
      </w:r>
      <w:r>
        <w:t xml:space="preserve">.</w:t>
      </w:r>
    </w:p>
    <w:p>
      <w:pPr>
        <w:numPr>
          <w:ilvl w:val="0"/>
          <w:numId w:val="1083"/>
        </w:numPr>
        <w:pStyle w:val="Compact"/>
      </w:pPr>
      <w:r>
        <w:rPr>
          <w:bCs/>
          <w:b/>
        </w:rPr>
        <w:t xml:space="preserve">Confronti con tirzepatide</w:t>
      </w:r>
      <w:r>
        <w:rPr>
          <w:rStyle w:val="FootnoteReference"/>
        </w:rPr>
        <w:footnoteReference w:id="689"/>
      </w:r>
      <w:r>
        <w:t xml:space="preserve">: conclusi, pubblicazione in attesa.</w:t>
      </w:r>
    </w:p>
    <w:p>
      <w:pPr>
        <w:numPr>
          <w:ilvl w:val="0"/>
          <w:numId w:val="1083"/>
        </w:numPr>
        <w:pStyle w:val="Compact"/>
      </w:pPr>
      <w:r>
        <w:rPr>
          <w:bCs/>
          <w:b/>
        </w:rPr>
        <w:t xml:space="preserve">Dosi più alte di CagriSema</w:t>
      </w:r>
      <w:r>
        <w:t xml:space="preserve"> </w:t>
      </w:r>
      <w:r>
        <w:t xml:space="preserve">contro semaglutide</w:t>
      </w:r>
      <w:r>
        <w:rPr>
          <w:rStyle w:val="FootnoteReference"/>
        </w:rPr>
        <w:footnoteReference w:id="690"/>
      </w:r>
      <w:r>
        <w:t xml:space="preserve"> </w:t>
      </w:r>
      <w:r>
        <w:t xml:space="preserve">e studio a lungo termine sul mantenimento del peso</w:t>
      </w:r>
      <w:r>
        <w:rPr>
          <w:rStyle w:val="FootnoteReference"/>
        </w:rPr>
        <w:footnoteReference w:id="691"/>
      </w:r>
      <w:r>
        <w:t xml:space="preserve">.</w:t>
      </w:r>
    </w:p>
    <w:p>
      <w:pPr>
        <w:numPr>
          <w:ilvl w:val="0"/>
          <w:numId w:val="1083"/>
        </w:numPr>
        <w:pStyle w:val="Compact"/>
      </w:pPr>
      <w:r>
        <w:rPr>
          <w:bCs/>
          <w:b/>
        </w:rPr>
        <w:t xml:space="preserve">Bambini e adolescenti</w:t>
      </w:r>
      <w:r>
        <w:rPr>
          <w:rStyle w:val="FootnoteReference"/>
        </w:rPr>
        <w:footnoteReference w:id="692"/>
      </w:r>
      <w:r>
        <w:t xml:space="preserve"> </w:t>
      </w:r>
      <w:r>
        <w:t xml:space="preserve">e cagrilintide da solo</w:t>
      </w:r>
      <w:r>
        <w:rPr>
          <w:rStyle w:val="FootnoteReference"/>
        </w:rPr>
        <w:footnoteReference w:id="693"/>
      </w:r>
      <w:r>
        <w:t xml:space="preserve">.</w:t>
      </w:r>
    </w:p>
    <w:p>
      <w:pPr>
        <w:numPr>
          <w:ilvl w:val="0"/>
          <w:numId w:val="1083"/>
        </w:numPr>
        <w:pStyle w:val="Compact"/>
      </w:pPr>
      <w:r>
        <w:t xml:space="preserve">Studi più piccoli su ossa</w:t>
      </w:r>
      <w:r>
        <w:rPr>
          <w:rStyle w:val="FootnoteReference"/>
        </w:rPr>
        <w:footnoteReference w:id="694"/>
      </w:r>
      <w:r>
        <w:t xml:space="preserve">, muscoli</w:t>
      </w:r>
      <w:r>
        <w:rPr>
          <w:rStyle w:val="FootnoteReference"/>
        </w:rPr>
        <w:footnoteReference w:id="695"/>
      </w:r>
      <w:r>
        <w:t xml:space="preserve"> </w:t>
      </w:r>
      <w:r>
        <w:t xml:space="preserve">e persone che non tollerano i farmaci GLP-1</w:t>
      </w:r>
      <w:r>
        <w:rPr>
          <w:rStyle w:val="FootnoteReference"/>
        </w:rPr>
        <w:footnoteReference w:id="696"/>
      </w:r>
      <w:r>
        <w:t xml:space="preserve">.</w:t>
      </w:r>
    </w:p>
    <w:p>
      <w:pPr>
        <w:pStyle w:val="FirstParagraph"/>
      </w:pPr>
      <w:r>
        <w:rPr>
          <w:bCs/>
          <w:b/>
        </w:rPr>
        <w:t xml:space="preserve">Valutazione:</w:t>
      </w:r>
      <w:r>
        <w:t xml:space="preserve"> </w:t>
      </w:r>
      <w:r>
        <w:t xml:space="preserve">CagriSema dovrebbe arrivare sul mercato come prima combinazione amilina-GLP-1. Se si affermerà contro tirzepatide e i tripli agonisti in arrivo dipende dagli studi di confronto e dalla tollerabilità. L’aspetto scientificamente più interessante è l’ampliamento degli strumenti disponibili: dopo GLP-1, GIP e glucagone, l’amilina è la quarta via ormonale sfruttata per il trattamento dell’obesità (si veda anche Amycretin).</w:t>
      </w:r>
    </w:p>
    <w:bookmarkEnd w:id="697"/>
    <w:bookmarkStart w:id="698" w:name="conclusione-8"/>
    <w:p>
      <w:pPr>
        <w:pStyle w:val="Heading3"/>
      </w:pPr>
      <w:r>
        <w:t xml:space="preserve">Conclusione</w:t>
      </w:r>
    </w:p>
    <w:p>
      <w:pPr>
        <w:pStyle w:val="FirstParagraph"/>
      </w:pPr>
      <w:r>
        <w:t xml:space="preserve">Cagrilintide è un analogo dell’amilina a lunga durata d’azione che da solo ha ridotto il peso in fase 2 fino al 10,8%. In combinazione con semaglutide (CagriSema) ha raggiunto in REDEFINE 1 una perdita di peso del 20,4% dopo 68 settimane e in Asia orientale è risultato nettamente superiore a semaglutide da solo (18,4% vs. 11,9%). I disturbi gastrointestinali riguardano circa quattro trattati su cinque. CagriSema non è ancora autorizzato; mancano dati sugli eventi cardiovascolari e sul confronto diretto con tirzepatide.</w:t>
      </w:r>
    </w:p>
    <w:bookmarkEnd w:id="698"/>
    <w:bookmarkEnd w:id="699"/>
    <w:bookmarkStart w:id="728" w:name="amycretin-zenagamtide"/>
    <w:p>
      <w:pPr>
        <w:pStyle w:val="Heading2"/>
      </w:pPr>
      <w:r>
        <w:t xml:space="preserve">Amycretin (zenagamtide)</w:t>
      </w:r>
    </w:p>
    <w:bookmarkStart w:id="700" w:name="scheda-9"/>
    <w:p>
      <w:pPr>
        <w:pStyle w:val="Heading3"/>
      </w:pPr>
      <w:r>
        <w:t xml:space="preserve">Scheda</w:t>
      </w:r>
    </w:p>
    <w:p>
      <w:pPr>
        <w:numPr>
          <w:ilvl w:val="0"/>
          <w:numId w:val="1084"/>
        </w:numPr>
        <w:pStyle w:val="Compact"/>
      </w:pPr>
      <w:r>
        <w:rPr>
          <w:bCs/>
          <w:b/>
        </w:rPr>
        <w:t xml:space="preserve">Tipo/struttura:</w:t>
      </w:r>
      <w:r>
        <w:t xml:space="preserve"> </w:t>
      </w:r>
      <w:r>
        <w:t xml:space="preserve">peptide sintetico che riunisce in un’unica molecola l’effetto GLP-1 e quello dell’amilina («unimolecolare»). Dal 2026 porta la denominazione comune internazionale</w:t>
      </w:r>
      <w:r>
        <w:t xml:space="preserve"> </w:t>
      </w:r>
      <w:r>
        <w:rPr>
          <w:bCs/>
          <w:b/>
        </w:rPr>
        <w:t xml:space="preserve">zenagamtide</w:t>
      </w:r>
      <w:r>
        <w:t xml:space="preserve"> </w:t>
      </w:r>
      <w:r>
        <w:t xml:space="preserve">(in inglese zenagamtide); codice di sviluppo NNC0487-0111. Viene sviluppato in due forme: come iniezione settimanale e come compressa giornaliera.</w:t>
      </w:r>
    </w:p>
    <w:p>
      <w:pPr>
        <w:numPr>
          <w:ilvl w:val="0"/>
          <w:numId w:val="1084"/>
        </w:numPr>
        <w:pStyle w:val="Compact"/>
      </w:pPr>
      <w:r>
        <w:rPr>
          <w:bCs/>
          <w:b/>
        </w:rPr>
        <w:t xml:space="preserve">Origine:</w:t>
      </w:r>
      <w:r>
        <w:t xml:space="preserve"> </w:t>
      </w:r>
      <w:r>
        <w:t xml:space="preserve">sviluppato da Novo Nordisk.</w:t>
      </w:r>
    </w:p>
    <w:p>
      <w:pPr>
        <w:numPr>
          <w:ilvl w:val="0"/>
          <w:numId w:val="1084"/>
        </w:numPr>
        <w:pStyle w:val="Compact"/>
      </w:pPr>
      <w:r>
        <w:rPr>
          <w:bCs/>
          <w:b/>
        </w:rPr>
        <w:t xml:space="preserve">Principio d’azione:</w:t>
      </w:r>
      <w:r>
        <w:t xml:space="preserve"> </w:t>
      </w:r>
      <w:r>
        <w:t xml:space="preserve">agonista dei recettori del GLP-1, dell’amilina e della calcitonina.</w:t>
      </w:r>
    </w:p>
    <w:p>
      <w:pPr>
        <w:numPr>
          <w:ilvl w:val="0"/>
          <w:numId w:val="1084"/>
        </w:numPr>
        <w:pStyle w:val="Compact"/>
      </w:pPr>
      <w:r>
        <w:rPr>
          <w:bCs/>
          <w:b/>
        </w:rPr>
        <w:t xml:space="preserve">Autorizzazione UE:</w:t>
      </w:r>
      <w:r>
        <w:t xml:space="preserve"> </w:t>
      </w:r>
      <w:r>
        <w:t xml:space="preserve">no.</w:t>
      </w:r>
    </w:p>
    <w:p>
      <w:pPr>
        <w:numPr>
          <w:ilvl w:val="0"/>
          <w:numId w:val="1084"/>
        </w:numPr>
        <w:pStyle w:val="Compact"/>
      </w:pPr>
      <w:r>
        <w:rPr>
          <w:bCs/>
          <w:b/>
        </w:rPr>
        <w:t xml:space="preserve">Autorizzazione USA:</w:t>
      </w:r>
      <w:r>
        <w:t xml:space="preserve"> </w:t>
      </w:r>
      <w:r>
        <w:t xml:space="preserve">no.</w:t>
      </w:r>
    </w:p>
    <w:p>
      <w:pPr>
        <w:numPr>
          <w:ilvl w:val="0"/>
          <w:numId w:val="1084"/>
        </w:numPr>
        <w:pStyle w:val="Compact"/>
      </w:pPr>
      <w:r>
        <w:rPr>
          <w:bCs/>
          <w:b/>
        </w:rPr>
        <w:t xml:space="preserve">WADA:</w:t>
      </w:r>
      <w:r>
        <w:t xml:space="preserve"> </w:t>
      </w:r>
      <w:r>
        <w:t xml:space="preserve">in quanto sostanza non approvata, vietata in base alla classe S0.</w:t>
      </w:r>
    </w:p>
    <w:p>
      <w:pPr>
        <w:numPr>
          <w:ilvl w:val="0"/>
          <w:numId w:val="1084"/>
        </w:numPr>
        <w:pStyle w:val="Compact"/>
      </w:pPr>
      <w:r>
        <w:rPr>
          <w:bCs/>
          <w:b/>
        </w:rPr>
        <w:t xml:space="preserve">Livello di evidenza:</w:t>
      </w:r>
      <w:r>
        <w:t xml:space="preserve"> </w:t>
      </w:r>
      <w:r>
        <w:rPr>
          <w:bCs/>
          <w:b/>
        </w:rPr>
        <w:t xml:space="preserve">B</w:t>
      </w:r>
      <w:r>
        <w:t xml:space="preserve"> </w:t>
      </w:r>
      <w:r>
        <w:t xml:space="preserve">– pubblicati studi randomizzati di fase 1 e fase 2; la fase 3 è iniziata nel 2026.</w:t>
      </w:r>
    </w:p>
    <w:bookmarkEnd w:id="700"/>
    <w:bookmarkStart w:id="702" w:name="come-dovrebbe-agire-9"/>
    <w:p>
      <w:pPr>
        <w:pStyle w:val="Heading3"/>
      </w:pPr>
      <w:r>
        <w:t xml:space="preserve">Come dovrebbe agire</w:t>
      </w:r>
    </w:p>
    <w:p>
      <w:pPr>
        <w:pStyle w:val="FirstParagraph"/>
      </w:pPr>
      <w:r>
        <w:t xml:space="preserve">CagriSema (si veda il capitolo precedente) combina due principi attivi separati – l’analogo dell’amilina cagrilintide e l’agonista del GLP-1 semaglutide – in un’unica iniezione. Amycretin fa un passo in più: un solo peptide attiva entrambi i sistemi recettoriali. Questo semplifica produzione e dosaggio e consente in linea di principio una forma in compresse, come già esiste con semaglutide orale.</w:t>
      </w:r>
    </w:p>
    <w:p>
      <w:pPr>
        <w:pStyle w:val="BodyText"/>
      </w:pPr>
      <w:r>
        <w:t xml:space="preserve">GLP-1 e amilina favoriscono entrambi il senso di sazietà, rallentano lo svuotamento gastrico e attenuano la secrezione di glucagone, ma agiscono attraverso recettori e vie nervose diversi nel tronco encefalico. Negli esperimenti su cellule amycretin ha attivato i recettori umani, murini e di ratto del GLP-1, dell’amilina e della calcitonina. Nei ratti con obesità indotta dalla dieta ha ridotto in 21 giorni l’apporto energetico del 47% e il peso corporeo del 18%, mentre il dispendio energetico è rimasto invariato; la sensibilità all’insulina è migliorata e la steatosi epatica è diminuita</w:t>
      </w:r>
      <w:r>
        <w:rPr>
          <w:rStyle w:val="FootnoteReference"/>
        </w:rPr>
        <w:footnoteReference w:id="701"/>
      </w:r>
      <w:r>
        <w:t xml:space="preserve">. Sono dati su animali.</w:t>
      </w:r>
    </w:p>
    <w:bookmarkEnd w:id="702"/>
    <w:bookmarkStart w:id="710" w:name="studi-sulluomo-9"/>
    <w:p>
      <w:pPr>
        <w:pStyle w:val="Heading3"/>
      </w:pPr>
      <w:r>
        <w:t xml:space="preserve">Studi sull’uomo</w:t>
      </w:r>
    </w:p>
    <w:p>
      <w:pPr>
        <w:pStyle w:val="FirstParagraph"/>
      </w:pPr>
      <w:r>
        <w:rPr>
          <w:bCs/>
          <w:b/>
        </w:rPr>
        <w:t xml:space="preserve">Dimensioni della letteratura:</w:t>
      </w:r>
      <w:r>
        <w:t xml:space="preserve"> </w:t>
      </w:r>
      <w:r>
        <w:t xml:space="preserve">la ricerca automatizzata su PubMed (ottobre 2026) ha individuato 4 studi sull’uomo. La ricerca automatica nel registro con il nome «amycretin» ha trovato una sola voce; con il nuovo nome zenagamtide e il codice di sviluppo NNC0487-0111 risultano però registrati su ClinicalTrials.gov circa 30 studi, tra cui il programma di fase 3 avviato nel 2026</w:t>
      </w:r>
      <w:r>
        <w:t xml:space="preserve"> </w:t>
      </w:r>
      <w:r>
        <w:rPr>
          <w:bCs/>
          <w:b/>
        </w:rPr>
        <w:t xml:space="preserve">AMAZE</w:t>
      </w:r>
      <w:r>
        <w:t xml:space="preserve"> </w:t>
      </w:r>
      <w:r>
        <w:t xml:space="preserve">(peso) e</w:t>
      </w:r>
      <w:r>
        <w:t xml:space="preserve"> </w:t>
      </w:r>
      <w:r>
        <w:rPr>
          <w:bCs/>
          <w:b/>
        </w:rPr>
        <w:t xml:space="preserve">AMBITION</w:t>
      </w:r>
      <w:r>
        <w:t xml:space="preserve"> </w:t>
      </w:r>
      <w:r>
        <w:t xml:space="preserve">(diabete di tipo 2).</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Fase 1, compressa (Gasiorek 2025), PMID 40550229</w:t>
            </w:r>
          </w:p>
        </w:tc>
        <w:tc>
          <w:tcPr/>
          <w:p>
            <w:pPr>
              <w:pStyle w:val="Compact"/>
              <w:jc w:val="left"/>
            </w:pPr>
            <w:r>
              <w:t xml:space="preserve">144 adulti con sovrappeso/obesità, contro placebo</w:t>
            </w:r>
          </w:p>
        </w:tc>
        <w:tc>
          <w:tcPr/>
          <w:p>
            <w:pPr>
              <w:pStyle w:val="Compact"/>
              <w:jc w:val="left"/>
            </w:pPr>
            <w:r>
              <w:t xml:space="preserve">fino a 12 settimane</w:t>
            </w:r>
          </w:p>
        </w:tc>
        <w:tc>
          <w:tcPr/>
          <w:p>
            <w:pPr>
              <w:pStyle w:val="Compact"/>
              <w:jc w:val="left"/>
            </w:pPr>
            <w:r>
              <w:t xml:space="preserve">sicurezza; effetti collaterali dose-dipendenti, tutti da lievi a moderati</w:t>
            </w:r>
          </w:p>
        </w:tc>
      </w:tr>
      <w:tr>
        <w:tc>
          <w:tcPr/>
          <w:p>
            <w:pPr>
              <w:pStyle w:val="Compact"/>
              <w:jc w:val="left"/>
            </w:pPr>
            <w:r>
              <w:t xml:space="preserve">Fase 1b/2a, iniezione (Dahl 2025), PMID 40550231</w:t>
            </w:r>
          </w:p>
        </w:tc>
        <w:tc>
          <w:tcPr/>
          <w:p>
            <w:pPr>
              <w:pStyle w:val="Compact"/>
              <w:jc w:val="left"/>
            </w:pPr>
            <w:r>
              <w:t xml:space="preserve">125 adulti con sovrappeso/obesità, contro placebo</w:t>
            </w:r>
          </w:p>
        </w:tc>
        <w:tc>
          <w:tcPr/>
          <w:p>
            <w:pPr>
              <w:pStyle w:val="Compact"/>
              <w:jc w:val="left"/>
            </w:pPr>
            <w:r>
              <w:t xml:space="preserve">fino a 36 settimane</w:t>
            </w:r>
          </w:p>
        </w:tc>
        <w:tc>
          <w:tcPr/>
          <w:p>
            <w:pPr>
              <w:pStyle w:val="Compact"/>
              <w:jc w:val="left"/>
            </w:pPr>
            <w:r>
              <w:t xml:space="preserve">fino a −24,3% di peso vs. −1,1%</w:t>
            </w:r>
          </w:p>
        </w:tc>
      </w:tr>
      <w:tr>
        <w:tc>
          <w:tcPr/>
          <w:p>
            <w:pPr>
              <w:pStyle w:val="Compact"/>
              <w:jc w:val="left"/>
            </w:pPr>
            <w:r>
              <w:t xml:space="preserve">Fase 2, compressa (Mora 2026), PMID 42532079</w:t>
            </w:r>
          </w:p>
        </w:tc>
        <w:tc>
          <w:tcPr/>
          <w:p>
            <w:pPr>
              <w:pStyle w:val="Compact"/>
              <w:jc w:val="left"/>
            </w:pPr>
            <w:r>
              <w:t xml:space="preserve">186 adulti con diabete di tipo 2, contro placebo</w:t>
            </w:r>
          </w:p>
        </w:tc>
        <w:tc>
          <w:tcPr/>
          <w:p>
            <w:pPr>
              <w:pStyle w:val="Compact"/>
              <w:jc w:val="left"/>
            </w:pPr>
            <w:r>
              <w:t xml:space="preserve">36 settimane</w:t>
            </w:r>
          </w:p>
        </w:tc>
        <w:tc>
          <w:tcPr/>
          <w:p>
            <w:pPr>
              <w:pStyle w:val="Compact"/>
              <w:jc w:val="left"/>
            </w:pPr>
            <w:r>
              <w:t xml:space="preserve">HbA1c da −0,9 a −1,4</w:t>
            </w:r>
          </w:p>
        </w:tc>
      </w:tr>
      <w:tr>
        <w:tc>
          <w:tcPr/>
          <w:p>
            <w:pPr>
              <w:pStyle w:val="Compact"/>
              <w:jc w:val="left"/>
            </w:pPr>
            <w:r>
              <w:t xml:space="preserve">Fase 2, iniezione (Mora 2026), PMID 42532080</w:t>
            </w:r>
          </w:p>
        </w:tc>
        <w:tc>
          <w:tcPr/>
          <w:p>
            <w:pPr>
              <w:pStyle w:val="Compact"/>
              <w:jc w:val="left"/>
            </w:pPr>
            <w:r>
              <w:t xml:space="preserve">262 adulti con diabete di tipo 2, contro placebo</w:t>
            </w:r>
          </w:p>
        </w:tc>
        <w:tc>
          <w:tcPr/>
          <w:p>
            <w:pPr>
              <w:pStyle w:val="Compact"/>
              <w:jc w:val="left"/>
            </w:pPr>
            <w:r>
              <w:t xml:space="preserve">36 settimane</w:t>
            </w:r>
          </w:p>
        </w:tc>
        <w:tc>
          <w:tcPr/>
          <w:p>
            <w:pPr>
              <w:pStyle w:val="Compact"/>
              <w:jc w:val="left"/>
            </w:pPr>
            <w:r>
              <w:t xml:space="preserve">HbA1c da −0,9 a −1,7</w:t>
            </w:r>
          </w:p>
        </w:tc>
      </w:tr>
    </w:tbl>
    <w:bookmarkStart w:id="704" w:name="forma-in-compresse-primo-studio-sulluomo"/>
    <w:p>
      <w:pPr>
        <w:pStyle w:val="Heading4"/>
      </w:pPr>
      <w:r>
        <w:t xml:space="preserve">Forma in compresse: primo studio sull’uomo</w:t>
      </w:r>
    </w:p>
    <w:p>
      <w:pPr>
        <w:pStyle w:val="FirstParagraph"/>
      </w:pPr>
      <w:r>
        <w:t xml:space="preserve">Il primo studio sull’uomo ha valutato amycretin in compresse</w:t>
      </w:r>
      <w:r>
        <w:rPr>
          <w:rStyle w:val="FootnoteReference"/>
        </w:rPr>
        <w:footnoteReference w:id="703"/>
      </w:r>
      <w:r>
        <w:t xml:space="preserve">. 144 adulti con sovrappeso o obesità hanno ricevuto dosi singole o multiple per un massimo di dodici settimane. Il 62% ha riferito almeno un evento avverso; tutti erano lievi o moderati e aumentavano con la dose. Circa la metà degli eventi riguardava il tratto gastrointestinale. I livelli ematici aumentavano in proporzione alla dose. I dati sul peso erano solo un endpoint secondario ed esplorativo di questo studio di sicurezza.</w:t>
      </w:r>
    </w:p>
    <w:bookmarkEnd w:id="704"/>
    <w:bookmarkStart w:id="706" w:name="forma-iniettabile-fase-1b2a"/>
    <w:p>
      <w:pPr>
        <w:pStyle w:val="Heading4"/>
      </w:pPr>
      <w:r>
        <w:t xml:space="preserve">Forma iniettabile: fase 1b/2a</w:t>
      </w:r>
    </w:p>
    <w:p>
      <w:pPr>
        <w:pStyle w:val="FirstParagraph"/>
      </w:pPr>
      <w:r>
        <w:t xml:space="preserve">Nello studio con l’iniezione settimanale</w:t>
      </w:r>
      <w:r>
        <w:rPr>
          <w:rStyle w:val="FootnoteReference"/>
        </w:rPr>
        <w:footnoteReference w:id="705"/>
      </w:r>
      <w:r>
        <w:t xml:space="preserve"> </w:t>
      </w:r>
      <w:r>
        <w:t xml:space="preserve">125 persone hanno ricevuto amycretin o placebo in diverse parti dello studio con dosi target e durate di trattamento differenti. La perdita di peso è stata notevole per uno studio precoce:</w:t>
      </w:r>
    </w:p>
    <w:p>
      <w:pPr>
        <w:numPr>
          <w:ilvl w:val="0"/>
          <w:numId w:val="1085"/>
        </w:numPr>
        <w:pStyle w:val="Compact"/>
      </w:pPr>
      <w:r>
        <w:t xml:space="preserve">dose più alta, 36 settimane: −24,3% rispetto a −1,1% con il placebo</w:t>
      </w:r>
    </w:p>
    <w:p>
      <w:pPr>
        <w:numPr>
          <w:ilvl w:val="0"/>
          <w:numId w:val="1085"/>
        </w:numPr>
        <w:pStyle w:val="Compact"/>
      </w:pPr>
      <w:r>
        <w:t xml:space="preserve">seconda dose più alta, 36 settimane: −22,0% rispetto a +1,9%</w:t>
      </w:r>
    </w:p>
    <w:p>
      <w:pPr>
        <w:numPr>
          <w:ilvl w:val="0"/>
          <w:numId w:val="1085"/>
        </w:numPr>
        <w:pStyle w:val="Compact"/>
      </w:pPr>
      <w:r>
        <w:t xml:space="preserve">dose intermedia, 28 settimane: −16,2% rispetto a +2,3%</w:t>
      </w:r>
    </w:p>
    <w:p>
      <w:pPr>
        <w:numPr>
          <w:ilvl w:val="0"/>
          <w:numId w:val="1085"/>
        </w:numPr>
        <w:pStyle w:val="Compact"/>
      </w:pPr>
      <w:r>
        <w:t xml:space="preserve">dose bassa, 20 settimane: −9,7% rispetto a +2,0%</w:t>
      </w:r>
    </w:p>
    <w:p>
      <w:pPr>
        <w:pStyle w:val="FirstParagraph"/>
      </w:pPr>
      <w:r>
        <w:t xml:space="preserve">Questi numeri vanno letti con cautela: i gruppi erano piccoli, lo studio si è svolto in un unico centro e gli autori stessi riferiscono che molti partecipanti hanno lasciato lo studio anticipatamente, in buona parte per motivi non legati agli effetti collaterali. Una perdita di peso superiore al 20% dopo 36 settimane è un segnale forte, ma non ancora una stima affidabile per l’uso su larga scala.</w:t>
      </w:r>
    </w:p>
    <w:bookmarkEnd w:id="706"/>
    <w:bookmarkStart w:id="709" w:name="diabete-di-tipo-2-due-studi-di-fase-2"/>
    <w:p>
      <w:pPr>
        <w:pStyle w:val="Heading4"/>
      </w:pPr>
      <w:r>
        <w:t xml:space="preserve">Diabete di tipo 2: due studi di fase 2</w:t>
      </w:r>
    </w:p>
    <w:p>
      <w:pPr>
        <w:pStyle w:val="FirstParagraph"/>
      </w:pPr>
      <w:r>
        <w:t xml:space="preserve">Nel 2026 sono stati pubblicati due studi paralleli per la ricerca della dose in persone con diabete di tipo 2 che assumevano metformina (con o senza inibitori di SGLT2):</w:t>
      </w:r>
    </w:p>
    <w:p>
      <w:pPr>
        <w:numPr>
          <w:ilvl w:val="0"/>
          <w:numId w:val="1086"/>
        </w:numPr>
        <w:pStyle w:val="Compact"/>
      </w:pPr>
      <w:r>
        <w:rPr>
          <w:bCs/>
          <w:b/>
        </w:rPr>
        <w:t xml:space="preserve">Compressa</w:t>
      </w:r>
      <w:r>
        <w:rPr>
          <w:rStyle w:val="FootnoteReference"/>
        </w:rPr>
        <w:footnoteReference w:id="707"/>
      </w:r>
      <w:r>
        <w:t xml:space="preserve">: dopo 36 settimane l’HbA1c è diminuita di 0,9–1,4 punti percentuali (valore iniziale circa 8%). Disturbi gastrointestinali si sono verificati nel 26–47% (placebo 23%). Eventi avversi gravi hanno riguardato il 4% con zenagamtide e nessuno con il placebo.</w:t>
      </w:r>
    </w:p>
    <w:p>
      <w:pPr>
        <w:numPr>
          <w:ilvl w:val="0"/>
          <w:numId w:val="1086"/>
        </w:numPr>
        <w:pStyle w:val="Compact"/>
      </w:pPr>
      <w:r>
        <w:rPr>
          <w:bCs/>
          <w:b/>
        </w:rPr>
        <w:t xml:space="preserve">Iniezione</w:t>
      </w:r>
      <w:r>
        <w:rPr>
          <w:rStyle w:val="FootnoteReference"/>
        </w:rPr>
        <w:footnoteReference w:id="708"/>
      </w:r>
      <w:r>
        <w:t xml:space="preserve">: l’HbA1c è diminuita, a seconda della dose, di 0,9–1,7 punti percentuali. Eventi avversi gravi si sono verificati nell’8% dei partecipanti, distribuiti su tutti i gruppi di dose e sul placebo.</w:t>
      </w:r>
    </w:p>
    <w:p>
      <w:pPr>
        <w:pStyle w:val="FirstParagraph"/>
      </w:pPr>
      <w:r>
        <w:t xml:space="preserve">I risultati sul peso di questi studi sul diabete non sono quantificati negli abstract e per questo non vengono riportati qui.</w:t>
      </w:r>
    </w:p>
    <w:bookmarkEnd w:id="709"/>
    <w:bookmarkEnd w:id="710"/>
    <w:bookmarkStart w:id="712" w:name="studi-su-animali-e-in-laboratorio-9"/>
    <w:p>
      <w:pPr>
        <w:pStyle w:val="Heading3"/>
      </w:pPr>
      <w:r>
        <w:t xml:space="preserve">Studi su animali e in laboratorio</w:t>
      </w:r>
    </w:p>
    <w:p>
      <w:pPr>
        <w:pStyle w:val="FirstParagraph"/>
      </w:pPr>
      <w:r>
        <w:t xml:space="preserve">I dati preclinici provengono dal produttore</w:t>
      </w:r>
      <w:r>
        <w:rPr>
          <w:rStyle w:val="FootnoteReference"/>
        </w:rPr>
        <w:footnoteReference w:id="711"/>
      </w:r>
      <w:r>
        <w:t xml:space="preserve">: attivazione dei recettori in colture cellulari, perdita di peso e migliore sensibilità all’insulina in ratti obesi, minore steatosi epatica e un accumulo nelle regioni cerebrali che regolano l’appetito nei topi. Studi indipendenti sugli animali sono quasi assenti.</w:t>
      </w:r>
    </w:p>
    <w:bookmarkEnd w:id="712"/>
    <w:bookmarkStart w:id="717" w:name="rischi-ed-effetti-collaterali-9"/>
    <w:p>
      <w:pPr>
        <w:pStyle w:val="Heading3"/>
      </w:pPr>
      <w:r>
        <w:t xml:space="preserve">Rischi ed effetti collaterali</w:t>
      </w:r>
    </w:p>
    <w:p>
      <w:pPr>
        <w:pStyle w:val="FirstParagraph"/>
      </w:pPr>
      <w:r>
        <w:rPr>
          <w:bCs/>
          <w:b/>
        </w:rPr>
        <w:t xml:space="preserve">Documentati dagli studi:</w:t>
      </w:r>
    </w:p>
    <w:p>
      <w:pPr>
        <w:numPr>
          <w:ilvl w:val="0"/>
          <w:numId w:val="1087"/>
        </w:numPr>
        <w:pStyle w:val="Compact"/>
      </w:pPr>
      <w:r>
        <w:rPr>
          <w:bCs/>
          <w:b/>
        </w:rPr>
        <w:t xml:space="preserve">Disturbi gastrointestinali:</w:t>
      </w:r>
      <w:r>
        <w:t xml:space="preserve"> </w:t>
      </w:r>
      <w:r>
        <w:t xml:space="preserve">sono gli effetti collaterali più frequenti, nei primi studi nella maggioranza dei trattati; erano per lo più da lievi a moderati e dose-dipendenti</w:t>
      </w:r>
      <w:r>
        <w:rPr>
          <w:rStyle w:val="FootnoteReference"/>
        </w:rPr>
        <w:footnoteReference w:id="713"/>
      </w:r>
      <w:r>
        <w:t xml:space="preserve">.</w:t>
      </w:r>
    </w:p>
    <w:p>
      <w:pPr>
        <w:numPr>
          <w:ilvl w:val="0"/>
          <w:numId w:val="1087"/>
        </w:numPr>
        <w:pStyle w:val="Compact"/>
      </w:pPr>
      <w:r>
        <w:rPr>
          <w:bCs/>
          <w:b/>
        </w:rPr>
        <w:t xml:space="preserve">Eventi avversi gravi:</w:t>
      </w:r>
      <w:r>
        <w:t xml:space="preserve"> </w:t>
      </w:r>
      <w:r>
        <w:t xml:space="preserve">negli studi di fase 2 erano rari; nello studio con la compressa si sono verificati solo con zenagamtide (4% vs. 0%), nello studio con l’iniezione erano distribuiti in modo uniforme</w:t>
      </w:r>
      <w:r>
        <w:rPr>
          <w:rStyle w:val="FootnoteReference"/>
        </w:rPr>
        <w:footnoteReference w:id="714"/>
      </w:r>
      <w:r>
        <w:t xml:space="preserve">.</w:t>
      </w:r>
    </w:p>
    <w:p>
      <w:pPr>
        <w:numPr>
          <w:ilvl w:val="0"/>
          <w:numId w:val="1087"/>
        </w:numPr>
        <w:pStyle w:val="Compact"/>
      </w:pPr>
      <w:r>
        <w:rPr>
          <w:bCs/>
          <w:b/>
        </w:rPr>
        <w:t xml:space="preserve">Funzione renale:</w:t>
      </w:r>
      <w:r>
        <w:t xml:space="preserve"> </w:t>
      </w:r>
      <w:r>
        <w:t xml:space="preserve">in caso di ridotta funzione renale fino all’insufficienza renale terminale i livelli ematici dopo una dose singola non si sono modificati in modo clinicamente rilevante</w:t>
      </w:r>
      <w:r>
        <w:rPr>
          <w:rStyle w:val="FootnoteReference"/>
        </w:rPr>
        <w:footnoteReference w:id="715"/>
      </w:r>
      <w:r>
        <w:t xml:space="preserve">.</w:t>
      </w:r>
    </w:p>
    <w:p>
      <w:pPr>
        <w:pStyle w:val="FirstParagraph"/>
      </w:pPr>
      <w:r>
        <w:rPr>
          <w:bCs/>
          <w:b/>
        </w:rPr>
        <w:t xml:space="preserve">Ancora aperto:</w:t>
      </w:r>
      <w:r>
        <w:t xml:space="preserve"> </w:t>
      </w:r>
      <w:r>
        <w:t xml:space="preserve">sicurezza a lungo termine, effetti su ossa (recettore della calcitonina), massa muscolare e sistema cardiovascolare. Per i rischi di classe dei farmaci GLP-1 (colecisti, pancreas) ci sono ancora troppo pochi anni di trattamento.</w:t>
      </w:r>
    </w:p>
    <w:p>
      <w:pPr>
        <w:pStyle w:val="BodyText"/>
      </w:pPr>
      <w:r>
        <w:rPr>
          <w:bCs/>
          <w:b/>
        </w:rPr>
        <w:t xml:space="preserve">Mercato grigio:</w:t>
      </w:r>
      <w:r>
        <w:t xml:space="preserve"> </w:t>
      </w:r>
      <w:r>
        <w:t xml:space="preserve">già prima dell’inizio della fase 3 zenagamtide viene offerto su internet come «research peptide». Un articolo sulla rivista JAMA descrive un crescente mercato nero dei due principi attivi non autorizzati retatrutide e zenagamtide e i rischi connessi</w:t>
      </w:r>
      <w:r>
        <w:rPr>
          <w:rStyle w:val="FootnoteReference"/>
        </w:rPr>
        <w:footnoteReference w:id="716"/>
      </w:r>
      <w:r>
        <w:t xml:space="preserve">. Chi usa questi prodotti non ne conosce né il contenuto né la purezza né un dosaggio sperimentato (si vedano la Parte I e la Parte IV).</w:t>
      </w:r>
    </w:p>
    <w:bookmarkEnd w:id="717"/>
    <w:bookmarkStart w:id="718" w:name="quadro-normativo-9"/>
    <w:p>
      <w:pPr>
        <w:pStyle w:val="Heading3"/>
      </w:pPr>
      <w:r>
        <w:t xml:space="preserve">Quadro normativo</w:t>
      </w:r>
    </w:p>
    <w:p>
      <w:pPr>
        <w:numPr>
          <w:ilvl w:val="0"/>
          <w:numId w:val="1088"/>
        </w:numPr>
        <w:pStyle w:val="Compact"/>
      </w:pPr>
      <w:r>
        <w:rPr>
          <w:bCs/>
          <w:b/>
        </w:rPr>
        <w:t xml:space="preserve">UE / Austria / Germania:</w:t>
      </w:r>
      <w:r>
        <w:t xml:space="preserve"> </w:t>
      </w:r>
      <w:r>
        <w:t xml:space="preserve">non autorizzato; uso solo in studi clinici.</w:t>
      </w:r>
    </w:p>
    <w:p>
      <w:pPr>
        <w:numPr>
          <w:ilvl w:val="0"/>
          <w:numId w:val="1088"/>
        </w:numPr>
        <w:pStyle w:val="Compact"/>
      </w:pPr>
      <w:r>
        <w:rPr>
          <w:bCs/>
          <w:b/>
        </w:rPr>
        <w:t xml:space="preserve">USA:</w:t>
      </w:r>
      <w:r>
        <w:t xml:space="preserve"> </w:t>
      </w:r>
      <w:r>
        <w:t xml:space="preserve">non autorizzato.</w:t>
      </w:r>
    </w:p>
    <w:p>
      <w:pPr>
        <w:numPr>
          <w:ilvl w:val="0"/>
          <w:numId w:val="1088"/>
        </w:numPr>
        <w:pStyle w:val="Compact"/>
      </w:pPr>
      <w:r>
        <w:rPr>
          <w:bCs/>
          <w:b/>
        </w:rPr>
        <w:t xml:space="preserve">Sport:</w:t>
      </w:r>
      <w:r>
        <w:t xml:space="preserve"> </w:t>
      </w:r>
      <w:r>
        <w:t xml:space="preserve">classe WADA S0 (sostanza non approvata), aggiornato al 2026, da verificare.</w:t>
      </w:r>
    </w:p>
    <w:bookmarkEnd w:id="718"/>
    <w:bookmarkStart w:id="726" w:name="studi-in-corso-e-prospettive-9"/>
    <w:p>
      <w:pPr>
        <w:pStyle w:val="Heading3"/>
      </w:pPr>
      <w:r>
        <w:t xml:space="preserve">Studi in corso e prospettive</w:t>
      </w:r>
    </w:p>
    <w:p>
      <w:pPr>
        <w:pStyle w:val="FirstParagraph"/>
      </w:pPr>
      <w:r>
        <w:rPr>
          <w:bCs/>
          <w:b/>
        </w:rPr>
        <w:t xml:space="preserve">Certo (studi registrati, aggiornato a ottobre 2026):</w:t>
      </w:r>
    </w:p>
    <w:p>
      <w:pPr>
        <w:numPr>
          <w:ilvl w:val="0"/>
          <w:numId w:val="1089"/>
        </w:numPr>
        <w:pStyle w:val="Compact"/>
      </w:pPr>
      <w:r>
        <w:rPr>
          <w:bCs/>
          <w:b/>
        </w:rPr>
        <w:t xml:space="preserve">AMAZE 1</w:t>
      </w:r>
      <w:r>
        <w:rPr>
          <w:rStyle w:val="FootnoteReference"/>
        </w:rPr>
        <w:footnoteReference w:id="719"/>
      </w:r>
      <w:r>
        <w:t xml:space="preserve">: fase 3 con 1.150 adulti con sovrappeso/obesità, forma iniettabile.</w:t>
      </w:r>
    </w:p>
    <w:p>
      <w:pPr>
        <w:numPr>
          <w:ilvl w:val="0"/>
          <w:numId w:val="1089"/>
        </w:numPr>
        <w:pStyle w:val="Compact"/>
      </w:pPr>
      <w:r>
        <w:rPr>
          <w:bCs/>
          <w:b/>
        </w:rPr>
        <w:t xml:space="preserve">AMAZE 2</w:t>
      </w:r>
      <w:r>
        <w:rPr>
          <w:rStyle w:val="FootnoteReference"/>
        </w:rPr>
        <w:footnoteReference w:id="720"/>
      </w:r>
      <w:r>
        <w:t xml:space="preserve">: sovrappeso con diabete di tipo 2.</w:t>
      </w:r>
    </w:p>
    <w:p>
      <w:pPr>
        <w:numPr>
          <w:ilvl w:val="0"/>
          <w:numId w:val="1089"/>
        </w:numPr>
        <w:pStyle w:val="Compact"/>
      </w:pPr>
      <w:r>
        <w:rPr>
          <w:bCs/>
          <w:b/>
        </w:rPr>
        <w:t xml:space="preserve">AMAZE 3 e 4</w:t>
      </w:r>
      <w:r>
        <w:rPr>
          <w:rStyle w:val="FootnoteReference"/>
        </w:rPr>
        <w:footnoteReference w:id="721"/>
      </w:r>
      <w:r>
        <w:t xml:space="preserve">: apnea del sonno senza e con terapia con maschera respiratoria.</w:t>
      </w:r>
    </w:p>
    <w:p>
      <w:pPr>
        <w:numPr>
          <w:ilvl w:val="0"/>
          <w:numId w:val="1089"/>
        </w:numPr>
        <w:pStyle w:val="Compact"/>
      </w:pPr>
      <w:r>
        <w:rPr>
          <w:bCs/>
          <w:b/>
        </w:rPr>
        <w:t xml:space="preserve">AMAZE 6</w:t>
      </w:r>
      <w:r>
        <w:rPr>
          <w:rStyle w:val="FootnoteReference"/>
        </w:rPr>
        <w:footnoteReference w:id="722"/>
      </w:r>
      <w:r>
        <w:t xml:space="preserve"> </w:t>
      </w:r>
      <w:r>
        <w:t xml:space="preserve">e un altro studio</w:t>
      </w:r>
      <w:r>
        <w:rPr>
          <w:rStyle w:val="FootnoteReference"/>
        </w:rPr>
        <w:footnoteReference w:id="723"/>
      </w:r>
      <w:r>
        <w:t xml:space="preserve">: artrosi del ginocchio.</w:t>
      </w:r>
    </w:p>
    <w:p>
      <w:pPr>
        <w:numPr>
          <w:ilvl w:val="0"/>
          <w:numId w:val="1089"/>
        </w:numPr>
        <w:pStyle w:val="Compact"/>
      </w:pPr>
      <w:r>
        <w:rPr>
          <w:bCs/>
          <w:b/>
        </w:rPr>
        <w:t xml:space="preserve">AMAZE 9</w:t>
      </w:r>
      <w:r>
        <w:rPr>
          <w:rStyle w:val="FootnoteReference"/>
        </w:rPr>
        <w:footnoteReference w:id="724"/>
      </w:r>
      <w:r>
        <w:t xml:space="preserve">: forma in compresse nel sovrappeso.</w:t>
      </w:r>
    </w:p>
    <w:p>
      <w:pPr>
        <w:numPr>
          <w:ilvl w:val="0"/>
          <w:numId w:val="1089"/>
        </w:numPr>
        <w:pStyle w:val="Compact"/>
      </w:pPr>
      <w:r>
        <w:rPr>
          <w:bCs/>
          <w:b/>
        </w:rPr>
        <w:t xml:space="preserve">AMAZE 12</w:t>
      </w:r>
      <w:r>
        <w:rPr>
          <w:rStyle w:val="FootnoteReference"/>
        </w:rPr>
        <w:footnoteReference w:id="725"/>
      </w:r>
      <w:r>
        <w:t xml:space="preserve">: mantenimento del peso dopo il calo.</w:t>
      </w:r>
    </w:p>
    <w:p>
      <w:pPr>
        <w:numPr>
          <w:ilvl w:val="0"/>
          <w:numId w:val="1089"/>
        </w:numPr>
        <w:pStyle w:val="Compact"/>
      </w:pPr>
      <w:r>
        <w:t xml:space="preserve">Confronto con semaglutide (NCT07668414; nel diabete di tipo 2 NCT07400107) e con insulina glargine nel diabete di tipo 2 (NCT07797335, AMBITION 7).</w:t>
      </w:r>
    </w:p>
    <w:p>
      <w:pPr>
        <w:numPr>
          <w:ilvl w:val="0"/>
          <w:numId w:val="1089"/>
        </w:numPr>
        <w:pStyle w:val="Compact"/>
      </w:pPr>
      <w:r>
        <w:t xml:space="preserve">Studi sugli esiti: insufficienza cardiaca con obesità (NCT07567001, 5.610 partecipanti) ed eventi cardiovascolari nell’aterosclerosi (NCT07861100, 8.500 partecipanti previsti).</w:t>
      </w:r>
    </w:p>
    <w:p>
      <w:pPr>
        <w:pStyle w:val="FirstParagraph"/>
      </w:pPr>
      <w:r>
        <w:rPr>
          <w:bCs/>
          <w:b/>
        </w:rPr>
        <w:t xml:space="preserve">Valutazione:</w:t>
      </w:r>
      <w:r>
        <w:t xml:space="preserve"> </w:t>
      </w:r>
      <w:r>
        <w:t xml:space="preserve">con questo ampio programma di fase 3 Novo Nordisk punta chiaramente a fare di amycretin/zenagamtide il successore di semaglutide. I risultati dei primi studi di fase 3 sono attesi non prima del 2027, un’autorizzazione difficilmente prima del 2028. Se i numeri impressionanti del piccolo studio di fase 1b/2a reggeranno in grandi studi è una questione aperta.</w:t>
      </w:r>
    </w:p>
    <w:bookmarkEnd w:id="726"/>
    <w:bookmarkStart w:id="727" w:name="conclusione-9"/>
    <w:p>
      <w:pPr>
        <w:pStyle w:val="Heading3"/>
      </w:pPr>
      <w:r>
        <w:t xml:space="preserve">Conclusione</w:t>
      </w:r>
    </w:p>
    <w:p>
      <w:pPr>
        <w:pStyle w:val="FirstParagraph"/>
      </w:pPr>
      <w:r>
        <w:t xml:space="preserve">Amycretin – dal 2026 zenagamtide – è un unico peptide che attiva contemporaneamente i recettori del GLP-1 e dell’amilina e viene sviluppato come iniezione e come compressa. In un piccolo studio di fase 1b/2a il peso è diminuito dopo 36 settimane fino al 24,3%; negli studi di fase 2 sul diabete di tipo 2 l’HbA1c è diminuita fino a 1,7 punti percentuali. Gli effetti collaterali più frequenti riguardano il tratto gastrointestinale. Gli studi di fase 3 sono iniziati nel 2026; fino a un’eventuale autorizzazione zenagamtide è un farmaco puramente sperimentale, e i prodotti del mercato grigio non sono un sostituto.</w:t>
      </w:r>
    </w:p>
    <w:bookmarkEnd w:id="727"/>
    <w:bookmarkEnd w:id="728"/>
    <w:bookmarkStart w:id="760" w:name="maridebart-cafraglutide-maritide"/>
    <w:p>
      <w:pPr>
        <w:pStyle w:val="Heading2"/>
      </w:pPr>
      <w:r>
        <w:t xml:space="preserve">Maridebart cafraglutide (MariTide)</w:t>
      </w:r>
    </w:p>
    <w:bookmarkStart w:id="729" w:name="scheda-10"/>
    <w:p>
      <w:pPr>
        <w:pStyle w:val="Heading3"/>
      </w:pPr>
      <w:r>
        <w:t xml:space="preserve">Scheda</w:t>
      </w:r>
    </w:p>
    <w:p>
      <w:pPr>
        <w:numPr>
          <w:ilvl w:val="0"/>
          <w:numId w:val="1090"/>
        </w:numPr>
        <w:pStyle w:val="Compact"/>
      </w:pPr>
      <w:r>
        <w:rPr>
          <w:bCs/>
          <w:b/>
        </w:rPr>
        <w:t xml:space="preserve">Tipo/struttura:</w:t>
      </w:r>
      <w:r>
        <w:t xml:space="preserve"> </w:t>
      </w:r>
      <w:r>
        <w:t xml:space="preserve">un cosiddetto coniugato anticorpo-peptide. Un anticorpo monoclonale completamente umano è collegato, tramite brevi segmenti di aminoacidi, a due peptidi simili al GLP-1. A rigore MariTide non è quindi un peptide puro, ma un ibrido di anticorpo e peptide. Codice di sviluppo AMG 133, nome breve MariTide.</w:t>
      </w:r>
    </w:p>
    <w:p>
      <w:pPr>
        <w:numPr>
          <w:ilvl w:val="0"/>
          <w:numId w:val="1090"/>
        </w:numPr>
        <w:pStyle w:val="Compact"/>
      </w:pPr>
      <w:r>
        <w:rPr>
          <w:bCs/>
          <w:b/>
        </w:rPr>
        <w:t xml:space="preserve">Origine:</w:t>
      </w:r>
      <w:r>
        <w:t xml:space="preserve"> </w:t>
      </w:r>
      <w:r>
        <w:t xml:space="preserve">sviluppato da Amgen.</w:t>
      </w:r>
    </w:p>
    <w:p>
      <w:pPr>
        <w:numPr>
          <w:ilvl w:val="0"/>
          <w:numId w:val="1090"/>
        </w:numPr>
        <w:pStyle w:val="Compact"/>
      </w:pPr>
      <w:r>
        <w:rPr>
          <w:bCs/>
          <w:b/>
        </w:rPr>
        <w:t xml:space="preserve">Principio d’azione:</w:t>
      </w:r>
      <w:r>
        <w:t xml:space="preserve"> </w:t>
      </w:r>
      <w:r>
        <w:t xml:space="preserve">la componente GLP-1</w:t>
      </w:r>
      <w:r>
        <w:t xml:space="preserve"> </w:t>
      </w:r>
      <w:r>
        <w:rPr>
          <w:bCs/>
          <w:b/>
        </w:rPr>
        <w:t xml:space="preserve">attiva</w:t>
      </w:r>
      <w:r>
        <w:t xml:space="preserve"> </w:t>
      </w:r>
      <w:r>
        <w:t xml:space="preserve">il recettore del GLP-1, l’anticorpo</w:t>
      </w:r>
      <w:r>
        <w:t xml:space="preserve"> </w:t>
      </w:r>
      <w:r>
        <w:rPr>
          <w:bCs/>
          <w:b/>
        </w:rPr>
        <w:t xml:space="preserve">blocca</w:t>
      </w:r>
      <w:r>
        <w:t xml:space="preserve"> </w:t>
      </w:r>
      <w:r>
        <w:t xml:space="preserve">il recettore del GIP (antagonista del GIPR). È l’opposto di tirzepatide, che attiva il recettore del GIP.</w:t>
      </w:r>
    </w:p>
    <w:p>
      <w:pPr>
        <w:numPr>
          <w:ilvl w:val="0"/>
          <w:numId w:val="1090"/>
        </w:numPr>
        <w:pStyle w:val="Compact"/>
      </w:pPr>
      <w:r>
        <w:rPr>
          <w:bCs/>
          <w:b/>
        </w:rPr>
        <w:t xml:space="preserve">Particolarità:</w:t>
      </w:r>
      <w:r>
        <w:t xml:space="preserve"> </w:t>
      </w:r>
      <w:r>
        <w:t xml:space="preserve">grazie alla componente anticorpale MariTide agisce molto a lungo; viene studiata una somministrazione ogni quattro settimane o meno frequente.</w:t>
      </w:r>
    </w:p>
    <w:p>
      <w:pPr>
        <w:numPr>
          <w:ilvl w:val="0"/>
          <w:numId w:val="1090"/>
        </w:numPr>
        <w:pStyle w:val="Compact"/>
      </w:pPr>
      <w:r>
        <w:rPr>
          <w:bCs/>
          <w:b/>
        </w:rPr>
        <w:t xml:space="preserve">Autorizzazione UE / USA:</w:t>
      </w:r>
      <w:r>
        <w:t xml:space="preserve"> </w:t>
      </w:r>
      <w:r>
        <w:t xml:space="preserve">no (aggiornato a ottobre 2026).</w:t>
      </w:r>
    </w:p>
    <w:p>
      <w:pPr>
        <w:numPr>
          <w:ilvl w:val="0"/>
          <w:numId w:val="1090"/>
        </w:numPr>
        <w:pStyle w:val="Compact"/>
      </w:pPr>
      <w:r>
        <w:rPr>
          <w:bCs/>
          <w:b/>
        </w:rPr>
        <w:t xml:space="preserve">WADA:</w:t>
      </w:r>
      <w:r>
        <w:t xml:space="preserve"> </w:t>
      </w:r>
      <w:r>
        <w:t xml:space="preserve">in quanto sostanza non approvata, vietata in base alla classe S0.</w:t>
      </w:r>
    </w:p>
    <w:p>
      <w:pPr>
        <w:numPr>
          <w:ilvl w:val="0"/>
          <w:numId w:val="1090"/>
        </w:numPr>
        <w:pStyle w:val="Compact"/>
      </w:pPr>
      <w:r>
        <w:rPr>
          <w:bCs/>
          <w:b/>
        </w:rPr>
        <w:t xml:space="preserve">Livello di evidenza:</w:t>
      </w:r>
      <w:r>
        <w:t xml:space="preserve"> </w:t>
      </w:r>
      <w:r>
        <w:rPr>
          <w:bCs/>
          <w:b/>
        </w:rPr>
        <w:t xml:space="preserve">B</w:t>
      </w:r>
      <w:r>
        <w:t xml:space="preserve"> </w:t>
      </w:r>
      <w:r>
        <w:t xml:space="preserve">– un grande studio randomizzato di fase 2, fase 3 in corso.</w:t>
      </w:r>
    </w:p>
    <w:bookmarkEnd w:id="729"/>
    <w:bookmarkStart w:id="733" w:name="come-dovrebbe-agire-10"/>
    <w:p>
      <w:pPr>
        <w:pStyle w:val="Heading3"/>
      </w:pPr>
      <w:r>
        <w:t xml:space="preserve">Come dovrebbe agire</w:t>
      </w:r>
    </w:p>
    <w:p>
      <w:pPr>
        <w:pStyle w:val="FirstParagraph"/>
      </w:pPr>
      <w:r>
        <w:t xml:space="preserve">Con il GIP esiste un notevole paradosso. Tirzepatide</w:t>
      </w:r>
      <w:r>
        <w:t xml:space="preserve"> </w:t>
      </w:r>
      <w:r>
        <w:rPr>
          <w:iCs/>
          <w:i/>
        </w:rPr>
        <w:t xml:space="preserve">attiva</w:t>
      </w:r>
      <w:r>
        <w:t xml:space="preserve"> </w:t>
      </w:r>
      <w:r>
        <w:t xml:space="preserve">il recettore del GIP e, insieme al GLP-1, ottiene così una forte perdita di peso. Allo stesso tempo studi genetici ed esperimenti sui topi hanno mostrato che anche</w:t>
      </w:r>
      <w:r>
        <w:t xml:space="preserve"> </w:t>
      </w:r>
      <w:r>
        <w:rPr>
          <w:iCs/>
          <w:i/>
        </w:rPr>
        <w:t xml:space="preserve">bloccare</w:t>
      </w:r>
      <w:r>
        <w:t xml:space="preserve"> </w:t>
      </w:r>
      <w:r>
        <w:t xml:space="preserve">il recettore del GIP può proteggere dal sovrappeso. Una possibile spiegazione: un’attivazione continua del recettore porta la cellula a disattivarlo, e alla fine la situazione assomiglia a un blocco. La questione non è definitivamente chiarita; uno studio comparativo sui topi ha rilevato che entrambi gli approcci riducevano in caso di sovrappeso l’assunzione di cibo e il peso, ma differivano negli effetti metabolici: l’agonista del GIP migliorava la tolleranza al glucosio, l’antagonista tendeva invece a ridurre la sensibilità all’insulina</w:t>
      </w:r>
      <w:r>
        <w:rPr>
          <w:rStyle w:val="FootnoteReference"/>
        </w:rPr>
        <w:footnoteReference w:id="730"/>
      </w:r>
      <w:r>
        <w:t xml:space="preserve">.</w:t>
      </w:r>
    </w:p>
    <w:p>
      <w:pPr>
        <w:pStyle w:val="BodyText"/>
      </w:pPr>
      <w:r>
        <w:t xml:space="preserve">Amgen punta sul blocco. L’anticorpo contro il recettore del GIP fa sì al tempo stesso che la molecola resti molto a lungo nel sangue: gli anticorpi vengono degradati lentamente. Nei topi e nelle scimmie obesi AMG 133 ha ridotto il peso corporeo e migliorato i parametri metabolici</w:t>
      </w:r>
      <w:r>
        <w:rPr>
          <w:rStyle w:val="FootnoteReference"/>
        </w:rPr>
        <w:footnoteReference w:id="731"/>
      </w:r>
      <w:r>
        <w:t xml:space="preserve">. Lo sviluppo chimico fino alla molecola definitiva è stato descritto nel 2026</w:t>
      </w:r>
      <w:r>
        <w:rPr>
          <w:rStyle w:val="FootnoteReference"/>
        </w:rPr>
        <w:footnoteReference w:id="732"/>
      </w:r>
      <w:r>
        <w:t xml:space="preserve">.</w:t>
      </w:r>
    </w:p>
    <w:bookmarkEnd w:id="733"/>
    <w:bookmarkStart w:id="738" w:name="studi-sulluomo-10"/>
    <w:p>
      <w:pPr>
        <w:pStyle w:val="Heading3"/>
      </w:pPr>
      <w:r>
        <w:t xml:space="preserve">Studi sull’uomo</w:t>
      </w:r>
    </w:p>
    <w:p>
      <w:pPr>
        <w:pStyle w:val="FirstParagraph"/>
      </w:pPr>
      <w:r>
        <w:rPr>
          <w:bCs/>
          <w:b/>
        </w:rPr>
        <w:t xml:space="preserve">Dimensioni della letteratura:</w:t>
      </w:r>
      <w:r>
        <w:t xml:space="preserve"> </w:t>
      </w:r>
      <w:r>
        <w:t xml:space="preserve">la ricerca automatizzata su PubMed (ottobre 2026) ha individuato 2 studi sull’uomo: uno di fase 1 e uno di fase 2. Su ClinicalTrials.gov risultavano registrati 28 studi, tra cui il programma di fase 3</w:t>
      </w:r>
      <w:r>
        <w:t xml:space="preserve"> </w:t>
      </w:r>
      <w:r>
        <w:rPr>
          <w:bCs/>
          <w:b/>
        </w:rPr>
        <w:t xml:space="preserve">MARITIME</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Fase 1 (Véniant 2024), PMID 38316982</w:t>
            </w:r>
          </w:p>
        </w:tc>
        <w:tc>
          <w:tcPr/>
          <w:p>
            <w:pPr>
              <w:pStyle w:val="Compact"/>
              <w:jc w:val="left"/>
            </w:pPr>
            <w:r>
              <w:t xml:space="preserve">adulti con obesità, dosi singole e multiple contro placebo</w:t>
            </w:r>
          </w:p>
        </w:tc>
        <w:tc>
          <w:tcPr/>
          <w:p>
            <w:pPr>
              <w:pStyle w:val="Compact"/>
              <w:jc w:val="left"/>
            </w:pPr>
            <w:r>
              <w:t xml:space="preserve">somministrazione singola e multipla con follow-up</w:t>
            </w:r>
          </w:p>
        </w:tc>
        <w:tc>
          <w:tcPr/>
          <w:p>
            <w:pPr>
              <w:pStyle w:val="Compact"/>
              <w:jc w:val="left"/>
            </w:pPr>
            <w:r>
              <w:t xml:space="preserve">perdita di peso dose-dipendente, persistente fino a 150 giorni dopo l’ultima dose</w:t>
            </w:r>
          </w:p>
        </w:tc>
      </w:tr>
      <w:tr>
        <w:tc>
          <w:tcPr/>
          <w:p>
            <w:pPr>
              <w:pStyle w:val="Compact"/>
              <w:jc w:val="left"/>
            </w:pPr>
            <w:r>
              <w:t xml:space="preserve">Fase 2 (Jastreboff 2025), PMID 40549887</w:t>
            </w:r>
          </w:p>
        </w:tc>
        <w:tc>
          <w:tcPr/>
          <w:p>
            <w:pPr>
              <w:pStyle w:val="Compact"/>
              <w:jc w:val="left"/>
            </w:pPr>
            <w:r>
              <w:t xml:space="preserve">592 adulti con obesità, con o senza diabete di tipo 2; contro placebo</w:t>
            </w:r>
          </w:p>
        </w:tc>
        <w:tc>
          <w:tcPr/>
          <w:p>
            <w:pPr>
              <w:pStyle w:val="Compact"/>
              <w:jc w:val="left"/>
            </w:pPr>
            <w:r>
              <w:t xml:space="preserve">52 settimane</w:t>
            </w:r>
          </w:p>
        </w:tc>
        <w:tc>
          <w:tcPr/>
          <w:p>
            <w:pPr>
              <w:pStyle w:val="Compact"/>
              <w:jc w:val="left"/>
            </w:pPr>
            <w:r>
              <w:t xml:space="preserve">senza diabete da −12,3 a −16,2% vs. −2,5%; con diabete da −8,4 a −12,3% vs. −1,7%</w:t>
            </w:r>
          </w:p>
        </w:tc>
      </w:tr>
    </w:tbl>
    <w:bookmarkStart w:id="735" w:name="fase-1"/>
    <w:p>
      <w:pPr>
        <w:pStyle w:val="Heading4"/>
      </w:pPr>
      <w:r>
        <w:t xml:space="preserve">Fase 1</w:t>
      </w:r>
    </w:p>
    <w:p>
      <w:pPr>
        <w:pStyle w:val="FirstParagraph"/>
      </w:pPr>
      <w:r>
        <w:t xml:space="preserve">Nel primo studio sull’uomo</w:t>
      </w:r>
      <w:r>
        <w:rPr>
          <w:rStyle w:val="FootnoteReference"/>
        </w:rPr>
        <w:footnoteReference w:id="734"/>
      </w:r>
      <w:r>
        <w:t xml:space="preserve"> </w:t>
      </w:r>
      <w:r>
        <w:t xml:space="preserve">AMG 133 ha mostrato una perdita di peso dose-dipendente con una tollerabilità accettabile. Colpiva la lunga durata d’azione: nei gruppi con somministrazione multipla la perdita di peso è persistita fino a 150 giorni dopo l’ultima dose.</w:t>
      </w:r>
    </w:p>
    <w:bookmarkEnd w:id="735"/>
    <w:bookmarkStart w:id="737" w:name="fase-2"/>
    <w:p>
      <w:pPr>
        <w:pStyle w:val="Heading4"/>
      </w:pPr>
      <w:r>
        <w:t xml:space="preserve">Fase 2</w:t>
      </w:r>
    </w:p>
    <w:p>
      <w:pPr>
        <w:pStyle w:val="FirstParagraph"/>
      </w:pPr>
      <w:r>
        <w:t xml:space="preserve">Lo studio di fase 2</w:t>
      </w:r>
      <w:r>
        <w:rPr>
          <w:rStyle w:val="FootnoteReference"/>
        </w:rPr>
        <w:footnoteReference w:id="736"/>
      </w:r>
      <w:r>
        <w:t xml:space="preserve"> </w:t>
      </w:r>
      <w:r>
        <w:t xml:space="preserve">aveva un’impostazione ampia: undici gruppi in due coorti con dosi diverse, intervalli di somministrazione diversi (ogni quattro o otto settimane) e con o senza titolazione lenta.</w:t>
      </w:r>
    </w:p>
    <w:p>
      <w:pPr>
        <w:numPr>
          <w:ilvl w:val="0"/>
          <w:numId w:val="1091"/>
        </w:numPr>
        <w:pStyle w:val="Compact"/>
      </w:pPr>
      <w:r>
        <w:rPr>
          <w:bCs/>
          <w:b/>
        </w:rPr>
        <w:t xml:space="preserve">Senza diabete</w:t>
      </w:r>
      <w:r>
        <w:t xml:space="preserve"> </w:t>
      </w:r>
      <w:r>
        <w:t xml:space="preserve">(465 partecipanti, BMI medio 37,9): dopo 52 settimane la perdita di peso, a seconda del gruppo, era del 12,3–16,2%, con il placebo del 2,5%. Questa analisi considera tutti i partecipanti indipendentemente dalle interruzioni del trattamento.</w:t>
      </w:r>
    </w:p>
    <w:p>
      <w:pPr>
        <w:numPr>
          <w:ilvl w:val="0"/>
          <w:numId w:val="1091"/>
        </w:numPr>
        <w:pStyle w:val="Compact"/>
      </w:pPr>
      <w:r>
        <w:rPr>
          <w:bCs/>
          <w:b/>
        </w:rPr>
        <w:t xml:space="preserve">Con diabete di tipo 2</w:t>
      </w:r>
      <w:r>
        <w:t xml:space="preserve"> </w:t>
      </w:r>
      <w:r>
        <w:t xml:space="preserve">(127 partecipanti): perdita di peso dell’8,4–12,3% rispetto all’1,7%; l’HbA1c è diminuita di 1,2–1,6 punti percentuali (placebo +0,1).</w:t>
      </w:r>
    </w:p>
    <w:p>
      <w:pPr>
        <w:pStyle w:val="FirstParagraph"/>
      </w:pPr>
      <w:r>
        <w:t xml:space="preserve">Gli effetti collaterali gastrointestinali erano frequenti, ma più rari quando si iniziava con una dose più bassa e la si aumentava lentamente. Secondo gli autori non sono emersi segnali di sicurezza inattesi. Una perdita di peso di circa il 16% dopo un anno è nell’ordine di semaglutide, ma inferiore a quella di tirzepatide. Il possibile vantaggio di MariTide è quindi meno l’entità del calo che la somministrazione poco frequente.</w:t>
      </w:r>
    </w:p>
    <w:bookmarkEnd w:id="737"/>
    <w:bookmarkEnd w:id="738"/>
    <w:bookmarkStart w:id="741" w:name="studi-su-animali-e-in-laboratorio-10"/>
    <w:p>
      <w:pPr>
        <w:pStyle w:val="Heading3"/>
      </w:pPr>
      <w:r>
        <w:t xml:space="preserve">Studi su animali e in laboratorio</w:t>
      </w:r>
    </w:p>
    <w:p>
      <w:pPr>
        <w:pStyle w:val="FirstParagraph"/>
      </w:pPr>
      <w:r>
        <w:t xml:space="preserve">In sistemi cellulari è stato confermato che AMG 133 blocca il recettore del GIP e attiva il recettore del GLP-1. Nei topi obesi e nei macachi cinomolghi ha ridotto il peso corporeo e migliorato i marcatori metabolici</w:t>
      </w:r>
      <w:r>
        <w:rPr>
          <w:rStyle w:val="FootnoteReference"/>
        </w:rPr>
        <w:footnoteReference w:id="739"/>
      </w:r>
      <w:r>
        <w:t xml:space="preserve">. Studi comparativi sui topi tra blocco e attivazione del GIP mostrano effetti diversi su sensibilità all’insulina e tessuto adiposo</w:t>
      </w:r>
      <w:r>
        <w:rPr>
          <w:rStyle w:val="FootnoteReference"/>
        </w:rPr>
        <w:footnoteReference w:id="740"/>
      </w:r>
      <w:r>
        <w:t xml:space="preserve">. Tutti questi risultati provengono da esperimenti sugli animali.</w:t>
      </w:r>
    </w:p>
    <w:bookmarkEnd w:id="741"/>
    <w:bookmarkStart w:id="745" w:name="rischi-ed-effetti-collaterali-10"/>
    <w:p>
      <w:pPr>
        <w:pStyle w:val="Heading3"/>
      </w:pPr>
      <w:r>
        <w:t xml:space="preserve">Rischi ed effetti collaterali</w:t>
      </w:r>
    </w:p>
    <w:p>
      <w:pPr>
        <w:pStyle w:val="FirstParagraph"/>
      </w:pPr>
      <w:r>
        <w:rPr>
          <w:bCs/>
          <w:b/>
        </w:rPr>
        <w:t xml:space="preserve">Documentati dagli studi:</w:t>
      </w:r>
    </w:p>
    <w:p>
      <w:pPr>
        <w:numPr>
          <w:ilvl w:val="0"/>
          <w:numId w:val="1092"/>
        </w:numPr>
        <w:pStyle w:val="Compact"/>
      </w:pPr>
      <w:r>
        <w:rPr>
          <w:bCs/>
          <w:b/>
        </w:rPr>
        <w:t xml:space="preserve">Disturbi gastrointestinali</w:t>
      </w:r>
      <w:r>
        <w:t xml:space="preserve"> </w:t>
      </w:r>
      <w:r>
        <w:t xml:space="preserve">(nausea, vomito): erano frequenti nello studio di fase 2, soprattutto con una dose iniziale alta senza titolazione</w:t>
      </w:r>
      <w:r>
        <w:rPr>
          <w:rStyle w:val="FootnoteReference"/>
        </w:rPr>
        <w:footnoteReference w:id="742"/>
      </w:r>
      <w:r>
        <w:t xml:space="preserve">. L’abstract non riporta percentuali precise.</w:t>
      </w:r>
    </w:p>
    <w:p>
      <w:pPr>
        <w:pStyle w:val="FirstParagraph"/>
      </w:pPr>
      <w:r>
        <w:rPr>
          <w:bCs/>
          <w:b/>
        </w:rPr>
        <w:t xml:space="preserve">Domande aperte specifiche:</w:t>
      </w:r>
    </w:p>
    <w:p>
      <w:pPr>
        <w:numPr>
          <w:ilvl w:val="0"/>
          <w:numId w:val="1093"/>
        </w:numPr>
        <w:pStyle w:val="Compact"/>
      </w:pPr>
      <w:r>
        <w:rPr>
          <w:bCs/>
          <w:b/>
        </w:rPr>
        <w:t xml:space="preserve">Lunga durata d’azione:</w:t>
      </w:r>
      <w:r>
        <w:t xml:space="preserve"> </w:t>
      </w:r>
      <w:r>
        <w:t xml:space="preserve">ciò che per molti pazienti è considerato un vantaggio diventa uno svantaggio in caso di effetti collaterali: un farmaco che rimane nell’organismo per mesi non può essere sospeso rapidamente. Nello studio di fase 1 l’effetto è persistito fino a 150 giorni dopo l’ultima dose</w:t>
      </w:r>
      <w:r>
        <w:rPr>
          <w:rStyle w:val="FootnoteReference"/>
        </w:rPr>
        <w:footnoteReference w:id="743"/>
      </w:r>
      <w:r>
        <w:t xml:space="preserve">. Questo è rilevante per esempio in caso di gravidanza non pianificata o prima di interventi chirurgici.</w:t>
      </w:r>
    </w:p>
    <w:p>
      <w:pPr>
        <w:numPr>
          <w:ilvl w:val="0"/>
          <w:numId w:val="1093"/>
        </w:numPr>
        <w:pStyle w:val="Compact"/>
      </w:pPr>
      <w:r>
        <w:rPr>
          <w:bCs/>
          <w:b/>
        </w:rPr>
        <w:t xml:space="preserve">Blocco del GIP:</w:t>
      </w:r>
      <w:r>
        <w:t xml:space="preserve"> </w:t>
      </w:r>
      <w:r>
        <w:t xml:space="preserve">quali conseguenze a lungo termine abbia un blocco permanente del recettore del GIP – per esempio su ossa, tessuto adiposo o sensibilità all’insulina – non è noto nell’uomo. Negli studi sui topi un antagonista del GIP ha ridotto la sensibilità all’insulina rispetto ad animali di controllo con la stessa quantità di cibo</w:t>
      </w:r>
      <w:r>
        <w:rPr>
          <w:rStyle w:val="FootnoteReference"/>
        </w:rPr>
        <w:footnoteReference w:id="744"/>
      </w:r>
      <w:r>
        <w:t xml:space="preserve">.</w:t>
      </w:r>
    </w:p>
    <w:p>
      <w:pPr>
        <w:numPr>
          <w:ilvl w:val="0"/>
          <w:numId w:val="1093"/>
        </w:numPr>
        <w:pStyle w:val="Compact"/>
      </w:pPr>
      <w:r>
        <w:rPr>
          <w:bCs/>
          <w:b/>
        </w:rPr>
        <w:t xml:space="preserve">Formazione di anticorpi:</w:t>
      </w:r>
      <w:r>
        <w:t xml:space="preserve"> </w:t>
      </w:r>
      <w:r>
        <w:t xml:space="preserve">con i farmaci a base di anticorpi il sistema immunitario può sviluppare anticorpi contro il farmaco. I dati in merito da grandi studi sono ancora in attesa.</w:t>
      </w:r>
    </w:p>
    <w:p>
      <w:pPr>
        <w:numPr>
          <w:ilvl w:val="0"/>
          <w:numId w:val="1093"/>
        </w:numPr>
        <w:pStyle w:val="Compact"/>
      </w:pPr>
      <w:r>
        <w:t xml:space="preserve">I rischi di classe noti dei farmaci GLP-1 (colecisti, pancreas) non sono ancora stati studiati a sufficienza per MariTide.</w:t>
      </w:r>
    </w:p>
    <w:bookmarkEnd w:id="745"/>
    <w:bookmarkStart w:id="746" w:name="quadro-normativo-10"/>
    <w:p>
      <w:pPr>
        <w:pStyle w:val="Heading3"/>
      </w:pPr>
      <w:r>
        <w:t xml:space="preserve">Quadro normativo</w:t>
      </w:r>
    </w:p>
    <w:p>
      <w:pPr>
        <w:numPr>
          <w:ilvl w:val="0"/>
          <w:numId w:val="1094"/>
        </w:numPr>
        <w:pStyle w:val="Compact"/>
      </w:pPr>
      <w:r>
        <w:rPr>
          <w:bCs/>
          <w:b/>
        </w:rPr>
        <w:t xml:space="preserve">UE / Austria / Germania:</w:t>
      </w:r>
      <w:r>
        <w:t xml:space="preserve"> </w:t>
      </w:r>
      <w:r>
        <w:t xml:space="preserve">non autorizzato; uso solo in studi clinici. Trattandosi di un prodotto biotecnologico complesso, un’imitazione sul mercato grigio è molto più difficile che per i piccoli peptidi.</w:t>
      </w:r>
    </w:p>
    <w:p>
      <w:pPr>
        <w:numPr>
          <w:ilvl w:val="0"/>
          <w:numId w:val="1094"/>
        </w:numPr>
        <w:pStyle w:val="Compact"/>
      </w:pPr>
      <w:r>
        <w:rPr>
          <w:bCs/>
          <w:b/>
        </w:rPr>
        <w:t xml:space="preserve">USA:</w:t>
      </w:r>
      <w:r>
        <w:t xml:space="preserve"> </w:t>
      </w:r>
      <w:r>
        <w:t xml:space="preserve">non autorizzato.</w:t>
      </w:r>
    </w:p>
    <w:p>
      <w:pPr>
        <w:numPr>
          <w:ilvl w:val="0"/>
          <w:numId w:val="1094"/>
        </w:numPr>
        <w:pStyle w:val="Compact"/>
      </w:pPr>
      <w:r>
        <w:rPr>
          <w:bCs/>
          <w:b/>
        </w:rPr>
        <w:t xml:space="preserve">Sport:</w:t>
      </w:r>
      <w:r>
        <w:t xml:space="preserve"> </w:t>
      </w:r>
      <w:r>
        <w:t xml:space="preserve">classe WADA S0 (sostanza non approvata), aggiornato al 2026, da verificare.</w:t>
      </w:r>
    </w:p>
    <w:bookmarkEnd w:id="746"/>
    <w:bookmarkStart w:id="758" w:name="studi-in-corso-e-prospettive-10"/>
    <w:p>
      <w:pPr>
        <w:pStyle w:val="Heading3"/>
      </w:pPr>
      <w:r>
        <w:t xml:space="preserve">Studi in corso e prospettive</w:t>
      </w:r>
    </w:p>
    <w:p>
      <w:pPr>
        <w:pStyle w:val="FirstParagraph"/>
      </w:pPr>
      <w:r>
        <w:rPr>
          <w:bCs/>
          <w:b/>
        </w:rPr>
        <w:t xml:space="preserve">Certo (studi registrati, aggiornato a ottobre 2026):</w:t>
      </w:r>
    </w:p>
    <w:p>
      <w:pPr>
        <w:numPr>
          <w:ilvl w:val="0"/>
          <w:numId w:val="1095"/>
        </w:numPr>
        <w:pStyle w:val="Compact"/>
      </w:pPr>
      <w:r>
        <w:rPr>
          <w:bCs/>
          <w:b/>
        </w:rPr>
        <w:t xml:space="preserve">Gestione del peso senza diabete</w:t>
      </w:r>
      <w:r>
        <w:rPr>
          <w:rStyle w:val="FootnoteReference"/>
        </w:rPr>
        <w:footnoteReference w:id="747"/>
      </w:r>
      <w:r>
        <w:t xml:space="preserve">: fase 3 con 3.853 partecipanti, conclusione prevista nel 2027.</w:t>
      </w:r>
    </w:p>
    <w:p>
      <w:pPr>
        <w:numPr>
          <w:ilvl w:val="0"/>
          <w:numId w:val="1095"/>
        </w:numPr>
        <w:pStyle w:val="Compact"/>
      </w:pPr>
      <w:r>
        <w:rPr>
          <w:bCs/>
          <w:b/>
        </w:rPr>
        <w:t xml:space="preserve">Gestione del peso con diabete di tipo 2</w:t>
      </w:r>
      <w:r>
        <w:rPr>
          <w:rStyle w:val="FootnoteReference"/>
        </w:rPr>
        <w:footnoteReference w:id="748"/>
      </w:r>
      <w:r>
        <w:t xml:space="preserve">: fase 3 con 1.105 partecipanti.</w:t>
      </w:r>
    </w:p>
    <w:p>
      <w:pPr>
        <w:numPr>
          <w:ilvl w:val="0"/>
          <w:numId w:val="1095"/>
        </w:numPr>
        <w:pStyle w:val="Compact"/>
      </w:pPr>
      <w:r>
        <w:rPr>
          <w:bCs/>
          <w:b/>
        </w:rPr>
        <w:t xml:space="preserve">Studio sugli esiti cardiovascolari</w:t>
      </w:r>
      <w:r>
        <w:rPr>
          <w:rStyle w:val="FootnoteReference"/>
        </w:rPr>
        <w:footnoteReference w:id="749"/>
      </w:r>
      <w:r>
        <w:t xml:space="preserve"> </w:t>
      </w:r>
      <w:r>
        <w:t xml:space="preserve">con 12.800 partecipanti e</w:t>
      </w:r>
      <w:r>
        <w:t xml:space="preserve"> </w:t>
      </w:r>
      <w:r>
        <w:rPr>
          <w:bCs/>
          <w:b/>
        </w:rPr>
        <w:t xml:space="preserve">studio sull’insufficienza cardiaca</w:t>
      </w:r>
      <w:r>
        <w:rPr>
          <w:rStyle w:val="FootnoteReference"/>
        </w:rPr>
        <w:footnoteReference w:id="750"/>
      </w:r>
      <w:r>
        <w:t xml:space="preserve"> </w:t>
      </w:r>
      <w:r>
        <w:t xml:space="preserve">con 5.056 partecipanti, entrambi fino al 2030.</w:t>
      </w:r>
    </w:p>
    <w:p>
      <w:pPr>
        <w:numPr>
          <w:ilvl w:val="0"/>
          <w:numId w:val="1095"/>
        </w:numPr>
        <w:pStyle w:val="Compact"/>
      </w:pPr>
      <w:r>
        <w:rPr>
          <w:bCs/>
          <w:b/>
        </w:rPr>
        <w:t xml:space="preserve">Apnea del sonno</w:t>
      </w:r>
      <w:r>
        <w:t xml:space="preserve"> </w:t>
      </w:r>
      <w:r>
        <w:t xml:space="preserve">senza e con maschera respiratoria</w:t>
      </w:r>
      <w:r>
        <w:rPr>
          <w:rStyle w:val="FootnoteReference"/>
        </w:rPr>
        <w:footnoteReference w:id="751"/>
      </w:r>
      <w:r>
        <w:t xml:space="preserve">.</w:t>
      </w:r>
    </w:p>
    <w:p>
      <w:pPr>
        <w:numPr>
          <w:ilvl w:val="0"/>
          <w:numId w:val="1095"/>
        </w:numPr>
        <w:pStyle w:val="Compact"/>
      </w:pPr>
      <w:r>
        <w:rPr>
          <w:bCs/>
          <w:b/>
        </w:rPr>
        <w:t xml:space="preserve">Confronto con semaglutide</w:t>
      </w:r>
      <w:r>
        <w:t xml:space="preserve"> </w:t>
      </w:r>
      <w:r>
        <w:t xml:space="preserve">nel diabete di tipo 2</w:t>
      </w:r>
      <w:r>
        <w:rPr>
          <w:rStyle w:val="FootnoteReference"/>
        </w:rPr>
        <w:footnoteReference w:id="752"/>
      </w:r>
      <w:r>
        <w:t xml:space="preserve">, passaggio da altri farmaci GLP-1</w:t>
      </w:r>
      <w:r>
        <w:rPr>
          <w:rStyle w:val="FootnoteReference"/>
        </w:rPr>
        <w:footnoteReference w:id="753"/>
      </w:r>
      <w:r>
        <w:t xml:space="preserve">, Giappone</w:t>
      </w:r>
      <w:r>
        <w:rPr>
          <w:rStyle w:val="FootnoteReference"/>
        </w:rPr>
        <w:footnoteReference w:id="754"/>
      </w:r>
      <w:r>
        <w:t xml:space="preserve">, steatosi epatica (NCT07441252, fase 2).</w:t>
      </w:r>
    </w:p>
    <w:p>
      <w:pPr>
        <w:numPr>
          <w:ilvl w:val="0"/>
          <w:numId w:val="1095"/>
        </w:numPr>
        <w:pStyle w:val="Compact"/>
      </w:pPr>
      <w:r>
        <w:t xml:space="preserve">Studi di fase 1 su svuotamento gastrico</w:t>
      </w:r>
      <w:r>
        <w:rPr>
          <w:rStyle w:val="FootnoteReference"/>
        </w:rPr>
        <w:footnoteReference w:id="755"/>
      </w:r>
      <w:r>
        <w:t xml:space="preserve">, ritmo cardiaco</w:t>
      </w:r>
      <w:r>
        <w:rPr>
          <w:rStyle w:val="FootnoteReference"/>
        </w:rPr>
        <w:footnoteReference w:id="756"/>
      </w:r>
      <w:r>
        <w:t xml:space="preserve"> </w:t>
      </w:r>
      <w:r>
        <w:t xml:space="preserve">e interazioni con la pillola anticoncezionale</w:t>
      </w:r>
      <w:r>
        <w:rPr>
          <w:rStyle w:val="FootnoteReference"/>
        </w:rPr>
        <w:footnoteReference w:id="757"/>
      </w:r>
      <w:r>
        <w:t xml:space="preserve">.</w:t>
      </w:r>
    </w:p>
    <w:p>
      <w:pPr>
        <w:pStyle w:val="FirstParagraph"/>
      </w:pPr>
      <w:r>
        <w:rPr>
          <w:bCs/>
          <w:b/>
        </w:rPr>
        <w:t xml:space="preserve">Valutazione:</w:t>
      </w:r>
      <w:r>
        <w:t xml:space="preserve"> </w:t>
      </w:r>
      <w:r>
        <w:t xml:space="preserve">MariTide rappresenta un concetto diverso dalla famiglia di tirzepatide: meno iniezioni anziché la massima perdita di peso. Per le persone che necessitano di un trattamento continuativo, una somministrazione mensile o ancora meno frequente potrebbe migliorare l’aderenza alla terapia. Se il concetto del blocco del GIP sia sicuro a lungo termine dovranno dimostrarlo i grandi studi di fase 3. Un’autorizzazione è realistica non prima del 2028.</w:t>
      </w:r>
    </w:p>
    <w:bookmarkEnd w:id="758"/>
    <w:bookmarkStart w:id="759" w:name="conclusione-10"/>
    <w:p>
      <w:pPr>
        <w:pStyle w:val="Heading3"/>
      </w:pPr>
      <w:r>
        <w:t xml:space="preserve">Conclusione</w:t>
      </w:r>
    </w:p>
    <w:p>
      <w:pPr>
        <w:pStyle w:val="FirstParagraph"/>
      </w:pPr>
      <w:r>
        <w:t xml:space="preserve">Maridebart cafraglutide è un coniugato anticorpo-peptide che attiva il recettore del GLP-1 e blocca il recettore del GIP, e viene somministrato solo una volta al mese o meno spesso. Nello studio di fase 2 il peso corporeo è diminuito dopo 52 settimane fino al 16,2% senza diabete e fino al 12,3% con diabete di tipo 2. I disturbi gastrointestinali sono frequenti e dipendono fortemente dalla titolazione; la lunga durata d’azione è al tempo stesso un vantaggio e un rischio. Il programma di fase 3, con studi sugli esiti cardiovascolari e sull’insufficienza cardiaca, è in corso.</w:t>
      </w:r>
    </w:p>
    <w:bookmarkEnd w:id="759"/>
    <w:bookmarkEnd w:id="760"/>
    <w:bookmarkStart w:id="793" w:name="pramlintide"/>
    <w:p>
      <w:pPr>
        <w:pStyle w:val="Heading2"/>
      </w:pPr>
      <w:r>
        <w:t xml:space="preserve">Pramlintide</w:t>
      </w:r>
    </w:p>
    <w:bookmarkStart w:id="761" w:name="scheda-11"/>
    <w:p>
      <w:pPr>
        <w:pStyle w:val="Heading3"/>
      </w:pPr>
      <w:r>
        <w:t xml:space="preserve">Scheda</w:t>
      </w:r>
    </w:p>
    <w:p>
      <w:pPr>
        <w:numPr>
          <w:ilvl w:val="0"/>
          <w:numId w:val="1096"/>
        </w:numPr>
        <w:pStyle w:val="Compact"/>
      </w:pPr>
      <w:r>
        <w:rPr>
          <w:bCs/>
          <w:b/>
        </w:rPr>
        <w:t xml:space="preserve">Tipo/struttura:</w:t>
      </w:r>
      <w:r>
        <w:t xml:space="preserve"> </w:t>
      </w:r>
      <w:r>
        <w:t xml:space="preserve">analogo sintetico dell’ormone umano amilina, composto da 37 aminoacidi. In tre posizioni gli aminoacidi sono stati sostituiti (sul modello dell’amilina di ratto), in modo che la molecola non si aggreghi come l’amilina umana naturale. Agisce solo per breve tempo e viene iniettato prima dei pasti principali.</w:t>
      </w:r>
    </w:p>
    <w:p>
      <w:pPr>
        <w:numPr>
          <w:ilvl w:val="0"/>
          <w:numId w:val="1096"/>
        </w:numPr>
        <w:pStyle w:val="Compact"/>
      </w:pPr>
      <w:r>
        <w:rPr>
          <w:bCs/>
          <w:b/>
        </w:rPr>
        <w:t xml:space="preserve">Origine:</w:t>
      </w:r>
      <w:r>
        <w:t xml:space="preserve"> </w:t>
      </w:r>
      <w:r>
        <w:t xml:space="preserve">sviluppato da Amylin Pharmaceuticals; oggi fa parte del portafoglio di AstraZeneca. Nome commerciale negli USA: Symlin.</w:t>
      </w:r>
    </w:p>
    <w:p>
      <w:pPr>
        <w:numPr>
          <w:ilvl w:val="0"/>
          <w:numId w:val="1096"/>
        </w:numPr>
        <w:pStyle w:val="Compact"/>
      </w:pPr>
      <w:r>
        <w:rPr>
          <w:bCs/>
          <w:b/>
        </w:rPr>
        <w:t xml:space="preserve">Principio d’azione:</w:t>
      </w:r>
      <w:r>
        <w:t xml:space="preserve"> </w:t>
      </w:r>
      <w:r>
        <w:t xml:space="preserve">agonista dei recettori dell’amilina: rallenta lo svuotamento gastrico, attenua la secrezione di glucagone dopo i pasti e favorisce il senso di sazietà.</w:t>
      </w:r>
    </w:p>
    <w:p>
      <w:pPr>
        <w:numPr>
          <w:ilvl w:val="0"/>
          <w:numId w:val="1096"/>
        </w:numPr>
        <w:pStyle w:val="Compact"/>
      </w:pPr>
      <w:r>
        <w:rPr>
          <w:bCs/>
          <w:b/>
        </w:rPr>
        <w:t xml:space="preserve">Autorizzazione UE:</w:t>
      </w:r>
      <w:r>
        <w:t xml:space="preserve"> </w:t>
      </w:r>
      <w:r>
        <w:t xml:space="preserve">no – pramlintide non è mai stato autorizzato nell’UE.</w:t>
      </w:r>
    </w:p>
    <w:p>
      <w:pPr>
        <w:numPr>
          <w:ilvl w:val="0"/>
          <w:numId w:val="1096"/>
        </w:numPr>
        <w:pStyle w:val="Compact"/>
      </w:pPr>
      <w:r>
        <w:rPr>
          <w:bCs/>
          <w:b/>
        </w:rPr>
        <w:t xml:space="preserve">Autorizzazione USA:</w:t>
      </w:r>
      <w:r>
        <w:t xml:space="preserve"> </w:t>
      </w:r>
      <w:r>
        <w:t xml:space="preserve">sì, dal 2005 come aggiunta all’insulina prandiale nel diabete di tipo 1 e di tipo 2.</w:t>
      </w:r>
    </w:p>
    <w:p>
      <w:pPr>
        <w:numPr>
          <w:ilvl w:val="0"/>
          <w:numId w:val="1096"/>
        </w:numPr>
        <w:pStyle w:val="Compact"/>
      </w:pPr>
      <w:r>
        <w:rPr>
          <w:bCs/>
          <w:b/>
        </w:rPr>
        <w:t xml:space="preserve">WADA:</w:t>
      </w:r>
      <w:r>
        <w:t xml:space="preserve"> </w:t>
      </w:r>
      <w:r>
        <w:t xml:space="preserve">non elencato nominalmente; a causa dell’autorizzazione statunitense non rientra nella classe S0.</w:t>
      </w:r>
    </w:p>
    <w:p>
      <w:pPr>
        <w:numPr>
          <w:ilvl w:val="0"/>
          <w:numId w:val="1096"/>
        </w:numPr>
        <w:pStyle w:val="Compact"/>
      </w:pPr>
      <w:r>
        <w:rPr>
          <w:bCs/>
          <w:b/>
        </w:rPr>
        <w:t xml:space="preserve">Livello di evidenza:</w:t>
      </w:r>
      <w:r>
        <w:t xml:space="preserve"> </w:t>
      </w:r>
      <w:r>
        <w:rPr>
          <w:bCs/>
          <w:b/>
        </w:rPr>
        <w:t xml:space="preserve">A</w:t>
      </w:r>
      <w:r>
        <w:t xml:space="preserve"> </w:t>
      </w:r>
      <w:r>
        <w:t xml:space="preserve">– diversi grandi studi randomizzati, autorizzazione negli USA.</w:t>
      </w:r>
    </w:p>
    <w:bookmarkEnd w:id="761"/>
    <w:bookmarkStart w:id="763" w:name="come-dovrebbe-agire-11"/>
    <w:p>
      <w:pPr>
        <w:pStyle w:val="Heading3"/>
      </w:pPr>
      <w:r>
        <w:t xml:space="preserve">Come dovrebbe agire</w:t>
      </w:r>
    </w:p>
    <w:p>
      <w:pPr>
        <w:pStyle w:val="FirstParagraph"/>
      </w:pPr>
      <w:r>
        <w:t xml:space="preserve">Le cellule beta del pancreas non secernono solo insulina, ma allo stesso ritmo anche amilina. Nel diabete di tipo 1 le cellule beta sono distrutte: mancano quindi entrambi gli ormoni, ma di norma viene sostituita solo l’insulina. Anche nel diabete di tipo 2 avanzato la secrezione di amilina è ridotta.</w:t>
      </w:r>
    </w:p>
    <w:p>
      <w:pPr>
        <w:pStyle w:val="BodyText"/>
      </w:pPr>
      <w:r>
        <w:t xml:space="preserve">Dopo i pasti l’amilina agisce in tre direzioni: rallenta lo svuotamento gastrico, così che lo zucchero passi più lentamente nel sangue; attenua la secrezione di glucagone, che nel diabete dopo i pasti è spesso inappropriatamente alta; e, attraverso il tronco encefalico, favorisce il senso di sazietà. Pramlintide doveva sostituire questo effetto mancante e così appiattire i picchi glicemici dopo i pasti. Che ritardi lo svuotamento gastrico è stato dimostrato, tra l’altro, in un piccolo studio su dodici persone con diabete di tipo 1 e di tipo 2: il tempo necessario perché metà di un pasto solido lasciasse lo stomaco si è allungato da 91 a 268–329 minuti</w:t>
      </w:r>
      <w:r>
        <w:rPr>
          <w:rStyle w:val="FootnoteReference"/>
        </w:rPr>
        <w:footnoteReference w:id="762"/>
      </w:r>
      <w:r>
        <w:t xml:space="preserve">.</w:t>
      </w:r>
    </w:p>
    <w:p>
      <w:pPr>
        <w:pStyle w:val="BodyText"/>
      </w:pPr>
      <w:r>
        <w:t xml:space="preserve">Pramlintide ha un’importanza storica: è stato il primo farmaco a base di amilina ed è considerato il precursore degli attuali principi attivi a base di amilina a lunga durata d’azione come cagrilintide e amycretin (si vedano i relativi capitoli). Il suo grande svantaggio pratico è la breve durata d’azione, che richiede più iniezioni al giorno.</w:t>
      </w:r>
    </w:p>
    <w:bookmarkEnd w:id="763"/>
    <w:bookmarkStart w:id="778" w:name="studi-sulluomo-11"/>
    <w:p>
      <w:pPr>
        <w:pStyle w:val="Heading3"/>
      </w:pPr>
      <w:r>
        <w:t xml:space="preserve">Studi sull’uomo</w:t>
      </w:r>
    </w:p>
    <w:p>
      <w:pPr>
        <w:pStyle w:val="FirstParagraph"/>
      </w:pPr>
      <w:r>
        <w:rPr>
          <w:bCs/>
          <w:b/>
        </w:rPr>
        <w:t xml:space="preserve">Dimensioni della letteratura:</w:t>
      </w:r>
      <w:r>
        <w:t xml:space="preserve"> </w:t>
      </w:r>
      <w:r>
        <w:t xml:space="preserve">la ricerca automatizzata su PubMed (ottobre 2026) ha individuato 76 studi sull’uomo, per lo più degli anni dal 1996 al 2010, oltre ad alcune meta-analisi. Su ClinicalTrials.gov risultavano registrati 64 studi, quasi tutti conclusi; i nuovi studi riguardano soprattutto il «pancreas artificiale» e la ricerca sull’emicrania.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Whitehouse 2002, PMID 11919132</w:t>
            </w:r>
          </w:p>
        </w:tc>
        <w:tc>
          <w:tcPr/>
          <w:p>
            <w:pPr>
              <w:pStyle w:val="Compact"/>
              <w:jc w:val="left"/>
            </w:pPr>
            <w:r>
              <w:t xml:space="preserve">480 adulti con diabete di tipo 1, contro placebo</w:t>
            </w:r>
          </w:p>
        </w:tc>
        <w:tc>
          <w:tcPr/>
          <w:p>
            <w:pPr>
              <w:pStyle w:val="Compact"/>
              <w:jc w:val="left"/>
            </w:pPr>
            <w:r>
              <w:t xml:space="preserve">52 settimane (+1 anno in aperto)</w:t>
            </w:r>
          </w:p>
        </w:tc>
        <w:tc>
          <w:tcPr/>
          <w:p>
            <w:pPr>
              <w:pStyle w:val="Compact"/>
              <w:jc w:val="left"/>
            </w:pPr>
            <w:r>
              <w:t xml:space="preserve">HbA1c −0,67 vs. −0,16 dopo 13 settimane; calo di peso anziché aumento</w:t>
            </w:r>
          </w:p>
        </w:tc>
      </w:tr>
      <w:tr>
        <w:tc>
          <w:tcPr/>
          <w:p>
            <w:pPr>
              <w:pStyle w:val="Compact"/>
              <w:jc w:val="left"/>
            </w:pPr>
            <w:r>
              <w:t xml:space="preserve">Ratner 2004, PMID 15498087</w:t>
            </w:r>
          </w:p>
        </w:tc>
        <w:tc>
          <w:tcPr/>
          <w:p>
            <w:pPr>
              <w:pStyle w:val="Compact"/>
              <w:jc w:val="left"/>
            </w:pPr>
            <w:r>
              <w:t xml:space="preserve">651 adulti con diabete di tipo 1, contro placebo</w:t>
            </w:r>
          </w:p>
        </w:tc>
        <w:tc>
          <w:tcPr/>
          <w:p>
            <w:pPr>
              <w:pStyle w:val="Compact"/>
              <w:jc w:val="left"/>
            </w:pPr>
            <w:r>
              <w:t xml:space="preserve">52 settimane</w:t>
            </w:r>
          </w:p>
        </w:tc>
        <w:tc>
          <w:tcPr/>
          <w:p>
            <w:pPr>
              <w:pStyle w:val="Compact"/>
              <w:jc w:val="left"/>
            </w:pPr>
            <w:r>
              <w:t xml:space="preserve">HbA1c da −0,29 a −0,34 vs. −0,04; peso −0,4 kg vs. +0,8 kg</w:t>
            </w:r>
          </w:p>
        </w:tc>
      </w:tr>
      <w:tr>
        <w:tc>
          <w:tcPr/>
          <w:p>
            <w:pPr>
              <w:pStyle w:val="Compact"/>
              <w:jc w:val="left"/>
            </w:pPr>
            <w:r>
              <w:t xml:space="preserve">Hollander 2003, PMID 12610038</w:t>
            </w:r>
          </w:p>
        </w:tc>
        <w:tc>
          <w:tcPr/>
          <w:p>
            <w:pPr>
              <w:pStyle w:val="Compact"/>
              <w:jc w:val="left"/>
            </w:pPr>
            <w:r>
              <w:t xml:space="preserve">656 adulti con diabete di tipo 2 in terapia insulinica, contro placebo</w:t>
            </w:r>
          </w:p>
        </w:tc>
        <w:tc>
          <w:tcPr/>
          <w:p>
            <w:pPr>
              <w:pStyle w:val="Compact"/>
              <w:jc w:val="left"/>
            </w:pPr>
            <w:r>
              <w:t xml:space="preserve">52 settimane</w:t>
            </w:r>
          </w:p>
        </w:tc>
        <w:tc>
          <w:tcPr/>
          <w:p>
            <w:pPr>
              <w:pStyle w:val="Compact"/>
              <w:jc w:val="left"/>
            </w:pPr>
            <w:r>
              <w:t xml:space="preserve">HbA1c −0,62 (settimana 52); peso −1,4 kg vs. +0,7 kg</w:t>
            </w:r>
          </w:p>
        </w:tc>
      </w:tr>
      <w:tr>
        <w:tc>
          <w:tcPr/>
          <w:p>
            <w:pPr>
              <w:pStyle w:val="Compact"/>
              <w:jc w:val="left"/>
            </w:pPr>
            <w:r>
              <w:t xml:space="preserve">Edelman 2006, PMID 17003291</w:t>
            </w:r>
          </w:p>
        </w:tc>
        <w:tc>
          <w:tcPr/>
          <w:p>
            <w:pPr>
              <w:pStyle w:val="Compact"/>
              <w:jc w:val="left"/>
            </w:pPr>
            <w:r>
              <w:t xml:space="preserve">296 adulti con diabete di tipo 1, terapia insulinica intensiva</w:t>
            </w:r>
          </w:p>
        </w:tc>
        <w:tc>
          <w:tcPr/>
          <w:p>
            <w:pPr>
              <w:pStyle w:val="Compact"/>
              <w:jc w:val="left"/>
            </w:pPr>
            <w:r>
              <w:t xml:space="preserve">29 settimane</w:t>
            </w:r>
          </w:p>
        </w:tc>
        <w:tc>
          <w:tcPr/>
          <w:p>
            <w:pPr>
              <w:pStyle w:val="Compact"/>
              <w:jc w:val="left"/>
            </w:pPr>
            <w:r>
              <w:t xml:space="preserve">HbA1c uguale (−0,5 entrambi); peso −1,3 vs. +1,2 kg; insulina −28%</w:t>
            </w:r>
          </w:p>
        </w:tc>
      </w:tr>
      <w:tr>
        <w:tc>
          <w:tcPr/>
          <w:p>
            <w:pPr>
              <w:pStyle w:val="Compact"/>
              <w:jc w:val="left"/>
            </w:pPr>
            <w:r>
              <w:t xml:space="preserve">Riddle 2007, PMID 17698615</w:t>
            </w:r>
          </w:p>
        </w:tc>
        <w:tc>
          <w:tcPr/>
          <w:p>
            <w:pPr>
              <w:pStyle w:val="Compact"/>
              <w:jc w:val="left"/>
            </w:pPr>
            <w:r>
              <w:t xml:space="preserve">212 adulti con diabete di tipo 2 e insulina basale, contro placebo</w:t>
            </w:r>
          </w:p>
        </w:tc>
        <w:tc>
          <w:tcPr/>
          <w:p>
            <w:pPr>
              <w:pStyle w:val="Compact"/>
              <w:jc w:val="left"/>
            </w:pPr>
            <w:r>
              <w:t xml:space="preserve">16 settimane</w:t>
            </w:r>
          </w:p>
        </w:tc>
        <w:tc>
          <w:tcPr/>
          <w:p>
            <w:pPr>
              <w:pStyle w:val="Compact"/>
              <w:jc w:val="left"/>
            </w:pPr>
            <w:r>
              <w:t xml:space="preserve">HbA1c −0,70 vs. −0,36; peso −1,6 vs. +0,7 kg</w:t>
            </w:r>
          </w:p>
        </w:tc>
      </w:tr>
      <w:tr>
        <w:tc>
          <w:tcPr/>
          <w:p>
            <w:pPr>
              <w:pStyle w:val="Compact"/>
              <w:jc w:val="left"/>
            </w:pPr>
            <w:r>
              <w:t xml:space="preserve">Smith 2008, PMID 18753666</w:t>
            </w:r>
          </w:p>
        </w:tc>
        <w:tc>
          <w:tcPr/>
          <w:p>
            <w:pPr>
              <w:pStyle w:val="Compact"/>
              <w:jc w:val="left"/>
            </w:pPr>
            <w:r>
              <w:t xml:space="preserve">411 adulti con obesità, con programma sullo stile di vita</w:t>
            </w:r>
          </w:p>
        </w:tc>
        <w:tc>
          <w:tcPr/>
          <w:p>
            <w:pPr>
              <w:pStyle w:val="Compact"/>
              <w:jc w:val="left"/>
            </w:pPr>
            <w:r>
              <w:t xml:space="preserve">4 mesi (+8 mesi)</w:t>
            </w:r>
          </w:p>
        </w:tc>
        <w:tc>
          <w:tcPr/>
          <w:p>
            <w:pPr>
              <w:pStyle w:val="Compact"/>
              <w:jc w:val="left"/>
            </w:pPr>
            <w:r>
              <w:t xml:space="preserve">dopo 12 mesi, corretto per il placebo, fino a −7,2 kg</w:t>
            </w:r>
          </w:p>
        </w:tc>
      </w:tr>
    </w:tbl>
    <w:bookmarkStart w:id="765" w:name="diabete-di-tipo-1"/>
    <w:p>
      <w:pPr>
        <w:pStyle w:val="Heading4"/>
      </w:pPr>
      <w:r>
        <w:t xml:space="preserve">Diabete di tipo 1</w:t>
      </w:r>
    </w:p>
    <w:p>
      <w:pPr>
        <w:pStyle w:val="FirstParagraph"/>
      </w:pPr>
      <w:r>
        <w:t xml:space="preserve">I grandi studi registrativi sono durati un anno. Nello studio di Whitehouse (2002, PMID 11919132) su 480 persone con diabete di tipo 1 l’HbA1c è diminuita dopo 13 settimane di 0,67 punti percentuali rispetto a 0,16 con il placebo; la differenza è rimasta statisticamente significativa fino alla settimana 52. In media i partecipanti hanno perso peso invece di aumentarlo, e il tasso complessivo di ipoglicemie gravi non era aumentato. Nello studio di Ratner (2004, PMID 15498087) su 651 partecipanti l’effetto è stato minore: −0,29 e −0,34 punti percentuali rispetto a −0,04.</w:t>
      </w:r>
    </w:p>
    <w:p>
      <w:pPr>
        <w:pStyle w:val="BodyText"/>
      </w:pPr>
      <w:r>
        <w:t xml:space="preserve">Questi effetti sono modesti. Una meta-analisi di rete di tutti i farmaci aggiuntivi nel diabete di tipo 1, con 58 studi, ha valutato l’affidabilità delle evidenze per lo più da moderata a molto bassa e ha rilevato che pramlintide, come gli agonisti del GLP-1 e la metformina, rende la nausea più frequente</w:t>
      </w:r>
      <w:r>
        <w:rPr>
          <w:rStyle w:val="FootnoteReference"/>
        </w:rPr>
        <w:footnoteReference w:id="764"/>
      </w:r>
      <w:r>
        <w:t xml:space="preserve">.</w:t>
      </w:r>
    </w:p>
    <w:p>
      <w:pPr>
        <w:pStyle w:val="BodyText"/>
      </w:pPr>
      <w:r>
        <w:t xml:space="preserve">Un insegnamento importante è venuto dallo studio di Edelman (2006, PMID 17003291): quando all’inizio del trattamento con pramlintide la dose di insulina prandiale veniva ridotta preventivamente del 30–50%, l’HbA1c dopo 29 settimane era diminuita in modo uguale in entrambi i gruppi (−0,5 ciascuno). Con pramlintide però i picchi glicemici dopo i pasti erano più bassi, il peso è diminuito di 1,3 kg (placebo +1,2 kg) ed è servita il 28% di insulina in meno. La nausea si è verificata nel 63% (placebo 36%).</w:t>
      </w:r>
    </w:p>
    <w:bookmarkEnd w:id="765"/>
    <w:bookmarkStart w:id="769" w:name="diabete-di-tipo-2"/>
    <w:p>
      <w:pPr>
        <w:pStyle w:val="Heading4"/>
      </w:pPr>
      <w:r>
        <w:t xml:space="preserve">Diabete di tipo 2</w:t>
      </w:r>
    </w:p>
    <w:p>
      <w:pPr>
        <w:pStyle w:val="FirstParagraph"/>
      </w:pPr>
      <w:r>
        <w:t xml:space="preserve">Nel diabete di tipo 2 trattato con insulina pramlintide ha ridotto l’HbA1c dopo un anno di 0,62 punti percentuali, con una perdita di peso di 1,4 kg rispetto a un aumento di 0,7 kg con il placebo</w:t>
      </w:r>
      <w:r>
        <w:rPr>
          <w:rStyle w:val="FootnoteReference"/>
        </w:rPr>
        <w:footnoteReference w:id="766"/>
      </w:r>
      <w:r>
        <w:t xml:space="preserve">. In aggiunta all’insulina basale, in uno studio in aperto su 113 partecipanti, era efficace in modo simile a un’insulina prandiale ad azione rapida, ma non ha causato aumento di peso (0,0 kg vs. +4,7 kg) e ha portato a meno ipoglicemie da lievi a moderate; in compenso il 21% ha lamentato nausea</w:t>
      </w:r>
      <w:r>
        <w:rPr>
          <w:rStyle w:val="FootnoteReference"/>
        </w:rPr>
        <w:footnoteReference w:id="767"/>
      </w:r>
      <w:r>
        <w:t xml:space="preserve">.</w:t>
      </w:r>
    </w:p>
    <w:p>
      <w:pPr>
        <w:pStyle w:val="BodyText"/>
      </w:pPr>
      <w:r>
        <w:t xml:space="preserve">Una meta-analisi di otto studi randomizzati ha rilevato nel diabete di tipo 2 una riduzione dell’HbA1c di 0,33 punti percentuali e una perdita di peso di 2,57 kg rispetto al controllo; la nausea si è verificata 1,8 volte più spesso</w:t>
      </w:r>
      <w:r>
        <w:rPr>
          <w:rStyle w:val="FootnoteReference"/>
        </w:rPr>
        <w:footnoteReference w:id="768"/>
      </w:r>
      <w:r>
        <w:t xml:space="preserve">.</w:t>
      </w:r>
    </w:p>
    <w:bookmarkEnd w:id="769"/>
    <w:bookmarkStart w:id="773" w:name="obesità"/>
    <w:p>
      <w:pPr>
        <w:pStyle w:val="Heading4"/>
      </w:pPr>
      <w:r>
        <w:t xml:space="preserve">Obesità</w:t>
      </w:r>
    </w:p>
    <w:p>
      <w:pPr>
        <w:pStyle w:val="FirstParagraph"/>
      </w:pPr>
      <w:r>
        <w:t xml:space="preserve">Tra il 2005 e il 2010 pramlintide è stato valutato anche come farmaco dimagrante. In uno studio di 16 settimane su 204 persone con obesità la perdita di peso corretta per il placebo era del 3,7%</w:t>
      </w:r>
      <w:r>
        <w:rPr>
          <w:rStyle w:val="FootnoteReference"/>
        </w:rPr>
        <w:footnoteReference w:id="770"/>
      </w:r>
      <w:r>
        <w:t xml:space="preserve">. In combinazione con un programma sullo stile di vita quasi tutti i gruppi di dose hanno mantenuto la perdita di peso per dodici mesi; corretta per il placebo era fino a 7,2 kg ovvero 6,8%</w:t>
      </w:r>
      <w:r>
        <w:rPr>
          <w:rStyle w:val="FootnoteReference"/>
        </w:rPr>
        <w:footnoteReference w:id="771"/>
      </w:r>
      <w:r>
        <w:t xml:space="preserve">. Una combinazione con metreleptina (un analogo della leptina) ha raggiunto dopo 20 settimane una perdita di peso del 12,7% rispetto all’8,4% con il solo pramlintide</w:t>
      </w:r>
      <w:r>
        <w:rPr>
          <w:rStyle w:val="FootnoteReference"/>
        </w:rPr>
        <w:footnoteReference w:id="772"/>
      </w:r>
      <w:r>
        <w:t xml:space="preserve">. Questo sviluppo non è stato portato avanti fino all’autorizzazione.</w:t>
      </w:r>
    </w:p>
    <w:bookmarkEnd w:id="773"/>
    <w:bookmarkStart w:id="777" w:name="X7bae650b19af3227bda9a5884ba08000120a179"/>
    <w:p>
      <w:pPr>
        <w:pStyle w:val="Heading4"/>
      </w:pPr>
      <w:r>
        <w:t xml:space="preserve">Applicazioni più recenti: il pancreas artificiale</w:t>
      </w:r>
    </w:p>
    <w:p>
      <w:pPr>
        <w:pStyle w:val="FirstParagraph"/>
      </w:pPr>
      <w:r>
        <w:t xml:space="preserve">Dal 2015 circa pramlintide sta vivendo una piccola rinascita nella ricerca sui sistemi automatizzati con microinfusore di insulina. In uno studio crossover randomizzato il tempo nell’intervallo target è salito dal 74% all’84% con un sistema che rilascia, oltre all’insulina ad azione rapida, anche pramlintide</w:t>
      </w:r>
      <w:r>
        <w:rPr>
          <w:rStyle w:val="FootnoteReference"/>
        </w:rPr>
        <w:footnoteReference w:id="774"/>
      </w:r>
      <w:r>
        <w:t xml:space="preserve">. Un piccolo studio pilota ha valutato se un simile sistema possa rendere superfluo il conteggio dei carboidrati; le differenze rispetto al trattamento standard non erano statisticamente significative</w:t>
      </w:r>
      <w:r>
        <w:rPr>
          <w:rStyle w:val="FootnoteReference"/>
        </w:rPr>
        <w:footnoteReference w:id="775"/>
      </w:r>
      <w:r>
        <w:t xml:space="preserve">. Una miscela fissa di pramlintide e un’insulina (ADO09) ha portato, in uno studio di 16 settimane su 80 persone con diabete di tipo 1, a una perdita di peso di 2,1 kg superiore rispetto all’insulina lispro, con HbA1c invariata</w:t>
      </w:r>
      <w:r>
        <w:rPr>
          <w:rStyle w:val="FootnoteReference"/>
        </w:rPr>
        <w:footnoteReference w:id="776"/>
      </w:r>
      <w:r>
        <w:t xml:space="preserve">.</w:t>
      </w:r>
    </w:p>
    <w:bookmarkEnd w:id="777"/>
    <w:bookmarkEnd w:id="778"/>
    <w:bookmarkStart w:id="781" w:name="studi-su-animali-e-in-laboratorio-11"/>
    <w:p>
      <w:pPr>
        <w:pStyle w:val="Heading3"/>
      </w:pPr>
      <w:r>
        <w:t xml:space="preserve">Studi su animali e in laboratorio</w:t>
      </w:r>
    </w:p>
    <w:p>
      <w:pPr>
        <w:pStyle w:val="FirstParagraph"/>
      </w:pPr>
      <w:r>
        <w:t xml:space="preserve">Le basi della ricerca sull’amilina provengono da studi su animali e in laboratorio che qui non vengono descritti nel dettaglio. Nei roditori la combinazione di amilina e leptina ha portato a una perdita di peso più che additiva</w:t>
      </w:r>
      <w:r>
        <w:rPr>
          <w:rStyle w:val="FootnoteReference"/>
        </w:rPr>
        <w:footnoteReference w:id="779"/>
      </w:r>
      <w:r>
        <w:t xml:space="preserve">. In modelli murini l’amilina, analogamente al peptide messaggero dell’emicrania CGRP, ha provocato ipersensibilità e fotofobia</w:t>
      </w:r>
      <w:r>
        <w:rPr>
          <w:rStyle w:val="FootnoteReference"/>
        </w:rPr>
        <w:footnoteReference w:id="780"/>
      </w:r>
      <w:r>
        <w:t xml:space="preserve">.</w:t>
      </w:r>
    </w:p>
    <w:bookmarkEnd w:id="781"/>
    <w:bookmarkStart w:id="785" w:name="rischi-ed-effetti-collaterali-11"/>
    <w:p>
      <w:pPr>
        <w:pStyle w:val="Heading3"/>
      </w:pPr>
      <w:r>
        <w:t xml:space="preserve">Rischi ed effetti collaterali</w:t>
      </w:r>
    </w:p>
    <w:p>
      <w:pPr>
        <w:pStyle w:val="FirstParagraph"/>
      </w:pPr>
      <w:r>
        <w:rPr>
          <w:bCs/>
          <w:b/>
        </w:rPr>
        <w:t xml:space="preserve">Documentati dagli studi:</w:t>
      </w:r>
    </w:p>
    <w:p>
      <w:pPr>
        <w:numPr>
          <w:ilvl w:val="0"/>
          <w:numId w:val="1097"/>
        </w:numPr>
        <w:pStyle w:val="Compact"/>
      </w:pPr>
      <w:r>
        <w:rPr>
          <w:bCs/>
          <w:b/>
        </w:rPr>
        <w:t xml:space="preserve">Nausea:</w:t>
      </w:r>
      <w:r>
        <w:t xml:space="preserve"> </w:t>
      </w:r>
      <w:r>
        <w:t xml:space="preserve">è l’effetto collaterale più frequente, soprattutto nelle prime settimane; a seconda dello studio tra il 9% e il 63%</w:t>
      </w:r>
      <w:r>
        <w:rPr>
          <w:rStyle w:val="FootnoteReference"/>
        </w:rPr>
        <w:footnoteReference w:id="782"/>
      </w:r>
      <w:r>
        <w:t xml:space="preserve">.</w:t>
      </w:r>
    </w:p>
    <w:p>
      <w:pPr>
        <w:numPr>
          <w:ilvl w:val="0"/>
          <w:numId w:val="1097"/>
        </w:numPr>
        <w:pStyle w:val="Compact"/>
      </w:pPr>
      <w:r>
        <w:rPr>
          <w:bCs/>
          <w:b/>
        </w:rPr>
        <w:t xml:space="preserve">Ipoglicemia grave:</w:t>
      </w:r>
      <w:r>
        <w:t xml:space="preserve"> </w:t>
      </w:r>
      <w:r>
        <w:t xml:space="preserve">è il rischio più importante. Pramlintide di per sé abbassa poco la glicemia, ma potenzia l’effetto dell’insulina iniettata contemporaneamente, perché lo zucchero del pasto arriva in ritardo. Nello studio di Edelman le ipoglicemie gravi sono state più frequenti con pramlintide che con il placebo (0,57 vs. 0,30 eventi per anno-paziente), in particolare nei partecipanti rimasti a una dose bassa</w:t>
      </w:r>
      <w:r>
        <w:rPr>
          <w:rStyle w:val="FootnoteReference"/>
        </w:rPr>
        <w:footnoteReference w:id="783"/>
      </w:r>
      <w:r>
        <w:t xml:space="preserve">. Negli USA il farmaco riporta perciò un’avvertenza evidente; prima dell’inizio del trattamento è prevista una riduzione della dose di insulina prandiale – i dettagli sono stabiliti dal riassunto delle caratteristiche del prodotto, e l’attuazione spetta al medico.</w:t>
      </w:r>
    </w:p>
    <w:p>
      <w:pPr>
        <w:numPr>
          <w:ilvl w:val="0"/>
          <w:numId w:val="1097"/>
        </w:numPr>
        <w:pStyle w:val="Compact"/>
      </w:pPr>
      <w:r>
        <w:rPr>
          <w:bCs/>
          <w:b/>
        </w:rPr>
        <w:t xml:space="preserve">Cefalea ed emicrania:</w:t>
      </w:r>
      <w:r>
        <w:t xml:space="preserve"> </w:t>
      </w:r>
      <w:r>
        <w:t xml:space="preserve">in uno studio sperimentale su 36 persone con emicrania, dopo un’infusione di pramlintide l’88% ha avuto cefalea e il 41% un attacco simil-emicranico</w:t>
      </w:r>
      <w:r>
        <w:rPr>
          <w:rStyle w:val="FootnoteReference"/>
        </w:rPr>
        <w:footnoteReference w:id="784"/>
      </w:r>
      <w:r>
        <w:t xml:space="preserve">. Questo studio ha usato un’infusione a scopo di ricerca; mostra però che i recettori dell’amilina hanno un ruolo nell’emicrania. Il risultato è rilevante anche per i nuovi farmaci a base di amilina a lunga durata d’azione.</w:t>
      </w:r>
    </w:p>
    <w:p>
      <w:pPr>
        <w:numPr>
          <w:ilvl w:val="0"/>
          <w:numId w:val="1097"/>
        </w:numPr>
        <w:pStyle w:val="Compact"/>
      </w:pPr>
      <w:r>
        <w:rPr>
          <w:bCs/>
          <w:b/>
        </w:rPr>
        <w:t xml:space="preserve">Interazioni:</w:t>
      </w:r>
      <w:r>
        <w:t xml:space="preserve"> </w:t>
      </w:r>
      <w:r>
        <w:t xml:space="preserve">poiché pramlintide ritarda lo svuotamento gastrico, le compresse per le quali è importante un rapido inizio d’azione possono essere assorbite in ritardo (riassunto delle caratteristiche del prodotto).</w:t>
      </w:r>
    </w:p>
    <w:bookmarkEnd w:id="785"/>
    <w:bookmarkStart w:id="786" w:name="quadro-normativo-11"/>
    <w:p>
      <w:pPr>
        <w:pStyle w:val="Heading3"/>
      </w:pPr>
      <w:r>
        <w:t xml:space="preserve">Quadro normativo</w:t>
      </w:r>
    </w:p>
    <w:p>
      <w:pPr>
        <w:numPr>
          <w:ilvl w:val="0"/>
          <w:numId w:val="1098"/>
        </w:numPr>
        <w:pStyle w:val="Compact"/>
      </w:pPr>
      <w:r>
        <w:rPr>
          <w:bCs/>
          <w:b/>
        </w:rPr>
        <w:t xml:space="preserve">UE / Austria / Germania:</w:t>
      </w:r>
      <w:r>
        <w:t xml:space="preserve"> </w:t>
      </w:r>
      <w:r>
        <w:t xml:space="preserve">non autorizzato. In Europa pramlintide è ipotizzabile solo tramite importazione individuale per determinati pazienti e in pratica non ha alcun ruolo.</w:t>
      </w:r>
    </w:p>
    <w:p>
      <w:pPr>
        <w:numPr>
          <w:ilvl w:val="0"/>
          <w:numId w:val="1098"/>
        </w:numPr>
        <w:pStyle w:val="Compact"/>
      </w:pPr>
      <w:r>
        <w:rPr>
          <w:bCs/>
          <w:b/>
        </w:rPr>
        <w:t xml:space="preserve">USA:</w:t>
      </w:r>
      <w:r>
        <w:t xml:space="preserve"> </w:t>
      </w:r>
      <w:r>
        <w:t xml:space="preserve">autorizzato dal 2005 (Symlin) come aggiunta all’insulina prandiale nel diabete di tipo 1 e di tipo 2; soggetto a prescrizione medica. Non è autorizzato per l’obesità senza diabete.</w:t>
      </w:r>
    </w:p>
    <w:p>
      <w:pPr>
        <w:numPr>
          <w:ilvl w:val="0"/>
          <w:numId w:val="1098"/>
        </w:numPr>
        <w:pStyle w:val="Compact"/>
      </w:pPr>
      <w:r>
        <w:rPr>
          <w:bCs/>
          <w:b/>
        </w:rPr>
        <w:t xml:space="preserve">Sport:</w:t>
      </w:r>
      <w:r>
        <w:t xml:space="preserve"> </w:t>
      </w:r>
      <w:r>
        <w:t xml:space="preserve">non citato nella lista WADA (aggiornato al 2026, da verificare).</w:t>
      </w:r>
    </w:p>
    <w:bookmarkEnd w:id="786"/>
    <w:bookmarkStart w:id="791" w:name="studi-in-corso-e-prospettive-11"/>
    <w:p>
      <w:pPr>
        <w:pStyle w:val="Heading3"/>
      </w:pPr>
      <w:r>
        <w:t xml:space="preserve">Studi in corso e prospettive</w:t>
      </w:r>
    </w:p>
    <w:p>
      <w:pPr>
        <w:pStyle w:val="FirstParagraph"/>
      </w:pPr>
      <w:r>
        <w:rPr>
          <w:bCs/>
          <w:b/>
        </w:rPr>
        <w:t xml:space="preserve">Certo (studi registrati, aggiornato a ottobre 2026):</w:t>
      </w:r>
      <w:r>
        <w:t xml:space="preserve"> </w:t>
      </w:r>
      <w:r>
        <w:t xml:space="preserve">i nuovi studi con pramlintide sono per lo più piccoli studi di base, per esempio sul ruolo dell’amilina nell’emicrania senza aura</w:t>
      </w:r>
      <w:r>
        <w:rPr>
          <w:rStyle w:val="FootnoteReference"/>
        </w:rPr>
        <w:footnoteReference w:id="787"/>
      </w:r>
      <w:r>
        <w:t xml:space="preserve">, nella cefalea dopo traumi cranici</w:t>
      </w:r>
      <w:r>
        <w:rPr>
          <w:rStyle w:val="FootnoteReference"/>
        </w:rPr>
        <w:footnoteReference w:id="788"/>
      </w:r>
      <w:r>
        <w:t xml:space="preserve"> </w:t>
      </w:r>
      <w:r>
        <w:t xml:space="preserve">e sulla sazietà</w:t>
      </w:r>
      <w:r>
        <w:rPr>
          <w:rStyle w:val="FootnoteReference"/>
        </w:rPr>
        <w:footnoteReference w:id="789"/>
      </w:r>
      <w:r>
        <w:t xml:space="preserve">. Gli autori dello studio pilota sul microinfusore con pramlintide e insulina annunciano uno studio più ampio</w:t>
      </w:r>
      <w:r>
        <w:rPr>
          <w:rStyle w:val="FootnoteReference"/>
        </w:rPr>
        <w:footnoteReference w:id="790"/>
      </w:r>
      <w:r>
        <w:t xml:space="preserve">.</w:t>
      </w:r>
    </w:p>
    <w:p>
      <w:pPr>
        <w:pStyle w:val="BodyText"/>
      </w:pPr>
      <w:r>
        <w:rPr>
          <w:bCs/>
          <w:b/>
        </w:rPr>
        <w:t xml:space="preserve">Valutazione:</w:t>
      </w:r>
      <w:r>
        <w:t xml:space="preserve"> </w:t>
      </w:r>
      <w:r>
        <w:t xml:space="preserve">come farmaco pramlintide è rimasto un prodotto di nicchia: troppe iniezioni, troppa nausea, effetto troppo scarso sull’HbA1c. Il suo ruolo più importante è probabilmente quello di apripista: gli analoghi dell’amilina a lunga durata d’azione di nuova generazione (cagrilintide, amycretin, eloralintide e altri) si basano sulla sua esperienza. Nella ricerca sui sistemi a due ormoni nel diabete di tipo 1 potrebbe mantenere un piccolo ruolo.</w:t>
      </w:r>
    </w:p>
    <w:bookmarkEnd w:id="791"/>
    <w:bookmarkStart w:id="792" w:name="conclusione-11"/>
    <w:p>
      <w:pPr>
        <w:pStyle w:val="Heading3"/>
      </w:pPr>
      <w:r>
        <w:t xml:space="preserve">Conclusione</w:t>
      </w:r>
    </w:p>
    <w:p>
      <w:pPr>
        <w:pStyle w:val="FirstParagraph"/>
      </w:pPr>
      <w:r>
        <w:t xml:space="preserve">Pramlintide è il primo farmaco a base di amilina ed è autorizzato dal 2005 negli USA, ma non nell’UE, come aggiunta all’insulina. Nei grandi studi ha ridotto l’HbA1c solo di circa 0,3–0,7 punti percentuali, ma ha impedito l’aumento di peso tipico dell’insulina e appiattito i picchi glicemici dopo i pasti. La nausea è frequente e, in combinazione con l’insulina, esiste un rischio rilevante di ipoglicemie gravi. Oggi pramlintide è importante soprattutto come precursore dei nuovi farmaci a base di amilina a lunga durata d’azione.</w:t>
      </w:r>
    </w:p>
    <w:bookmarkEnd w:id="792"/>
    <w:bookmarkEnd w:id="793"/>
    <w:bookmarkStart w:id="830" w:name="setmelanotide"/>
    <w:p>
      <w:pPr>
        <w:pStyle w:val="Heading2"/>
      </w:pPr>
      <w:r>
        <w:t xml:space="preserve">Setmelanotide</w:t>
      </w:r>
    </w:p>
    <w:bookmarkStart w:id="795" w:name="scheda-12"/>
    <w:p>
      <w:pPr>
        <w:pStyle w:val="Heading3"/>
      </w:pPr>
      <w:r>
        <w:t xml:space="preserve">Scheda</w:t>
      </w:r>
    </w:p>
    <w:p>
      <w:pPr>
        <w:numPr>
          <w:ilvl w:val="0"/>
          <w:numId w:val="1099"/>
        </w:numPr>
        <w:pStyle w:val="Compact"/>
      </w:pPr>
      <w:r>
        <w:rPr>
          <w:bCs/>
          <w:b/>
        </w:rPr>
        <w:t xml:space="preserve">Tipo/struttura:</w:t>
      </w:r>
      <w:r>
        <w:t xml:space="preserve"> </w:t>
      </w:r>
      <w:r>
        <w:t xml:space="preserve">piccolo peptide sintetico chiuso ad anello (ciclico) che imita il messaggero endogeno alfa-MSH. Somministrazione sottocutanea una volta al giorno. Precedente codice di sviluppo RM-493.</w:t>
      </w:r>
    </w:p>
    <w:p>
      <w:pPr>
        <w:numPr>
          <w:ilvl w:val="0"/>
          <w:numId w:val="1099"/>
        </w:numPr>
        <w:pStyle w:val="Compact"/>
      </w:pPr>
      <w:r>
        <w:rPr>
          <w:bCs/>
          <w:b/>
        </w:rPr>
        <w:t xml:space="preserve">Origine:</w:t>
      </w:r>
      <w:r>
        <w:t xml:space="preserve"> </w:t>
      </w:r>
      <w:r>
        <w:t xml:space="preserve">sviluppato da Rhythm Pharmaceuticals; nome commerciale Imcivree.</w:t>
      </w:r>
    </w:p>
    <w:p>
      <w:pPr>
        <w:numPr>
          <w:ilvl w:val="0"/>
          <w:numId w:val="1099"/>
        </w:numPr>
        <w:pStyle w:val="Compact"/>
      </w:pPr>
      <w:r>
        <w:rPr>
          <w:bCs/>
          <w:b/>
        </w:rPr>
        <w:t xml:space="preserve">Principio d’azione:</w:t>
      </w:r>
      <w:r>
        <w:t xml:space="preserve"> </w:t>
      </w:r>
      <w:r>
        <w:t xml:space="preserve">agonista del recettore della melanocortina 4 (MC4R) nell’ipotalamo, un centro di controllo fondamentale per fame e sazietà.</w:t>
      </w:r>
    </w:p>
    <w:p>
      <w:pPr>
        <w:numPr>
          <w:ilvl w:val="0"/>
          <w:numId w:val="1099"/>
        </w:numPr>
        <w:pStyle w:val="Compact"/>
      </w:pPr>
      <w:r>
        <w:rPr>
          <w:bCs/>
          <w:b/>
        </w:rPr>
        <w:t xml:space="preserve">Autorizzazione UE:</w:t>
      </w:r>
      <w:r>
        <w:t xml:space="preserve"> </w:t>
      </w:r>
      <w:r>
        <w:t xml:space="preserve">sì (Imcivree) per l’obesità con deficit geneticamente confermato di POMC, PCSK1 o del recettore della leptina e per la sindrome di Bardet-Biedl.</w:t>
      </w:r>
    </w:p>
    <w:p>
      <w:pPr>
        <w:numPr>
          <w:ilvl w:val="0"/>
          <w:numId w:val="1099"/>
        </w:numPr>
        <w:pStyle w:val="Compact"/>
      </w:pPr>
      <w:r>
        <w:rPr>
          <w:bCs/>
          <w:b/>
        </w:rPr>
        <w:t xml:space="preserve">Autorizzazione USA:</w:t>
      </w:r>
      <w:r>
        <w:t xml:space="preserve"> </w:t>
      </w:r>
      <w:r>
        <w:t xml:space="preserve">sì (Imcivree), per la prima volta nel 2020, per le stesse rare forme genetiche</w:t>
      </w:r>
      <w:r>
        <w:rPr>
          <w:rStyle w:val="FootnoteReference"/>
        </w:rPr>
        <w:footnoteReference w:id="794"/>
      </w:r>
      <w:r>
        <w:t xml:space="preserve">.</w:t>
      </w:r>
    </w:p>
    <w:p>
      <w:pPr>
        <w:numPr>
          <w:ilvl w:val="0"/>
          <w:numId w:val="1099"/>
        </w:numPr>
        <w:pStyle w:val="Compact"/>
      </w:pPr>
      <w:r>
        <w:rPr>
          <w:bCs/>
          <w:b/>
        </w:rPr>
        <w:t xml:space="preserve">WADA:</w:t>
      </w:r>
      <w:r>
        <w:t xml:space="preserve"> </w:t>
      </w:r>
      <w:r>
        <w:t xml:space="preserve">non elencato nominalmente; in quanto medicinale autorizzato non rientra nella classe S0.</w:t>
      </w:r>
    </w:p>
    <w:p>
      <w:pPr>
        <w:numPr>
          <w:ilvl w:val="0"/>
          <w:numId w:val="1099"/>
        </w:numPr>
        <w:pStyle w:val="Compact"/>
      </w:pPr>
      <w:r>
        <w:rPr>
          <w:bCs/>
          <w:b/>
        </w:rPr>
        <w:t xml:space="preserve">Livello di evidenza:</w:t>
      </w:r>
      <w:r>
        <w:t xml:space="preserve"> </w:t>
      </w:r>
      <w:r>
        <w:rPr>
          <w:bCs/>
          <w:b/>
        </w:rPr>
        <w:t xml:space="preserve">A</w:t>
      </w:r>
      <w:r>
        <w:t xml:space="preserve"> </w:t>
      </w:r>
      <w:r>
        <w:t xml:space="preserve">– autorizzazione basata su studi di fase 3; a causa della rarità delle malattie gli studi sono però piccoli e in parte non controllati.</w:t>
      </w:r>
    </w:p>
    <w:bookmarkEnd w:id="795"/>
    <w:bookmarkStart w:id="796" w:name="come-dovrebbe-agire-12"/>
    <w:p>
      <w:pPr>
        <w:pStyle w:val="Heading3"/>
      </w:pPr>
      <w:r>
        <w:t xml:space="preserve">Come dovrebbe agire</w:t>
      </w:r>
    </w:p>
    <w:p>
      <w:pPr>
        <w:pStyle w:val="FirstParagraph"/>
      </w:pPr>
      <w:r>
        <w:t xml:space="preserve">Setmelanotide si distingue radicalmente da tutti gli altri principi attivi di questa parte. Non è un farmaco dimagrante generico, ma un trattamento mirato per persone in cui una determinata catena di segnali nel cervello è difettosa.</w:t>
      </w:r>
    </w:p>
    <w:p>
      <w:pPr>
        <w:pStyle w:val="BodyText"/>
      </w:pPr>
      <w:r>
        <w:t xml:space="preserve">Questa catena si chiama via di segnalazione leptina-melanocortina. In modo semplificato: il tessuto adiposo secerne l’ormone leptina. La leptina agisce nell’ipotalamo su cellule nervose che, a partire da una molecola precursore chiamata POMC, producono il messaggero alfa-MSH. Per questa produzione serve un enzima chiamato PCSK1. L’alfa-MSH attiva infine il recettore MC4, e il segnale è: «Si è mangiato abbastanza».</w:t>
      </w:r>
    </w:p>
    <w:p>
      <w:pPr>
        <w:pStyle w:val="BodyText"/>
      </w:pPr>
      <w:r>
        <w:t xml:space="preserve">Se uno di questi anelli viene a mancare a causa di un’alterazione genetica congenita, si sviluppa una fame tormentosa e insaziabile (iperfagia) che già nella prima infanzia porta a una grave obesità. Dieta e attività fisica da sole possono fare poco. Setmelanotide agisce alla fine della catena e attiva direttamente il recettore MC4: per così dire, scavalca gli anelli difettosi che lo precedono.</w:t>
      </w:r>
    </w:p>
    <w:p>
      <w:pPr>
        <w:pStyle w:val="BodyText"/>
      </w:pPr>
      <w:r>
        <w:t xml:space="preserve">Setmelanotide agisce inoltre sul recettore della melanocortina 1, strettamente affine, nella pelle. Questo spiega l’effetto collaterale più frequente: un’abbronzatura della pelle (si veda più avanti), e collega setmelanotide ai peptidi abbronzanti come Melanotan II e afamelanotide (Parte II, gruppo E).</w:t>
      </w:r>
    </w:p>
    <w:bookmarkEnd w:id="796"/>
    <w:bookmarkStart w:id="812" w:name="studi-sulluomo-12"/>
    <w:p>
      <w:pPr>
        <w:pStyle w:val="Heading3"/>
      </w:pPr>
      <w:r>
        <w:t xml:space="preserve">Studi sull’uomo</w:t>
      </w:r>
    </w:p>
    <w:p>
      <w:pPr>
        <w:pStyle w:val="FirstParagraph"/>
      </w:pPr>
      <w:r>
        <w:rPr>
          <w:bCs/>
          <w:b/>
        </w:rPr>
        <w:t xml:space="preserve">Dimensioni della letteratura:</w:t>
      </w:r>
      <w:r>
        <w:t xml:space="preserve"> </w:t>
      </w:r>
      <w:r>
        <w:t xml:space="preserve">la ricerca automatizzata su PubMed (ottobre 2026) ha individuato 15 studi sull’uomo. Su ClinicalTrials.gov risultavano registrati 27 studi. A causa della rarità delle malattie bersaglio gli studi comprendono spesso solo 10–40 partecipanti; il più grande studio randomizzato pubblicato (sull’obesità ipotalamica) ha incluso 120 persone.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Kühnen 2016, PMID 27468060</w:t>
            </w:r>
          </w:p>
        </w:tc>
        <w:tc>
          <w:tcPr/>
          <w:p>
            <w:pPr>
              <w:pStyle w:val="Compact"/>
              <w:jc w:val="left"/>
            </w:pPr>
            <w:r>
              <w:t xml:space="preserve">2 persone con deficit di POMC, in aperto</w:t>
            </w:r>
          </w:p>
        </w:tc>
        <w:tc>
          <w:tcPr/>
          <w:p>
            <w:pPr>
              <w:pStyle w:val="Compact"/>
              <w:jc w:val="left"/>
            </w:pPr>
            <w:r>
              <w:t xml:space="preserve">12 e 42 settimane</w:t>
            </w:r>
          </w:p>
        </w:tc>
        <w:tc>
          <w:tcPr/>
          <w:p>
            <w:pPr>
              <w:pStyle w:val="Compact"/>
              <w:jc w:val="left"/>
            </w:pPr>
            <w:r>
              <w:t xml:space="preserve">−20,5 kg e −51,0 kg; meno fame</w:t>
            </w:r>
          </w:p>
        </w:tc>
      </w:tr>
      <w:tr>
        <w:tc>
          <w:tcPr/>
          <w:p>
            <w:pPr>
              <w:pStyle w:val="Compact"/>
              <w:jc w:val="left"/>
            </w:pPr>
            <w:r>
              <w:t xml:space="preserve">Clément 2020 (POMC/LEPR), PMID 33137293</w:t>
            </w:r>
          </w:p>
        </w:tc>
        <w:tc>
          <w:tcPr/>
          <w:p>
            <w:pPr>
              <w:pStyle w:val="Compact"/>
              <w:jc w:val="left"/>
            </w:pPr>
            <w:r>
              <w:t xml:space="preserve">10 persone con deficit di POMC e 11 con deficit di LEPR; a braccio singolo, con fase di sospensione</w:t>
            </w:r>
          </w:p>
        </w:tc>
        <w:tc>
          <w:tcPr/>
          <w:p>
            <w:pPr>
              <w:pStyle w:val="Compact"/>
              <w:jc w:val="left"/>
            </w:pPr>
            <w:r>
              <w:t xml:space="preserve">circa 1 anno</w:t>
            </w:r>
          </w:p>
        </w:tc>
        <w:tc>
          <w:tcPr/>
          <w:p>
            <w:pPr>
              <w:pStyle w:val="Compact"/>
              <w:jc w:val="left"/>
            </w:pPr>
            <w:r>
              <w:t xml:space="preserve">perdita di peso ≥10% nell’80% (POMC) e nel 45% (LEPR)</w:t>
            </w:r>
          </w:p>
        </w:tc>
      </w:tr>
      <w:tr>
        <w:tc>
          <w:tcPr/>
          <w:p>
            <w:pPr>
              <w:pStyle w:val="Compact"/>
              <w:jc w:val="left"/>
            </w:pPr>
            <w:r>
              <w:t xml:space="preserve">Haqq 2022 (BBS/Alström), PMID 36356613</w:t>
            </w:r>
          </w:p>
        </w:tc>
        <w:tc>
          <w:tcPr/>
          <w:p>
            <w:pPr>
              <w:pStyle w:val="Compact"/>
              <w:jc w:val="left"/>
            </w:pPr>
            <w:r>
              <w:t xml:space="preserve">38 persone con sindrome di Bardet-Biedl o di Alström; 14 settimane contro placebo, poi in aperto</w:t>
            </w:r>
          </w:p>
        </w:tc>
        <w:tc>
          <w:tcPr/>
          <w:p>
            <w:pPr>
              <w:pStyle w:val="Compact"/>
              <w:jc w:val="left"/>
            </w:pPr>
            <w:r>
              <w:t xml:space="preserve">66 settimane</w:t>
            </w:r>
          </w:p>
        </w:tc>
        <w:tc>
          <w:tcPr/>
          <w:p>
            <w:pPr>
              <w:pStyle w:val="Compact"/>
              <w:jc w:val="left"/>
            </w:pPr>
            <w:r>
              <w:t xml:space="preserve">perdita di peso ≥10% nel 32,3% dei pazienti BBS dai 12 anni in su</w:t>
            </w:r>
          </w:p>
        </w:tc>
      </w:tr>
      <w:tr>
        <w:tc>
          <w:tcPr/>
          <w:p>
            <w:pPr>
              <w:pStyle w:val="Compact"/>
              <w:jc w:val="left"/>
            </w:pPr>
            <w:r>
              <w:t xml:space="preserve">VENTURE (Argente 2025), PMID 39549719</w:t>
            </w:r>
          </w:p>
        </w:tc>
        <w:tc>
          <w:tcPr/>
          <w:p>
            <w:pPr>
              <w:pStyle w:val="Compact"/>
              <w:jc w:val="left"/>
            </w:pPr>
            <w:r>
              <w:t xml:space="preserve">12 bambini da 2 a 5 anni, in aperto</w:t>
            </w:r>
          </w:p>
        </w:tc>
        <w:tc>
          <w:tcPr/>
          <w:p>
            <w:pPr>
              <w:pStyle w:val="Compact"/>
              <w:jc w:val="left"/>
            </w:pPr>
            <w:r>
              <w:t xml:space="preserve">52 settimane</w:t>
            </w:r>
          </w:p>
        </w:tc>
        <w:tc>
          <w:tcPr/>
          <w:p>
            <w:pPr>
              <w:pStyle w:val="Compact"/>
              <w:jc w:val="left"/>
            </w:pPr>
            <w:r>
              <w:t xml:space="preserve">BMI −18% in media</w:t>
            </w:r>
          </w:p>
        </w:tc>
      </w:tr>
      <w:tr>
        <w:tc>
          <w:tcPr/>
          <w:p>
            <w:pPr>
              <w:pStyle w:val="Compact"/>
              <w:jc w:val="left"/>
            </w:pPr>
            <w:r>
              <w:t xml:space="preserve">Roth 2024 (obesità ipotalamica), PMID 38697184</w:t>
            </w:r>
          </w:p>
        </w:tc>
        <w:tc>
          <w:tcPr/>
          <w:p>
            <w:pPr>
              <w:pStyle w:val="Compact"/>
              <w:jc w:val="left"/>
            </w:pPr>
            <w:r>
              <w:t xml:space="preserve">18 persone, in aperto</w:t>
            </w:r>
          </w:p>
        </w:tc>
        <w:tc>
          <w:tcPr/>
          <w:p>
            <w:pPr>
              <w:pStyle w:val="Compact"/>
              <w:jc w:val="left"/>
            </w:pPr>
            <w:r>
              <w:t xml:space="preserve">16 settimane</w:t>
            </w:r>
          </w:p>
        </w:tc>
        <w:tc>
          <w:tcPr/>
          <w:p>
            <w:pPr>
              <w:pStyle w:val="Compact"/>
              <w:jc w:val="left"/>
            </w:pPr>
            <w:r>
              <w:t xml:space="preserve">BMI −15% in media</w:t>
            </w:r>
          </w:p>
        </w:tc>
      </w:tr>
      <w:tr>
        <w:tc>
          <w:tcPr/>
          <w:p>
            <w:pPr>
              <w:pStyle w:val="Compact"/>
              <w:jc w:val="left"/>
            </w:pPr>
            <w:r>
              <w:t xml:space="preserve">TRANSCEND (Miller 2026), PMID 42418774</w:t>
            </w:r>
          </w:p>
        </w:tc>
        <w:tc>
          <w:tcPr/>
          <w:p>
            <w:pPr>
              <w:pStyle w:val="Compact"/>
              <w:jc w:val="left"/>
            </w:pPr>
            <w:r>
              <w:t xml:space="preserve">120 persone con obesità ipotalamica acquisita, contro placebo</w:t>
            </w:r>
          </w:p>
        </w:tc>
        <w:tc>
          <w:tcPr/>
          <w:p>
            <w:pPr>
              <w:pStyle w:val="Compact"/>
              <w:jc w:val="left"/>
            </w:pPr>
            <w:r>
              <w:t xml:space="preserve">52 settimane</w:t>
            </w:r>
          </w:p>
        </w:tc>
        <w:tc>
          <w:tcPr/>
          <w:p>
            <w:pPr>
              <w:pStyle w:val="Compact"/>
              <w:jc w:val="left"/>
            </w:pPr>
            <w:r>
              <w:t xml:space="preserve">BMI −16,5% vs. +3,3%</w:t>
            </w:r>
          </w:p>
        </w:tc>
      </w:tr>
    </w:tbl>
    <w:bookmarkStart w:id="800" w:name="Xd56ad11aecd485e7d3ffe904eb4dab870a532e9"/>
    <w:p>
      <w:pPr>
        <w:pStyle w:val="Heading4"/>
      </w:pPr>
      <w:r>
        <w:t xml:space="preserve">Deficit di POMC, PCSK1 e del recettore della leptina</w:t>
      </w:r>
    </w:p>
    <w:p>
      <w:pPr>
        <w:pStyle w:val="FirstParagraph"/>
      </w:pPr>
      <w:r>
        <w:t xml:space="preserve">Le prime segnalazioni erano casi singoli: due pazienti con deficit di POMC, in uno studio promosso da medici, hanno perso 51,0 kg in 42 settimane e 20,5 kg in 12 settimane, e la loro fame si è ridotta in modo duraturo</w:t>
      </w:r>
      <w:r>
        <w:rPr>
          <w:rStyle w:val="FootnoteReference"/>
        </w:rPr>
        <w:footnoteReference w:id="797"/>
      </w:r>
      <w:r>
        <w:t xml:space="preserve">. Risultati simili sono stati descritti per tre persone con deficit del recettore della leptina</w:t>
      </w:r>
      <w:r>
        <w:rPr>
          <w:rStyle w:val="FootnoteReference"/>
        </w:rPr>
        <w:footnoteReference w:id="798"/>
      </w:r>
      <w:r>
        <w:t xml:space="preserve">.</w:t>
      </w:r>
    </w:p>
    <w:p>
      <w:pPr>
        <w:pStyle w:val="BodyText"/>
      </w:pPr>
      <w:r>
        <w:t xml:space="preserve">Gli studi registrativi</w:t>
      </w:r>
      <w:r>
        <w:rPr>
          <w:rStyle w:val="FootnoteReference"/>
        </w:rPr>
        <w:footnoteReference w:id="799"/>
      </w:r>
      <w:r>
        <w:t xml:space="preserve"> </w:t>
      </w:r>
      <w:r>
        <w:t xml:space="preserve">erano a braccio singolo – non c’era quindi un gruppo placebo per tutta la durata – ma comprendevano una breve fase di sospensione in cieco. Dopo circa un anno 8 persone su 10 con deficit di POMC e 5 su 11 con deficit del recettore della leptina avevano perso almeno il 10% del loro peso. La fame, su una scala da 0 a 10, è diminuita rispettivamente del 27,1% e del 43,7%. Per malattie così rare, studi piccoli e non controllati sono spesso l’unica opzione praticabile. In una malattia in cui senza trattamento non ci si può aspettare praticamente alcuna perdita di peso, i risultati sono comunque significativi.</w:t>
      </w:r>
    </w:p>
    <w:bookmarkEnd w:id="800"/>
    <w:bookmarkStart w:id="803" w:name="sindrome-di-bardet-biedl"/>
    <w:p>
      <w:pPr>
        <w:pStyle w:val="Heading4"/>
      </w:pPr>
      <w:r>
        <w:t xml:space="preserve">Sindrome di Bardet-Biedl</w:t>
      </w:r>
    </w:p>
    <w:p>
      <w:pPr>
        <w:pStyle w:val="FirstParagraph"/>
      </w:pPr>
      <w:r>
        <w:t xml:space="preserve">La sindrome di Bardet-Biedl (BBS) è una rara malattia ereditaria in cui le sottili estroflessioni cellulari (ciglia) sono alterate; oltre a danni alla retina, problemi renali e dita delle mani o dei piedi soprannumerarie, ne fanno parte una fame intensa e l’obesità. Nello studio di fase 3</w:t>
      </w:r>
      <w:r>
        <w:rPr>
          <w:rStyle w:val="FootnoteReference"/>
        </w:rPr>
        <w:footnoteReference w:id="801"/>
      </w:r>
      <w:r>
        <w:t xml:space="preserve"> </w:t>
      </w:r>
      <w:r>
        <w:t xml:space="preserve">dopo 52 settimane il 32,3% delle persone con BBS dai 12 anni in su ha raggiunto una perdita di peso di almeno il 10%. Nella sindrome affine di Alström i risultati non sono stati univoci. Un confronto con un gruppo di controllo appropriato tratto da un registro BBS ha mostrato che il 58,6% dei pazienti trattati rispetto al 6,9% dei non trattati ha raggiunto il rispettivo criterio di successo</w:t>
      </w:r>
      <w:r>
        <w:rPr>
          <w:rStyle w:val="FootnoteReference"/>
        </w:rPr>
        <w:footnoteReference w:id="802"/>
      </w:r>
      <w:r>
        <w:t xml:space="preserve">: un inquadramento indiretto, ma utile.</w:t>
      </w:r>
    </w:p>
    <w:bookmarkEnd w:id="803"/>
    <w:bookmarkStart w:id="805" w:name="bambini-piccoli"/>
    <w:p>
      <w:pPr>
        <w:pStyle w:val="Heading4"/>
      </w:pPr>
      <w:r>
        <w:t xml:space="preserve">Bambini piccoli</w:t>
      </w:r>
    </w:p>
    <w:p>
      <w:pPr>
        <w:pStyle w:val="FirstParagraph"/>
      </w:pPr>
      <w:r>
        <w:t xml:space="preserve">Nello studio in aperto VENTURE su 12 bambini tra i 2 e i 5 anni il BMI è diminuito dopo un anno in media del 18%: del 26% nel deficit di POMC o del recettore della leptina e del 10% nella BBS. Il 91% delle persone che si prendevano cura dei bambini ha riferito che i bambini avevano meno fame</w:t>
      </w:r>
      <w:r>
        <w:rPr>
          <w:rStyle w:val="FootnoteReference"/>
        </w:rPr>
        <w:footnoteReference w:id="804"/>
      </w:r>
      <w:r>
        <w:t xml:space="preserve">.</w:t>
      </w:r>
    </w:p>
    <w:bookmarkEnd w:id="805"/>
    <w:bookmarkStart w:id="808" w:name="obesità-ipotalamica"/>
    <w:p>
      <w:pPr>
        <w:pStyle w:val="Heading4"/>
      </w:pPr>
      <w:r>
        <w:t xml:space="preserve">Obesità ipotalamica</w:t>
      </w:r>
    </w:p>
    <w:p>
      <w:pPr>
        <w:pStyle w:val="FirstParagraph"/>
      </w:pPr>
      <w:r>
        <w:t xml:space="preserve">Un secondo gruppo bersaglio, più numeroso, sono le persone il cui ipotalamo è stato danneggiato da un tumore (spesso un craniofaringioma), da un intervento chirurgico o da radioterapia. Spesso sviluppano un’obesità difficile da trattare. Dopo uno studio di fase 2 in aperto su 18 persone, in cui il BMI è diminuito dopo 16 settimane in media del 15%</w:t>
      </w:r>
      <w:r>
        <w:rPr>
          <w:rStyle w:val="FootnoteReference"/>
        </w:rPr>
        <w:footnoteReference w:id="806"/>
      </w:r>
      <w:r>
        <w:t xml:space="preserve">, è seguito lo studio randomizzato di fase 3 TRANSCEND</w:t>
      </w:r>
      <w:r>
        <w:rPr>
          <w:rStyle w:val="FootnoteReference"/>
        </w:rPr>
        <w:footnoteReference w:id="807"/>
      </w:r>
      <w:r>
        <w:t xml:space="preserve">:</w:t>
      </w:r>
    </w:p>
    <w:p>
      <w:pPr>
        <w:numPr>
          <w:ilvl w:val="0"/>
          <w:numId w:val="1100"/>
        </w:numPr>
        <w:pStyle w:val="Compact"/>
      </w:pPr>
      <w:r>
        <w:t xml:space="preserve">120 persone tra i 4 e i 66 anni, rapporto 2:1 setmelanotide/placebo.</w:t>
      </w:r>
    </w:p>
    <w:p>
      <w:pPr>
        <w:numPr>
          <w:ilvl w:val="0"/>
          <w:numId w:val="1100"/>
        </w:numPr>
        <w:pStyle w:val="Compact"/>
      </w:pPr>
      <w:r>
        <w:t xml:space="preserve">Dopo 52 settimane: BMI −16,5% con setmelanotide, +3,3% con placebo.</w:t>
      </w:r>
    </w:p>
    <w:p>
      <w:pPr>
        <w:numPr>
          <w:ilvl w:val="0"/>
          <w:numId w:val="1100"/>
        </w:numPr>
        <w:pStyle w:val="Compact"/>
      </w:pPr>
      <w:r>
        <w:t xml:space="preserve">Punteggio della fame: −2,73 rispetto a −1,45 punti.</w:t>
      </w:r>
    </w:p>
    <w:p>
      <w:pPr>
        <w:numPr>
          <w:ilvl w:val="0"/>
          <w:numId w:val="1100"/>
        </w:numPr>
        <w:pStyle w:val="Compact"/>
      </w:pPr>
      <w:r>
        <w:t xml:space="preserve">Eventi avversi gravi: 28% rispetto all’8%.</w:t>
      </w:r>
    </w:p>
    <w:bookmarkEnd w:id="808"/>
    <w:bookmarkStart w:id="811" w:name="varianti-genetiche-più-frequenti"/>
    <w:p>
      <w:pPr>
        <w:pStyle w:val="Heading4"/>
      </w:pPr>
      <w:r>
        <w:t xml:space="preserve">Varianti genetiche più frequenti</w:t>
      </w:r>
    </w:p>
    <w:p>
      <w:pPr>
        <w:pStyle w:val="FirstParagraph"/>
      </w:pPr>
      <w:r>
        <w:t xml:space="preserve">Meno convincenti sono i dati nelle persone con una sola copia alterata del gene MC4R, una delle cause genetiche più frequenti di obesità grave. In un piccolo studio di 28 giorni queste persone hanno sì perso peso, ma molto meno delle persone con difetti di POMC</w:t>
      </w:r>
      <w:r>
        <w:rPr>
          <w:rStyle w:val="FootnoteReference"/>
        </w:rPr>
        <w:footnoteReference w:id="809"/>
      </w:r>
      <w:r>
        <w:t xml:space="preserve">. Lo studio di fase 3 più ampio EMANATE su diverse varianti della via MC4R risulta concluso secondo il registro</w:t>
      </w:r>
      <w:r>
        <w:rPr>
          <w:rStyle w:val="FootnoteReference"/>
        </w:rPr>
        <w:footnoteReference w:id="810"/>
      </w:r>
      <w:r>
        <w:t xml:space="preserve">; al momento della ricerca non era ancora disponibile una pubblicazione sottoposta a revisione paritaria.</w:t>
      </w:r>
    </w:p>
    <w:bookmarkEnd w:id="811"/>
    <w:bookmarkEnd w:id="812"/>
    <w:bookmarkStart w:id="814" w:name="studi-su-animali-e-in-laboratorio-12"/>
    <w:p>
      <w:pPr>
        <w:pStyle w:val="Heading3"/>
      </w:pPr>
      <w:r>
        <w:t xml:space="preserve">Studi su animali e in laboratorio</w:t>
      </w:r>
    </w:p>
    <w:p>
      <w:pPr>
        <w:pStyle w:val="FirstParagraph"/>
      </w:pPr>
      <w:r>
        <w:t xml:space="preserve">Negli esperimenti su cellule setmelanotide è nettamente più efficace dell’alfa-MSH endogeno sul recettore MC4 e può riattivare in parte una parte delle varianti recettoriali difettose. Nei roditori normali ha portato a una perdita di peso, mentre nei topi completamente privi del recettore MC4 no</w:t>
      </w:r>
      <w:r>
        <w:rPr>
          <w:rStyle w:val="FootnoteReference"/>
        </w:rPr>
        <w:footnoteReference w:id="813"/>
      </w:r>
      <w:r>
        <w:t xml:space="preserve">. Ciò conferma che l’effetto passa effettivamente attraverso questo recettore.</w:t>
      </w:r>
    </w:p>
    <w:bookmarkEnd w:id="814"/>
    <w:bookmarkStart w:id="820" w:name="rischi-ed-effetti-collaterali-12"/>
    <w:p>
      <w:pPr>
        <w:pStyle w:val="Heading3"/>
      </w:pPr>
      <w:r>
        <w:t xml:space="preserve">Rischi ed effetti collaterali</w:t>
      </w:r>
    </w:p>
    <w:p>
      <w:pPr>
        <w:pStyle w:val="FirstParagraph"/>
      </w:pPr>
      <w:r>
        <w:rPr>
          <w:bCs/>
          <w:b/>
        </w:rPr>
        <w:t xml:space="preserve">Documentati dagli studi:</w:t>
      </w:r>
    </w:p>
    <w:p>
      <w:pPr>
        <w:numPr>
          <w:ilvl w:val="0"/>
          <w:numId w:val="1101"/>
        </w:numPr>
        <w:pStyle w:val="Compact"/>
      </w:pPr>
      <w:r>
        <w:rPr>
          <w:bCs/>
          <w:b/>
        </w:rPr>
        <w:t xml:space="preserve">Reazioni cutanee nel sito di iniezione</w:t>
      </w:r>
      <w:r>
        <w:t xml:space="preserve"> </w:t>
      </w:r>
      <w:r>
        <w:t xml:space="preserve">(arrossamento, gonfiore): in una meta-analisi di sette studi con 185 persone nel 96%</w:t>
      </w:r>
      <w:r>
        <w:rPr>
          <w:rStyle w:val="FootnoteReference"/>
        </w:rPr>
        <w:footnoteReference w:id="815"/>
      </w:r>
      <w:r>
        <w:t xml:space="preserve">.</w:t>
      </w:r>
    </w:p>
    <w:p>
      <w:pPr>
        <w:numPr>
          <w:ilvl w:val="0"/>
          <w:numId w:val="1101"/>
        </w:numPr>
        <w:pStyle w:val="Compact"/>
      </w:pPr>
      <w:r>
        <w:rPr>
          <w:bCs/>
          <w:b/>
        </w:rPr>
        <w:t xml:space="preserve">Pelle più scura (iperpigmentazione):</w:t>
      </w:r>
      <w:r>
        <w:t xml:space="preserve"> </w:t>
      </w:r>
      <w:r>
        <w:t xml:space="preserve">nel 62% nella stessa meta-analisi. Attraverso l’effetto sul recettore della melanocortina 1 la pelle si abbronza, labbra e nei diventano più scuri, i capelli rossi possono diventare castani. In un’osservazione fino a 46 mesi l’abbronzatura si è stabilizzata nel tempo; non si sono verificate alterazioni cutanee maligne</w:t>
      </w:r>
      <w:r>
        <w:rPr>
          <w:rStyle w:val="FootnoteReference"/>
        </w:rPr>
        <w:footnoteReference w:id="816"/>
      </w:r>
      <w:r>
        <w:t xml:space="preserve">. Gli specialisti raccomandano controlli dermatologici regolari.</w:t>
      </w:r>
    </w:p>
    <w:p>
      <w:pPr>
        <w:numPr>
          <w:ilvl w:val="0"/>
          <w:numId w:val="1101"/>
        </w:numPr>
        <w:pStyle w:val="Compact"/>
      </w:pPr>
      <w:r>
        <w:rPr>
          <w:bCs/>
          <w:b/>
        </w:rPr>
        <w:t xml:space="preserve">Nausea e vomito:</w:t>
      </w:r>
      <w:r>
        <w:t xml:space="preserve"> </w:t>
      </w:r>
      <w:r>
        <w:t xml:space="preserve">rispettivamente nel 36% e nel 26%; diarrea nel 21%</w:t>
      </w:r>
      <w:r>
        <w:rPr>
          <w:rStyle w:val="FootnoteReference"/>
        </w:rPr>
        <w:footnoteReference w:id="817"/>
      </w:r>
      <w:r>
        <w:t xml:space="preserve">.</w:t>
      </w:r>
    </w:p>
    <w:p>
      <w:pPr>
        <w:numPr>
          <w:ilvl w:val="0"/>
          <w:numId w:val="1101"/>
        </w:numPr>
        <w:pStyle w:val="Compact"/>
      </w:pPr>
      <w:r>
        <w:rPr>
          <w:bCs/>
          <w:b/>
        </w:rPr>
        <w:t xml:space="preserve">Eventi avversi gravi:</w:t>
      </w:r>
      <w:r>
        <w:t xml:space="preserve"> </w:t>
      </w:r>
      <w:r>
        <w:t xml:space="preserve">in TRANSCEND più frequenti con setmelanotide (28% vs. 8%)</w:t>
      </w:r>
      <w:r>
        <w:rPr>
          <w:rStyle w:val="FootnoteReference"/>
        </w:rPr>
        <w:footnoteReference w:id="818"/>
      </w:r>
      <w:r>
        <w:t xml:space="preserve">; l’abstract non li dettaglia singolarmente.</w:t>
      </w:r>
    </w:p>
    <w:p>
      <w:pPr>
        <w:numPr>
          <w:ilvl w:val="0"/>
          <w:numId w:val="1101"/>
        </w:numPr>
        <w:pStyle w:val="Compact"/>
      </w:pPr>
      <w:r>
        <w:t xml:space="preserve">Nello studio sulla BBS sono stati riferiti come eventi gravi, tra l’altro, pensieri suicidi, che non sono stati classificati come correlati al trattamento</w:t>
      </w:r>
      <w:r>
        <w:rPr>
          <w:rStyle w:val="FootnoteReference"/>
        </w:rPr>
        <w:footnoteReference w:id="819"/>
      </w:r>
      <w:r>
        <w:t xml:space="preserve">. Il riassunto delle caratteristiche del prodotto contiene avvertenze su depressione e pensieri suicidi e sulle erezioni spontanee negli uomini.</w:t>
      </w:r>
    </w:p>
    <w:p>
      <w:pPr>
        <w:pStyle w:val="FirstParagraph"/>
      </w:pPr>
      <w:r>
        <w:rPr>
          <w:bCs/>
          <w:b/>
        </w:rPr>
        <w:t xml:space="preserve">Teorici:</w:t>
      </w:r>
      <w:r>
        <w:t xml:space="preserve"> </w:t>
      </w:r>
      <w:r>
        <w:t xml:space="preserve">se la stimolazione prolungata delle cellule pigmentate influenzi a lungo termine il rischio di tumori cutanei non è chiarito; le osservazioni finora disponibili su alcuni anni non mostrano segnali.</w:t>
      </w:r>
    </w:p>
    <w:p>
      <w:pPr>
        <w:pStyle w:val="BodyText"/>
      </w:pPr>
      <w:r>
        <w:rPr>
          <w:bCs/>
          <w:b/>
        </w:rPr>
        <w:t xml:space="preserve">Potenziale di abuso:</w:t>
      </w:r>
      <w:r>
        <w:t xml:space="preserve"> </w:t>
      </w:r>
      <w:r>
        <w:t xml:space="preserve">a causa dell’effetto abbronzante, setmelanotide viene talvolta associato a Melanotan II nei forum su internet. Per persone senza un difetto genetico accertato non è un farmaco dimagrante adatto e non è stato studiato a questo scopo.</w:t>
      </w:r>
    </w:p>
    <w:bookmarkEnd w:id="820"/>
    <w:bookmarkStart w:id="821" w:name="quadro-normativo-12"/>
    <w:p>
      <w:pPr>
        <w:pStyle w:val="Heading3"/>
      </w:pPr>
      <w:r>
        <w:t xml:space="preserve">Quadro normativo</w:t>
      </w:r>
    </w:p>
    <w:p>
      <w:pPr>
        <w:numPr>
          <w:ilvl w:val="0"/>
          <w:numId w:val="1102"/>
        </w:numPr>
        <w:pStyle w:val="Compact"/>
      </w:pPr>
      <w:r>
        <w:rPr>
          <w:bCs/>
          <w:b/>
        </w:rPr>
        <w:t xml:space="preserve">UE / Austria / Germania:</w:t>
      </w:r>
      <w:r>
        <w:t xml:space="preserve"> </w:t>
      </w:r>
      <w:r>
        <w:t xml:space="preserve">autorizzato (Imcivree), soggetto a prescrizione medica, solo per forme geneticamente confermate (deficit di POMC, PCSK1, del recettore della leptina, sindrome di Bardet-Biedl). La diagnosi richiede un esame genetico; avvio e monitoraggio spettano a centri specializzati. Dettagli sull’estensione all’obesità ipotalamica:</w:t>
      </w:r>
    </w:p>
    <w:p>
      <w:pPr>
        <w:numPr>
          <w:ilvl w:val="0"/>
          <w:numId w:val="1102"/>
        </w:numPr>
        <w:pStyle w:val="Compact"/>
      </w:pPr>
      <w:r>
        <w:rPr>
          <w:bCs/>
          <w:b/>
        </w:rPr>
        <w:t xml:space="preserve">USA:</w:t>
      </w:r>
      <w:r>
        <w:t xml:space="preserve"> </w:t>
      </w:r>
      <w:r>
        <w:t xml:space="preserve">autorizzato dal 2020 (POMC, PCSK1, LEPR), successivamente esteso alla sindrome di Bardet-Biedl e ai bambini più piccoli; una domanda per l’obesità ipotalamica è stata presentata sulla base di TRANSCEND.</w:t>
      </w:r>
    </w:p>
    <w:p>
      <w:pPr>
        <w:numPr>
          <w:ilvl w:val="0"/>
          <w:numId w:val="1102"/>
        </w:numPr>
        <w:pStyle w:val="Compact"/>
      </w:pPr>
      <w:r>
        <w:rPr>
          <w:bCs/>
          <w:b/>
        </w:rPr>
        <w:t xml:space="preserve">Sport:</w:t>
      </w:r>
      <w:r>
        <w:t xml:space="preserve"> </w:t>
      </w:r>
      <w:r>
        <w:t xml:space="preserve">non citato nella lista WADA (aggiornato al 2026, da verificare).</w:t>
      </w:r>
    </w:p>
    <w:bookmarkEnd w:id="821"/>
    <w:bookmarkStart w:id="828" w:name="studi-in-corso-e-prospettive-12"/>
    <w:p>
      <w:pPr>
        <w:pStyle w:val="Heading3"/>
      </w:pPr>
      <w:r>
        <w:t xml:space="preserve">Studi in corso e prospettive</w:t>
      </w:r>
    </w:p>
    <w:p>
      <w:pPr>
        <w:pStyle w:val="FirstParagraph"/>
      </w:pPr>
      <w:r>
        <w:rPr>
          <w:bCs/>
          <w:b/>
        </w:rPr>
        <w:t xml:space="preserve">Certo (studi registrati, aggiornato a ottobre 2026):</w:t>
      </w:r>
    </w:p>
    <w:p>
      <w:pPr>
        <w:numPr>
          <w:ilvl w:val="0"/>
          <w:numId w:val="1103"/>
        </w:numPr>
        <w:pStyle w:val="Compact"/>
      </w:pPr>
      <w:r>
        <w:rPr>
          <w:bCs/>
          <w:b/>
        </w:rPr>
        <w:t xml:space="preserve">TRANSCEND</w:t>
      </w:r>
      <w:r>
        <w:rPr>
          <w:rStyle w:val="FootnoteReference"/>
        </w:rPr>
        <w:footnoteReference w:id="822"/>
      </w:r>
      <w:r>
        <w:t xml:space="preserve"> </w:t>
      </w:r>
      <w:r>
        <w:t xml:space="preserve">prosegue in un’estensione; un sottostudio valuta l’obesità ipotalamica congenita</w:t>
      </w:r>
      <w:r>
        <w:rPr>
          <w:rStyle w:val="FootnoteReference"/>
        </w:rPr>
        <w:footnoteReference w:id="823"/>
      </w:r>
      <w:r>
        <w:t xml:space="preserve">.</w:t>
      </w:r>
    </w:p>
    <w:p>
      <w:pPr>
        <w:numPr>
          <w:ilvl w:val="0"/>
          <w:numId w:val="1103"/>
        </w:numPr>
        <w:pStyle w:val="Compact"/>
      </w:pPr>
      <w:r>
        <w:rPr>
          <w:bCs/>
          <w:b/>
        </w:rPr>
        <w:t xml:space="preserve">Sindrome di Prader-Willi</w:t>
      </w:r>
      <w:r>
        <w:rPr>
          <w:rStyle w:val="FootnoteReference"/>
        </w:rPr>
        <w:footnoteReference w:id="824"/>
      </w:r>
      <w:r>
        <w:t xml:space="preserve">: fase 2 con 18 partecipanti.</w:t>
      </w:r>
    </w:p>
    <w:p>
      <w:pPr>
        <w:numPr>
          <w:ilvl w:val="0"/>
          <w:numId w:val="1103"/>
        </w:numPr>
        <w:pStyle w:val="Compact"/>
      </w:pPr>
      <w:r>
        <w:rPr>
          <w:bCs/>
          <w:b/>
        </w:rPr>
        <w:t xml:space="preserve">Osservazione a lungo termine</w:t>
      </w:r>
      <w:r>
        <w:t xml:space="preserve"> </w:t>
      </w:r>
      <w:r>
        <w:t xml:space="preserve">nella BBS e nell’obesità genetica grave nella pratica clinica</w:t>
      </w:r>
      <w:r>
        <w:rPr>
          <w:rStyle w:val="FootnoteReference"/>
        </w:rPr>
        <w:footnoteReference w:id="825"/>
      </w:r>
      <w:r>
        <w:t xml:space="preserve">.</w:t>
      </w:r>
    </w:p>
    <w:p>
      <w:pPr>
        <w:numPr>
          <w:ilvl w:val="0"/>
          <w:numId w:val="1103"/>
        </w:numPr>
        <w:pStyle w:val="Compact"/>
      </w:pPr>
      <w:r>
        <w:rPr>
          <w:bCs/>
          <w:b/>
        </w:rPr>
        <w:t xml:space="preserve">EMANATE</w:t>
      </w:r>
      <w:r>
        <w:rPr>
          <w:rStyle w:val="FootnoteReference"/>
        </w:rPr>
        <w:footnoteReference w:id="826"/>
      </w:r>
      <w:r>
        <w:t xml:space="preserve"> </w:t>
      </w:r>
      <w:r>
        <w:t xml:space="preserve">e</w:t>
      </w:r>
      <w:r>
        <w:t xml:space="preserve"> </w:t>
      </w:r>
      <w:r>
        <w:rPr>
          <w:bCs/>
          <w:b/>
        </w:rPr>
        <w:t xml:space="preserve">DAYBREAK</w:t>
      </w:r>
      <w:r>
        <w:rPr>
          <w:rStyle w:val="FootnoteReference"/>
        </w:rPr>
        <w:footnoteReference w:id="827"/>
      </w:r>
      <w:r>
        <w:t xml:space="preserve"> </w:t>
      </w:r>
      <w:r>
        <w:t xml:space="preserve">su ulteriori varianti genetiche: conclusi, pubblicazione in attesa.</w:t>
      </w:r>
    </w:p>
    <w:p>
      <w:pPr>
        <w:pStyle w:val="FirstParagraph"/>
      </w:pPr>
      <w:r>
        <w:rPr>
          <w:bCs/>
          <w:b/>
        </w:rPr>
        <w:t xml:space="preserve">Valutazione:</w:t>
      </w:r>
      <w:r>
        <w:t xml:space="preserve"> </w:t>
      </w:r>
      <w:r>
        <w:t xml:space="preserve">setmelanotide ha dimostrato che la medicina di precisione nell’obesità è possibile: chi conosce la causa può trattare in modo mirato. Il gruppo bersaglio resta piccolo; con l’obesità ipotalamica potrebbe però ampliarsi in modo significativo. Per la grande maggioranza delle persone con obesità, in cui non è presente un simile difetto genetico, i farmaci basati sul GLP-1 sono più efficaci e meglio studiati.</w:t>
      </w:r>
    </w:p>
    <w:bookmarkEnd w:id="828"/>
    <w:bookmarkStart w:id="829" w:name="conclusione-12"/>
    <w:p>
      <w:pPr>
        <w:pStyle w:val="Heading3"/>
      </w:pPr>
      <w:r>
        <w:t xml:space="preserve">Conclusione</w:t>
      </w:r>
    </w:p>
    <w:p>
      <w:pPr>
        <w:pStyle w:val="FirstParagraph"/>
      </w:pPr>
      <w:r>
        <w:t xml:space="preserve">Setmelanotide è un piccolo peptide ciclico che attiva il recettore MC4 nel cervello e così scavalca gli anelli difettosi della via leptina-melanocortina. Nei piccoli studi registrativi l’80% delle persone con deficit di POMC e il 45% con deficit del recettore della leptina hanno perso almeno il 10% del loro peso; nell’obesità ipotalamica il BMI è diminuito dopo un anno del 16,5% rispetto a un aumento con il placebo. Quasi tutti i trattati sviluppano reazioni cutanee nel sito di iniezione, la maggioranza una pelle più scura. Setmelanotide è autorizzato nell’UE e negli USA per rare forme genetiche di obesità e non è un farmaco per la perdita di peso in generale.</w:t>
      </w:r>
    </w:p>
    <w:bookmarkEnd w:id="829"/>
    <w:bookmarkEnd w:id="830"/>
    <w:bookmarkStart w:id="855" w:name="aod-9604"/>
    <w:p>
      <w:pPr>
        <w:pStyle w:val="Heading2"/>
      </w:pPr>
      <w:r>
        <w:t xml:space="preserve">AOD-9604</w:t>
      </w:r>
    </w:p>
    <w:bookmarkStart w:id="832" w:name="scheda-13"/>
    <w:p>
      <w:pPr>
        <w:pStyle w:val="Heading3"/>
      </w:pPr>
      <w:r>
        <w:t xml:space="preserve">Scheda</w:t>
      </w:r>
    </w:p>
    <w:p>
      <w:pPr>
        <w:numPr>
          <w:ilvl w:val="0"/>
          <w:numId w:val="1104"/>
        </w:numPr>
        <w:pStyle w:val="Compact"/>
      </w:pPr>
      <w:r>
        <w:rPr>
          <w:bCs/>
          <w:b/>
        </w:rPr>
        <w:t xml:space="preserve">Tipo/struttura:</w:t>
      </w:r>
      <w:r>
        <w:t xml:space="preserve"> </w:t>
      </w:r>
      <w:r>
        <w:t xml:space="preserve">peptide sintetico ricavato dall’estremità posteriore (C-terminale) dell’ormone della crescita umano: gli aminoacidi da 177 a 191, con l’aggiunta di una tirosina all’inizio</w:t>
      </w:r>
      <w:r>
        <w:rPr>
          <w:rStyle w:val="FootnoteReference"/>
        </w:rPr>
        <w:footnoteReference w:id="831"/>
      </w:r>
      <w:r>
        <w:t xml:space="preserve">. Su internet è spesso offerto con denominazioni come «hGH Fragment 176-191» o «Frag 176-191». Il nome sta per «Anti-Obesity Drug 9604».</w:t>
      </w:r>
    </w:p>
    <w:p>
      <w:pPr>
        <w:numPr>
          <w:ilvl w:val="0"/>
          <w:numId w:val="1104"/>
        </w:numPr>
        <w:pStyle w:val="Compact"/>
      </w:pPr>
      <w:r>
        <w:rPr>
          <w:bCs/>
          <w:b/>
        </w:rPr>
        <w:t xml:space="preserve">Origine:</w:t>
      </w:r>
      <w:r>
        <w:t xml:space="preserve"> </w:t>
      </w:r>
      <w:r>
        <w:t xml:space="preserve">sviluppato negli anni Novanta presso la Monash University di Melbourne e portato avanti come farmaco dimagrante dall’azienda australiana Metabolic Pharmaceuticals.</w:t>
      </w:r>
    </w:p>
    <w:p>
      <w:pPr>
        <w:numPr>
          <w:ilvl w:val="0"/>
          <w:numId w:val="1104"/>
        </w:numPr>
        <w:pStyle w:val="Compact"/>
      </w:pPr>
      <w:r>
        <w:rPr>
          <w:bCs/>
          <w:b/>
        </w:rPr>
        <w:t xml:space="preserve">Principio d’azione (ipotesi):</w:t>
      </w:r>
      <w:r>
        <w:t xml:space="preserve"> </w:t>
      </w:r>
      <w:r>
        <w:t xml:space="preserve">dovrebbe imitare l’effetto lipolitico dell’ormone della crescita, senza i suoi effetti su glicemia e crescita.</w:t>
      </w:r>
    </w:p>
    <w:p>
      <w:pPr>
        <w:numPr>
          <w:ilvl w:val="0"/>
          <w:numId w:val="1104"/>
        </w:numPr>
        <w:pStyle w:val="Compact"/>
      </w:pPr>
      <w:r>
        <w:rPr>
          <w:bCs/>
          <w:b/>
        </w:rPr>
        <w:t xml:space="preserve">Autorizzazione UE / USA:</w:t>
      </w:r>
      <w:r>
        <w:t xml:space="preserve"> </w:t>
      </w:r>
      <w:r>
        <w:t xml:space="preserve">no. Lo sviluppo come medicinale è stato interrotto dopo studi di fase 2.</w:t>
      </w:r>
    </w:p>
    <w:p>
      <w:pPr>
        <w:numPr>
          <w:ilvl w:val="0"/>
          <w:numId w:val="1104"/>
        </w:numPr>
        <w:pStyle w:val="Compact"/>
      </w:pPr>
      <w:r>
        <w:rPr>
          <w:bCs/>
          <w:b/>
        </w:rPr>
        <w:t xml:space="preserve">WADA:</w:t>
      </w:r>
      <w:r>
        <w:t xml:space="preserve"> </w:t>
      </w:r>
      <w:r>
        <w:t xml:space="preserve">vietato – i frammenti dell’ormone della crescita come AOD-9604 sono citati espressamente nella lista delle sostanze proibite, classe S2.</w:t>
      </w:r>
    </w:p>
    <w:p>
      <w:pPr>
        <w:numPr>
          <w:ilvl w:val="0"/>
          <w:numId w:val="1104"/>
        </w:numPr>
        <w:pStyle w:val="Compact"/>
      </w:pPr>
      <w:r>
        <w:rPr>
          <w:bCs/>
          <w:b/>
        </w:rPr>
        <w:t xml:space="preserve">Livello di evidenza:</w:t>
      </w:r>
      <w:r>
        <w:t xml:space="preserve"> </w:t>
      </w:r>
      <w:r>
        <w:rPr>
          <w:bCs/>
          <w:b/>
        </w:rPr>
        <w:t xml:space="preserve">D</w:t>
      </w:r>
      <w:r>
        <w:t xml:space="preserve"> </w:t>
      </w:r>
      <w:r>
        <w:t xml:space="preserve">– nessun risultato pubblicato di studi sull’uomo reperibile su PubMed; dati da studi su animali e in laboratorio.</w:t>
      </w:r>
    </w:p>
    <w:bookmarkEnd w:id="832"/>
    <w:bookmarkStart w:id="836" w:name="come-dovrebbe-agire-13"/>
    <w:p>
      <w:pPr>
        <w:pStyle w:val="Heading3"/>
      </w:pPr>
      <w:r>
        <w:t xml:space="preserve">Come dovrebbe agire</w:t>
      </w:r>
    </w:p>
    <w:p>
      <w:pPr>
        <w:pStyle w:val="FirstParagraph"/>
      </w:pPr>
      <w:r>
        <w:t xml:space="preserve">L’ormone della crescita (hGH) ha molti effetti: favorisce la crescita in altezza, agisce su muscoli e ossa, stimola la combustione dei grassi e aumenta la glicemia, attenuando l’effetto dell’insulina. Già negli anni Settanta e Ottanta i ricercatori studiarono sugli animali se singole sezioni dell’ormone fossero responsabili di effetti parziali diversi. Degno di nota: in uno studio sui ratti, versioni chimicamente modificate proprio di questa sezione (aminoacidi da 177 a 191) hanno provocato un aumento della glicemia e un’insulino-resistenza</w:t>
      </w:r>
      <w:r>
        <w:rPr>
          <w:rStyle w:val="FootnoteReference"/>
        </w:rPr>
        <w:footnoteReference w:id="833"/>
      </w:r>
      <w:r>
        <w:t xml:space="preserve">, cioè proprio l’effetto che AOD-9604 avrebbe poi dovuto evitare. I risultati dipendono evidentemente in modo marcato dalla forma chimica esatta del peptide.</w:t>
      </w:r>
    </w:p>
    <w:p>
      <w:pPr>
        <w:pStyle w:val="BodyText"/>
      </w:pPr>
      <w:r>
        <w:t xml:space="preserve">L’idea alla base di AOD-9604: un breve tratto dell’estremità dell’ormone dovrebbe conservare solo l’effetto lipolitico. Le analisi di laboratorio hanno mostrato che AOD-9604 non si lega al recettore dell’ormone della crescita e lì non stimola nemmeno la divisione cellulare</w:t>
      </w:r>
      <w:r>
        <w:rPr>
          <w:rStyle w:val="FootnoteReference"/>
        </w:rPr>
        <w:footnoteReference w:id="834"/>
      </w:r>
      <w:r>
        <w:t xml:space="preserve">. Non sarebbe quindi un «piccolo ormone della crescita», ma una molecola con un proprio meccanismo d’azione non ancora del tutto compreso. Negli esperimenti su topi privi del recettore adrenergico beta-3 (un recettore importante per la degradazione dei grassi) l’effetto di riduzione del peso a lungo termine è venuto meno; gli autori ne hanno concluso che il recettore è coinvolto, ma non è il bersaglio diretto</w:t>
      </w:r>
      <w:r>
        <w:rPr>
          <w:rStyle w:val="FootnoteReference"/>
        </w:rPr>
        <w:footnoteReference w:id="835"/>
      </w:r>
      <w:r>
        <w:t xml:space="preserve">.</w:t>
      </w:r>
    </w:p>
    <w:bookmarkEnd w:id="836"/>
    <w:bookmarkStart w:id="838" w:name="studi-sulluomo-13"/>
    <w:p>
      <w:pPr>
        <w:pStyle w:val="Heading3"/>
      </w:pPr>
      <w:r>
        <w:t xml:space="preserve">Studi sull’uomo</w:t>
      </w:r>
    </w:p>
    <w:p>
      <w:pPr>
        <w:pStyle w:val="FirstParagraph"/>
      </w:pPr>
      <w:r>
        <w:rPr>
          <w:bCs/>
          <w:b/>
        </w:rPr>
        <w:t xml:space="preserve">Dimensioni della letteratura:</w:t>
      </w:r>
      <w:r>
        <w:t xml:space="preserve"> </w:t>
      </w:r>
      <w:r>
        <w:t xml:space="preserve">la ricerca automatizzata su PubMed (ottobre 2026)</w:t>
      </w:r>
      <w:r>
        <w:t xml:space="preserve"> </w:t>
      </w:r>
      <w:r>
        <w:rPr>
          <w:bCs/>
          <w:b/>
        </w:rPr>
        <w:t xml:space="preserve">non</w:t>
      </w:r>
      <w:r>
        <w:t xml:space="preserve"> </w:t>
      </w:r>
      <w:r>
        <w:t xml:space="preserve">ha individuato alcuno studio sull’uomo pubblicato. Su ClinicalTrials.gov non è registrato alcuno studio con «AOD9604» o «AOD-9604».</w:t>
      </w:r>
    </w:p>
    <w:p>
      <w:pPr>
        <w:pStyle w:val="BodyText"/>
      </w:pPr>
      <w:r>
        <w:t xml:space="preserve">Ciò non significa che AOD-9604 non sia mai stato testato sull’uomo. Lavori di revisione degli anni 2004–2006 riferiscono che AOD-9604 si trovava in studi di fase 2 per il trattamento dell’obesità</w:t>
      </w:r>
      <w:r>
        <w:rPr>
          <w:rStyle w:val="FootnoteReference"/>
        </w:rPr>
        <w:footnoteReference w:id="837"/>
      </w:r>
      <w:r>
        <w:t xml:space="preserve">. I risultati di questi studi non sono però stati pubblicati in una rivista con revisione paritaria indicizzata su PubMed. Secondo informazioni pubblicamente accessibili, lo sviluppatore interruppe il programma per la perdita di peso nella seconda metà degli anni Duemila perché non emergeva un effetto sufficiente. Poiché queste informazioni non provengono da una pubblicazione verificabile, questo libro non riporta cifre in merito.</w:t>
      </w:r>
    </w:p>
    <w:p>
      <w:pPr>
        <w:pStyle w:val="BodyText"/>
      </w:pPr>
      <w:r>
        <w:t xml:space="preserve">Per i lettori ciò significa: chi oggi si vede offrire AOD-9604 come peptide dimagrante o «brucia grassi» non può fare riferimento ad alcuno studio sull’uomo pubblicato che ne dimostri un effetto.</w:t>
      </w:r>
    </w:p>
    <w:bookmarkEnd w:id="838"/>
    <w:bookmarkStart w:id="843" w:name="studi-su-animali-e-in-laboratorio-13"/>
    <w:p>
      <w:pPr>
        <w:pStyle w:val="Heading3"/>
      </w:pPr>
      <w:r>
        <w:t xml:space="preserve">Studi su animali e in laboratorio</w:t>
      </w:r>
    </w:p>
    <w:p>
      <w:pPr>
        <w:pStyle w:val="FirstParagraph"/>
      </w:pPr>
      <w:r>
        <w:t xml:space="preserve">Tutti i risultati che seguono provengono da esperimenti sugli animali o da analisi di laboratorio:</w:t>
      </w:r>
    </w:p>
    <w:p>
      <w:pPr>
        <w:numPr>
          <w:ilvl w:val="0"/>
          <w:numId w:val="1105"/>
        </w:numPr>
        <w:pStyle w:val="Compact"/>
      </w:pPr>
      <w:r>
        <w:rPr>
          <w:bCs/>
          <w:b/>
        </w:rPr>
        <w:t xml:space="preserve">Nei ratti obesi</w:t>
      </w:r>
      <w:r>
        <w:t xml:space="preserve"> </w:t>
      </w:r>
      <w:r>
        <w:t xml:space="preserve">(ratti Zucker) AOD-9604, somministrato con il mangime per 19 giorni, ha ridotto l’aumento di peso di oltre la metà; il tessuto adiposo mostrava una maggiore attività lipolitica. A differenza dell’ormone della crescita completo, la sensibilità all’insulina non è peggiorata</w:t>
      </w:r>
      <w:r>
        <w:rPr>
          <w:rStyle w:val="FootnoteReference"/>
        </w:rPr>
        <w:footnoteReference w:id="839"/>
      </w:r>
      <w:r>
        <w:t xml:space="preserve">.</w:t>
      </w:r>
    </w:p>
    <w:p>
      <w:pPr>
        <w:numPr>
          <w:ilvl w:val="0"/>
          <w:numId w:val="1105"/>
        </w:numPr>
        <w:pStyle w:val="Compact"/>
      </w:pPr>
      <w:r>
        <w:rPr>
          <w:bCs/>
          <w:b/>
        </w:rPr>
        <w:t xml:space="preserve">Nei topi obesi</w:t>
      </w:r>
      <w:r>
        <w:t xml:space="preserve"> </w:t>
      </w:r>
      <w:r>
        <w:t xml:space="preserve">sia l’ormone della crescita sia AOD-9604 hanno ridotto in 14 giorni l’aumento di peso e incrementato la combustione dei grassi. A differenza dell’ormone della crescita, AOD-9604 non ha provocato un aumento della glicemia</w:t>
      </w:r>
      <w:r>
        <w:rPr>
          <w:rStyle w:val="FootnoteReference"/>
        </w:rPr>
        <w:footnoteReference w:id="840"/>
      </w:r>
      <w:r>
        <w:t xml:space="preserve">.</w:t>
      </w:r>
    </w:p>
    <w:p>
      <w:pPr>
        <w:numPr>
          <w:ilvl w:val="0"/>
          <w:numId w:val="1105"/>
        </w:numPr>
        <w:pStyle w:val="Compact"/>
      </w:pPr>
      <w:r>
        <w:rPr>
          <w:bCs/>
          <w:b/>
        </w:rPr>
        <w:t xml:space="preserve">Lavori preliminari più datati</w:t>
      </w:r>
      <w:r>
        <w:t xml:space="preserve"> </w:t>
      </w:r>
      <w:r>
        <w:t xml:space="preserve">su topi con il peptide affine hGH 177–191 hanno mostrato un minore aumento del peso corporeo e del tessuto adiposo</w:t>
      </w:r>
      <w:r>
        <w:rPr>
          <w:rStyle w:val="FootnoteReference"/>
        </w:rPr>
        <w:footnoteReference w:id="841"/>
      </w:r>
      <w:r>
        <w:t xml:space="preserve">.</w:t>
      </w:r>
    </w:p>
    <w:p>
      <w:pPr>
        <w:numPr>
          <w:ilvl w:val="0"/>
          <w:numId w:val="1105"/>
        </w:numPr>
        <w:pStyle w:val="Compact"/>
      </w:pPr>
      <w:r>
        <w:rPr>
          <w:bCs/>
          <w:b/>
        </w:rPr>
        <w:t xml:space="preserve">Nei conigli</w:t>
      </w:r>
      <w:r>
        <w:t xml:space="preserve"> </w:t>
      </w:r>
      <w:r>
        <w:t xml:space="preserve">con artrosi del ginocchio indotta artificialmente, le iniezioni di AOD-9604 nell’articolazione – da solo o insieme ad acido ialuronico – hanno migliorato lo stato della cartilagine</w:t>
      </w:r>
      <w:r>
        <w:rPr>
          <w:rStyle w:val="FootnoteReference"/>
        </w:rPr>
        <w:footnoteReference w:id="842"/>
      </w:r>
      <w:r>
        <w:t xml:space="preserve">. Questo risultato viene spesso citato su internet come prova di un effetto «rigenerante delle articolazioni» nell’uomo; uno studio del genere sull’uomo non esiste.</w:t>
      </w:r>
    </w:p>
    <w:p>
      <w:pPr>
        <w:pStyle w:val="FirstParagraph"/>
      </w:pPr>
      <w:r>
        <w:t xml:space="preserve">Gli studi sugli animali sono piccoli, in parte datati e per lo più provenienti dall’ambiente degli sviluppatori.</w:t>
      </w:r>
    </w:p>
    <w:bookmarkEnd w:id="843"/>
    <w:bookmarkStart w:id="849" w:name="rischi-ed-effetti-collaterali-13"/>
    <w:p>
      <w:pPr>
        <w:pStyle w:val="Heading3"/>
      </w:pPr>
      <w:r>
        <w:t xml:space="preserve">Rischi ed effetti collaterali</w:t>
      </w:r>
    </w:p>
    <w:p>
      <w:pPr>
        <w:pStyle w:val="FirstParagraph"/>
      </w:pPr>
      <w:r>
        <w:rPr>
          <w:bCs/>
          <w:b/>
        </w:rPr>
        <w:t xml:space="preserve">Documentati:</w:t>
      </w:r>
      <w:r>
        <w:t xml:space="preserve"> </w:t>
      </w:r>
      <w:r>
        <w:t xml:space="preserve">in mancanza di studi pubblicati sull’uomo non esistono dati affidabili sugli effetti collaterali nell’uomo.</w:t>
      </w:r>
    </w:p>
    <w:p>
      <w:pPr>
        <w:pStyle w:val="BodyText"/>
      </w:pPr>
      <w:r>
        <w:rPr>
          <w:bCs/>
          <w:b/>
        </w:rPr>
        <w:t xml:space="preserve">Da analisi di prodotti del mercato grigio e dai controlli antidoping:</w:t>
      </w:r>
    </w:p>
    <w:p>
      <w:pPr>
        <w:numPr>
          <w:ilvl w:val="0"/>
          <w:numId w:val="1106"/>
        </w:numPr>
        <w:pStyle w:val="Compact"/>
      </w:pPr>
      <w:r>
        <w:t xml:space="preserve">AOD-9604 viene offerto da anni su siti internet ed è stato trovato in flaconi sequestrati, tra l’altro negli USA</w:t>
      </w:r>
      <w:r>
        <w:rPr>
          <w:rStyle w:val="FootnoteReference"/>
        </w:rPr>
        <w:footnoteReference w:id="844"/>
      </w:r>
      <w:r>
        <w:t xml:space="preserve"> </w:t>
      </w:r>
      <w:r>
        <w:t xml:space="preserve">e in Belgio, dove le autorità hanno analizzato preparati peptidici sconosciuti</w:t>
      </w:r>
      <w:r>
        <w:rPr>
          <w:rStyle w:val="FootnoteReference"/>
        </w:rPr>
        <w:footnoteReference w:id="845"/>
      </w:r>
      <w:r>
        <w:t xml:space="preserve">.</w:t>
      </w:r>
    </w:p>
    <w:p>
      <w:pPr>
        <w:numPr>
          <w:ilvl w:val="0"/>
          <w:numId w:val="1106"/>
        </w:numPr>
        <w:pStyle w:val="Compact"/>
      </w:pPr>
      <w:r>
        <w:t xml:space="preserve">Lavori di revisione sui peptidi nello sport e nel mercato grigio sottolineano che per AOD-9604 e principi attivi simili non esistono quasi dati di sicurezza affidabili sull’uomo e che composizione, dose e purezza dei prodotti sono incerte</w:t>
      </w:r>
      <w:r>
        <w:rPr>
          <w:rStyle w:val="FootnoteReference"/>
        </w:rPr>
        <w:footnoteReference w:id="846"/>
      </w:r>
      <w:r>
        <w:t xml:space="preserve">. Un’altra revisione segnala prodotti con etichettatura errata o contaminati nel commercio non regolamentato</w:t>
      </w:r>
      <w:r>
        <w:rPr>
          <w:rStyle w:val="FootnoteReference"/>
        </w:rPr>
        <w:footnoteReference w:id="847"/>
      </w:r>
      <w:r>
        <w:t xml:space="preserve">.</w:t>
      </w:r>
    </w:p>
    <w:p>
      <w:pPr>
        <w:pStyle w:val="FirstParagraph"/>
      </w:pPr>
      <w:r>
        <w:rPr>
          <w:bCs/>
          <w:b/>
        </w:rPr>
        <w:t xml:space="preserve">Teorici:</w:t>
      </w:r>
      <w:r>
        <w:t xml:space="preserve"> </w:t>
      </w:r>
      <w:r>
        <w:t xml:space="preserve">per ogni prodotto iniettabile di produzione non controllata esistono rischi dovuti a contaminazioni, batteri o ingredienti errati (si vedano la Parte I e la Parte IV). Se AOD-9604, come l’ormone della crescita, influenzi a lungo termine il metabolismo o la crescita cellulare non è stato studiato nell’uomo. I dati di laboratorio depongono contro un effetto diretto sul recettore dell’ormone della crescita</w:t>
      </w:r>
      <w:r>
        <w:rPr>
          <w:rStyle w:val="FootnoteReference"/>
        </w:rPr>
        <w:footnoteReference w:id="848"/>
      </w:r>
      <w:r>
        <w:t xml:space="preserve">.</w:t>
      </w:r>
    </w:p>
    <w:bookmarkEnd w:id="849"/>
    <w:bookmarkStart w:id="852" w:name="quadro-normativo-13"/>
    <w:p>
      <w:pPr>
        <w:pStyle w:val="Heading3"/>
      </w:pPr>
      <w:r>
        <w:t xml:space="preserve">Quadro normativo</w:t>
      </w:r>
    </w:p>
    <w:p>
      <w:pPr>
        <w:numPr>
          <w:ilvl w:val="0"/>
          <w:numId w:val="1107"/>
        </w:numPr>
        <w:pStyle w:val="Compact"/>
      </w:pPr>
      <w:r>
        <w:rPr>
          <w:bCs/>
          <w:b/>
        </w:rPr>
        <w:t xml:space="preserve">UE / Austria / Germania:</w:t>
      </w:r>
      <w:r>
        <w:t xml:space="preserve"> </w:t>
      </w:r>
      <w:r>
        <w:t xml:space="preserve">non autorizzato come medicinale. I prodotti offerti per l’uso sull’uomo non sono commerciabili secondo la normativa sui medicinali; le diciture «for research use only» non cambiano nulla.</w:t>
      </w:r>
    </w:p>
    <w:p>
      <w:pPr>
        <w:numPr>
          <w:ilvl w:val="0"/>
          <w:numId w:val="1107"/>
        </w:numPr>
        <w:pStyle w:val="Compact"/>
      </w:pPr>
      <w:r>
        <w:rPr>
          <w:bCs/>
          <w:b/>
        </w:rPr>
        <w:t xml:space="preserve">USA:</w:t>
      </w:r>
      <w:r>
        <w:t xml:space="preserve"> </w:t>
      </w:r>
      <w:r>
        <w:t xml:space="preserve">non autorizzato come medicinale. La FDA ha inserito AOD-9604 nell’elenco delle sostanze che, per motivi di sicurezza, non possono essere liberamente trasformate in medicinali dalle farmacie.</w:t>
      </w:r>
    </w:p>
    <w:p>
      <w:pPr>
        <w:numPr>
          <w:ilvl w:val="0"/>
          <w:numId w:val="1107"/>
        </w:numPr>
        <w:pStyle w:val="Compact"/>
      </w:pPr>
      <w:r>
        <w:rPr>
          <w:bCs/>
          <w:b/>
        </w:rPr>
        <w:t xml:space="preserve">Sport:</w:t>
      </w:r>
      <w:r>
        <w:t xml:space="preserve"> </w:t>
      </w:r>
      <w:r>
        <w:t xml:space="preserve">espressamente vietato (lista WADA delle sostanze proibite, classe S2 – ormoni peptidici, fattori di crescita e sostanze correlate; frammenti dell’ormone della crescita). AOD-9604 è diventato noto a un pubblico più ampio con lo scandalo doping del club australiano di football Essendon nel 2013. Per i controlli antidoping sono stati sviluppati metodi di rilevamento specifici nelle urine</w:t>
      </w:r>
      <w:r>
        <w:rPr>
          <w:rStyle w:val="FootnoteReference"/>
        </w:rPr>
        <w:footnoteReference w:id="850"/>
      </w:r>
      <w:r>
        <w:t xml:space="preserve">. Il test abituale per l’ormone della crescita non è influenzato da AOD-9604</w:t>
      </w:r>
      <w:r>
        <w:rPr>
          <w:rStyle w:val="FootnoteReference"/>
        </w:rPr>
        <w:footnoteReference w:id="851"/>
      </w:r>
      <w:r>
        <w:t xml:space="preserve">: il frammento deve quindi essere cercato in modo mirato. Aggiornato al 2026, da verificare.</w:t>
      </w:r>
    </w:p>
    <w:bookmarkEnd w:id="852"/>
    <w:bookmarkStart w:id="853" w:name="studi-in-corso-e-prospettive-13"/>
    <w:p>
      <w:pPr>
        <w:pStyle w:val="Heading3"/>
      </w:pPr>
      <w:r>
        <w:t xml:space="preserve">Studi in corso e prospettive</w:t>
      </w:r>
    </w:p>
    <w:p>
      <w:pPr>
        <w:pStyle w:val="FirstParagraph"/>
      </w:pPr>
      <w:r>
        <w:rPr>
          <w:bCs/>
          <w:b/>
        </w:rPr>
        <w:t xml:space="preserve">Certo:</w:t>
      </w:r>
      <w:r>
        <w:t xml:space="preserve"> </w:t>
      </w:r>
      <w:r>
        <w:t xml:space="preserve">su ClinicalTrials.gov non è registrato alcuno studio in corso su AOD-9604 (ricerca di ottobre 2026).</w:t>
      </w:r>
    </w:p>
    <w:p>
      <w:pPr>
        <w:pStyle w:val="BodyText"/>
      </w:pPr>
      <w:r>
        <w:rPr>
          <w:bCs/>
          <w:b/>
        </w:rPr>
        <w:t xml:space="preserve">Valutazione:</w:t>
      </w:r>
      <w:r>
        <w:t xml:space="preserve"> </w:t>
      </w:r>
      <w:r>
        <w:t xml:space="preserve">non si vede alcuna strada attraverso cui AOD-9604 possa diventare in tempi prevedibili un medicinale autorizzato. Con i principi attivi basati sul GLP-1 esistono oggi farmaci dimagranti con un’efficacia elevata e ben documentata; un peptide il cui stesso sviluppo come dimagrante non ha avuto successo difficilmente susciterà nuovo interesse da parte degli investitori. AOD-9604 resterà quindi presumibilmente un prodotto del mercato grigio.</w:t>
      </w:r>
    </w:p>
    <w:bookmarkEnd w:id="853"/>
    <w:bookmarkStart w:id="854" w:name="conclusione-13"/>
    <w:p>
      <w:pPr>
        <w:pStyle w:val="Heading3"/>
      </w:pPr>
      <w:r>
        <w:t xml:space="preserve">Conclusione</w:t>
      </w:r>
    </w:p>
    <w:p>
      <w:pPr>
        <w:pStyle w:val="FirstParagraph"/>
      </w:pPr>
      <w:r>
        <w:t xml:space="preserve">AOD-9604 è un breve frammento dell’ormone della crescita che nei ratti e nei topi ha stimolato la degradazione dei grassi senza aumentare la glicemia. Studi sull’uomo sono stati sì condotti negli anni Duemila, ma i loro risultati non sono stati pubblicati in riviste con revisione paritaria, e lo sviluppo come farmaco dimagrante è stato interrotto. Mancano quindi del tutto dati affidabili su efficacia e sicurezza nell’uomo. AOD-9604 non è autorizzato come medicinale in alcun Paese ed è espressamente vietato nello sport.</w:t>
      </w:r>
    </w:p>
    <w:bookmarkEnd w:id="854"/>
    <w:bookmarkEnd w:id="855"/>
    <w:bookmarkStart w:id="892" w:name="orforglipron-per-confronto"/>
    <w:p>
      <w:pPr>
        <w:pStyle w:val="Heading2"/>
      </w:pPr>
      <w:r>
        <w:t xml:space="preserve">Orforglipron (per confronto)</w:t>
      </w:r>
    </w:p>
    <w:bookmarkStart w:id="856" w:name="scheda-14"/>
    <w:p>
      <w:pPr>
        <w:pStyle w:val="Heading3"/>
      </w:pPr>
      <w:r>
        <w:t xml:space="preserve">Scheda</w:t>
      </w:r>
    </w:p>
    <w:p>
      <w:pPr>
        <w:numPr>
          <w:ilvl w:val="0"/>
          <w:numId w:val="1108"/>
        </w:numPr>
        <w:pStyle w:val="Compact"/>
      </w:pPr>
      <w:r>
        <w:rPr>
          <w:bCs/>
          <w:b/>
        </w:rPr>
        <w:t xml:space="preserve">Tipo/struttura:</w:t>
      </w:r>
      <w:r>
        <w:t xml:space="preserve"> </w:t>
      </w:r>
      <w:r>
        <w:rPr>
          <w:bCs/>
          <w:b/>
        </w:rPr>
        <w:t xml:space="preserve">non è un peptide</w:t>
      </w:r>
      <w:r>
        <w:t xml:space="preserve">, ma una piccola molecola prodotta per via chimica («small molecule») che sul recettore del GLP-1 agisce come un peptide. Codice di sviluppo LY3502970. Assunzione una volta al giorno come compressa o capsula.</w:t>
      </w:r>
    </w:p>
    <w:p>
      <w:pPr>
        <w:numPr>
          <w:ilvl w:val="0"/>
          <w:numId w:val="1108"/>
        </w:numPr>
        <w:pStyle w:val="Compact"/>
      </w:pPr>
      <w:r>
        <w:rPr>
          <w:bCs/>
          <w:b/>
        </w:rPr>
        <w:t xml:space="preserve">Origine:</w:t>
      </w:r>
      <w:r>
        <w:t xml:space="preserve"> </w:t>
      </w:r>
      <w:r>
        <w:t xml:space="preserve">scoperto originariamente da Chugai Pharmaceutical, concesso in licenza a Eli Lilly e sviluppato da quest’ultima.</w:t>
      </w:r>
    </w:p>
    <w:p>
      <w:pPr>
        <w:numPr>
          <w:ilvl w:val="0"/>
          <w:numId w:val="1108"/>
        </w:numPr>
        <w:pStyle w:val="Compact"/>
      </w:pPr>
      <w:r>
        <w:rPr>
          <w:bCs/>
          <w:b/>
        </w:rPr>
        <w:t xml:space="preserve">Principio d’azione:</w:t>
      </w:r>
      <w:r>
        <w:t xml:space="preserve"> </w:t>
      </w:r>
      <w:r>
        <w:t xml:space="preserve">agonista del recettore del GLP-1 – lo stesso bersaglio di semaglutide o liraglutide, ma con una struttura chimica completamente diversa.</w:t>
      </w:r>
    </w:p>
    <w:p>
      <w:pPr>
        <w:numPr>
          <w:ilvl w:val="0"/>
          <w:numId w:val="1108"/>
        </w:numPr>
        <w:pStyle w:val="Compact"/>
      </w:pPr>
      <w:r>
        <w:rPr>
          <w:bCs/>
          <w:b/>
        </w:rPr>
        <w:t xml:space="preserve">Autorizzazione UE / USA:</w:t>
      </w:r>
      <w:r>
        <w:t xml:space="preserve"> </w:t>
      </w:r>
      <w:r>
        <w:t xml:space="preserve">secondo lo stato della ricerca per questo libro (ottobre 2026) non risulta autorizzato; sulla base degli studi di fase 3 sono state presentate o annunciate domande di autorizzazione – da verificare.</w:t>
      </w:r>
    </w:p>
    <w:p>
      <w:pPr>
        <w:numPr>
          <w:ilvl w:val="0"/>
          <w:numId w:val="1108"/>
        </w:numPr>
        <w:pStyle w:val="Compact"/>
      </w:pPr>
      <w:r>
        <w:rPr>
          <w:bCs/>
          <w:b/>
        </w:rPr>
        <w:t xml:space="preserve">WADA:</w:t>
      </w:r>
      <w:r>
        <w:t xml:space="preserve"> </w:t>
      </w:r>
      <w:r>
        <w:t xml:space="preserve">non elencato nominalmente; finché non è autorizzato in alcun Paese, vietato in base alla classe S0.</w:t>
      </w:r>
    </w:p>
    <w:p>
      <w:pPr>
        <w:numPr>
          <w:ilvl w:val="0"/>
          <w:numId w:val="1108"/>
        </w:numPr>
        <w:pStyle w:val="Compact"/>
      </w:pPr>
      <w:r>
        <w:rPr>
          <w:bCs/>
          <w:b/>
        </w:rPr>
        <w:t xml:space="preserve">Livello di evidenza:</w:t>
      </w:r>
      <w:r>
        <w:t xml:space="preserve"> </w:t>
      </w:r>
      <w:r>
        <w:rPr>
          <w:bCs/>
          <w:b/>
        </w:rPr>
        <w:t xml:space="preserve">A</w:t>
      </w:r>
      <w:r>
        <w:t xml:space="preserve"> </w:t>
      </w:r>
      <w:r>
        <w:t xml:space="preserve">in base ai dati (diversi grandi studi di fase 3, compreso uno studio di sicurezza cardiovascolare); l’autorizzazione formale è ancora in attesa o da verificare.</w:t>
      </w:r>
    </w:p>
    <w:bookmarkEnd w:id="856"/>
    <w:bookmarkStart w:id="858" w:name="X1f27ae3410ffbc7c1fc77f437b760e5c479a459"/>
    <w:p>
      <w:pPr>
        <w:pStyle w:val="Heading3"/>
      </w:pPr>
      <w:r>
        <w:t xml:space="preserve">Perché questo capitolo è in un libro sui peptidi</w:t>
      </w:r>
    </w:p>
    <w:p>
      <w:pPr>
        <w:pStyle w:val="FirstParagraph"/>
      </w:pPr>
      <w:r>
        <w:t xml:space="preserve">Tutti i farmaci GLP-1 fino al 2025 erano peptidi. I peptidi vengono in gran parte digeriti nel tratto gastrointestinale e assorbiti pochissimo: per questo devono essere iniettati. L’unica eccezione, semaglutide in compresse, ha bisogno di un eccipiente che faciliti l’assorbimento attraverso la mucosa gastrica e di regole di assunzione rigorose: a digiuno, con poca acqua e a distanza dalla colazione (si vedano il capitolo Semaglutide e la Parte I sulla questione di come i peptidi entrano nell’organismo).</w:t>
      </w:r>
    </w:p>
    <w:p>
      <w:pPr>
        <w:pStyle w:val="BodyText"/>
      </w:pPr>
      <w:r>
        <w:t xml:space="preserve">Orforglipron aggira questo problema alla radice: in quanto piccola molecola viene assorbito dall’intestino come una compressa tradizionale. Secondo gli studi può essere assunto senza tenere conto dei pasti o della quantità d’acqua</w:t>
      </w:r>
      <w:r>
        <w:rPr>
          <w:rStyle w:val="FootnoteReference"/>
        </w:rPr>
        <w:footnoteReference w:id="857"/>
      </w:r>
      <w:r>
        <w:t xml:space="preserve">. Orforglipron è quindi il caso di confronto più importante per la domanda se il futuro dei farmaci dimagranti stia davvero nei peptidi (si veda la Parte V).</w:t>
      </w:r>
    </w:p>
    <w:bookmarkEnd w:id="858"/>
    <w:bookmarkStart w:id="860" w:name="come-dovrebbe-agire-14"/>
    <w:p>
      <w:pPr>
        <w:pStyle w:val="Heading3"/>
      </w:pPr>
      <w:r>
        <w:t xml:space="preserve">Come dovrebbe agire</w:t>
      </w:r>
    </w:p>
    <w:p>
      <w:pPr>
        <w:pStyle w:val="FirstParagraph"/>
      </w:pPr>
      <w:r>
        <w:t xml:space="preserve">Orforglipron si lega al recettore del GLP-1 e provoca effetti simili a quelli degli agonisti peptidici: meno appetito, svuotamento gastrico ritardato, più insulina in funzione della glicemia. Attiva solo il recettore del GLP-1, non i recettori del GIP o del glucagone. Studi in persone con diabete di tipo 2 hanno mostrato miglioramenti dei marcatori della funzione delle cellule beta e della sensibilità all’insulina</w:t>
      </w:r>
      <w:r>
        <w:rPr>
          <w:rStyle w:val="FootnoteReference"/>
        </w:rPr>
        <w:footnoteReference w:id="859"/>
      </w:r>
      <w:r>
        <w:t xml:space="preserve">.</w:t>
      </w:r>
    </w:p>
    <w:bookmarkEnd w:id="860"/>
    <w:bookmarkStart w:id="871" w:name="studi-sulluomo-14"/>
    <w:p>
      <w:pPr>
        <w:pStyle w:val="Heading3"/>
      </w:pPr>
      <w:r>
        <w:t xml:space="preserve">Studi sull’uomo</w:t>
      </w:r>
    </w:p>
    <w:p>
      <w:pPr>
        <w:pStyle w:val="FirstParagraph"/>
      </w:pPr>
      <w:r>
        <w:rPr>
          <w:bCs/>
          <w:b/>
        </w:rPr>
        <w:t xml:space="preserve">Dimensioni della letteratura:</w:t>
      </w:r>
      <w:r>
        <w:t xml:space="preserve"> </w:t>
      </w:r>
      <w:r>
        <w:t xml:space="preserve">la ricerca automatizzata su PubMed (ottobre 2026) ha individuato 20 studi sull’uomo. Su ClinicalTrials.gov risultavano registrati 53 studi. I programmi registrativi si chiamano</w:t>
      </w:r>
      <w:r>
        <w:t xml:space="preserve"> </w:t>
      </w:r>
      <w:r>
        <w:rPr>
          <w:bCs/>
          <w:b/>
        </w:rPr>
        <w:t xml:space="preserve">ATTAIN</w:t>
      </w:r>
      <w:r>
        <w:t xml:space="preserve"> </w:t>
      </w:r>
      <w:r>
        <w:t xml:space="preserve">(obesità) e</w:t>
      </w:r>
      <w:r>
        <w:t xml:space="preserve"> </w:t>
      </w:r>
      <w:r>
        <w:rPr>
          <w:bCs/>
          <w:b/>
        </w:rPr>
        <w:t xml:space="preserve">ACHIEVE</w:t>
      </w:r>
      <w:r>
        <w:t xml:space="preserve"> </w:t>
      </w:r>
      <w:r>
        <w:t xml:space="preserve">(diabete di tipo 2).</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Fase 2 obesità (Wharton 2023), PMID 37351564</w:t>
            </w:r>
          </w:p>
        </w:tc>
        <w:tc>
          <w:tcPr/>
          <w:p>
            <w:pPr>
              <w:pStyle w:val="Compact"/>
              <w:jc w:val="left"/>
            </w:pPr>
            <w:r>
              <w:t xml:space="preserve">272 adulti senza diabete, contro placebo</w:t>
            </w:r>
          </w:p>
        </w:tc>
        <w:tc>
          <w:tcPr/>
          <w:p>
            <w:pPr>
              <w:pStyle w:val="Compact"/>
              <w:jc w:val="left"/>
            </w:pPr>
            <w:r>
              <w:t xml:space="preserve">36 settimane</w:t>
            </w:r>
          </w:p>
        </w:tc>
        <w:tc>
          <w:tcPr/>
          <w:p>
            <w:pPr>
              <w:pStyle w:val="Compact"/>
              <w:jc w:val="left"/>
            </w:pPr>
            <w:r>
              <w:t xml:space="preserve">da −9,4 a −14,7% di peso vs. −2,3%</w:t>
            </w:r>
          </w:p>
        </w:tc>
      </w:tr>
      <w:tr>
        <w:tc>
          <w:tcPr/>
          <w:p>
            <w:pPr>
              <w:pStyle w:val="Compact"/>
              <w:jc w:val="left"/>
            </w:pPr>
            <w:r>
              <w:t xml:space="preserve">ATTAIN-1 (Wharton 2025), PMID 40960239</w:t>
            </w:r>
          </w:p>
        </w:tc>
        <w:tc>
          <w:tcPr/>
          <w:p>
            <w:pPr>
              <w:pStyle w:val="Compact"/>
              <w:jc w:val="left"/>
            </w:pPr>
            <w:r>
              <w:t xml:space="preserve">3.127 adulti con obesità senza diabete, contro placebo</w:t>
            </w:r>
          </w:p>
        </w:tc>
        <w:tc>
          <w:tcPr/>
          <w:p>
            <w:pPr>
              <w:pStyle w:val="Compact"/>
              <w:jc w:val="left"/>
            </w:pPr>
            <w:r>
              <w:t xml:space="preserve">72 settimane</w:t>
            </w:r>
          </w:p>
        </w:tc>
        <w:tc>
          <w:tcPr/>
          <w:p>
            <w:pPr>
              <w:pStyle w:val="Compact"/>
              <w:jc w:val="left"/>
            </w:pPr>
            <w:r>
              <w:t xml:space="preserve">−7,5 / −8,4 / −11,2% vs. −2,1%</w:t>
            </w:r>
          </w:p>
        </w:tc>
      </w:tr>
      <w:tr>
        <w:tc>
          <w:tcPr/>
          <w:p>
            <w:pPr>
              <w:pStyle w:val="Compact"/>
              <w:jc w:val="left"/>
            </w:pPr>
            <w:r>
              <w:t xml:space="preserve">ATTAIN-2 (Horn 2026), PMID 41275875</w:t>
            </w:r>
          </w:p>
        </w:tc>
        <w:tc>
          <w:tcPr/>
          <w:p>
            <w:pPr>
              <w:pStyle w:val="Compact"/>
              <w:jc w:val="left"/>
            </w:pPr>
            <w:r>
              <w:t xml:space="preserve">1.613 adulti con obesità e diabete di tipo 2</w:t>
            </w:r>
          </w:p>
        </w:tc>
        <w:tc>
          <w:tcPr/>
          <w:p>
            <w:pPr>
              <w:pStyle w:val="Compact"/>
              <w:jc w:val="left"/>
            </w:pPr>
            <w:r>
              <w:t xml:space="preserve">72 settimane</w:t>
            </w:r>
          </w:p>
        </w:tc>
        <w:tc>
          <w:tcPr/>
          <w:p>
            <w:pPr>
              <w:pStyle w:val="Compact"/>
              <w:jc w:val="left"/>
            </w:pPr>
            <w:r>
              <w:t xml:space="preserve">−5,1 / −7,0 / −9,6% vs. −2,5%</w:t>
            </w:r>
          </w:p>
        </w:tc>
      </w:tr>
      <w:tr>
        <w:tc>
          <w:tcPr/>
          <w:p>
            <w:pPr>
              <w:pStyle w:val="Compact"/>
              <w:jc w:val="left"/>
            </w:pPr>
            <w:r>
              <w:t xml:space="preserve">ATTAIN-MAINTAIN (Aronne 2026), PMID 42120723</w:t>
            </w:r>
          </w:p>
        </w:tc>
        <w:tc>
          <w:tcPr/>
          <w:p>
            <w:pPr>
              <w:pStyle w:val="Compact"/>
              <w:jc w:val="left"/>
            </w:pPr>
            <w:r>
              <w:t xml:space="preserve">376 adulti dopo tirzepatide o semaglutide, passaggio vs. placebo</w:t>
            </w:r>
          </w:p>
        </w:tc>
        <w:tc>
          <w:tcPr/>
          <w:p>
            <w:pPr>
              <w:pStyle w:val="Compact"/>
              <w:jc w:val="left"/>
            </w:pPr>
            <w:r>
              <w:t xml:space="preserve">52 settimane</w:t>
            </w:r>
          </w:p>
        </w:tc>
        <w:tc>
          <w:tcPr/>
          <w:p>
            <w:pPr>
              <w:pStyle w:val="Compact"/>
              <w:jc w:val="left"/>
            </w:pPr>
            <w:r>
              <w:t xml:space="preserve">mantenuto rispettivamente il 74,7% e il 79,3% della perdita di peso (placebo 49,2% e 37,6%)</w:t>
            </w:r>
          </w:p>
        </w:tc>
      </w:tr>
      <w:tr>
        <w:tc>
          <w:tcPr/>
          <w:p>
            <w:pPr>
              <w:pStyle w:val="Compact"/>
              <w:jc w:val="left"/>
            </w:pPr>
            <w:r>
              <w:t xml:space="preserve">ACHIEVE-1 (Rosenstock 2025), PMID 40544435</w:t>
            </w:r>
          </w:p>
        </w:tc>
        <w:tc>
          <w:tcPr/>
          <w:p>
            <w:pPr>
              <w:pStyle w:val="Compact"/>
              <w:jc w:val="left"/>
            </w:pPr>
            <w:r>
              <w:t xml:space="preserve">559 adulti con diabete di tipo 2 precoce</w:t>
            </w:r>
          </w:p>
        </w:tc>
        <w:tc>
          <w:tcPr/>
          <w:p>
            <w:pPr>
              <w:pStyle w:val="Compact"/>
              <w:jc w:val="left"/>
            </w:pPr>
            <w:r>
              <w:t xml:space="preserve">40 settimane</w:t>
            </w:r>
          </w:p>
        </w:tc>
        <w:tc>
          <w:tcPr/>
          <w:p>
            <w:pPr>
              <w:pStyle w:val="Compact"/>
              <w:jc w:val="left"/>
            </w:pPr>
            <w:r>
              <w:t xml:space="preserve">HbA1c da −1,24 a −1,48 vs. −0,41</w:t>
            </w:r>
          </w:p>
        </w:tc>
      </w:tr>
      <w:tr>
        <w:tc>
          <w:tcPr/>
          <w:p>
            <w:pPr>
              <w:pStyle w:val="Compact"/>
              <w:jc w:val="left"/>
            </w:pPr>
            <w:r>
              <w:t xml:space="preserve">ACHIEVE-3 (Rosenstock 2026), PMID 41765029</w:t>
            </w:r>
          </w:p>
        </w:tc>
        <w:tc>
          <w:tcPr/>
          <w:p>
            <w:pPr>
              <w:pStyle w:val="Compact"/>
              <w:jc w:val="left"/>
            </w:pPr>
            <w:r>
              <w:t xml:space="preserve">1.698 adulti con diabete di tipo 2, in aperto contro semaglutide in compresse</w:t>
            </w:r>
          </w:p>
        </w:tc>
        <w:tc>
          <w:tcPr/>
          <w:p>
            <w:pPr>
              <w:pStyle w:val="Compact"/>
              <w:jc w:val="left"/>
            </w:pPr>
            <w:r>
              <w:t xml:space="preserve">52 settimane</w:t>
            </w:r>
          </w:p>
        </w:tc>
        <w:tc>
          <w:tcPr/>
          <w:p>
            <w:pPr>
              <w:pStyle w:val="Compact"/>
              <w:jc w:val="left"/>
            </w:pPr>
            <w:r>
              <w:t xml:space="preserve">HbA1c −1,71 / −1,91 vs. −1,23 / −1,47</w:t>
            </w:r>
          </w:p>
        </w:tc>
      </w:tr>
      <w:tr>
        <w:tc>
          <w:tcPr/>
          <w:p>
            <w:pPr>
              <w:pStyle w:val="Compact"/>
              <w:jc w:val="left"/>
            </w:pPr>
            <w:r>
              <w:t xml:space="preserve">ACHIEVE-4 (Klein 2026), PMID 42815506</w:t>
            </w:r>
          </w:p>
        </w:tc>
        <w:tc>
          <w:tcPr/>
          <w:p>
            <w:pPr>
              <w:pStyle w:val="Compact"/>
              <w:jc w:val="left"/>
            </w:pPr>
            <w:r>
              <w:t xml:space="preserve">2.749 adulti con diabete di tipo 2 e alto rischio cardiovascolare, contro insulina glargine</w:t>
            </w:r>
          </w:p>
        </w:tc>
        <w:tc>
          <w:tcPr/>
          <w:p>
            <w:pPr>
              <w:pStyle w:val="Compact"/>
              <w:jc w:val="left"/>
            </w:pPr>
            <w:r>
              <w:t xml:space="preserve">mediana 2 anni</w:t>
            </w:r>
          </w:p>
        </w:tc>
        <w:tc>
          <w:tcPr/>
          <w:p>
            <w:pPr>
              <w:pStyle w:val="Compact"/>
              <w:jc w:val="left"/>
            </w:pPr>
            <w:r>
              <w:t xml:space="preserve">MACE-4: 4,2% vs. 5,0% (non inferiore)</w:t>
            </w:r>
          </w:p>
        </w:tc>
      </w:tr>
    </w:tbl>
    <w:bookmarkStart w:id="865" w:name="obesità-attain"/>
    <w:p>
      <w:pPr>
        <w:pStyle w:val="Heading4"/>
      </w:pPr>
      <w:r>
        <w:t xml:space="preserve">Obesità: ATTAIN</w:t>
      </w:r>
    </w:p>
    <w:p>
      <w:pPr>
        <w:pStyle w:val="FirstParagraph"/>
      </w:pPr>
      <w:r>
        <w:rPr>
          <w:bCs/>
          <w:b/>
        </w:rPr>
        <w:t xml:space="preserve">ATTAIN-1</w:t>
      </w:r>
      <w:r>
        <w:rPr>
          <w:rStyle w:val="FootnoteReference"/>
        </w:rPr>
        <w:footnoteReference w:id="861"/>
      </w:r>
      <w:r>
        <w:t xml:space="preserve"> </w:t>
      </w:r>
      <w:r>
        <w:t xml:space="preserve">è lo studio principale. Dopo 72 settimane i 3.127 partecipanti con la dose più alta hanno perso in media l’11,2% del loro peso, con il placebo il 2,1%. Con la dose più alta il 54,6% ha raggiunto una perdita di peso di almeno il 10% e il 18,4% di almeno il 20%. Per effetti collaterali ha interrotto il 5,3–10,3% (placebo 2,7%).</w:t>
      </w:r>
    </w:p>
    <w:p>
      <w:pPr>
        <w:pStyle w:val="BodyText"/>
      </w:pPr>
      <w:r>
        <w:t xml:space="preserve">Per inquadrare il dato: è nettamente meno di quanto ottenuto con semaglutide o tirzepatide iniettabili nei rispettivi studi registrativi, e meno di quanto lasciasse sperare lo studio di fase 2 con fino al 14,7% dopo 36 settimane</w:t>
      </w:r>
      <w:r>
        <w:rPr>
          <w:rStyle w:val="FootnoteReference"/>
        </w:rPr>
        <w:footnoteReference w:id="862"/>
      </w:r>
      <w:r>
        <w:t xml:space="preserve">. I confronti incrociati tra studi sono però solo un orientamento approssimativo.</w:t>
      </w:r>
    </w:p>
    <w:p>
      <w:pPr>
        <w:pStyle w:val="BodyText"/>
      </w:pPr>
      <w:r>
        <w:rPr>
          <w:bCs/>
          <w:b/>
        </w:rPr>
        <w:t xml:space="preserve">ATTAIN-2</w:t>
      </w:r>
      <w:r>
        <w:rPr>
          <w:rStyle w:val="FootnoteReference"/>
        </w:rPr>
        <w:footnoteReference w:id="863"/>
      </w:r>
      <w:r>
        <w:t xml:space="preserve"> </w:t>
      </w:r>
      <w:r>
        <w:t xml:space="preserve">ha mostrato nelle persone con diabete di tipo 2 una perdita di peso fino al 9,6% rispetto al 2,5% con il placebo.</w:t>
      </w:r>
    </w:p>
    <w:p>
      <w:pPr>
        <w:pStyle w:val="BodyText"/>
      </w:pPr>
      <w:r>
        <w:rPr>
          <w:bCs/>
          <w:b/>
        </w:rPr>
        <w:t xml:space="preserve">ATTAIN-MAINTAIN</w:t>
      </w:r>
      <w:r>
        <w:rPr>
          <w:rStyle w:val="FootnoteReference"/>
        </w:rPr>
        <w:footnoteReference w:id="864"/>
      </w:r>
      <w:r>
        <w:t xml:space="preserve"> </w:t>
      </w:r>
      <w:r>
        <w:t xml:space="preserve">è particolarmente interessante per la pratica. Partecipanti che avevano in precedenza perso peso nello studio SURMOUNT-5 con tirzepatide o semaglutide iniettabili sono passati a orforglipron o placebo. Dopo 52 settimane, chi era stato trattato con tirzepatide ha mantenuto con orforglipron il 74,7% della perdita di peso (placebo 49,2%), chi era stato trattato con semaglutide il 79,3% (placebo 37,6%). Non c’era un gruppo di confronto che continuasse semplicemente con l’iniezione, e gli autori stessi lo indicano come limite. Il concetto «dimagrire con l’iniezione, mantenere con la compressa» viene così documentato per la prima volta, ma non ancora confrontato con l’alternativa «continuare l’iniezione».</w:t>
      </w:r>
    </w:p>
    <w:bookmarkEnd w:id="865"/>
    <w:bookmarkStart w:id="870" w:name="diabete-di-tipo-2-achieve"/>
    <w:p>
      <w:pPr>
        <w:pStyle w:val="Heading4"/>
      </w:pPr>
      <w:r>
        <w:t xml:space="preserve">Diabete di tipo 2: ACHIEVE</w:t>
      </w:r>
    </w:p>
    <w:p>
      <w:pPr>
        <w:numPr>
          <w:ilvl w:val="0"/>
          <w:numId w:val="1109"/>
        </w:numPr>
        <w:pStyle w:val="Compact"/>
      </w:pPr>
      <w:r>
        <w:rPr>
          <w:bCs/>
          <w:b/>
        </w:rPr>
        <w:t xml:space="preserve">ACHIEVE-1</w:t>
      </w:r>
      <w:r>
        <w:rPr>
          <w:rStyle w:val="FootnoteReference"/>
        </w:rPr>
        <w:footnoteReference w:id="866"/>
      </w:r>
      <w:r>
        <w:t xml:space="preserve">: nel diabete di tipo 2 precoce senza altri farmaci l’HbA1c è diminuita dopo 40 settimane fino a 1,48 punti percentuali (placebo −0,41), il peso fino al 7,6%. Non si sono verificate ipoglicemie gravi.</w:t>
      </w:r>
    </w:p>
    <w:p>
      <w:pPr>
        <w:numPr>
          <w:ilvl w:val="0"/>
          <w:numId w:val="1109"/>
        </w:numPr>
        <w:pStyle w:val="Compact"/>
      </w:pPr>
      <w:r>
        <w:rPr>
          <w:bCs/>
          <w:b/>
        </w:rPr>
        <w:t xml:space="preserve">ACHIEVE-2</w:t>
      </w:r>
      <w:r>
        <w:rPr>
          <w:rStyle w:val="FootnoteReference"/>
        </w:rPr>
        <w:footnoteReference w:id="867"/>
      </w:r>
      <w:r>
        <w:t xml:space="preserve">: rispetto all’inibitore di SGLT2 dapagliflozin, orforglipron è risultato non inferiore per l’HbA1c e più efficace a tutte le dosi (fino a −1,56 vs. −0,81 punti percentuali).</w:t>
      </w:r>
    </w:p>
    <w:p>
      <w:pPr>
        <w:numPr>
          <w:ilvl w:val="0"/>
          <w:numId w:val="1109"/>
        </w:numPr>
        <w:pStyle w:val="Compact"/>
      </w:pPr>
      <w:r>
        <w:rPr>
          <w:bCs/>
          <w:b/>
        </w:rPr>
        <w:t xml:space="preserve">ACHIEVE-3</w:t>
      </w:r>
      <w:r>
        <w:rPr>
          <w:rStyle w:val="FootnoteReference"/>
        </w:rPr>
        <w:footnoteReference w:id="868"/>
      </w:r>
      <w:r>
        <w:t xml:space="preserve">: nel confronto diretto con semaglutide in compresse orforglipron ha ridotto maggiormente l’HbA1c (−1,91 vs. −1,47 punti percentuali alle rispettive dosi più alte). Lo studio era in aperto, quindi non in cieco. I disturbi gastrointestinali erano più frequenti con orforglipron (58–59% vs. 37–45%), così come le interruzioni per effetti collaterali (9–10% vs. 4–5%).</w:t>
      </w:r>
    </w:p>
    <w:p>
      <w:pPr>
        <w:numPr>
          <w:ilvl w:val="0"/>
          <w:numId w:val="1109"/>
        </w:numPr>
        <w:pStyle w:val="Compact"/>
      </w:pPr>
      <w:r>
        <w:rPr>
          <w:bCs/>
          <w:b/>
        </w:rPr>
        <w:t xml:space="preserve">ACHIEVE-4</w:t>
      </w:r>
      <w:r>
        <w:rPr>
          <w:rStyle w:val="FootnoteReference"/>
        </w:rPr>
        <w:footnoteReference w:id="869"/>
      </w:r>
      <w:r>
        <w:t xml:space="preserve">: lo studio di sicurezza cardiovascolare (si veda più avanti).</w:t>
      </w:r>
    </w:p>
    <w:bookmarkEnd w:id="870"/>
    <w:bookmarkEnd w:id="871"/>
    <w:bookmarkStart w:id="873" w:name="studi-su-animali-e-in-laboratorio-14"/>
    <w:p>
      <w:pPr>
        <w:pStyle w:val="Heading3"/>
      </w:pPr>
      <w:r>
        <w:t xml:space="preserve">Studi su animali e in laboratorio</w:t>
      </w:r>
    </w:p>
    <w:p>
      <w:pPr>
        <w:pStyle w:val="FirstParagraph"/>
      </w:pPr>
      <w:r>
        <w:t xml:space="preserve">Per questo capitolo di confronto i dati preclinici non vengono descritti nel dettaglio. Importante è una differenza farmacologica: in quanto piccola molecola orforglipron viene metabolizzato dagli enzimi epatici. Per questo sono stati condotti numerosi studi sulle interazioni con altri farmaci, per esempio con claritromicina, ciclosporina, carbamazepina o chinidina</w:t>
      </w:r>
      <w:r>
        <w:rPr>
          <w:rStyle w:val="FootnoteReference"/>
        </w:rPr>
        <w:footnoteReference w:id="872"/>
      </w:r>
      <w:r>
        <w:t xml:space="preserve">. Gli agonisti peptidici, invece, vengono degradati come le proteine e non presentano quasi interazioni di questo tipo.</w:t>
      </w:r>
    </w:p>
    <w:bookmarkEnd w:id="873"/>
    <w:bookmarkStart w:id="881" w:name="rischi-ed-effetti-collaterali-14"/>
    <w:p>
      <w:pPr>
        <w:pStyle w:val="Heading3"/>
      </w:pPr>
      <w:r>
        <w:t xml:space="preserve">Rischi ed effetti collaterali</w:t>
      </w:r>
    </w:p>
    <w:p>
      <w:pPr>
        <w:pStyle w:val="FirstParagraph"/>
      </w:pPr>
      <w:r>
        <w:rPr>
          <w:bCs/>
          <w:b/>
        </w:rPr>
        <w:t xml:space="preserve">Documentati dagli studi:</w:t>
      </w:r>
    </w:p>
    <w:p>
      <w:pPr>
        <w:numPr>
          <w:ilvl w:val="0"/>
          <w:numId w:val="1110"/>
        </w:numPr>
        <w:pStyle w:val="Compact"/>
      </w:pPr>
      <w:r>
        <w:rPr>
          <w:bCs/>
          <w:b/>
        </w:rPr>
        <w:t xml:space="preserve">Disturbi gastrointestinali:</w:t>
      </w:r>
      <w:r>
        <w:t xml:space="preserve"> </w:t>
      </w:r>
      <w:r>
        <w:t xml:space="preserve">come per tutti gli agonisti del GLP-1, per lo più da lievi a moderati e durante la titolazione. In ACHIEVE-4 il 62,1% con orforglipron ha riferito disturbi gastrointestinali rispetto al 14,2% con insulina glargine</w:t>
      </w:r>
      <w:r>
        <w:rPr>
          <w:rStyle w:val="FootnoteReference"/>
        </w:rPr>
        <w:footnoteReference w:id="874"/>
      </w:r>
      <w:r>
        <w:t xml:space="preserve">.</w:t>
      </w:r>
    </w:p>
    <w:p>
      <w:pPr>
        <w:numPr>
          <w:ilvl w:val="0"/>
          <w:numId w:val="1110"/>
        </w:numPr>
        <w:pStyle w:val="Compact"/>
      </w:pPr>
      <w:r>
        <w:rPr>
          <w:bCs/>
          <w:b/>
        </w:rPr>
        <w:t xml:space="preserve">Interruzioni per effetti collaterali:</w:t>
      </w:r>
      <w:r>
        <w:t xml:space="preserve"> </w:t>
      </w:r>
      <w:r>
        <w:t xml:space="preserve">in ATTAIN-1 fino al 10,3%</w:t>
      </w:r>
      <w:r>
        <w:rPr>
          <w:rStyle w:val="FootnoteReference"/>
        </w:rPr>
        <w:footnoteReference w:id="875"/>
      </w:r>
      <w:r>
        <w:t xml:space="preserve">, circa il doppio rispetto a semaglutide in compresse</w:t>
      </w:r>
      <w:r>
        <w:rPr>
          <w:rStyle w:val="FootnoteReference"/>
        </w:rPr>
        <w:footnoteReference w:id="876"/>
      </w:r>
      <w:r>
        <w:t xml:space="preserve">.</w:t>
      </w:r>
    </w:p>
    <w:p>
      <w:pPr>
        <w:numPr>
          <w:ilvl w:val="0"/>
          <w:numId w:val="1110"/>
        </w:numPr>
        <w:pStyle w:val="Compact"/>
      </w:pPr>
      <w:r>
        <w:rPr>
          <w:bCs/>
          <w:b/>
        </w:rPr>
        <w:t xml:space="preserve">Polso:</w:t>
      </w:r>
      <w:r>
        <w:t xml:space="preserve"> </w:t>
      </w:r>
      <w:r>
        <w:t xml:space="preserve">in ACHIEVE-3 la frequenza cardiaca è aumentata con orforglipron di 3,7–4,7 battiti al minuto, con semaglutide in compresse di 1,0–1,5</w:t>
      </w:r>
      <w:r>
        <w:rPr>
          <w:rStyle w:val="FootnoteReference"/>
        </w:rPr>
        <w:footnoteReference w:id="877"/>
      </w:r>
      <w:r>
        <w:t xml:space="preserve">.</w:t>
      </w:r>
    </w:p>
    <w:p>
      <w:pPr>
        <w:numPr>
          <w:ilvl w:val="0"/>
          <w:numId w:val="1110"/>
        </w:numPr>
        <w:pStyle w:val="Compact"/>
      </w:pPr>
      <w:r>
        <w:rPr>
          <w:bCs/>
          <w:b/>
        </w:rPr>
        <w:t xml:space="preserve">Sicurezza cardiovascolare:</w:t>
      </w:r>
      <w:r>
        <w:t xml:space="preserve"> </w:t>
      </w:r>
      <w:r>
        <w:t xml:space="preserve">in ACHIEVE-4 eventi cardiovascolari gravi si sono verificati nel 4,2% con orforglipron e nel 5,0% con insulina glargine (hazard ratio 0,84; IC 95% 0,59–1,20): orforglipron è risultato quindi non inferiore. Le ipoglicemie clinicamente significative o gravi sono state più rare (6,8% vs. 19,2%)</w:t>
      </w:r>
      <w:r>
        <w:rPr>
          <w:rStyle w:val="FootnoteReference"/>
        </w:rPr>
        <w:footnoteReference w:id="878"/>
      </w:r>
      <w:r>
        <w:t xml:space="preserve">. Se orforglipron, come alcuni agonisti peptidici,</w:t>
      </w:r>
      <w:r>
        <w:t xml:space="preserve"> </w:t>
      </w:r>
      <w:r>
        <w:rPr>
          <w:iCs/>
          <w:i/>
        </w:rPr>
        <w:t xml:space="preserve">riduca</w:t>
      </w:r>
      <w:r>
        <w:t xml:space="preserve"> </w:t>
      </w:r>
      <w:r>
        <w:t xml:space="preserve">gli eventi cardiovascolari dovrà mostrarlo uno studio sugli esiti dedicato</w:t>
      </w:r>
      <w:r>
        <w:rPr>
          <w:rStyle w:val="FootnoteReference"/>
        </w:rPr>
        <w:footnoteReference w:id="879"/>
      </w:r>
      <w:r>
        <w:t xml:space="preserve">.</w:t>
      </w:r>
    </w:p>
    <w:p>
      <w:pPr>
        <w:numPr>
          <w:ilvl w:val="0"/>
          <w:numId w:val="1110"/>
        </w:numPr>
        <w:pStyle w:val="Compact"/>
      </w:pPr>
      <w:r>
        <w:rPr>
          <w:bCs/>
          <w:b/>
        </w:rPr>
        <w:t xml:space="preserve">Fegato:</w:t>
      </w:r>
      <w:r>
        <w:t xml:space="preserve"> </w:t>
      </w:r>
      <w:r>
        <w:t xml:space="preserve">con piccole molecole GLP-1 di altri produttori gli aumenti degli enzimi epatici erano stati un problema. Un’analisi aggregata di sette studi di fase 3 con 11.220 partecipanti non ha rilevato per orforglipron alcun caso di danno epatico da farmaci; gli enzimi epatici sono anzi diminuiti in media</w:t>
      </w:r>
      <w:r>
        <w:rPr>
          <w:rStyle w:val="FootnoteReference"/>
        </w:rPr>
        <w:footnoteReference w:id="880"/>
      </w:r>
      <w:r>
        <w:t xml:space="preserve">.</w:t>
      </w:r>
    </w:p>
    <w:bookmarkEnd w:id="881"/>
    <w:bookmarkStart w:id="882" w:name="quadro-normativo-14"/>
    <w:p>
      <w:pPr>
        <w:pStyle w:val="Heading3"/>
      </w:pPr>
      <w:r>
        <w:t xml:space="preserve">Quadro normativo</w:t>
      </w:r>
    </w:p>
    <w:p>
      <w:pPr>
        <w:numPr>
          <w:ilvl w:val="0"/>
          <w:numId w:val="1111"/>
        </w:numPr>
        <w:pStyle w:val="Compact"/>
      </w:pPr>
      <w:r>
        <w:rPr>
          <w:bCs/>
          <w:b/>
        </w:rPr>
        <w:t xml:space="preserve">UE / Austria / Germania:</w:t>
      </w:r>
      <w:r>
        <w:t xml:space="preserve"> </w:t>
      </w:r>
      <w:r>
        <w:t xml:space="preserve">a ottobre 2026 risulta non autorizzato; è da attendersi una procedura di autorizzazione, o potrebbe essere già in corso – da verificare.</w:t>
      </w:r>
    </w:p>
    <w:p>
      <w:pPr>
        <w:numPr>
          <w:ilvl w:val="0"/>
          <w:numId w:val="1111"/>
        </w:numPr>
        <w:pStyle w:val="Compact"/>
      </w:pPr>
      <w:r>
        <w:rPr>
          <w:bCs/>
          <w:b/>
        </w:rPr>
        <w:t xml:space="preserve">USA:</w:t>
      </w:r>
      <w:r>
        <w:t xml:space="preserve"> </w:t>
      </w:r>
      <w:r>
        <w:t xml:space="preserve">sulla base dei dati ATTAIN e ACHIEVE sono state presentate o annunciate domande di autorizzazione per obesità e diabete di tipo 2; stato della decisione da verificare.</w:t>
      </w:r>
    </w:p>
    <w:p>
      <w:pPr>
        <w:numPr>
          <w:ilvl w:val="0"/>
          <w:numId w:val="1111"/>
        </w:numPr>
        <w:pStyle w:val="Compact"/>
      </w:pPr>
      <w:r>
        <w:rPr>
          <w:bCs/>
          <w:b/>
        </w:rPr>
        <w:t xml:space="preserve">Sport:</w:t>
      </w:r>
      <w:r>
        <w:t xml:space="preserve"> </w:t>
      </w:r>
      <w:r>
        <w:t xml:space="preserve">finché non è autorizzato in alcun Paese, classe WADA S0 (aggiornato al 2026, da verificare).</w:t>
      </w:r>
    </w:p>
    <w:p>
      <w:pPr>
        <w:numPr>
          <w:ilvl w:val="0"/>
          <w:numId w:val="1111"/>
        </w:numPr>
        <w:pStyle w:val="Compact"/>
      </w:pPr>
      <w:r>
        <w:t xml:space="preserve">Le offerte di «Orforglipron» non autorizzato su internet non sono medicinali verificati.</w:t>
      </w:r>
    </w:p>
    <w:bookmarkEnd w:id="882"/>
    <w:bookmarkStart w:id="890" w:name="studi-in-corso-e-prospettive-14"/>
    <w:p>
      <w:pPr>
        <w:pStyle w:val="Heading3"/>
      </w:pPr>
      <w:r>
        <w:t xml:space="preserve">Studi in corso e prospettive</w:t>
      </w:r>
    </w:p>
    <w:p>
      <w:pPr>
        <w:pStyle w:val="FirstParagraph"/>
      </w:pPr>
      <w:r>
        <w:rPr>
          <w:bCs/>
          <w:b/>
        </w:rPr>
        <w:t xml:space="preserve">Certo (studi registrati, aggiornato a ottobre 2026):</w:t>
      </w:r>
    </w:p>
    <w:p>
      <w:pPr>
        <w:numPr>
          <w:ilvl w:val="0"/>
          <w:numId w:val="1112"/>
        </w:numPr>
        <w:pStyle w:val="Compact"/>
      </w:pPr>
      <w:r>
        <w:rPr>
          <w:bCs/>
          <w:b/>
        </w:rPr>
        <w:t xml:space="preserve">Studio sugli esiti cardiovascolari</w:t>
      </w:r>
      <w:r>
        <w:t xml:space="preserve"> </w:t>
      </w:r>
      <w:r>
        <w:t xml:space="preserve">nell’aterosclerosi (NCT07241390, 7.140 partecipanti, fino al 2031).</w:t>
      </w:r>
    </w:p>
    <w:p>
      <w:pPr>
        <w:numPr>
          <w:ilvl w:val="0"/>
          <w:numId w:val="1112"/>
        </w:numPr>
        <w:pStyle w:val="Compact"/>
      </w:pPr>
      <w:r>
        <w:rPr>
          <w:bCs/>
          <w:b/>
        </w:rPr>
        <w:t xml:space="preserve">Arteriopatia periferica</w:t>
      </w:r>
      <w:r>
        <w:rPr>
          <w:rStyle w:val="FootnoteReference"/>
        </w:rPr>
        <w:footnoteReference w:id="883"/>
      </w:r>
      <w:r>
        <w:t xml:space="preserve">,</w:t>
      </w:r>
      <w:r>
        <w:t xml:space="preserve"> </w:t>
      </w:r>
      <w:r>
        <w:rPr>
          <w:bCs/>
          <w:b/>
        </w:rPr>
        <w:t xml:space="preserve">ipertensione</w:t>
      </w:r>
      <w:r>
        <w:rPr>
          <w:rStyle w:val="FootnoteReference"/>
        </w:rPr>
        <w:footnoteReference w:id="884"/>
      </w:r>
      <w:r>
        <w:t xml:space="preserve">,</w:t>
      </w:r>
      <w:r>
        <w:t xml:space="preserve"> </w:t>
      </w:r>
      <w:r>
        <w:rPr>
          <w:bCs/>
          <w:b/>
        </w:rPr>
        <w:t xml:space="preserve">artrosi del ginocchio</w:t>
      </w:r>
      <w:r>
        <w:rPr>
          <w:rStyle w:val="FootnoteReference"/>
        </w:rPr>
        <w:footnoteReference w:id="885"/>
      </w:r>
      <w:r>
        <w:t xml:space="preserve">,</w:t>
      </w:r>
      <w:r>
        <w:t xml:space="preserve"> </w:t>
      </w:r>
      <w:r>
        <w:rPr>
          <w:bCs/>
          <w:b/>
        </w:rPr>
        <w:t xml:space="preserve">incontinenza da sforzo</w:t>
      </w:r>
      <w:r>
        <w:t xml:space="preserve"> </w:t>
      </w:r>
      <w:r>
        <w:t xml:space="preserve">in donne con obesità</w:t>
      </w:r>
      <w:r>
        <w:rPr>
          <w:rStyle w:val="FootnoteReference"/>
        </w:rPr>
        <w:footnoteReference w:id="886"/>
      </w:r>
      <w:r>
        <w:t xml:space="preserve">.</w:t>
      </w:r>
    </w:p>
    <w:p>
      <w:pPr>
        <w:numPr>
          <w:ilvl w:val="0"/>
          <w:numId w:val="1112"/>
        </w:numPr>
        <w:pStyle w:val="Compact"/>
      </w:pPr>
      <w:r>
        <w:rPr>
          <w:bCs/>
          <w:b/>
        </w:rPr>
        <w:t xml:space="preserve">Adolescenti</w:t>
      </w:r>
      <w:r>
        <w:rPr>
          <w:rStyle w:val="FootnoteReference"/>
        </w:rPr>
        <w:footnoteReference w:id="887"/>
      </w:r>
      <w:r>
        <w:t xml:space="preserve"> </w:t>
      </w:r>
      <w:r>
        <w:t xml:space="preserve">e</w:t>
      </w:r>
      <w:r>
        <w:t xml:space="preserve"> </w:t>
      </w:r>
      <w:r>
        <w:rPr>
          <w:bCs/>
          <w:b/>
        </w:rPr>
        <w:t xml:space="preserve">bambini con diabete di tipo 2</w:t>
      </w:r>
      <w:r>
        <w:t xml:space="preserve"> </w:t>
      </w:r>
      <w:r>
        <w:t xml:space="preserve">a confronto con dulaglutide</w:t>
      </w:r>
      <w:r>
        <w:rPr>
          <w:rStyle w:val="FootnoteReference"/>
        </w:rPr>
        <w:footnoteReference w:id="888"/>
      </w:r>
      <w:r>
        <w:t xml:space="preserve">.</w:t>
      </w:r>
    </w:p>
    <w:p>
      <w:pPr>
        <w:numPr>
          <w:ilvl w:val="0"/>
          <w:numId w:val="1112"/>
        </w:numPr>
        <w:pStyle w:val="Compact"/>
      </w:pPr>
      <w:r>
        <w:t xml:space="preserve">Studio sull’</w:t>
      </w:r>
      <w:r>
        <w:rPr>
          <w:bCs/>
          <w:b/>
        </w:rPr>
        <w:t xml:space="preserve">apnea del sonno</w:t>
      </w:r>
      <w:r>
        <w:rPr>
          <w:rStyle w:val="FootnoteReference"/>
        </w:rPr>
        <w:footnoteReference w:id="889"/>
      </w:r>
      <w:r>
        <w:t xml:space="preserve"> </w:t>
      </w:r>
      <w:r>
        <w:t xml:space="preserve">concluso, pubblicazione in attesa.</w:t>
      </w:r>
    </w:p>
    <w:p>
      <w:pPr>
        <w:pStyle w:val="FirstParagraph"/>
      </w:pPr>
      <w:r>
        <w:rPr>
          <w:bCs/>
          <w:b/>
        </w:rPr>
        <w:t xml:space="preserve">Valutazione:</w:t>
      </w:r>
      <w:r>
        <w:t xml:space="preserve"> </w:t>
      </w:r>
      <w:r>
        <w:t xml:space="preserve">orforglipron diventerà presumibilmente il primo farmaco GLP-1 non peptidico ampiamente disponibile. Il suo punto di forza non è la massima perdita di peso – qui i peptidi iniettabili sono in vantaggio – ma l’assunzione semplice, la produzione probabilmente più economica e l’idoneità al trattamento a lungo termine dopo una fase con iniezioni. Per il mercato dei peptidi ciò significa una concorrenza seria, in particolare nella terapia a lungo termine e di mantenimento (si veda la Parte V).</w:t>
      </w:r>
    </w:p>
    <w:bookmarkEnd w:id="890"/>
    <w:bookmarkStart w:id="891" w:name="conclusione-14"/>
    <w:p>
      <w:pPr>
        <w:pStyle w:val="Heading3"/>
      </w:pPr>
      <w:r>
        <w:t xml:space="preserve">Conclusione</w:t>
      </w:r>
    </w:p>
    <w:p>
      <w:pPr>
        <w:pStyle w:val="FirstParagraph"/>
      </w:pPr>
      <w:r>
        <w:t xml:space="preserve">Orforglipron non è un peptide, ma una piccola molecola che in forma di compressa attiva il recettore del GLP-1 e può essere deglutita senza regole di assunzione. In ATTAIN-1 il peso è diminuito dopo 72 settimane fino all’11,2% – meno che con semaglutide o tirzepatide iniettabili – e dopo il passaggio da un’iniezione i partecipanti hanno mantenuto circa tre quarti della perdita di peso. Nel diabete di tipo 2 ha ridotto l’HbA1c più di semaglutide in compresse e si è dimostrato sicuro dal punto di vista cardiovascolare rispetto all’insulina. Disturbi gastrointestinali e interruzioni della terapia sono un po’ più frequenti che con semaglutide in compresse.</w:t>
      </w:r>
    </w:p>
    <w:bookmarkEnd w:id="891"/>
    <w:bookmarkEnd w:id="892"/>
    <w:bookmarkEnd w:id="893"/>
    <w:bookmarkStart w:id="1223" w:name="X43ee7a3851e4853a7fd0b18d24a3214786dfb49"/>
    <w:p>
      <w:pPr>
        <w:pStyle w:val="Heading1"/>
      </w:pPr>
      <w:r>
        <w:t xml:space="preserve">Parte II · B – Guarigione, rigenerazione e sistema immunitario</w:t>
      </w:r>
    </w:p>
    <w:p>
      <w:pPr>
        <w:pStyle w:val="FirstParagraph"/>
      </w:pPr>
      <w:r>
        <w:t xml:space="preserve">I peptidi di questo gruppo promettono ciò che molti desiderano: una guarigione più rapida di tendini e muscoli, una parete intestinale più compatta, un sistema immunitario più forte, meno infiammazione. Nei negozi online, nei forum di fitness e nelle cliniche della longevità BPC-157, TB-500 e timosina alfa 1 sono tra i «peptidi per la ricerca» più venduti in assoluto.</w:t>
      </w:r>
    </w:p>
    <w:bookmarkStart w:id="894" w:name="che-cosa-accomuna-questi-peptidi"/>
    <w:p>
      <w:pPr>
        <w:pStyle w:val="Heading3"/>
      </w:pPr>
      <w:r>
        <w:t xml:space="preserve">Che cosa accomuna questi peptidi</w:t>
      </w:r>
    </w:p>
    <w:p>
      <w:pPr>
        <w:pStyle w:val="FirstParagraph"/>
      </w:pPr>
      <w:r>
        <w:t xml:space="preserve">Tutti e otto i principi attivi non dovrebbero modificare un singolo obiettivo chiaramente misurabile – come la glicemia o il peso corporeo – ma «stimolare» o «normalizzare» i processi di riparazione e di difesa dell’organismo. Ciò ha due conseguenze che attraversano tutti i capitoli:</w:t>
      </w:r>
    </w:p>
    <w:p>
      <w:pPr>
        <w:numPr>
          <w:ilvl w:val="0"/>
          <w:numId w:val="1113"/>
        </w:numPr>
        <w:pStyle w:val="Compact"/>
      </w:pPr>
      <w:r>
        <w:rPr>
          <w:bCs/>
          <w:b/>
        </w:rPr>
        <w:t xml:space="preserve">L’effetto è difficile da misurare.</w:t>
      </w:r>
      <w:r>
        <w:t xml:space="preserve"> </w:t>
      </w:r>
      <w:r>
        <w:t xml:space="preserve">Guarigione, dolore e funzione immunitaria variano molto, dipendono da molti fattori e sono soggetti agli effetti placebo. Piccoli studi senza gruppo di controllo sono quindi particolarmente poco significativi.</w:t>
      </w:r>
    </w:p>
    <w:p>
      <w:pPr>
        <w:numPr>
          <w:ilvl w:val="0"/>
          <w:numId w:val="1113"/>
        </w:numPr>
        <w:pStyle w:val="Compact"/>
      </w:pPr>
      <w:r>
        <w:rPr>
          <w:bCs/>
          <w:b/>
        </w:rPr>
        <w:t xml:space="preserve">La plausibilità sostituisce spesso le prove.</w:t>
      </w:r>
      <w:r>
        <w:t xml:space="preserve"> </w:t>
      </w:r>
      <w:r>
        <w:t xml:space="preserve">Quasi tutti i peptidi di questo gruppo derivano da sostanze endogene: dal succo gastrico (BPC-157), dal timo (timosina alfa 1, timalina), dalle difese della pelle (LL-37), dall’ormone alfa-MSH (KPV) o dall’eritropoietina (ARA-290). «Endogeno» suona innocuo, ma non dice nulla su utilità e sicurezza di una somministrazione dall’esterno ad alte dosi.</w:t>
      </w:r>
    </w:p>
    <w:p>
      <w:pPr>
        <w:pStyle w:val="FirstParagraph"/>
      </w:pPr>
      <w:r>
        <w:t xml:space="preserve">Colpisce inoltre uno schema ricorrente: piccoli studi iniziali sembrano promettenti, studi più grandi e condotti in cieco con maggiore rigore non li confermano. Lo si vede con la timosina alfa 1 nella sepsi, con la timosina beta 4 come collirio, con LL-37 nelle ulcere delle gambe e con larazotide nella celiachia.</w:t>
      </w:r>
    </w:p>
    <w:bookmarkEnd w:id="894"/>
    <w:bookmarkStart w:id="895" w:name="il-gruppo-in-sintesi"/>
    <w:p>
      <w:pPr>
        <w:pStyle w:val="Heading3"/>
      </w:pPr>
      <w:r>
        <w:t xml:space="preserve">Il gruppo in sintesi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Peptide</w:t>
            </w:r>
          </w:p>
        </w:tc>
        <w:tc>
          <w:tcPr/>
          <w:p>
            <w:pPr>
              <w:pStyle w:val="Compact"/>
              <w:jc w:val="left"/>
            </w:pPr>
            <w:r>
              <w:t xml:space="preserve">Evidenza</w:t>
            </w:r>
          </w:p>
        </w:tc>
        <w:tc>
          <w:tcPr/>
          <w:p>
            <w:pPr>
              <w:pStyle w:val="Compact"/>
              <w:jc w:val="left"/>
            </w:pPr>
            <w:r>
              <w:t xml:space="preserve">Autorizzazione</w:t>
            </w:r>
          </w:p>
        </w:tc>
        <w:tc>
          <w:tcPr/>
          <w:p>
            <w:pPr>
              <w:pStyle w:val="Compact"/>
              <w:jc w:val="left"/>
            </w:pPr>
            <w:r>
              <w:t xml:space="preserve">In breve</w:t>
            </w:r>
          </w:p>
        </w:tc>
      </w:tr>
      <w:tr>
        <w:tc>
          <w:tcPr/>
          <w:p>
            <w:pPr>
              <w:pStyle w:val="Compact"/>
              <w:jc w:val="left"/>
            </w:pPr>
            <w:r>
              <w:t xml:space="preserve">BPC-157</w:t>
            </w:r>
          </w:p>
        </w:tc>
        <w:tc>
          <w:tcPr/>
          <w:p>
            <w:pPr>
              <w:pStyle w:val="Compact"/>
              <w:jc w:val="left"/>
            </w:pPr>
            <w:r>
              <w:t xml:space="preserve">C</w:t>
            </w:r>
          </w:p>
        </w:tc>
        <w:tc>
          <w:tcPr/>
          <w:p>
            <w:pPr>
              <w:pStyle w:val="Compact"/>
              <w:jc w:val="left"/>
            </w:pPr>
            <w:r>
              <w:t xml:space="preserve">no</w:t>
            </w:r>
          </w:p>
        </w:tc>
        <w:tc>
          <w:tcPr/>
          <w:p>
            <w:pPr>
              <w:pStyle w:val="Compact"/>
              <w:jc w:val="left"/>
            </w:pPr>
            <w:r>
              <w:t xml:space="preserve">centinaia di studi sugli animali, quasi tutti di un unico gruppo; sull’uomo tre mini-studi pilota</w:t>
            </w:r>
          </w:p>
        </w:tc>
      </w:tr>
      <w:tr>
        <w:tc>
          <w:tcPr/>
          <w:p>
            <w:pPr>
              <w:pStyle w:val="Compact"/>
              <w:jc w:val="left"/>
            </w:pPr>
            <w:r>
              <w:t xml:space="preserve">TB-500 / timosina beta 4</w:t>
            </w:r>
          </w:p>
        </w:tc>
        <w:tc>
          <w:tcPr/>
          <w:p>
            <w:pPr>
              <w:pStyle w:val="Compact"/>
              <w:jc w:val="left"/>
            </w:pPr>
            <w:r>
              <w:t xml:space="preserve">B (Tβ4) · D (TB-500)</w:t>
            </w:r>
          </w:p>
        </w:tc>
        <w:tc>
          <w:tcPr/>
          <w:p>
            <w:pPr>
              <w:pStyle w:val="Compact"/>
              <w:jc w:val="left"/>
            </w:pPr>
            <w:r>
              <w:t xml:space="preserve">no</w:t>
            </w:r>
          </w:p>
        </w:tc>
        <w:tc>
          <w:tcPr/>
          <w:p>
            <w:pPr>
              <w:pStyle w:val="Compact"/>
              <w:jc w:val="left"/>
            </w:pPr>
            <w:r>
              <w:t xml:space="preserve">Tβ4 valutata in RCT, grandi studi oculistici senza un chiaro beneficio; TB-500 mai sull’uomo</w:t>
            </w:r>
          </w:p>
        </w:tc>
      </w:tr>
      <w:tr>
        <w:tc>
          <w:tcPr/>
          <w:p>
            <w:pPr>
              <w:pStyle w:val="Compact"/>
              <w:jc w:val="left"/>
            </w:pPr>
            <w:r>
              <w:t xml:space="preserve">Timosina alfa 1</w:t>
            </w:r>
          </w:p>
        </w:tc>
        <w:tc>
          <w:tcPr/>
          <w:p>
            <w:pPr>
              <w:pStyle w:val="Compact"/>
              <w:jc w:val="left"/>
            </w:pPr>
            <w:r>
              <w:t xml:space="preserve">B</w:t>
            </w:r>
          </w:p>
        </w:tc>
        <w:tc>
          <w:tcPr/>
          <w:p>
            <w:pPr>
              <w:pStyle w:val="Compact"/>
              <w:jc w:val="left"/>
            </w:pPr>
            <w:r>
              <w:t xml:space="preserve">Cina e altri, non UE/USA</w:t>
            </w:r>
          </w:p>
        </w:tc>
        <w:tc>
          <w:tcPr/>
          <w:p>
            <w:pPr>
              <w:pStyle w:val="Compact"/>
              <w:jc w:val="left"/>
            </w:pPr>
            <w:r>
              <w:t xml:space="preserve">molti RCT; grande studio sulla sepsi senza differenze rispetto al placebo</w:t>
            </w:r>
          </w:p>
        </w:tc>
      </w:tr>
      <w:tr>
        <w:tc>
          <w:tcPr/>
          <w:p>
            <w:pPr>
              <w:pStyle w:val="Compact"/>
              <w:jc w:val="left"/>
            </w:pPr>
            <w:r>
              <w:t xml:space="preserve">KPV</w:t>
            </w:r>
          </w:p>
        </w:tc>
        <w:tc>
          <w:tcPr/>
          <w:p>
            <w:pPr>
              <w:pStyle w:val="Compact"/>
              <w:jc w:val="left"/>
            </w:pPr>
            <w:r>
              <w:t xml:space="preserve">D</w:t>
            </w:r>
          </w:p>
        </w:tc>
        <w:tc>
          <w:tcPr/>
          <w:p>
            <w:pPr>
              <w:pStyle w:val="Compact"/>
              <w:jc w:val="left"/>
            </w:pPr>
            <w:r>
              <w:t xml:space="preserve">no</w:t>
            </w:r>
          </w:p>
        </w:tc>
        <w:tc>
          <w:tcPr/>
          <w:p>
            <w:pPr>
              <w:pStyle w:val="Compact"/>
              <w:jc w:val="left"/>
            </w:pPr>
            <w:r>
              <w:t xml:space="preserve">efficace nei topi con colite; nessuno studio sull’uomo</w:t>
            </w:r>
          </w:p>
        </w:tc>
      </w:tr>
      <w:tr>
        <w:tc>
          <w:tcPr/>
          <w:p>
            <w:pPr>
              <w:pStyle w:val="Compact"/>
              <w:jc w:val="left"/>
            </w:pPr>
            <w:r>
              <w:t xml:space="preserve">LL-37</w:t>
            </w:r>
          </w:p>
        </w:tc>
        <w:tc>
          <w:tcPr/>
          <w:p>
            <w:pPr>
              <w:pStyle w:val="Compact"/>
              <w:jc w:val="left"/>
            </w:pPr>
            <w:r>
              <w:t xml:space="preserve">B</w:t>
            </w:r>
          </w:p>
        </w:tc>
        <w:tc>
          <w:tcPr/>
          <w:p>
            <w:pPr>
              <w:pStyle w:val="Compact"/>
              <w:jc w:val="left"/>
            </w:pPr>
            <w:r>
              <w:t xml:space="preserve">no</w:t>
            </w:r>
          </w:p>
        </w:tc>
        <w:tc>
          <w:tcPr/>
          <w:p>
            <w:pPr>
              <w:pStyle w:val="Compact"/>
              <w:jc w:val="left"/>
            </w:pPr>
            <w:r>
              <w:t xml:space="preserve">peptide di difesa endogeno; studio sulle ferite con 148 persone senza vantaggi</w:t>
            </w:r>
          </w:p>
        </w:tc>
      </w:tr>
      <w:tr>
        <w:tc>
          <w:tcPr/>
          <w:p>
            <w:pPr>
              <w:pStyle w:val="Compact"/>
              <w:jc w:val="left"/>
            </w:pPr>
            <w:r>
              <w:t xml:space="preserve">ARA-290</w:t>
            </w:r>
          </w:p>
        </w:tc>
        <w:tc>
          <w:tcPr/>
          <w:p>
            <w:pPr>
              <w:pStyle w:val="Compact"/>
              <w:jc w:val="left"/>
            </w:pPr>
            <w:r>
              <w:t xml:space="preserve">B</w:t>
            </w:r>
          </w:p>
        </w:tc>
        <w:tc>
          <w:tcPr/>
          <w:p>
            <w:pPr>
              <w:pStyle w:val="Compact"/>
              <w:jc w:val="left"/>
            </w:pPr>
            <w:r>
              <w:t xml:space="preserve">no</w:t>
            </w:r>
          </w:p>
        </w:tc>
        <w:tc>
          <w:tcPr/>
          <w:p>
            <w:pPr>
              <w:pStyle w:val="Compact"/>
              <w:jc w:val="left"/>
            </w:pPr>
            <w:r>
              <w:t xml:space="preserve">piccoli RCT su danni nervosi da sarcoidosi; dal 2015 nessun nuovo studio</w:t>
            </w:r>
          </w:p>
        </w:tc>
      </w:tr>
      <w:tr>
        <w:tc>
          <w:tcPr/>
          <w:p>
            <w:pPr>
              <w:pStyle w:val="Compact"/>
              <w:jc w:val="left"/>
            </w:pPr>
            <w:r>
              <w:t xml:space="preserve">Larazotide</w:t>
            </w:r>
          </w:p>
        </w:tc>
        <w:tc>
          <w:tcPr/>
          <w:p>
            <w:pPr>
              <w:pStyle w:val="Compact"/>
              <w:jc w:val="left"/>
            </w:pPr>
            <w:r>
              <w:t xml:space="preserve">B</w:t>
            </w:r>
          </w:p>
        </w:tc>
        <w:tc>
          <w:tcPr/>
          <w:p>
            <w:pPr>
              <w:pStyle w:val="Compact"/>
              <w:jc w:val="left"/>
            </w:pPr>
            <w:r>
              <w:t xml:space="preserve">no</w:t>
            </w:r>
          </w:p>
        </w:tc>
        <w:tc>
          <w:tcPr/>
          <w:p>
            <w:pPr>
              <w:pStyle w:val="Compact"/>
              <w:jc w:val="left"/>
            </w:pPr>
            <w:r>
              <w:t xml:space="preserve">candidato per la celiachia; fase 3 interrotta</w:t>
            </w:r>
          </w:p>
        </w:tc>
      </w:tr>
      <w:tr>
        <w:tc>
          <w:tcPr/>
          <w:p>
            <w:pPr>
              <w:pStyle w:val="Compact"/>
              <w:jc w:val="left"/>
            </w:pPr>
            <w:r>
              <w:t xml:space="preserve">Timalina / timogeno</w:t>
            </w:r>
          </w:p>
        </w:tc>
        <w:tc>
          <w:tcPr/>
          <w:p>
            <w:pPr>
              <w:pStyle w:val="Compact"/>
              <w:jc w:val="left"/>
            </w:pPr>
            <w:r>
              <w:t xml:space="preserve">C</w:t>
            </w:r>
          </w:p>
        </w:tc>
        <w:tc>
          <w:tcPr/>
          <w:p>
            <w:pPr>
              <w:pStyle w:val="Compact"/>
              <w:jc w:val="left"/>
            </w:pPr>
            <w:r>
              <w:t xml:space="preserve">Russia</w:t>
            </w:r>
          </w:p>
        </w:tc>
        <w:tc>
          <w:tcPr/>
          <w:p>
            <w:pPr>
              <w:pStyle w:val="Compact"/>
              <w:jc w:val="left"/>
            </w:pPr>
            <w:r>
              <w:t xml:space="preserve">quasi solo studi russi di un’unica scuola, raramente randomizzati</w:t>
            </w:r>
          </w:p>
        </w:tc>
      </w:tr>
    </w:tbl>
    <w:p>
      <w:pPr>
        <w:pStyle w:val="BodyText"/>
      </w:pPr>
      <w:r>
        <w:t xml:space="preserve">Livelli di evidenza:</w:t>
      </w:r>
      <w:r>
        <w:t xml:space="preserve"> </w:t>
      </w:r>
      <w:r>
        <w:rPr>
          <w:bCs/>
          <w:b/>
        </w:rPr>
        <w:t xml:space="preserve">A</w:t>
      </w:r>
      <w:r>
        <w:t xml:space="preserve"> </w:t>
      </w:r>
      <w:r>
        <w:t xml:space="preserve">diversi grandi RCT o autorizzazione ·</w:t>
      </w:r>
      <w:r>
        <w:t xml:space="preserve"> </w:t>
      </w:r>
      <w:r>
        <w:rPr>
          <w:bCs/>
          <w:b/>
        </w:rPr>
        <w:t xml:space="preserve">B</w:t>
      </w:r>
      <w:r>
        <w:t xml:space="preserve"> </w:t>
      </w:r>
      <w:r>
        <w:t xml:space="preserve">singoli RCT ·</w:t>
      </w:r>
      <w:r>
        <w:t xml:space="preserve"> </w:t>
      </w:r>
      <w:r>
        <w:rPr>
          <w:bCs/>
          <w:b/>
        </w:rPr>
        <w:t xml:space="preserve">C</w:t>
      </w:r>
      <w:r>
        <w:t xml:space="preserve"> </w:t>
      </w:r>
      <w:r>
        <w:t xml:space="preserve">solo studi sull’uomo piccoli o non controllati ·</w:t>
      </w:r>
      <w:r>
        <w:t xml:space="preserve"> </w:t>
      </w:r>
      <w:r>
        <w:rPr>
          <w:bCs/>
          <w:b/>
        </w:rPr>
        <w:t xml:space="preserve">D</w:t>
      </w:r>
      <w:r>
        <w:t xml:space="preserve"> </w:t>
      </w:r>
      <w:r>
        <w:t xml:space="preserve">solo studi su animali e in laboratorio. L’autorizzazione si riferisce all’autorizzazione come medicinale, aggiornata al 2026.</w:t>
      </w:r>
    </w:p>
    <w:p>
      <w:pPr>
        <w:pStyle w:val="BodyText"/>
      </w:pPr>
      <w:r>
        <w:t xml:space="preserve">Nessun peptide di questo gruppo è autorizzato come medicinale nell’UE o negli USA. I due principi attivi con autorizzazioni al di fuori dell’Occidente – timosina alfa 1 e timalina – sono stati autorizzati sulla base di studi che reggono solo in parte agli standard odierni.</w:t>
      </w:r>
    </w:p>
    <w:bookmarkEnd w:id="895"/>
    <w:bookmarkStart w:id="896" w:name="indicazioni-per-la-lettura-1"/>
    <w:p>
      <w:pPr>
        <w:pStyle w:val="Heading3"/>
      </w:pPr>
      <w:r>
        <w:t xml:space="preserve">Indicazioni per la lettura</w:t>
      </w:r>
    </w:p>
    <w:p>
      <w:pPr>
        <w:pStyle w:val="FirstParagraph"/>
      </w:pPr>
      <w:r>
        <w:t xml:space="preserve">I capitoli seguono la struttura uniforme di questo libro. In questo gruppo presta particolare attenzione a tre distinzioni:</w:t>
      </w:r>
    </w:p>
    <w:p>
      <w:pPr>
        <w:numPr>
          <w:ilvl w:val="0"/>
          <w:numId w:val="1114"/>
        </w:numPr>
        <w:pStyle w:val="Compact"/>
      </w:pPr>
      <w:r>
        <w:rPr>
          <w:bCs/>
          <w:b/>
        </w:rPr>
        <w:t xml:space="preserve">Uomo o animale?</w:t>
      </w:r>
      <w:r>
        <w:t xml:space="preserve"> </w:t>
      </w:r>
      <w:r>
        <w:t xml:space="preserve">Per BPC-157, KPV e TB-500 quasi tutto ciò che viene affermato su internet si basa su esperimenti con ratti, topi o colture cellulari. I capitoli lo indicano ogni volta espressamente.</w:t>
      </w:r>
    </w:p>
    <w:p>
      <w:pPr>
        <w:numPr>
          <w:ilvl w:val="0"/>
          <w:numId w:val="1114"/>
        </w:numPr>
        <w:pStyle w:val="Compact"/>
      </w:pPr>
      <w:r>
        <w:rPr>
          <w:bCs/>
          <w:b/>
        </w:rPr>
        <w:t xml:space="preserve">Principio attivo o valore misurato?</w:t>
      </w:r>
      <w:r>
        <w:t xml:space="preserve"> </w:t>
      </w:r>
      <w:r>
        <w:t xml:space="preserve">Per LL-37 esistono molti studi che</w:t>
      </w:r>
      <w:r>
        <w:t xml:space="preserve"> </w:t>
      </w:r>
      <w:r>
        <w:rPr>
          <w:iCs/>
          <w:i/>
        </w:rPr>
        <w:t xml:space="preserve">misurano</w:t>
      </w:r>
      <w:r>
        <w:t xml:space="preserve"> </w:t>
      </w:r>
      <w:r>
        <w:t xml:space="preserve">la sostanza nel sangue, ma pochi che la</w:t>
      </w:r>
      <w:r>
        <w:t xml:space="preserve"> </w:t>
      </w:r>
      <w:r>
        <w:rPr>
          <w:iCs/>
          <w:i/>
        </w:rPr>
        <w:t xml:space="preserve">somministrano</w:t>
      </w:r>
      <w:r>
        <w:t xml:space="preserve"> </w:t>
      </w:r>
      <w:r>
        <w:t xml:space="preserve">come farmaco. Solo questi ultimi dicono qualcosa su un trattamento.</w:t>
      </w:r>
    </w:p>
    <w:p>
      <w:pPr>
        <w:numPr>
          <w:ilvl w:val="0"/>
          <w:numId w:val="1114"/>
        </w:numPr>
        <w:pStyle w:val="Compact"/>
      </w:pPr>
      <w:r>
        <w:rPr>
          <w:bCs/>
          <w:b/>
        </w:rPr>
        <w:t xml:space="preserve">Originale o derivato?</w:t>
      </w:r>
      <w:r>
        <w:t xml:space="preserve"> </w:t>
      </w:r>
      <w:r>
        <w:t xml:space="preserve">TB-500 non è la timosina beta 4, il timogeno non è la timalina, e il prodotto venduto su internet non è la forma farmaceutica usata negli studi.</w:t>
      </w:r>
    </w:p>
    <w:p>
      <w:pPr>
        <w:pStyle w:val="FirstParagraph"/>
      </w:pPr>
      <w:r>
        <w:t xml:space="preserve">Due capitoli contengono indicazioni su voci di registro la cui autenticità è dubbia: uno sponsor ha iscritto su ClinicalTrials.gov sia uno studio di fase 2 su BPC-157 sia uno studio su TB-500, uno dei quali si definisce esso stesso «esempio fittizio». Anche una voce di registro, quindi, non è una prova che uno studio si svolga davvero.</w:t>
      </w:r>
    </w:p>
    <w:p>
      <w:pPr>
        <w:pStyle w:val="BodyText"/>
      </w:pPr>
      <w:r>
        <w:t xml:space="preserve">Le questioni relative ai prodotti del mercato grigio, alle contaminazioni e al rischio teorico di cancro dovuto ai segnali di crescita e vascolari sono trattate in modo più approfondito e trasversale a tutti i peptidi nel capitolo I.5 e nella Parte IV. Per sportive e sportivi vale quanto segue: BPC-157, TB-500 e ARA-290 sono espressamente vietati dalla WADA; per gli altri, prima di qualsiasi uso, rivolgiti alla tua agenzia nazionale antidoping.</w:t>
      </w:r>
    </w:p>
    <w:bookmarkEnd w:id="896"/>
    <w:bookmarkStart w:id="954" w:name="bpc-157"/>
    <w:p>
      <w:pPr>
        <w:pStyle w:val="Heading2"/>
      </w:pPr>
      <w:r>
        <w:t xml:space="preserve">BPC-157</w:t>
      </w:r>
    </w:p>
    <w:p>
      <w:pPr>
        <w:pStyle w:val="FirstParagraph"/>
      </w:pPr>
      <w:r>
        <w:t xml:space="preserve">Pochi peptidi vengono cercati, consigliati e venduti su internet con la stessa frequenza di BPC-157. Nei forum e nei video è considerato un rimedio miracoloso per tendini, legamenti, muscoli, intestino e persino cervello. Chi legge la letteratura scientifica trova effettivamente ben oltre duecento pubblicazioni. Il quadro cambia però non appena ci si chiede quante di queste abbiano studiato esseri umani: sono solo una manciata, piccole, non controllate e provenienti da un unico studio medico privato. Questo capitolo chiarisce che cosa è documentato, che cosa è stato dimostrato solo nei ratti e dove si trovano i rischi.</w:t>
      </w:r>
    </w:p>
    <w:bookmarkStart w:id="898" w:name="scheda-15"/>
    <w:p>
      <w:pPr>
        <w:pStyle w:val="Heading3"/>
      </w:pPr>
      <w:r>
        <w:t xml:space="preserve">Scheda</w:t>
      </w:r>
    </w:p>
    <w:p>
      <w:pPr>
        <w:numPr>
          <w:ilvl w:val="0"/>
          <w:numId w:val="1115"/>
        </w:numPr>
        <w:pStyle w:val="Compact"/>
      </w:pPr>
      <w:r>
        <w:rPr>
          <w:bCs/>
          <w:b/>
        </w:rPr>
        <w:t xml:space="preserve">Tipo e struttura:</w:t>
      </w:r>
      <w:r>
        <w:t xml:space="preserve"> </w:t>
      </w:r>
      <w:r>
        <w:t xml:space="preserve">peptide sintetico di 15 aminoacidi (pentadecapeptide) con la sequenza GEPPPGKPADDAGLV</w:t>
      </w:r>
      <w:r>
        <w:rPr>
          <w:rStyle w:val="FootnoteReference"/>
        </w:rPr>
        <w:footnoteReference w:id="897"/>
      </w:r>
      <w:r>
        <w:t xml:space="preserve">.</w:t>
      </w:r>
    </w:p>
    <w:p>
      <w:pPr>
        <w:numPr>
          <w:ilvl w:val="0"/>
          <w:numId w:val="1115"/>
        </w:numPr>
        <w:pStyle w:val="Compact"/>
      </w:pPr>
      <w:r>
        <w:rPr>
          <w:bCs/>
          <w:b/>
        </w:rPr>
        <w:t xml:space="preserve">Origine:</w:t>
      </w:r>
      <w:r>
        <w:t xml:space="preserve"> </w:t>
      </w:r>
      <w:r>
        <w:t xml:space="preserve">derivato da una proteina più grande descritta negli anni Novanta nel succo gastrico umano («Body Protection Compound», da cui BPC). Il BPC-157 in commercio è un prodotto di laboratorio; se la sequenza in questa forma sia presente nell’organismo non è stato verificato in modo indipendente.</w:t>
      </w:r>
    </w:p>
    <w:p>
      <w:pPr>
        <w:numPr>
          <w:ilvl w:val="0"/>
          <w:numId w:val="1115"/>
        </w:numPr>
        <w:pStyle w:val="Compact"/>
      </w:pPr>
      <w:r>
        <w:rPr>
          <w:bCs/>
          <w:b/>
        </w:rPr>
        <w:t xml:space="preserve">Precedenti nomi di sviluppo:</w:t>
      </w:r>
      <w:r>
        <w:t xml:space="preserve"> </w:t>
      </w:r>
      <w:r>
        <w:t xml:space="preserve">PL 14736, PL-10, PLD-116 (azienda Pliva, Croazia), in seguito «Bepecin» o PCO-02.</w:t>
      </w:r>
    </w:p>
    <w:p>
      <w:pPr>
        <w:numPr>
          <w:ilvl w:val="0"/>
          <w:numId w:val="1115"/>
        </w:numPr>
        <w:pStyle w:val="Compact"/>
      </w:pPr>
      <w:r>
        <w:rPr>
          <w:bCs/>
          <w:b/>
        </w:rPr>
        <w:t xml:space="preserve">Principio d’azione (ipotizzato, da studi sugli animali):</w:t>
      </w:r>
      <w:r>
        <w:t xml:space="preserve"> </w:t>
      </w:r>
      <w:r>
        <w:t xml:space="preserve">promozione della formazione di nuovi vasi (angiogenesi) tramite il recettore 2 del VEGF e il sistema dell’ossido nitrico, effetto sulla migrazione delle cellule del tessuto connettivo.</w:t>
      </w:r>
    </w:p>
    <w:p>
      <w:pPr>
        <w:numPr>
          <w:ilvl w:val="0"/>
          <w:numId w:val="1115"/>
        </w:numPr>
        <w:pStyle w:val="Compact"/>
      </w:pPr>
      <w:r>
        <w:rPr>
          <w:bCs/>
          <w:b/>
        </w:rPr>
        <w:t xml:space="preserve">Autorizzazione UE:</w:t>
      </w:r>
      <w:r>
        <w:t xml:space="preserve"> </w:t>
      </w:r>
      <w:r>
        <w:t xml:space="preserve">no.</w:t>
      </w:r>
      <w:r>
        <w:t xml:space="preserve"> </w:t>
      </w:r>
      <w:r>
        <w:rPr>
          <w:bCs/>
          <w:b/>
        </w:rPr>
        <w:t xml:space="preserve">Autorizzazione USA:</w:t>
      </w:r>
      <w:r>
        <w:t xml:space="preserve"> </w:t>
      </w:r>
      <w:r>
        <w:t xml:space="preserve">no; nel 2023 classificato dalla FDA come principio attivo con problemi di sicurezza per le preparazioni galeniche (categoria 2).</w:t>
      </w:r>
    </w:p>
    <w:p>
      <w:pPr>
        <w:numPr>
          <w:ilvl w:val="0"/>
          <w:numId w:val="1115"/>
        </w:numPr>
        <w:pStyle w:val="Compact"/>
      </w:pPr>
      <w:r>
        <w:rPr>
          <w:bCs/>
          <w:b/>
        </w:rPr>
        <w:t xml:space="preserve">WADA:</w:t>
      </w:r>
      <w:r>
        <w:t xml:space="preserve"> </w:t>
      </w:r>
      <w:r>
        <w:t xml:space="preserve">vietato, gruppo S0 «sostanze non approvate» (citato espressamente).</w:t>
      </w:r>
    </w:p>
    <w:p>
      <w:pPr>
        <w:numPr>
          <w:ilvl w:val="0"/>
          <w:numId w:val="1115"/>
        </w:numPr>
        <w:pStyle w:val="Compact"/>
      </w:pPr>
      <w:r>
        <w:rPr>
          <w:bCs/>
          <w:b/>
        </w:rPr>
        <w:t xml:space="preserve">Livello di evidenza: C</w:t>
      </w:r>
      <w:r>
        <w:t xml:space="preserve"> </w:t>
      </w:r>
      <w:r>
        <w:t xml:space="preserve">– solo tre indagini molto piccole e non controllate sull’uomo, con complessivamente circa 30 persone; nessuno studio randomizzato concluso.</w:t>
      </w:r>
    </w:p>
    <w:bookmarkEnd w:id="898"/>
    <w:bookmarkStart w:id="905" w:name="come-dovrebbe-agire-15"/>
    <w:p>
      <w:pPr>
        <w:pStyle w:val="Heading3"/>
      </w:pPr>
      <w:r>
        <w:t xml:space="preserve">Come dovrebbe agire</w:t>
      </w:r>
    </w:p>
    <w:p>
      <w:pPr>
        <w:pStyle w:val="FirstParagraph"/>
      </w:pPr>
      <w:r>
        <w:t xml:space="preserve">L’idea di base viene dalla ricerca sullo stomaco. La mucosa gastrica è esposta ogni giorno ad acido, enzimi e farmaci come gli analgesici, eppure si ripara con sorprendente rapidità. Negli anni Novanta alcuni ricercatori di Zagabria ipotizzarono che sostanze protettive nel succo gastrico mediassero questa capacità e isolarono un peptide che chiamarono «Body Protection Compound». BPC-157 ne è un breve frammento.</w:t>
      </w:r>
    </w:p>
    <w:p>
      <w:pPr>
        <w:pStyle w:val="BodyText"/>
      </w:pPr>
      <w:r>
        <w:t xml:space="preserve">Insolito è il fatto che BPC-157 resti stabile nel succo gastrico. La maggior parte dei peptidi viene lì rapidamente scomposta. I sostenitori ne deducono che potrebbe agire anche in compresse; nell’uomo questo non è dimostrato.</w:t>
      </w:r>
    </w:p>
    <w:p>
      <w:pPr>
        <w:pStyle w:val="BodyText"/>
      </w:pPr>
      <w:r>
        <w:t xml:space="preserve">Per l’effetto dichiarato si discutono soprattutto tre meccanismi, tutti provenienti da esperimenti su animali e cellule:</w:t>
      </w:r>
    </w:p>
    <w:p>
      <w:pPr>
        <w:numPr>
          <w:ilvl w:val="0"/>
          <w:numId w:val="1116"/>
        </w:numPr>
        <w:pStyle w:val="Compact"/>
      </w:pPr>
      <w:r>
        <w:rPr>
          <w:bCs/>
          <w:b/>
        </w:rPr>
        <w:t xml:space="preserve">Formazione di nuovi vasi:</w:t>
      </w:r>
      <w:r>
        <w:t xml:space="preserve"> </w:t>
      </w:r>
      <w:r>
        <w:t xml:space="preserve">in colture di cellule umane del rivestimento interno dei vasi, BPC-157 ha aumentato la quantità del recettore 2 del VEGF (un interruttore centrale per la crescita di nuovi vasi sanguigni) e attivato la via di segnalazione a valle Akt-eNOS; nei ratti con un’arteria della gamba legata la circolazione si è ripristinata più rapidamente</w:t>
      </w:r>
      <w:r>
        <w:rPr>
          <w:rStyle w:val="FootnoteReference"/>
        </w:rPr>
        <w:footnoteReference w:id="899"/>
      </w:r>
      <w:r>
        <w:t xml:space="preserve">. Un lavoro cinese ha descritto nel 2026, in esperimenti su cellule, un’ulteriore via attraverso le proteine FBXO22 e BACH1</w:t>
      </w:r>
      <w:r>
        <w:rPr>
          <w:rStyle w:val="FootnoteReference"/>
        </w:rPr>
        <w:footnoteReference w:id="900"/>
      </w:r>
      <w:r>
        <w:t xml:space="preserve">.</w:t>
      </w:r>
    </w:p>
    <w:p>
      <w:pPr>
        <w:numPr>
          <w:ilvl w:val="0"/>
          <w:numId w:val="1116"/>
        </w:numPr>
        <w:pStyle w:val="Compact"/>
      </w:pPr>
      <w:r>
        <w:rPr>
          <w:bCs/>
          <w:b/>
        </w:rPr>
        <w:t xml:space="preserve">Migrazione e sopravvivenza cellulare:</w:t>
      </w:r>
      <w:r>
        <w:t xml:space="preserve"> </w:t>
      </w:r>
      <w:r>
        <w:t xml:space="preserve">in colture di cellule tendinee di ratto BPC-157 ha accelerato la fuoriuscita delle cellule da frammenti di tendine, migliorato la loro sopravvivenza sotto stress ossidativo e favorito la loro migrazione; la divisione cellulare in sé non è stata aumentata direttamente</w:t>
      </w:r>
      <w:r>
        <w:rPr>
          <w:rStyle w:val="FootnoteReference"/>
        </w:rPr>
        <w:footnoteReference w:id="901"/>
      </w:r>
      <w:r>
        <w:t xml:space="preserve">.</w:t>
      </w:r>
    </w:p>
    <w:p>
      <w:pPr>
        <w:numPr>
          <w:ilvl w:val="0"/>
          <w:numId w:val="1116"/>
        </w:numPr>
        <w:pStyle w:val="Compact"/>
      </w:pPr>
      <w:r>
        <w:rPr>
          <w:bCs/>
          <w:b/>
        </w:rPr>
        <w:t xml:space="preserve">Sensibilità all’ormone della crescita:</w:t>
      </w:r>
      <w:r>
        <w:t xml:space="preserve"> </w:t>
      </w:r>
      <w:r>
        <w:t xml:space="preserve">nelle stesse cellule tendinee di ratto BPC-157 ha aumentato il numero dei recettori dell’ormone della crescita</w:t>
      </w:r>
      <w:r>
        <w:rPr>
          <w:rStyle w:val="FootnoteReference"/>
        </w:rPr>
        <w:footnoteReference w:id="902"/>
      </w:r>
      <w:r>
        <w:t xml:space="preserve">.</w:t>
      </w:r>
    </w:p>
    <w:p>
      <w:pPr>
        <w:pStyle w:val="FirstParagraph"/>
      </w:pPr>
      <w:r>
        <w:t xml:space="preserve">A ciò si aggiunge una moltitudine di altri effetti su ossido nitrico, coagulazione del sangue e neurotrasmettitori, descritti soprattutto in lavori di revisione del gruppo di Zagabria</w:t>
      </w:r>
      <w:r>
        <w:rPr>
          <w:rStyle w:val="FootnoteReference"/>
        </w:rPr>
        <w:footnoteReference w:id="903"/>
      </w:r>
      <w:r>
        <w:t xml:space="preserve">. Un recettore univoco a cui BPC-157 si leghi non è noto ancora oggi.</w:t>
      </w:r>
    </w:p>
    <w:p>
      <w:pPr>
        <w:pStyle w:val="BodyText"/>
      </w:pPr>
      <w:r>
        <w:t xml:space="preserve">Colpisce una contraddizione segnalata da una revisione farmaceutica: nell’animale BPC-157 ha un’emivita inferiore a 30 minuti, ma gli effetti descritti dovrebbero durare da ore a giorni</w:t>
      </w:r>
      <w:r>
        <w:rPr>
          <w:rStyle w:val="FootnoteReference"/>
        </w:rPr>
        <w:footnoteReference w:id="904"/>
      </w:r>
      <w:r>
        <w:t xml:space="preserve">. Come le due cose si concilino non è chiarito.</w:t>
      </w:r>
    </w:p>
    <w:bookmarkEnd w:id="905"/>
    <w:bookmarkStart w:id="918" w:name="studi-sulluomo-15"/>
    <w:p>
      <w:pPr>
        <w:pStyle w:val="Heading3"/>
      </w:pPr>
      <w:r>
        <w:t xml:space="preserve">Studi sull’uomo</w:t>
      </w:r>
    </w:p>
    <w:p>
      <w:pPr>
        <w:pStyle w:val="FirstParagraph"/>
      </w:pPr>
      <w:r>
        <w:rPr>
          <w:bCs/>
          <w:b/>
        </w:rPr>
        <w:t xml:space="preserve">Dimensioni della letteratura (ricerca di ottobre 2026):</w:t>
      </w:r>
      <w:r>
        <w:t xml:space="preserve"> </w:t>
      </w:r>
      <w:r>
        <w:t xml:space="preserve">la ricerca automatizzata di questo libro</w:t>
      </w:r>
      <w:r>
        <w:t xml:space="preserve"> </w:t>
      </w:r>
      <w:r>
        <w:rPr>
          <w:bCs/>
          <w:b/>
        </w:rPr>
        <w:t xml:space="preserve">non</w:t>
      </w:r>
      <w:r>
        <w:t xml:space="preserve"> </w:t>
      </w:r>
      <w:r>
        <w:t xml:space="preserve">ha trovato su PubMed alcuno studio che soddisfi i criteri di filtro per uno studio sull’uomo (</w:t>
      </w:r>
      <w:r>
        <w:rPr>
          <w:rStyle w:val="VerbatimChar"/>
        </w:rPr>
        <w:t xml:space="preserve">humanstudien_alle</w:t>
      </w:r>
      <w:r>
        <w:t xml:space="preserve">: 0), e</w:t>
      </w:r>
      <w:r>
        <w:t xml:space="preserve"> </w:t>
      </w:r>
      <w:r>
        <w:rPr>
          <w:bCs/>
          <w:b/>
        </w:rPr>
        <w:t xml:space="preserve">4</w:t>
      </w:r>
      <w:r>
        <w:t xml:space="preserve"> </w:t>
      </w:r>
      <w:r>
        <w:t xml:space="preserve">voci nel registro degli studi ClinicalTrials.gov. In totale PubMed elenca per BPC-157 circa 230 pubblicazioni, quasi esclusivamente esperimenti sugli animali, lavori di laboratorio e articoli di revisione.</w:t>
      </w:r>
    </w:p>
    <w:p>
      <w:pPr>
        <w:pStyle w:val="BodyText"/>
      </w:pPr>
      <w:r>
        <w:t xml:space="preserve">Una ricerca mirata successiva ha individuato tre piccole indagini sull’uomo. Tutte e tre provengono dallo stesso primo autore, di uno studio medico privato in Florida, e sono state pubblicate in una rivista di medicina alternativa. Una revisione sistematica pubblicata nel 2026 ha trovato proprio questi tre lavori, con complessivamente 30 persone</w:t>
      </w:r>
      <w:r>
        <w:rPr>
          <w:rStyle w:val="FootnoteReference"/>
        </w:rPr>
        <w:footnoteReference w:id="906"/>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Articolazione del ginocchio (Lee 2021), PMID 34324435</w:t>
            </w:r>
          </w:p>
        </w:tc>
        <w:tc>
          <w:tcPr/>
          <w:p>
            <w:pPr>
              <w:pStyle w:val="Compact"/>
              <w:jc w:val="left"/>
            </w:pPr>
            <w:r>
              <w:t xml:space="preserve">16 persone con dolore al ginocchio di varia origine, analisi retrospettiva delle cartelle con intervista telefonica, nessun gruppo di controllo</w:t>
            </w:r>
          </w:p>
        </w:tc>
        <w:tc>
          <w:tcPr/>
          <w:p>
            <w:pPr>
              <w:pStyle w:val="Compact"/>
              <w:jc w:val="left"/>
            </w:pPr>
            <w:r>
              <w:t xml:space="preserve">retrospettiva 6–12 mesi</w:t>
            </w:r>
          </w:p>
        </w:tc>
        <w:tc>
          <w:tcPr/>
          <w:p>
            <w:pPr>
              <w:pStyle w:val="Compact"/>
              <w:jc w:val="left"/>
            </w:pPr>
            <w:r>
              <w:t xml:space="preserve">14 su 16 hanno riferito sollievo dal dolore; 12 hanno ricevuto solo BPC-157, 4 anche timosina beta 4</w:t>
            </w:r>
          </w:p>
        </w:tc>
      </w:tr>
      <w:tr>
        <w:tc>
          <w:tcPr/>
          <w:p>
            <w:pPr>
              <w:pStyle w:val="Compact"/>
              <w:jc w:val="left"/>
            </w:pPr>
            <w:r>
              <w:t xml:space="preserve">Cistite interstiziale (Lee 2024), PMID 39325560</w:t>
            </w:r>
          </w:p>
        </w:tc>
        <w:tc>
          <w:tcPr/>
          <w:p>
            <w:pPr>
              <w:pStyle w:val="Compact"/>
              <w:jc w:val="left"/>
            </w:pPr>
            <w:r>
              <w:t xml:space="preserve">12 donne con malattia cronica dolorosa della vescica, iniezioni nella parete vescicale durante una cistoscopia, nessun gruppo di controllo</w:t>
            </w:r>
          </w:p>
        </w:tc>
        <w:tc>
          <w:tcPr/>
          <w:p>
            <w:pPr>
              <w:pStyle w:val="Compact"/>
              <w:jc w:val="left"/>
            </w:pPr>
            <w:r>
              <w:t xml:space="preserve">un trattamento</w:t>
            </w:r>
          </w:p>
        </w:tc>
        <w:tc>
          <w:tcPr/>
          <w:p>
            <w:pPr>
              <w:pStyle w:val="Compact"/>
              <w:jc w:val="left"/>
            </w:pPr>
            <w:r>
              <w:t xml:space="preserve">10 su 12 hanno indicato un miglioramento completo, 2 un miglioramento prevalente; nessun effetto collaterale riferito</w:t>
            </w:r>
          </w:p>
        </w:tc>
      </w:tr>
      <w:tr>
        <w:tc>
          <w:tcPr/>
          <w:p>
            <w:pPr>
              <w:pStyle w:val="Compact"/>
              <w:jc w:val="left"/>
            </w:pPr>
            <w:r>
              <w:t xml:space="preserve">Infusione endovenosa (Lee 2025), PMID 40131143</w:t>
            </w:r>
          </w:p>
        </w:tc>
        <w:tc>
          <w:tcPr/>
          <w:p>
            <w:pPr>
              <w:pStyle w:val="Compact"/>
              <w:jc w:val="left"/>
            </w:pPr>
            <w:r>
              <w:t xml:space="preserve">2 persone, verifica della sicurezza in due giorni</w:t>
            </w:r>
          </w:p>
        </w:tc>
        <w:tc>
          <w:tcPr/>
          <w:p>
            <w:pPr>
              <w:pStyle w:val="Compact"/>
              <w:jc w:val="left"/>
            </w:pPr>
            <w:r>
              <w:t xml:space="preserve">3 giorni</w:t>
            </w:r>
          </w:p>
        </w:tc>
        <w:tc>
          <w:tcPr/>
          <w:p>
            <w:pPr>
              <w:pStyle w:val="Compact"/>
              <w:jc w:val="left"/>
            </w:pPr>
            <w:r>
              <w:t xml:space="preserve">nessuna variazione misurabile dei valori ematici esaminati, nessun disturbo</w:t>
            </w:r>
          </w:p>
        </w:tc>
      </w:tr>
    </w:tbl>
    <w:bookmarkStart w:id="913" w:name="quanto-sono-significativi-questi-dati"/>
    <w:p>
      <w:pPr>
        <w:pStyle w:val="Heading4"/>
      </w:pPr>
      <w:r>
        <w:t xml:space="preserve">Quanto sono significativi questi dati?</w:t>
      </w:r>
    </w:p>
    <w:p>
      <w:pPr>
        <w:pStyle w:val="FirstParagraph"/>
      </w:pPr>
      <w:r>
        <w:t xml:space="preserve">Poco. L’indagine sul ginocchio non era uno studio pianificato, ma un sondaggio telefonico a posteriori tra pazienti che avevano già pagato il trattamento. Non c’erano un gruppo di confronto, una procedura in cieco, strumenti di misura per funzione o qualità di vita né esami di imaging. Le cause del dolore al ginocchio andavano dall’artrosi alle lesioni del menisco. Secondo l’abstract non sono stati usati questionari standardizzati sulla funzione</w:t>
      </w:r>
      <w:r>
        <w:rPr>
          <w:rStyle w:val="FootnoteReference"/>
        </w:rPr>
        <w:footnoteReference w:id="907"/>
      </w:r>
      <w:r>
        <w:t xml:space="preserve">.</w:t>
      </w:r>
    </w:p>
    <w:p>
      <w:pPr>
        <w:pStyle w:val="BodyText"/>
      </w:pPr>
      <w:r>
        <w:t xml:space="preserve">Il lavoro sulla cistite ha rilevato il risultato con un unico questionario globale. Che tutte e dodici le donne abbiano dato la valutazione migliore possibile è insolito per una malattia cronica, spesso difficile da trattare, e senza gruppo di controllo non si distingue da un effetto placebo o dalla naturale fluttuazione dei disturbi. È inoltre degno di nota che il BPC-157 usato provenisse da una farmacia galenica statunitense</w:t>
      </w:r>
      <w:r>
        <w:rPr>
          <w:rStyle w:val="FootnoteReference"/>
        </w:rPr>
        <w:footnoteReference w:id="908"/>
      </w:r>
      <w:r>
        <w:t xml:space="preserve">.</w:t>
      </w:r>
    </w:p>
    <w:p>
      <w:pPr>
        <w:pStyle w:val="BodyText"/>
      </w:pPr>
      <w:r>
        <w:t xml:space="preserve">Lo studio sull’infusione comprendeva due persone che avevano già ricevuto BPC-157 in precedenza. Da due persone non si può ricavare alcuna conclusione sulla sicurezza: effetti collaterali rari o tardivi restano così invisibili</w:t>
      </w:r>
      <w:r>
        <w:rPr>
          <w:rStyle w:val="FootnoteReference"/>
        </w:rPr>
        <w:footnoteReference w:id="909"/>
      </w:r>
      <w:r>
        <w:t xml:space="preserve">.</w:t>
      </w:r>
    </w:p>
    <w:p>
      <w:pPr>
        <w:pStyle w:val="BodyText"/>
      </w:pPr>
      <w:r>
        <w:t xml:space="preserve">La revisione sistematica ha giudicato scarsa la qualità metodologica di tutti e tre i lavori e «molto bassa» l’affidabilità delle evidenze secondo il sistema GRADE. La sua conclusione: BPC-157 non dovrebbe essere usato sull’uomo al di fuori di studi clinici di alta qualità approvati da un comitato etico</w:t>
      </w:r>
      <w:r>
        <w:rPr>
          <w:rStyle w:val="FootnoteReference"/>
        </w:rPr>
        <w:footnoteReference w:id="910"/>
      </w:r>
      <w:r>
        <w:t xml:space="preserve">. Un’altra revisione sistematica di ortopedia dello sport, con ricerca fino a giugno 2024, ha trovato tra 36 lavori inclusi un solo studio clinico</w:t>
      </w:r>
      <w:r>
        <w:rPr>
          <w:rStyle w:val="FootnoteReference"/>
        </w:rPr>
        <w:footnoteReference w:id="911"/>
      </w:r>
      <w:r>
        <w:t xml:space="preserve">. Diverse revisioni recenti di ortopedia e medicina dello sport giungono alla stessa conclusione: un uso di routine non può essere raccomandato al momento</w:t>
      </w:r>
      <w:r>
        <w:rPr>
          <w:rStyle w:val="FootnoteReference"/>
        </w:rPr>
        <w:footnoteReference w:id="912"/>
      </w:r>
      <w:r>
        <w:t xml:space="preserve">.</w:t>
      </w:r>
    </w:p>
    <w:bookmarkEnd w:id="913"/>
    <w:bookmarkStart w:id="917" w:name="Xbc88bc7d136472e34e184ebac469b9557f1dd96"/>
    <w:p>
      <w:pPr>
        <w:pStyle w:val="Heading4"/>
      </w:pPr>
      <w:r>
        <w:t xml:space="preserve">Che fine hanno fatto i precedenti studi aziendali</w:t>
      </w:r>
    </w:p>
    <w:p>
      <w:pPr>
        <w:pStyle w:val="FirstParagraph"/>
      </w:pPr>
      <w:r>
        <w:t xml:space="preserve">Negli anni Duemila l’azienda farmaceutica croata Pliva sviluppò BPC-157 con il codice PL 14736 per le malattie infiammatorie croniche intestinali. Gli studi sugli animali di quel periodo annotano che la sostanza era «attualmente in fase di studi clinici»</w:t>
      </w:r>
      <w:r>
        <w:rPr>
          <w:rStyle w:val="FootnoteReference"/>
        </w:rPr>
        <w:footnoteReference w:id="914"/>
      </w:r>
      <w:r>
        <w:t xml:space="preserve">. Un lavoro di revisione del gruppo di Zagabria menziona studi sulla colite ulcerosa e sulla sclerosi multipla</w:t>
      </w:r>
      <w:r>
        <w:rPr>
          <w:rStyle w:val="FootnoteReference"/>
        </w:rPr>
        <w:footnoteReference w:id="915"/>
      </w:r>
      <w:r>
        <w:t xml:space="preserve">. I risultati completi di questi studi non sono reperibili su PubMed come lavori originali. Nel 2015 è stato inoltre registrato uno studio di fase 1 con compresse («Bepecin», PCO-02) su 42 volontari sani</w:t>
      </w:r>
      <w:r>
        <w:rPr>
          <w:rStyle w:val="FootnoteReference"/>
        </w:rPr>
        <w:footnoteReference w:id="916"/>
      </w:r>
      <w:r>
        <w:t xml:space="preserve">; il suo stato è «sconosciuto» da anni e i risultati non sono stati pubblicati.</w:t>
      </w:r>
    </w:p>
    <w:p>
      <w:pPr>
        <w:pStyle w:val="BodyText"/>
      </w:pPr>
      <w:r>
        <w:t xml:space="preserve">Per i lettori ciò significa: quando siti web affermano che BPC-157 è stato «sicuro negli studi clinici», si riferiscono a studi i cui dati nessuno può verificare in modo indipendente.</w:t>
      </w:r>
    </w:p>
    <w:bookmarkEnd w:id="917"/>
    <w:bookmarkEnd w:id="918"/>
    <w:bookmarkStart w:id="927" w:name="studi-su-animali-e-in-laboratorio-15"/>
    <w:p>
      <w:pPr>
        <w:pStyle w:val="Heading3"/>
      </w:pPr>
      <w:r>
        <w:t xml:space="preserve">Studi su animali e in laboratorio</w:t>
      </w:r>
    </w:p>
    <w:p>
      <w:pPr>
        <w:pStyle w:val="FirstParagraph"/>
      </w:pPr>
      <w:r>
        <w:t xml:space="preserve">La ricerca preclinica è il motivo per cui BPC-157 è diventato così noto. È ampia, ma insolitamente unilaterale nella sua provenienza.</w:t>
      </w:r>
    </w:p>
    <w:bookmarkStart w:id="922" w:name="un-gruppo-di-ricerca-domina"/>
    <w:p>
      <w:pPr>
        <w:pStyle w:val="Heading4"/>
      </w:pPr>
      <w:r>
        <w:t xml:space="preserve">Un gruppo di ricerca domina</w:t>
      </w:r>
    </w:p>
    <w:p>
      <w:pPr>
        <w:pStyle w:val="FirstParagraph"/>
      </w:pPr>
      <w:r>
        <w:t xml:space="preserve">Dei circa 230 risultati su PubMed (ricerca di ottobre 2026), circa 175 indicano come autore il farmacologo di Zagabria Predrag Sikirić, cioè circa tre quarti. Una revisione sulla guarigione di tendini e muscoli ha osservato che in due decenni solo una manciata di gruppi di ricerca ha studiato a fondo BPC-157</w:t>
      </w:r>
      <w:r>
        <w:rPr>
          <w:rStyle w:val="FootnoteReference"/>
        </w:rPr>
        <w:footnoteReference w:id="919"/>
      </w:r>
      <w:r>
        <w:t xml:space="preserve">. Questo è importante per la valutazione: i risultati scientifici sono considerati solidi solo quando gruppi indipendenti li replicano. Una revisione critica del 2026 sui disturbi circolatori nei roditori lamenta tempi di osservazione brevi, esperimenti a dose singola, rischi di distorsione descritti in modo incompleto e chiede repliche indipendenti e in cieco</w:t>
      </w:r>
      <w:r>
        <w:rPr>
          <w:rStyle w:val="FootnoteReference"/>
        </w:rPr>
        <w:footnoteReference w:id="920"/>
      </w:r>
      <w:r>
        <w:t xml:space="preserve">. Una breve presa di posizione sulla rivista Inflammopharmacology si è confrontata nel 2025 specificamente con un lungo lavoro di revisione di questo gruppo</w:t>
      </w:r>
      <w:r>
        <w:rPr>
          <w:rStyle w:val="FootnoteReference"/>
        </w:rPr>
        <w:footnoteReference w:id="921"/>
      </w:r>
      <w:r>
        <w:t xml:space="preserve">.</w:t>
      </w:r>
    </w:p>
    <w:p>
      <w:pPr>
        <w:pStyle w:val="BodyText"/>
      </w:pPr>
      <w:r>
        <w:t xml:space="preserve">Lavori indipendenti esistono, soprattutto da Taiwan (cellule tendinee, vasi), Corea del Sud e Cina, ma sono molto più rari e per lo più esperimenti di laboratorio o su cellule.</w:t>
      </w:r>
    </w:p>
    <w:bookmarkEnd w:id="922"/>
    <w:bookmarkStart w:id="923" w:name="panoramica-per-apparato"/>
    <w:p>
      <w:pPr>
        <w:pStyle w:val="Heading4"/>
      </w:pPr>
      <w:r>
        <w:t xml:space="preserve">Panoramica per apparato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Ambito</w:t>
            </w:r>
          </w:p>
        </w:tc>
        <w:tc>
          <w:tcPr/>
          <w:p>
            <w:pPr>
              <w:pStyle w:val="Compact"/>
              <w:jc w:val="left"/>
            </w:pPr>
            <w:r>
              <w:t xml:space="preserve">Modello tipico</w:t>
            </w:r>
          </w:p>
        </w:tc>
        <w:tc>
          <w:tcPr/>
          <w:p>
            <w:pPr>
              <w:pStyle w:val="Compact"/>
              <w:jc w:val="left"/>
            </w:pPr>
            <w:r>
              <w:t xml:space="preserve">Risultato riferito</w:t>
            </w:r>
          </w:p>
        </w:tc>
        <w:tc>
          <w:tcPr/>
          <w:p>
            <w:pPr>
              <w:pStyle w:val="Compact"/>
              <w:jc w:val="left"/>
            </w:pPr>
            <w:r>
              <w:t xml:space="preserve">Esempio</w:t>
            </w:r>
          </w:p>
        </w:tc>
      </w:tr>
      <w:tr>
        <w:tc>
          <w:tcPr/>
          <w:p>
            <w:pPr>
              <w:pStyle w:val="Compact"/>
              <w:jc w:val="left"/>
            </w:pPr>
            <w:r>
              <w:t xml:space="preserve">Tendine</w:t>
            </w:r>
          </w:p>
        </w:tc>
        <w:tc>
          <w:tcPr/>
          <w:p>
            <w:pPr>
              <w:pStyle w:val="Compact"/>
              <w:jc w:val="left"/>
            </w:pPr>
            <w:r>
              <w:t xml:space="preserve">tendine d’Achille reciso nei ratti</w:t>
            </w:r>
          </w:p>
        </w:tc>
        <w:tc>
          <w:tcPr/>
          <w:p>
            <w:pPr>
              <w:pStyle w:val="Compact"/>
              <w:jc w:val="left"/>
            </w:pPr>
            <w:r>
              <w:t xml:space="preserve">migliore resistenza al carico, funzione e struttura tissutale</w:t>
            </w:r>
          </w:p>
        </w:tc>
        <w:tc>
          <w:tcPr/>
          <w:p>
            <w:pPr>
              <w:pStyle w:val="Compact"/>
              <w:jc w:val="left"/>
            </w:pPr>
            <w:r>
              <w:t xml:space="preserve">Staresinic 2003, PMID 14554208</w:t>
            </w:r>
          </w:p>
        </w:tc>
      </w:tr>
      <w:tr>
        <w:tc>
          <w:tcPr/>
          <w:p>
            <w:pPr>
              <w:pStyle w:val="Compact"/>
              <w:jc w:val="left"/>
            </w:pPr>
            <w:r>
              <w:t xml:space="preserve">Legamento</w:t>
            </w:r>
          </w:p>
        </w:tc>
        <w:tc>
          <w:tcPr/>
          <w:p>
            <w:pPr>
              <w:pStyle w:val="Compact"/>
              <w:jc w:val="left"/>
            </w:pPr>
            <w:r>
              <w:t xml:space="preserve">legamento interno del ginocchio lesionato nei ratti</w:t>
            </w:r>
          </w:p>
        </w:tc>
        <w:tc>
          <w:tcPr/>
          <w:p>
            <w:pPr>
              <w:pStyle w:val="Compact"/>
              <w:jc w:val="left"/>
            </w:pPr>
            <w:r>
              <w:t xml:space="preserve">migliore guarigione</w:t>
            </w:r>
          </w:p>
        </w:tc>
        <w:tc>
          <w:tcPr/>
          <w:p>
            <w:pPr>
              <w:pStyle w:val="Compact"/>
              <w:jc w:val="left"/>
            </w:pPr>
            <w:r>
              <w:t xml:space="preserve">Cerovecki 2010, PMID 20225319</w:t>
            </w:r>
          </w:p>
        </w:tc>
      </w:tr>
      <w:tr>
        <w:tc>
          <w:tcPr/>
          <w:p>
            <w:pPr>
              <w:pStyle w:val="Compact"/>
              <w:jc w:val="left"/>
            </w:pPr>
            <w:r>
              <w:t xml:space="preserve">Muscolo</w:t>
            </w:r>
          </w:p>
        </w:tc>
        <w:tc>
          <w:tcPr/>
          <w:p>
            <w:pPr>
              <w:pStyle w:val="Compact"/>
              <w:jc w:val="left"/>
            </w:pPr>
            <w:r>
              <w:t xml:space="preserve">muscolo della coscia reciso nei ratti</w:t>
            </w:r>
          </w:p>
        </w:tc>
        <w:tc>
          <w:tcPr/>
          <w:p>
            <w:pPr>
              <w:pStyle w:val="Compact"/>
              <w:jc w:val="left"/>
            </w:pPr>
            <w:r>
              <w:t xml:space="preserve">migliore funzione</w:t>
            </w:r>
          </w:p>
        </w:tc>
        <w:tc>
          <w:tcPr/>
          <w:p>
            <w:pPr>
              <w:pStyle w:val="Compact"/>
              <w:jc w:val="left"/>
            </w:pPr>
            <w:r>
              <w:t xml:space="preserve">Staresinic 2006, PMID 16609979</w:t>
            </w:r>
          </w:p>
        </w:tc>
      </w:tr>
      <w:tr>
        <w:tc>
          <w:tcPr/>
          <w:p>
            <w:pPr>
              <w:pStyle w:val="Compact"/>
              <w:jc w:val="left"/>
            </w:pPr>
            <w:r>
              <w:t xml:space="preserve">Osso</w:t>
            </w:r>
          </w:p>
        </w:tc>
        <w:tc>
          <w:tcPr/>
          <w:p>
            <w:pPr>
              <w:pStyle w:val="Compact"/>
              <w:jc w:val="left"/>
            </w:pPr>
            <w:r>
              <w:t xml:space="preserve">difetto osseo nei conigli</w:t>
            </w:r>
          </w:p>
        </w:tc>
        <w:tc>
          <w:tcPr/>
          <w:p>
            <w:pPr>
              <w:pStyle w:val="Compact"/>
              <w:jc w:val="left"/>
            </w:pPr>
            <w:r>
              <w:t xml:space="preserve">guarigione del difetto nettamente migliore alla radiografia e nel tessuto</w:t>
            </w:r>
          </w:p>
        </w:tc>
        <w:tc>
          <w:tcPr/>
          <w:p>
            <w:pPr>
              <w:pStyle w:val="Compact"/>
              <w:jc w:val="left"/>
            </w:pPr>
            <w:r>
              <w:t xml:space="preserve">Sebecić 1999, PMID 10071911</w:t>
            </w:r>
          </w:p>
        </w:tc>
      </w:tr>
      <w:tr>
        <w:tc>
          <w:tcPr/>
          <w:p>
            <w:pPr>
              <w:pStyle w:val="Compact"/>
              <w:jc w:val="left"/>
            </w:pPr>
            <w:r>
              <w:t xml:space="preserve">Pelle</w:t>
            </w:r>
          </w:p>
        </w:tc>
        <w:tc>
          <w:tcPr/>
          <w:p>
            <w:pPr>
              <w:pStyle w:val="Compact"/>
              <w:jc w:val="left"/>
            </w:pPr>
            <w:r>
              <w:t xml:space="preserve">ferite da taglio, ustioni e ferite diabetiche nei ratti</w:t>
            </w:r>
          </w:p>
        </w:tc>
        <w:tc>
          <w:tcPr/>
          <w:p>
            <w:pPr>
              <w:pStyle w:val="Compact"/>
              <w:jc w:val="left"/>
            </w:pPr>
            <w:r>
              <w:t xml:space="preserve">guarigione delle ferite più rapida</w:t>
            </w:r>
          </w:p>
        </w:tc>
        <w:tc>
          <w:tcPr/>
          <w:p>
            <w:pPr>
              <w:pStyle w:val="Compact"/>
              <w:jc w:val="left"/>
            </w:pPr>
            <w:r>
              <w:t xml:space="preserve">Seiwerth 2021, PMID 34267654</w:t>
            </w:r>
          </w:p>
        </w:tc>
      </w:tr>
      <w:tr>
        <w:tc>
          <w:tcPr/>
          <w:p>
            <w:pPr>
              <w:pStyle w:val="Compact"/>
              <w:jc w:val="left"/>
            </w:pPr>
            <w:r>
              <w:t xml:space="preserve">Intestino</w:t>
            </w:r>
          </w:p>
        </w:tc>
        <w:tc>
          <w:tcPr/>
          <w:p>
            <w:pPr>
              <w:pStyle w:val="Compact"/>
              <w:jc w:val="left"/>
            </w:pPr>
            <w:r>
              <w:t xml:space="preserve">fistole, colite, anastomosi nei ratti</w:t>
            </w:r>
          </w:p>
        </w:tc>
        <w:tc>
          <w:tcPr/>
          <w:p>
            <w:pPr>
              <w:pStyle w:val="Compact"/>
              <w:jc w:val="left"/>
            </w:pPr>
            <w:r>
              <w:t xml:space="preserve">guarigione di fistole e suture</w:t>
            </w:r>
          </w:p>
        </w:tc>
        <w:tc>
          <w:tcPr/>
          <w:p>
            <w:pPr>
              <w:pStyle w:val="Compact"/>
              <w:jc w:val="left"/>
            </w:pPr>
            <w:r>
              <w:t xml:space="preserve">Sikiric 2020, PMID 32329684</w:t>
            </w:r>
          </w:p>
        </w:tc>
      </w:tr>
      <w:tr>
        <w:tc>
          <w:tcPr/>
          <w:p>
            <w:pPr>
              <w:pStyle w:val="Compact"/>
              <w:jc w:val="left"/>
            </w:pPr>
            <w:r>
              <w:t xml:space="preserve">Stomaco</w:t>
            </w:r>
          </w:p>
        </w:tc>
        <w:tc>
          <w:tcPr/>
          <w:p>
            <w:pPr>
              <w:pStyle w:val="Compact"/>
              <w:jc w:val="left"/>
            </w:pPr>
            <w:r>
              <w:t xml:space="preserve">danni da analgesici e alcol</w:t>
            </w:r>
          </w:p>
        </w:tc>
        <w:tc>
          <w:tcPr/>
          <w:p>
            <w:pPr>
              <w:pStyle w:val="Compact"/>
              <w:jc w:val="left"/>
            </w:pPr>
            <w:r>
              <w:t xml:space="preserve">protezione della mucosa</w:t>
            </w:r>
          </w:p>
        </w:tc>
        <w:tc>
          <w:tcPr/>
          <w:p>
            <w:pPr>
              <w:pStyle w:val="Compact"/>
              <w:jc w:val="left"/>
            </w:pPr>
            <w:r>
              <w:t xml:space="preserve">Ilic 2011, PMID 21295044</w:t>
            </w:r>
          </w:p>
        </w:tc>
      </w:tr>
      <w:tr>
        <w:tc>
          <w:tcPr/>
          <w:p>
            <w:pPr>
              <w:pStyle w:val="Compact"/>
              <w:jc w:val="left"/>
            </w:pPr>
            <w:r>
              <w:t xml:space="preserve">Vasi</w:t>
            </w:r>
          </w:p>
        </w:tc>
        <w:tc>
          <w:tcPr/>
          <w:p>
            <w:pPr>
              <w:pStyle w:val="Compact"/>
              <w:jc w:val="left"/>
            </w:pPr>
            <w:r>
              <w:t xml:space="preserve">arterie e vene legate</w:t>
            </w:r>
          </w:p>
        </w:tc>
        <w:tc>
          <w:tcPr/>
          <w:p>
            <w:pPr>
              <w:pStyle w:val="Compact"/>
              <w:jc w:val="left"/>
            </w:pPr>
            <w:r>
              <w:t xml:space="preserve">circoli collaterali, migliore circolazione</w:t>
            </w:r>
          </w:p>
        </w:tc>
        <w:tc>
          <w:tcPr/>
          <w:p>
            <w:pPr>
              <w:pStyle w:val="Compact"/>
              <w:jc w:val="left"/>
            </w:pPr>
            <w:r>
              <w:t xml:space="preserve">Sikiric 2022, PMID 35125818</w:t>
            </w:r>
          </w:p>
        </w:tc>
      </w:tr>
    </w:tbl>
    <w:p>
      <w:pPr>
        <w:pStyle w:val="BodyText"/>
      </w:pPr>
      <w:r>
        <w:t xml:space="preserve">A questi si aggiungono lavori su cervello, occhio, cuore, vescica, avvelenamenti e squilibri metabolici, in ratti e topi. Questa enorme ampiezza viene letta dai sostenitori come un punto di forza. Dal punto di vista metodologico è piuttosto un segnale d’allarme: una sostanza che in quasi ogni modello testato migliora quasi ogni disturbo richiede una verifica indipendente particolarmente accurata.</w:t>
      </w:r>
    </w:p>
    <w:bookmarkEnd w:id="923"/>
    <w:bookmarkStart w:id="926" w:name="farmacocinetica-e-tossicologia"/>
    <w:p>
      <w:pPr>
        <w:pStyle w:val="Heading4"/>
      </w:pPr>
      <w:r>
        <w:t xml:space="preserve">Farmacocinetica e tossicologia</w:t>
      </w:r>
    </w:p>
    <w:p>
      <w:pPr>
        <w:pStyle w:val="FirstParagraph"/>
      </w:pPr>
      <w:r>
        <w:t xml:space="preserve">Un gruppo di lavoro cinese ha studiato BPC-157 secondo le consuete regole dello sviluppo dei farmaci. Nei ratti e nei cani beagle l’emivita del peptide immodificato era inferiore a 30 minuti; dopo iniezione nel muscolo, nei ratti ne arrivava in circolo circa il 14–19%, nei cani il 45–51%. BPC-157 veniva rapidamente scomposto in piccoli frammenti e aminoacidi ed eliminato attraverso urina e bile</w:t>
      </w:r>
      <w:r>
        <w:rPr>
          <w:rStyle w:val="FootnoteReference"/>
        </w:rPr>
        <w:footnoteReference w:id="924"/>
      </w:r>
      <w:r>
        <w:t xml:space="preserve">. Nei test di tossicità su topi, ratti, conigli e cani gli stessi ricercatori non hanno riscontrato danni gravi, né danni al patrimonio genetico né danni agli embrioni; nei cani, alla dose più alta, la creatinina è diminuita temporaneamente</w:t>
      </w:r>
      <w:r>
        <w:rPr>
          <w:rStyle w:val="FootnoteReference"/>
        </w:rPr>
        <w:footnoteReference w:id="925"/>
      </w:r>
      <w:r>
        <w:t xml:space="preserve">. Questi dati sugli animali sono un prerequisito per gli studi sull’uomo, ma non li sostituiscono.</w:t>
      </w:r>
    </w:p>
    <w:bookmarkEnd w:id="926"/>
    <w:bookmarkEnd w:id="927"/>
    <w:bookmarkStart w:id="940" w:name="rischi-ed-effetti-collaterali-15"/>
    <w:p>
      <w:pPr>
        <w:pStyle w:val="Heading3"/>
      </w:pPr>
      <w:r>
        <w:t xml:space="preserve">Rischi ed effetti collaterali</w:t>
      </w:r>
    </w:p>
    <w:bookmarkStart w:id="929" w:name="documentati"/>
    <w:p>
      <w:pPr>
        <w:pStyle w:val="Heading4"/>
      </w:pPr>
      <w:r>
        <w:t xml:space="preserve">Documentati</w:t>
      </w:r>
    </w:p>
    <w:p>
      <w:pPr>
        <w:pStyle w:val="FirstParagraph"/>
      </w:pPr>
      <w:r>
        <w:t xml:space="preserve">Effetti collaterali documentati nell’uomo praticamente non esistono, ma non perché BPC-157 sia dimostratamente sicuro, bensì perché quasi nessuno li ha cercati in modo sistematico. Le tre indagini pilota, con complessivamente circa 30 persone, non hanno riferito effetti collaterali</w:t>
      </w:r>
      <w:r>
        <w:rPr>
          <w:rStyle w:val="FootnoteReference"/>
        </w:rPr>
        <w:footnoteReference w:id="928"/>
      </w:r>
      <w:r>
        <w:t xml:space="preserve">. Con 30 persone si possono riconoscere solo problemi frequenti e immediati. Un effetto collaterale che riguarda una persona su mille resterebbe invisibile.</w:t>
      </w:r>
    </w:p>
    <w:bookmarkEnd w:id="929"/>
    <w:bookmarkStart w:id="933" w:name="Xeac99b9f1a83e4d297ecf4167082fc73462f36f"/>
    <w:p>
      <w:pPr>
        <w:pStyle w:val="Heading4"/>
      </w:pPr>
      <w:r>
        <w:t xml:space="preserve">Teorici: formazione di nuovi vasi e crescita tumorale</w:t>
      </w:r>
    </w:p>
    <w:p>
      <w:pPr>
        <w:pStyle w:val="FirstParagraph"/>
      </w:pPr>
      <w:r>
        <w:t xml:space="preserve">Il rischio teorico più discusso deriva direttamente dal meccanismo d’azione ipotizzato. Se BPC-157 favorisce la formazione di nuovi vasi sanguigni, potrebbe – questo il timore – migliorare anche l’afflusso di sangue a tumori già presenti, magari non ancora scoperti. I tumori a partire da pochi millimetri di dimensione hanno bisogno di vasi sanguigni propri per continuare a crescere. Per questo gli inibitori della via del VEGF sono farmaci antitumorali consolidati. Una sostanza che nelle colture cellulari aumenta l’espressione del recettore 2 del VEGF</w:t>
      </w:r>
      <w:r>
        <w:rPr>
          <w:rStyle w:val="FootnoteReference"/>
        </w:rPr>
        <w:footnoteReference w:id="930"/>
      </w:r>
      <w:r>
        <w:t xml:space="preserve"> </w:t>
      </w:r>
      <w:r>
        <w:t xml:space="preserve">merita cautela. Diverse revisioni citano espressamente la formazione patologica di vasi e una possibile promozione del cancro come rischio non chiarito</w:t>
      </w:r>
      <w:r>
        <w:rPr>
          <w:rStyle w:val="FootnoteReference"/>
        </w:rPr>
        <w:footnoteReference w:id="931"/>
      </w:r>
      <w:r>
        <w:t xml:space="preserve">.</w:t>
      </w:r>
    </w:p>
    <w:p>
      <w:pPr>
        <w:pStyle w:val="BodyText"/>
      </w:pPr>
      <w:r>
        <w:t xml:space="preserve">Il gruppo di Zagabria contesta questa ipotesi: BPC-157 regolerebbe la formazione dei vasi invece di stimolarla alla cieca, impedirebbe per esempio sulla cornea dell’occhio una crescita patologica di vasi e mostrerebbe in esperimenti su animali e cellule persino effetti antitumorali</w:t>
      </w:r>
      <w:r>
        <w:rPr>
          <w:rStyle w:val="FootnoteReference"/>
        </w:rPr>
        <w:footnoteReference w:id="932"/>
      </w:r>
      <w:r>
        <w:t xml:space="preserve">. Anche questi dati provengono per lo più dallo stesso gruppo. Studi a lungo termine sulla cancerogenesi (studi di cancerogenicità), consueti per i medicinali autorizzati, non sono stati pubblicati per BPC-157. La questione è quindi aperta: né confermata né smentita. La Parte IV di questo libro tratta in modo approfondito il tema dei segnali di crescita e del rischio di cancro.</w:t>
      </w:r>
    </w:p>
    <w:bookmarkEnd w:id="933"/>
    <w:bookmarkStart w:id="936" w:name="rischi-del-mercato-grigio"/>
    <w:p>
      <w:pPr>
        <w:pStyle w:val="Heading4"/>
      </w:pPr>
      <w:r>
        <w:t xml:space="preserve">Rischi del mercato grigio</w:t>
      </w:r>
    </w:p>
    <w:p>
      <w:pPr>
        <w:pStyle w:val="FirstParagraph"/>
      </w:pPr>
      <w:r>
        <w:t xml:space="preserve">Il rischio pratico più grande probabilmente non risiede nel principio attivo in sé, ma nei prodotti. BPC-157 viene venduto per lo più come «research chemical» senza qualità farmaceutica. Le revisioni citano contaminazioni, concentrazioni errate, mancanza di sterilità e qualità di produzione variabile come pericoli concreti</w:t>
      </w:r>
      <w:r>
        <w:rPr>
          <w:rStyle w:val="FootnoteReference"/>
        </w:rPr>
        <w:footnoteReference w:id="934"/>
      </w:r>
      <w:r>
        <w:t xml:space="preserve">. Già nel 2017 un laboratorio antidoping descrisse BPC-157 da flaconi sequestrati</w:t>
      </w:r>
      <w:r>
        <w:rPr>
          <w:rStyle w:val="FootnoteReference"/>
        </w:rPr>
        <w:footnoteReference w:id="935"/>
      </w:r>
      <w:r>
        <w:t xml:space="preserve">. Con le iniezioni si aggiungono rischi di infezione da soluzioni non sterili. Il capitolo I.5 e la Parte IV trattano in modo approfondito le analisi di laboratorio dei peptidi del mercato grigio.</w:t>
      </w:r>
    </w:p>
    <w:bookmarkEnd w:id="936"/>
    <w:bookmarkStart w:id="939" w:name="altre-questioni-aperte"/>
    <w:p>
      <w:pPr>
        <w:pStyle w:val="Heading4"/>
      </w:pPr>
      <w:r>
        <w:t xml:space="preserve">Altre questioni aperte</w:t>
      </w:r>
    </w:p>
    <w:p>
      <w:pPr>
        <w:numPr>
          <w:ilvl w:val="0"/>
          <w:numId w:val="1117"/>
        </w:numPr>
        <w:pStyle w:val="Compact"/>
      </w:pPr>
      <w:r>
        <w:rPr>
          <w:bCs/>
          <w:b/>
        </w:rPr>
        <w:t xml:space="preserve">Interazioni:</w:t>
      </w:r>
      <w:r>
        <w:t xml:space="preserve"> </w:t>
      </w:r>
      <w:r>
        <w:t xml:space="preserve">negli esperimenti sugli animali BPC-157 ha influenzato coagulazione del sangue, pressione arteriosa e neurotrasmettitori</w:t>
      </w:r>
      <w:r>
        <w:rPr>
          <w:rStyle w:val="FootnoteReference"/>
        </w:rPr>
        <w:footnoteReference w:id="937"/>
      </w:r>
      <w:r>
        <w:t xml:space="preserve">. Se ciò sia rilevante nell’uomo per persone in terapia con anticoagulanti, con malattie cardiovascolari o con farmaci psichiatrici, nessuno lo sa.</w:t>
      </w:r>
    </w:p>
    <w:p>
      <w:pPr>
        <w:numPr>
          <w:ilvl w:val="0"/>
          <w:numId w:val="1117"/>
        </w:numPr>
        <w:pStyle w:val="Compact"/>
      </w:pPr>
      <w:r>
        <w:rPr>
          <w:bCs/>
          <w:b/>
        </w:rPr>
        <w:t xml:space="preserve">Gravidanza e allattamento, bambini e adolescenti:</w:t>
      </w:r>
      <w:r>
        <w:t xml:space="preserve"> </w:t>
      </w:r>
      <w:r>
        <w:t xml:space="preserve">nessun dato sull’uomo.</w:t>
      </w:r>
    </w:p>
    <w:p>
      <w:pPr>
        <w:numPr>
          <w:ilvl w:val="0"/>
          <w:numId w:val="1117"/>
        </w:numPr>
        <w:pStyle w:val="Compact"/>
      </w:pPr>
      <w:r>
        <w:rPr>
          <w:bCs/>
          <w:b/>
        </w:rPr>
        <w:t xml:space="preserve">Effetto placebo:</w:t>
      </w:r>
      <w:r>
        <w:t xml:space="preserve"> </w:t>
      </w:r>
      <w:r>
        <w:t xml:space="preserve">una revisione di medicina dello sport fa notare che i social media possono amplificare l’effetto placebo con questi peptidi</w:t>
      </w:r>
      <w:r>
        <w:rPr>
          <w:rStyle w:val="FootnoteReference"/>
        </w:rPr>
        <w:footnoteReference w:id="938"/>
      </w:r>
      <w:r>
        <w:t xml:space="preserve">. Le testimonianze personali di successo non sono quindi una prova di efficacia.</w:t>
      </w:r>
    </w:p>
    <w:bookmarkEnd w:id="939"/>
    <w:bookmarkEnd w:id="940"/>
    <w:bookmarkStart w:id="944" w:name="quadro-normativo-15"/>
    <w:p>
      <w:pPr>
        <w:pStyle w:val="Heading3"/>
      </w:pPr>
      <w:r>
        <w:t xml:space="preserve">Quadro normativo</w:t>
      </w:r>
    </w:p>
    <w:p>
      <w:pPr>
        <w:pStyle w:val="FirstParagraph"/>
      </w:pPr>
      <w:r>
        <w:rPr>
          <w:iCs/>
          <w:i/>
        </w:rPr>
        <w:t xml:space="preserve">Aggiornato al 2026, da verificare.</w:t>
      </w:r>
    </w:p>
    <w:p>
      <w:pPr>
        <w:numPr>
          <w:ilvl w:val="0"/>
          <w:numId w:val="1118"/>
        </w:numPr>
        <w:pStyle w:val="Compact"/>
      </w:pPr>
      <w:r>
        <w:rPr>
          <w:bCs/>
          <w:b/>
        </w:rPr>
        <w:t xml:space="preserve">UE:</w:t>
      </w:r>
      <w:r>
        <w:t xml:space="preserve"> </w:t>
      </w:r>
      <w:r>
        <w:t xml:space="preserve">BPC-157 non è autorizzato come medicinale in alcuno Stato membro. Una sostanza offerta per il trattamento di malattie nell’uomo è giuridicamente un medicinale; senza autorizzazione non può essere immessa in commercio. La dicitura «solo per scopi di ricerca» non cambia nulla se il prodotto è chiaramente destinato all’uso sull’uomo.</w:t>
      </w:r>
    </w:p>
    <w:p>
      <w:pPr>
        <w:numPr>
          <w:ilvl w:val="0"/>
          <w:numId w:val="1118"/>
        </w:numPr>
        <w:pStyle w:val="Compact"/>
      </w:pPr>
      <w:r>
        <w:rPr>
          <w:bCs/>
          <w:b/>
        </w:rPr>
        <w:t xml:space="preserve">Germania e Austria:</w:t>
      </w:r>
      <w:r>
        <w:t xml:space="preserve"> </w:t>
      </w:r>
      <w:r>
        <w:t xml:space="preserve">nessuna autorizzazione, nemmeno una base per preparazioni galeniche. La cessione per l’uso sull’uomo non è consentita secondo la rispettiva legge sui medicinali. Nello sport si applicano inoltre le regole antidoping.</w:t>
      </w:r>
    </w:p>
    <w:p>
      <w:pPr>
        <w:numPr>
          <w:ilvl w:val="0"/>
          <w:numId w:val="1118"/>
        </w:numPr>
        <w:pStyle w:val="Compact"/>
      </w:pPr>
      <w:r>
        <w:rPr>
          <w:bCs/>
          <w:b/>
        </w:rPr>
        <w:t xml:space="preserve">USA:</w:t>
      </w:r>
      <w:r>
        <w:t xml:space="preserve"> </w:t>
      </w:r>
      <w:r>
        <w:t xml:space="preserve">nessuna autorizzazione FDA. Nel 2023 la FDA ha assegnato BPC-157, tra le sostanze di partenza per le preparazioni galeniche (il cosiddetto compounding), alla categoria 2, cioè sostanze per le quali esistono rilevanti problemi di sicurezza. Secondo l’autorità, le farmacie galeniche non possono quindi lavorarlo. La classificazione dei peptidi è stata da allora discussa in modo controverso nel comitato consultivo della FDA per le preparazioni galeniche (PCAC) e negli ambienti specialistici</w:t>
      </w:r>
      <w:r>
        <w:rPr>
          <w:rStyle w:val="FootnoteReference"/>
        </w:rPr>
        <w:footnoteReference w:id="941"/>
      </w:r>
      <w:r>
        <w:t xml:space="preserve">; sono possibili modifiche.</w:t>
      </w:r>
    </w:p>
    <w:p>
      <w:pPr>
        <w:numPr>
          <w:ilvl w:val="0"/>
          <w:numId w:val="1118"/>
        </w:numPr>
        <w:pStyle w:val="Compact"/>
      </w:pPr>
      <w:r>
        <w:rPr>
          <w:bCs/>
          <w:b/>
        </w:rPr>
        <w:t xml:space="preserve">WADA:</w:t>
      </w:r>
      <w:r>
        <w:t xml:space="preserve"> </w:t>
      </w:r>
      <w:r>
        <w:t xml:space="preserve">BPC-157 figura nominalmente dal 2022 nel gruppo S0 (sostanze non approvate) della lista delle sostanze proibite ed è quindi vietato in gara e fuori gara. Una revisione del 2025 indica invece che BPC-157 non sarebbe attualmente elencato</w:t>
      </w:r>
      <w:r>
        <w:rPr>
          <w:rStyle w:val="FootnoteReference"/>
        </w:rPr>
        <w:footnoteReference w:id="942"/>
      </w:r>
      <w:r>
        <w:t xml:space="preserve">; secondo le conoscenze dell’autore ciò non è corretto per la lista attuale. I laboratori antidoping hanno sviluppato metodi di rilevamento nelle urine</w:t>
      </w:r>
      <w:r>
        <w:rPr>
          <w:rStyle w:val="FootnoteReference"/>
        </w:rPr>
        <w:footnoteReference w:id="943"/>
      </w:r>
      <w:r>
        <w:t xml:space="preserve">.</w:t>
      </w:r>
    </w:p>
    <w:bookmarkEnd w:id="944"/>
    <w:bookmarkStart w:id="950" w:name="studi-in-corso-e-prospettive-15"/>
    <w:p>
      <w:pPr>
        <w:pStyle w:val="Heading3"/>
      </w:pPr>
      <w:r>
        <w:t xml:space="preserve">Studi in corso e prospettive</w:t>
      </w:r>
    </w:p>
    <w:p>
      <w:pPr>
        <w:pStyle w:val="FirstParagraph"/>
      </w:pPr>
      <w:r>
        <w:t xml:space="preserve">A ottobre 2026 su ClinicalTrials.gov sono iscritti quattro studi con BPC-157:</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Disegno</w:t>
            </w:r>
          </w:p>
        </w:tc>
        <w:tc>
          <w:tcPr/>
          <w:p>
            <w:pPr>
              <w:pStyle w:val="Compact"/>
              <w:jc w:val="left"/>
            </w:pPr>
            <w:r>
              <w:t xml:space="preserve">Stato</w:t>
            </w:r>
          </w:p>
        </w:tc>
        <w:tc>
          <w:tcPr/>
          <w:p>
            <w:pPr>
              <w:pStyle w:val="Compact"/>
              <w:jc w:val="left"/>
            </w:pPr>
            <w:r>
              <w:t xml:space="preserve">Tema</w:t>
            </w:r>
          </w:p>
        </w:tc>
      </w:tr>
      <w:tr>
        <w:tc>
          <w:tcPr/>
          <w:p>
            <w:pPr>
              <w:pStyle w:val="Compact"/>
              <w:jc w:val="left"/>
            </w:pPr>
            <w:r>
              <w:t xml:space="preserve">NCT07437547</w:t>
            </w:r>
          </w:p>
        </w:tc>
        <w:tc>
          <w:tcPr/>
          <w:p>
            <w:pPr>
              <w:pStyle w:val="Compact"/>
              <w:jc w:val="left"/>
            </w:pPr>
            <w:r>
              <w:t xml:space="preserve">fase 2, randomizzato, in doppio cieco, placebo, previste 120 persone</w:t>
            </w:r>
          </w:p>
        </w:tc>
        <w:tc>
          <w:tcPr/>
          <w:p>
            <w:pPr>
              <w:pStyle w:val="Compact"/>
              <w:jc w:val="left"/>
            </w:pPr>
            <w:r>
              <w:t xml:space="preserve">secondo il registro in reclutamento da febbraio 2026; autenticità dubbia (si veda il testo)</w:t>
            </w:r>
          </w:p>
        </w:tc>
        <w:tc>
          <w:tcPr/>
          <w:p>
            <w:pPr>
              <w:pStyle w:val="Compact"/>
              <w:jc w:val="left"/>
            </w:pPr>
            <w:r>
              <w:t xml:space="preserve">stiramento acuto dei muscoli posteriori della coscia; tempo di ritorno allo sport, reperto RM</w:t>
            </w:r>
          </w:p>
        </w:tc>
      </w:tr>
      <w:tr>
        <w:tc>
          <w:tcPr/>
          <w:p>
            <w:pPr>
              <w:pStyle w:val="Compact"/>
              <w:jc w:val="left"/>
            </w:pPr>
            <w:r>
              <w:t xml:space="preserve">NCT07803250</w:t>
            </w:r>
          </w:p>
        </w:tc>
        <w:tc>
          <w:tcPr/>
          <w:p>
            <w:pPr>
              <w:pStyle w:val="Compact"/>
              <w:jc w:val="left"/>
            </w:pPr>
            <w:r>
              <w:t xml:space="preserve">fase 1, randomizzato, previste 30 persone</w:t>
            </w:r>
          </w:p>
        </w:tc>
        <w:tc>
          <w:tcPr/>
          <w:p>
            <w:pPr>
              <w:pStyle w:val="Compact"/>
              <w:jc w:val="left"/>
            </w:pPr>
            <w:r>
              <w:t xml:space="preserve">non ancora in reclutamento, inizio previsto nel 2027</w:t>
            </w:r>
          </w:p>
        </w:tc>
        <w:tc>
          <w:tcPr/>
          <w:p>
            <w:pPr>
              <w:pStyle w:val="Compact"/>
              <w:jc w:val="left"/>
            </w:pPr>
            <w:r>
              <w:t xml:space="preserve">guarigione dopo intervento sulla cuffia dei rotatori (spalla)</w:t>
            </w:r>
          </w:p>
        </w:tc>
      </w:tr>
      <w:tr>
        <w:tc>
          <w:tcPr/>
          <w:p>
            <w:pPr>
              <w:pStyle w:val="Compact"/>
              <w:jc w:val="left"/>
            </w:pPr>
            <w:r>
              <w:t xml:space="preserve">NCT07752381</w:t>
            </w:r>
          </w:p>
        </w:tc>
        <w:tc>
          <w:tcPr/>
          <w:p>
            <w:pPr>
              <w:pStyle w:val="Compact"/>
              <w:jc w:val="left"/>
            </w:pPr>
            <w:r>
              <w:t xml:space="preserve">un solo gruppo senza controllo, 40 persone</w:t>
            </w:r>
          </w:p>
        </w:tc>
        <w:tc>
          <w:tcPr/>
          <w:p>
            <w:pPr>
              <w:pStyle w:val="Compact"/>
              <w:jc w:val="left"/>
            </w:pPr>
            <w:r>
              <w:t xml:space="preserve">concluso nel 2025, nessun risultato nel registro</w:t>
            </w:r>
          </w:p>
        </w:tc>
        <w:tc>
          <w:tcPr/>
          <w:p>
            <w:pPr>
              <w:pStyle w:val="Compact"/>
              <w:jc w:val="left"/>
            </w:pPr>
            <w:r>
              <w:t xml:space="preserve">caramelle gommose di un produttore; marcatori infiammatori e autovalutazione</w:t>
            </w:r>
          </w:p>
        </w:tc>
      </w:tr>
      <w:tr>
        <w:tc>
          <w:tcPr/>
          <w:p>
            <w:pPr>
              <w:pStyle w:val="Compact"/>
              <w:jc w:val="left"/>
            </w:pPr>
            <w:r>
              <w:t xml:space="preserve">NCT02637284</w:t>
            </w:r>
          </w:p>
        </w:tc>
        <w:tc>
          <w:tcPr/>
          <w:p>
            <w:pPr>
              <w:pStyle w:val="Compact"/>
              <w:jc w:val="left"/>
            </w:pPr>
            <w:r>
              <w:t xml:space="preserve">fase 1, compresse, previsti 42 sani</w:t>
            </w:r>
          </w:p>
        </w:tc>
        <w:tc>
          <w:tcPr/>
          <w:p>
            <w:pPr>
              <w:pStyle w:val="Compact"/>
              <w:jc w:val="left"/>
            </w:pPr>
            <w:r>
              <w:t xml:space="preserve">stato sconosciuto dal 2016</w:t>
            </w:r>
          </w:p>
        </w:tc>
        <w:tc>
          <w:tcPr/>
          <w:p>
            <w:pPr>
              <w:pStyle w:val="Compact"/>
              <w:jc w:val="left"/>
            </w:pPr>
            <w:r>
              <w:t xml:space="preserve">sicurezza e farmacocinetica</w:t>
            </w:r>
          </w:p>
        </w:tc>
      </w:tr>
    </w:tbl>
    <w:p>
      <w:pPr>
        <w:pStyle w:val="BodyText"/>
      </w:pPr>
      <w:r>
        <w:rPr>
          <w:bCs/>
          <w:b/>
        </w:rPr>
        <w:t xml:space="preserve">Certo</w:t>
      </w:r>
      <w:r>
        <w:t xml:space="preserve"> </w:t>
      </w:r>
      <w:r>
        <w:t xml:space="preserve">è ben poco. Sulla carta lo studio di fase 2 sugli stiramenti dei muscoli posteriori della coscia</w:t>
      </w:r>
      <w:r>
        <w:rPr>
          <w:rStyle w:val="FootnoteReference"/>
        </w:rPr>
        <w:footnoteReference w:id="945"/>
      </w:r>
      <w:r>
        <w:t xml:space="preserve"> </w:t>
      </w:r>
      <w:r>
        <w:t xml:space="preserve">sarebbe il primo studio randomizzato, controllato con placebo, con un endpoint oggettivo (RM) e dimensioni sufficienti. Durante la verifica per questo libro è però emerso che lo stesso sponsor («Hudson Biotech»), con identico centro di studio e identica persona di contatto, ha creato una seconda voce su TB-500</w:t>
      </w:r>
      <w:r>
        <w:rPr>
          <w:rStyle w:val="FootnoteReference"/>
        </w:rPr>
        <w:footnoteReference w:id="946"/>
      </w:r>
      <w:r>
        <w:t xml:space="preserve"> </w:t>
      </w:r>
      <w:r>
        <w:t xml:space="preserve">che nella sua stessa descrizione si definisce espressamente un esempio «fittizio» di voce di registro. Se lo studio su BPC-157 venga effettivamente condotto non si può quindi affermare con certezza. ClinicalTrials.gov verifica le voci solo formalmente, non nel contenuto: una registrazione da sola non dimostra che uno studio si svolga.</w:t>
      </w:r>
    </w:p>
    <w:p>
      <w:pPr>
        <w:pStyle w:val="BodyText"/>
      </w:pPr>
      <w:r>
        <w:t xml:space="preserve">Lo studio sulla spalla della University of Arkansas</w:t>
      </w:r>
      <w:r>
        <w:rPr>
          <w:rStyle w:val="FootnoteReference"/>
        </w:rPr>
        <w:footnoteReference w:id="947"/>
      </w:r>
      <w:r>
        <w:t xml:space="preserve"> </w:t>
      </w:r>
      <w:r>
        <w:t xml:space="preserve">è randomizzato e in cieco, ma piccolo e non ancora iniziato. Lo studio sulle caramelle gommose di un produttore</w:t>
      </w:r>
      <w:r>
        <w:rPr>
          <w:rStyle w:val="FootnoteReference"/>
        </w:rPr>
        <w:footnoteReference w:id="948"/>
      </w:r>
      <w:r>
        <w:t xml:space="preserve"> </w:t>
      </w:r>
      <w:r>
        <w:t xml:space="preserve">non ha gruppo di controllo e misura per lo più dati autoriferiti; non risponderà alle questioni aperte.</w:t>
      </w:r>
    </w:p>
    <w:p>
      <w:pPr>
        <w:pStyle w:val="BodyText"/>
      </w:pPr>
      <w:r>
        <w:rPr>
          <w:bCs/>
          <w:b/>
        </w:rPr>
        <w:t xml:space="preserve">Valutazione dell’autore:</w:t>
      </w:r>
      <w:r>
        <w:t xml:space="preserve"> </w:t>
      </w:r>
      <w:r>
        <w:t xml:space="preserve">prima del 2028 non sono da attendersi dati affidabili di efficacia nell’uomo. Anche un risultato positivo di un piccolo studio pilota sarebbe solo un primo indizio, non ancora una base per un’autorizzazione, che richiede diversi studi più ampi e dati di sicurezza a lungo termine. Un risultato negativo cambierebbe probabilmente poco la reputazione del peptide su internet. Una revisione farmaceutica sottolinea che ancora oggi non esiste una forma farmaceutica standardizzata e validata</w:t>
      </w:r>
      <w:r>
        <w:rPr>
          <w:rStyle w:val="FootnoteReference"/>
        </w:rPr>
        <w:footnoteReference w:id="949"/>
      </w:r>
      <w:r>
        <w:t xml:space="preserve">: anche questo deve essere risolto prima di un’autorizzazione.</w:t>
      </w:r>
    </w:p>
    <w:bookmarkEnd w:id="950"/>
    <w:bookmarkStart w:id="953" w:name="conclusione-15"/>
    <w:p>
      <w:pPr>
        <w:pStyle w:val="Heading3"/>
      </w:pPr>
      <w:r>
        <w:t xml:space="preserve">Conclusione</w:t>
      </w:r>
    </w:p>
    <w:p>
      <w:pPr>
        <w:pStyle w:val="FirstParagraph"/>
      </w:pPr>
      <w:r>
        <w:t xml:space="preserve">BPC-157 è un peptide con un numero insolitamente elevato di studi sugli animali, quasi tutti con risultati positivi, provenienti per lo più da un unico gruppo di ricerca di Zagabria e senza sufficienti repliche indipendenti. Sull’uomo esistono solo tre piccole indagini non controllate con complessivamente circa 30 persone, la cui qualità è giudicata molto bassa</w:t>
      </w:r>
      <w:r>
        <w:rPr>
          <w:rStyle w:val="FootnoteReference"/>
        </w:rPr>
        <w:footnoteReference w:id="951"/>
      </w:r>
      <w:r>
        <w:t xml:space="preserve">. La sicurezza a lungo termine, in particolare la questione teorica di una promozione della crescita tumorale attraverso la formazione di nuovi vasi, non è stata studiata, e i prodotti del mercato grigio comportano rischi propri. Gli studi randomizzati sono solo registrati o pianificati</w:t>
      </w:r>
      <w:r>
        <w:rPr>
          <w:rStyle w:val="FootnoteReference"/>
        </w:rPr>
        <w:footnoteReference w:id="952"/>
      </w:r>
      <w:r>
        <w:t xml:space="preserve">; finché non saranno disponibili risultati affidabili, BPC-157 resta una sostanza sperimentale il cui beneficio nell’uomo non è dimostrato. Per sportive e sportivi è vietato secondo le regole WADA.</w:t>
      </w:r>
    </w:p>
    <w:bookmarkEnd w:id="953"/>
    <w:bookmarkEnd w:id="954"/>
    <w:bookmarkStart w:id="1004" w:name="tb-500-e-timosina-beta-4"/>
    <w:p>
      <w:pPr>
        <w:pStyle w:val="Heading2"/>
      </w:pPr>
      <w:r>
        <w:t xml:space="preserve">TB-500 e timosina beta 4</w:t>
      </w:r>
    </w:p>
    <w:p>
      <w:pPr>
        <w:pStyle w:val="FirstParagraph"/>
      </w:pPr>
      <w:r>
        <w:t xml:space="preserve">Su internet «TB-500» e «timosina beta 4» vengono per lo più vendute come la stessa cosa. È sbagliato, e la differenza è decisiva per la valutazione. La timosina beta 4 è una proteina endogena di 43 aminoacidi, studiata in diversi studi clinici, soprattutto come collirio e come infusione dopo un infarto. TB-500, invece, è un breve frammento di essa, modificato artificialmente, che non è mai stato testato in uno studio pubblicato sull’uomo. Questo capitolo separa nettamente le due cose.</w:t>
      </w:r>
    </w:p>
    <w:bookmarkStart w:id="956" w:name="scheda-16"/>
    <w:p>
      <w:pPr>
        <w:pStyle w:val="Heading3"/>
      </w:pPr>
      <w:r>
        <w:t xml:space="preserve">Scheda</w:t>
      </w:r>
    </w:p>
    <w:p>
      <w:pPr>
        <w:numPr>
          <w:ilvl w:val="0"/>
          <w:numId w:val="1119"/>
        </w:numPr>
        <w:pStyle w:val="Compact"/>
      </w:pPr>
      <w:r>
        <w:rPr>
          <w:bCs/>
          <w:b/>
        </w:rPr>
        <w:t xml:space="preserve">Timosina beta 4 (Tβ4):</w:t>
      </w:r>
      <w:r>
        <w:t xml:space="preserve"> </w:t>
      </w:r>
      <w:r>
        <w:t xml:space="preserve">peptide endogeno di 43 aminoacidi, presente in quasi tutte le cellule; funzione principale: lega la proteina strutturale actina e regola così forma e movimento delle cellule. Per gli studi viene prodotta per via sintetica o con ingegneria genetica (ricombinante); nomi di sviluppo RGN-259 (collirio), RGN-352 (iniezione), NL005 (ricombinante, Cina).</w:t>
      </w:r>
    </w:p>
    <w:p>
      <w:pPr>
        <w:numPr>
          <w:ilvl w:val="0"/>
          <w:numId w:val="1119"/>
        </w:numPr>
        <w:pStyle w:val="Compact"/>
      </w:pPr>
      <w:r>
        <w:rPr>
          <w:bCs/>
          <w:b/>
        </w:rPr>
        <w:t xml:space="preserve">TB-500:</w:t>
      </w:r>
      <w:r>
        <w:t xml:space="preserve"> </w:t>
      </w:r>
      <w:r>
        <w:t xml:space="preserve">il frammento degli aminoacidi da 17 a 23 della Tβ4, modificato chimicamente all’inizio (acetilato), sequenza Ac-LKKTETQ</w:t>
      </w:r>
      <w:r>
        <w:rPr>
          <w:rStyle w:val="FootnoteReference"/>
        </w:rPr>
        <w:footnoteReference w:id="955"/>
      </w:r>
      <w:r>
        <w:t xml:space="preserve">. Comparso originariamente come farmaco veterinario negli sport equestri.</w:t>
      </w:r>
    </w:p>
    <w:p>
      <w:pPr>
        <w:numPr>
          <w:ilvl w:val="0"/>
          <w:numId w:val="1119"/>
        </w:numPr>
        <w:pStyle w:val="Compact"/>
      </w:pPr>
      <w:r>
        <w:rPr>
          <w:bCs/>
          <w:b/>
        </w:rPr>
        <w:t xml:space="preserve">Principio d’azione (ipotizzato):</w:t>
      </w:r>
      <w:r>
        <w:t xml:space="preserve"> </w:t>
      </w:r>
      <w:r>
        <w:t xml:space="preserve">promozione della migrazione cellulare, della formazione di nuovi vasi e della guarigione delle ferite, attenuazione dell’infiammazione.</w:t>
      </w:r>
    </w:p>
    <w:p>
      <w:pPr>
        <w:numPr>
          <w:ilvl w:val="0"/>
          <w:numId w:val="1119"/>
        </w:numPr>
        <w:pStyle w:val="Compact"/>
      </w:pPr>
      <w:r>
        <w:rPr>
          <w:bCs/>
          <w:b/>
        </w:rPr>
        <w:t xml:space="preserve">Autorizzazione UE/USA:</w:t>
      </w:r>
      <w:r>
        <w:t xml:space="preserve"> </w:t>
      </w:r>
      <w:r>
        <w:t xml:space="preserve">né la Tβ4 né TB-500 sono autorizzati.</w:t>
      </w:r>
    </w:p>
    <w:p>
      <w:pPr>
        <w:numPr>
          <w:ilvl w:val="0"/>
          <w:numId w:val="1119"/>
        </w:numPr>
        <w:pStyle w:val="Compact"/>
      </w:pPr>
      <w:r>
        <w:rPr>
          <w:bCs/>
          <w:b/>
        </w:rPr>
        <w:t xml:space="preserve">WADA:</w:t>
      </w:r>
      <w:r>
        <w:t xml:space="preserve"> </w:t>
      </w:r>
      <w:r>
        <w:t xml:space="preserve">vietato (S2, fattori di crescita; «timosina-β4 e i suoi derivati, ad es. TB-500» sono citati espressamente).</w:t>
      </w:r>
    </w:p>
    <w:p>
      <w:pPr>
        <w:numPr>
          <w:ilvl w:val="0"/>
          <w:numId w:val="1119"/>
        </w:numPr>
        <w:pStyle w:val="Compact"/>
      </w:pPr>
      <w:r>
        <w:rPr>
          <w:bCs/>
          <w:b/>
        </w:rPr>
        <w:t xml:space="preserve">Livello di evidenza:</w:t>
      </w:r>
      <w:r>
        <w:t xml:space="preserve"> </w:t>
      </w:r>
      <w:r>
        <w:rPr>
          <w:bCs/>
          <w:b/>
        </w:rPr>
        <w:t xml:space="preserve">B</w:t>
      </w:r>
      <w:r>
        <w:t xml:space="preserve"> </w:t>
      </w:r>
      <w:r>
        <w:t xml:space="preserve">per la timosina beta 4 (studi randomizzati, per lo più piccoli; grandi studi di fase 3 sull’occhio secco senza un chiaro beneficio) ·</w:t>
      </w:r>
      <w:r>
        <w:t xml:space="preserve"> </w:t>
      </w:r>
      <w:r>
        <w:rPr>
          <w:bCs/>
          <w:b/>
        </w:rPr>
        <w:t xml:space="preserve">D</w:t>
      </w:r>
      <w:r>
        <w:t xml:space="preserve"> </w:t>
      </w:r>
      <w:r>
        <w:t xml:space="preserve">per TB-500 (nessuno studio sull’uomo pubblicato).</w:t>
      </w:r>
    </w:p>
    <w:bookmarkEnd w:id="956"/>
    <w:bookmarkStart w:id="961" w:name="come-dovrebbe-agire-16"/>
    <w:p>
      <w:pPr>
        <w:pStyle w:val="Heading3"/>
      </w:pPr>
      <w:r>
        <w:t xml:space="preserve">Come dovrebbe agire</w:t>
      </w:r>
    </w:p>
    <w:p>
      <w:pPr>
        <w:pStyle w:val="FirstParagraph"/>
      </w:pPr>
      <w:r>
        <w:t xml:space="preserve">Nelle cellule la Tβ4 è la proteina più importante che lega e «parcheggia» singole unità di actina. L’actina forma l’impalcatura interna della cellula; quando una cellula deve muoversi – per esempio per chiudere una ferita – questa impalcatura deve essere rimodellata rapidamente. La Tβ4 mette a disposizione le unità necessarie.</w:t>
      </w:r>
    </w:p>
    <w:p>
      <w:pPr>
        <w:pStyle w:val="BodyText"/>
      </w:pPr>
      <w:r>
        <w:t xml:space="preserve">Al di fuori della cellula la Tβ4 ha inoltre, a quanto pare, propri effetti di segnalazione. Un lavoro di revisione descrive diverse sezioni attive nella molecola: il breve tratto iniziale (Ac-SDKP) agisce negli esperimenti di laboratorio come antinfiammatorio e contro la formazione di cicatrici, la sezione da 17 a 23 (LKKTETQ) favorisce la formazione di nuovi vasi, la guarigione delle ferite e la migrazione cellulare</w:t>
      </w:r>
      <w:r>
        <w:rPr>
          <w:rStyle w:val="FootnoteReference"/>
        </w:rPr>
        <w:footnoteReference w:id="957"/>
      </w:r>
      <w:r>
        <w:t xml:space="preserve">. In esperimenti su cellule il motivo di legame all’actina, lungo sette aminoacidi, ha mostrato lo stesso effetto sulla migrazione delle cellule vascolari dell’intera molecola</w:t>
      </w:r>
      <w:r>
        <w:rPr>
          <w:rStyle w:val="FootnoteReference"/>
        </w:rPr>
        <w:footnoteReference w:id="958"/>
      </w:r>
      <w:r>
        <w:t xml:space="preserve">.</w:t>
      </w:r>
    </w:p>
    <w:p>
      <w:pPr>
        <w:pStyle w:val="BodyText"/>
      </w:pPr>
      <w:r>
        <w:t xml:space="preserve">Su questo risultato di laboratorio si basa l’idea di TB-500: se il breve frammento porta l’effetto, basta produrre solo quello, in modo più economico e semplice dell’intera proteina. Tuttavia non è stata usata esattamente la sequenza naturale, ma una forma acetilata all’inizio. Uno studio sulla degradazione ha rilevato che TB-500 viene scomposto rapidamente e che negli esperimenti su cellule non era il peptide di partenza, ma un prodotto di degradazione (Ac-LKKTE), a favorire la guarigione delle ferite</w:t>
      </w:r>
      <w:r>
        <w:rPr>
          <w:rStyle w:val="FootnoteReference"/>
        </w:rPr>
        <w:footnoteReference w:id="959"/>
      </w:r>
      <w:r>
        <w:t xml:space="preserve">. Che TB-500 nell’organismo faccia lo stesso della Tβ4 non è quindi dimostrato. Una revisione ortopedica del 2026 sottolinea che TB-500 viene spesso equiparato alla Tβ4, anche se non è documentata alcuna equivalenza biologica o clinica</w:t>
      </w:r>
      <w:r>
        <w:rPr>
          <w:rStyle w:val="FootnoteReference"/>
        </w:rPr>
        <w:footnoteReference w:id="960"/>
      </w:r>
      <w:r>
        <w:t xml:space="preserve">.</w:t>
      </w:r>
    </w:p>
    <w:bookmarkEnd w:id="961"/>
    <w:bookmarkStart w:id="976" w:name="studi-sulluomo-16"/>
    <w:p>
      <w:pPr>
        <w:pStyle w:val="Heading3"/>
      </w:pPr>
      <w:r>
        <w:t xml:space="preserve">Studi sull’uomo</w:t>
      </w:r>
    </w:p>
    <w:p>
      <w:pPr>
        <w:pStyle w:val="FirstParagraph"/>
      </w:pPr>
      <w:r>
        <w:rPr>
          <w:bCs/>
          <w:b/>
        </w:rPr>
        <w:t xml:space="preserve">Dimensioni della letteratura (ricerca di ottobre 2026):</w:t>
      </w:r>
      <w:r>
        <w:t xml:space="preserve"> </w:t>
      </w:r>
      <w:r>
        <w:t xml:space="preserve">la ricerca automatizzata ha trovato</w:t>
      </w:r>
      <w:r>
        <w:t xml:space="preserve"> </w:t>
      </w:r>
      <w:r>
        <w:rPr>
          <w:bCs/>
          <w:b/>
        </w:rPr>
        <w:t xml:space="preserve">9</w:t>
      </w:r>
      <w:r>
        <w:t xml:space="preserve"> </w:t>
      </w:r>
      <w:r>
        <w:t xml:space="preserve">pubblicazioni classificate come studio sull’uomo e</w:t>
      </w:r>
      <w:r>
        <w:t xml:space="preserve"> </w:t>
      </w:r>
      <w:r>
        <w:rPr>
          <w:bCs/>
          <w:b/>
        </w:rPr>
        <w:t xml:space="preserve">18</w:t>
      </w:r>
      <w:r>
        <w:t xml:space="preserve"> </w:t>
      </w:r>
      <w:r>
        <w:t xml:space="preserve">voci su ClinicalTrials.gov. Delle nove pubblicazioni, solo sei studiano effettivamente la Tβ4 come principio attivo; le altre misurano la Tβ4 nel sangue o riguardano altre questioni.</w:t>
      </w:r>
      <w:r>
        <w:t xml:space="preserve"> </w:t>
      </w:r>
      <w:r>
        <w:rPr>
          <w:bCs/>
          <w:b/>
        </w:rPr>
        <w:t xml:space="preserve">Nessuno</w:t>
      </w:r>
      <w:r>
        <w:t xml:space="preserve"> </w:t>
      </w:r>
      <w:r>
        <w:t xml:space="preserve">studio pubblicato ha studiato TB-500 sull’uomo.</w:t>
      </w:r>
    </w:p>
    <w:bookmarkStart w:id="967" w:name="collirio-rgn-259"/>
    <w:p>
      <w:pPr>
        <w:pStyle w:val="Heading4"/>
      </w:pPr>
      <w:r>
        <w:t xml:space="preserve">Collirio (RGN-259)</w:t>
      </w:r>
    </w:p>
    <w:p>
      <w:pPr>
        <w:pStyle w:val="FirstParagraph"/>
      </w:pPr>
      <w:r>
        <w:t xml:space="preserve">La Tβ4 è più avanzata come collirio. L’azienda RegeneRx e il suo partner ReGenTree l’hanno valutata nell’occhio secco e nella cheratopatia neurotrofica, una malattia rara in cui la cornea guarisce male a causa di nervi danneggiati.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Occhio secco grave (Sosne 2015, PMID 25826322; NCT01393132)</w:t>
            </w:r>
          </w:p>
        </w:tc>
        <w:tc>
          <w:tcPr/>
          <w:p>
            <w:pPr>
              <w:pStyle w:val="Compact"/>
              <w:jc w:val="left"/>
            </w:pPr>
            <w:r>
              <w:t xml:space="preserve">9 persone, randomizzato contro soluzione veicolo</w:t>
            </w:r>
          </w:p>
        </w:tc>
        <w:tc>
          <w:tcPr/>
          <w:p>
            <w:pPr>
              <w:pStyle w:val="Compact"/>
              <w:jc w:val="left"/>
            </w:pPr>
            <w:r>
              <w:t xml:space="preserve">28 giorni più 28 giorni di follow-up</w:t>
            </w:r>
          </w:p>
        </w:tc>
        <w:tc>
          <w:tcPr/>
          <w:p>
            <w:pPr>
              <w:pStyle w:val="Compact"/>
              <w:jc w:val="left"/>
            </w:pPr>
            <w:r>
              <w:t xml:space="preserve">al giorno 56 disturbi inferiori del 35,1% e colorazione corneale inferiore del 59,1% rispetto alla soluzione veicolo</w:t>
            </w:r>
          </w:p>
        </w:tc>
      </w:tr>
      <w:tr>
        <w:tc>
          <w:tcPr/>
          <w:p>
            <w:pPr>
              <w:pStyle w:val="Compact"/>
              <w:jc w:val="left"/>
            </w:pPr>
            <w:r>
              <w:t xml:space="preserve">Occhio secco, modello di provocazione (Sosne 2015, PMID 26056426)</w:t>
            </w:r>
          </w:p>
        </w:tc>
        <w:tc>
          <w:tcPr/>
          <w:p>
            <w:pPr>
              <w:pStyle w:val="Compact"/>
              <w:jc w:val="left"/>
            </w:pPr>
            <w:r>
              <w:t xml:space="preserve">72 persone, RCT</w:t>
            </w:r>
          </w:p>
        </w:tc>
        <w:tc>
          <w:tcPr/>
          <w:p>
            <w:pPr>
              <w:pStyle w:val="Compact"/>
              <w:jc w:val="left"/>
            </w:pPr>
            <w:r>
              <w:t xml:space="preserve">28 giorni</w:t>
            </w:r>
          </w:p>
        </w:tc>
        <w:tc>
          <w:tcPr/>
          <w:p>
            <w:pPr>
              <w:pStyle w:val="Compact"/>
              <w:jc w:val="left"/>
            </w:pPr>
            <w:r>
              <w:t xml:space="preserve">entrambi gli endpoint primari non significativi; singoli endpoint secondari migliori</w:t>
            </w:r>
          </w:p>
        </w:tc>
      </w:tr>
      <w:tr>
        <w:tc>
          <w:tcPr/>
          <w:p>
            <w:pPr>
              <w:pStyle w:val="Compact"/>
              <w:jc w:val="left"/>
            </w:pPr>
            <w:r>
              <w:t xml:space="preserve">ARISE-2 (NCT02974907)</w:t>
            </w:r>
          </w:p>
        </w:tc>
        <w:tc>
          <w:tcPr/>
          <w:p>
            <w:pPr>
              <w:pStyle w:val="Compact"/>
              <w:jc w:val="left"/>
            </w:pPr>
            <w:r>
              <w:t xml:space="preserve">601 persone, fase 3, RCT</w:t>
            </w:r>
          </w:p>
        </w:tc>
        <w:tc>
          <w:tcPr/>
          <w:p>
            <w:pPr>
              <w:pStyle w:val="Compact"/>
              <w:jc w:val="left"/>
            </w:pPr>
            <w:r>
              <w:t xml:space="preserve">28 giorni</w:t>
            </w:r>
          </w:p>
        </w:tc>
        <w:tc>
          <w:tcPr/>
          <w:p>
            <w:pPr>
              <w:pStyle w:val="Compact"/>
              <w:jc w:val="left"/>
            </w:pPr>
            <w:r>
              <w:t xml:space="preserve">endpoint primari, secondo i risultati del registro, praticamente uguali nei due gruppi</w:t>
            </w:r>
          </w:p>
        </w:tc>
      </w:tr>
      <w:tr>
        <w:tc>
          <w:tcPr/>
          <w:p>
            <w:pPr>
              <w:pStyle w:val="Compact"/>
              <w:jc w:val="left"/>
            </w:pPr>
            <w:r>
              <w:t xml:space="preserve">ARISE-3 (NCT03937882)</w:t>
            </w:r>
          </w:p>
        </w:tc>
        <w:tc>
          <w:tcPr/>
          <w:p>
            <w:pPr>
              <w:pStyle w:val="Compact"/>
              <w:jc w:val="left"/>
            </w:pPr>
            <w:r>
              <w:t xml:space="preserve">700 persone, fase 3, RCT</w:t>
            </w:r>
          </w:p>
        </w:tc>
        <w:tc>
          <w:tcPr/>
          <w:p>
            <w:pPr>
              <w:pStyle w:val="Compact"/>
              <w:jc w:val="left"/>
            </w:pPr>
            <w:r>
              <w:t xml:space="preserve">14 giorni</w:t>
            </w:r>
          </w:p>
        </w:tc>
        <w:tc>
          <w:tcPr/>
          <w:p>
            <w:pPr>
              <w:pStyle w:val="Compact"/>
              <w:jc w:val="left"/>
            </w:pPr>
            <w:r>
              <w:t xml:space="preserve">colorazione corneale −0,41 vs. −0,46 punti, disturbi −0,4 vs. −0,4 punti (Tβ4 vs. placebo)</w:t>
            </w:r>
          </w:p>
        </w:tc>
      </w:tr>
      <w:tr>
        <w:tc>
          <w:tcPr/>
          <w:p>
            <w:pPr>
              <w:pStyle w:val="Compact"/>
              <w:jc w:val="left"/>
            </w:pPr>
            <w:r>
              <w:t xml:space="preserve">SEER-1, cheratopatia neurotrofica (Sosne 2022, PMID 36613994)</w:t>
            </w:r>
          </w:p>
        </w:tc>
        <w:tc>
          <w:tcPr/>
          <w:p>
            <w:pPr>
              <w:pStyle w:val="Compact"/>
              <w:jc w:val="left"/>
            </w:pPr>
            <w:r>
              <w:t xml:space="preserve">18 persone, fase 3, RCT</w:t>
            </w:r>
          </w:p>
        </w:tc>
        <w:tc>
          <w:tcPr/>
          <w:p>
            <w:pPr>
              <w:pStyle w:val="Compact"/>
              <w:jc w:val="left"/>
            </w:pPr>
            <w:r>
              <w:t xml:space="preserve">4 settimane più 2 settimane</w:t>
            </w:r>
          </w:p>
        </w:tc>
        <w:tc>
          <w:tcPr/>
          <w:p>
            <w:pPr>
              <w:pStyle w:val="Compact"/>
              <w:jc w:val="left"/>
            </w:pPr>
            <w:r>
              <w:t xml:space="preserve">guarigione completa in 6 su 10 vs. 1 su 8 (p = 0,0656, non significativo)</w:t>
            </w:r>
          </w:p>
        </w:tc>
      </w:tr>
    </w:tbl>
    <w:p>
      <w:pPr>
        <w:pStyle w:val="BodyText"/>
      </w:pPr>
      <w:r>
        <w:t xml:space="preserve">Lo schema è tipico di un farmaco con beneficio incerto: piccoli studi mostrano segnali favorevoli, grandi studi non li confermano. Il piccolo studio con nove persone ha trovato miglioramenti netti</w:t>
      </w:r>
      <w:r>
        <w:rPr>
          <w:rStyle w:val="FootnoteReference"/>
        </w:rPr>
        <w:footnoteReference w:id="962"/>
      </w:r>
      <w:r>
        <w:t xml:space="preserve">. Già lo studio con 72 persone ha però mancato entrambi gli endpoint primari stabiliti in anticipo; gli autori hanno sottolineato invece i miglioramenti degli endpoint secondari</w:t>
      </w:r>
      <w:r>
        <w:rPr>
          <w:rStyle w:val="FootnoteReference"/>
        </w:rPr>
        <w:footnoteReference w:id="963"/>
      </w:r>
      <w:r>
        <w:t xml:space="preserve">. Nei due grandi studi di fase 3 ARISE-2 e ARISE-3, con complessivamente circa 1.300 partecipanti, i valori degli endpoint primari erano, secondo i risultati pubblicati nel registro, quasi alla pari nel gruppo Tβ4 e nel gruppo placebo</w:t>
      </w:r>
      <w:r>
        <w:rPr>
          <w:rStyle w:val="FootnoteReference"/>
        </w:rPr>
        <w:footnoteReference w:id="964"/>
      </w:r>
      <w:r>
        <w:t xml:space="preserve">. Una pubblicazione su rivista di questi risultati non è stata trovata su PubMed.</w:t>
      </w:r>
    </w:p>
    <w:p>
      <w:pPr>
        <w:pStyle w:val="BodyText"/>
      </w:pPr>
      <w:r>
        <w:t xml:space="preserve">Nella cheratopatia neurotrofica, nel piccolo studio di fase 3 SEER-1, sono guariti più occhi con la Tβ4 che con il placebo; la differenza ha però mancato di poco la significatività statistica, e lo studio comprendeva solo 18 persone</w:t>
      </w:r>
      <w:r>
        <w:rPr>
          <w:rStyle w:val="FootnoteReference"/>
        </w:rPr>
        <w:footnoteReference w:id="965"/>
      </w:r>
      <w:r>
        <w:t xml:space="preserve">. Una revisione Cochrane del 2025 ha valutato lo studio con «bassa affidabilità» e non ha trovato una differenza certa</w:t>
      </w:r>
      <w:r>
        <w:rPr>
          <w:rStyle w:val="FootnoteReference"/>
        </w:rPr>
        <w:footnoteReference w:id="966"/>
      </w:r>
      <w:r>
        <w:t xml:space="preserve">. Uno studio successivo più ampio (SEER-2) è in corso.</w:t>
      </w:r>
    </w:p>
    <w:bookmarkEnd w:id="967"/>
    <w:bookmarkStart w:id="969" w:name="cuore"/>
    <w:p>
      <w:pPr>
        <w:pStyle w:val="Heading4"/>
      </w:pPr>
      <w:r>
        <w:t xml:space="preserve">Cuore</w:t>
      </w:r>
    </w:p>
    <w:p>
      <w:pPr>
        <w:pStyle w:val="FirstParagraph"/>
      </w:pPr>
      <w:r>
        <w:t xml:space="preserve">La Tβ4 è stata sviluppata come farmaco per il cuore sulla base di spettacolari esperimenti sui topi (si vedano gli studi su animali e in laboratorio).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Sicurezza, infusione (Ruff 2010, PMID 20536472)</w:t>
            </w:r>
          </w:p>
        </w:tc>
        <w:tc>
          <w:tcPr/>
          <w:p>
            <w:pPr>
              <w:pStyle w:val="Compact"/>
              <w:jc w:val="left"/>
            </w:pPr>
            <w:r>
              <w:t xml:space="preserve">40 sani in 4 gruppi di dose, RCT</w:t>
            </w:r>
          </w:p>
        </w:tc>
        <w:tc>
          <w:tcPr/>
          <w:p>
            <w:pPr>
              <w:pStyle w:val="Compact"/>
              <w:jc w:val="left"/>
            </w:pPr>
            <w:r>
              <w:t xml:space="preserve">una volta, poi 14 giorni ogni giorno</w:t>
            </w:r>
          </w:p>
        </w:tc>
        <w:tc>
          <w:tcPr/>
          <w:p>
            <w:pPr>
              <w:pStyle w:val="Compact"/>
              <w:jc w:val="left"/>
            </w:pPr>
            <w:r>
              <w:t xml:space="preserve">nessuna tossicità dose-limitante, nessun effetto collaterale grave</w:t>
            </w:r>
          </w:p>
        </w:tc>
      </w:tr>
      <w:tr>
        <w:tc>
          <w:tcPr/>
          <w:p>
            <w:pPr>
              <w:pStyle w:val="Compact"/>
              <w:jc w:val="left"/>
            </w:pPr>
            <w:r>
              <w:t xml:space="preserve">Tβ4 ricombinante NL005, fase 1 (Wang 2021, PMID 34346165)</w:t>
            </w:r>
          </w:p>
        </w:tc>
        <w:tc>
          <w:tcPr/>
          <w:p>
            <w:pPr>
              <w:pStyle w:val="Compact"/>
              <w:jc w:val="left"/>
            </w:pPr>
            <w:r>
              <w:t xml:space="preserve">54 sani (dose singola) e 30 sani (dose multipla), RCT</w:t>
            </w:r>
          </w:p>
        </w:tc>
        <w:tc>
          <w:tcPr/>
          <w:p>
            <w:pPr>
              <w:pStyle w:val="Compact"/>
              <w:jc w:val="left"/>
            </w:pPr>
            <w:r>
              <w:t xml:space="preserve">fino a 10 giorni più 28 giorni</w:t>
            </w:r>
          </w:p>
        </w:tc>
        <w:tc>
          <w:tcPr/>
          <w:p>
            <w:pPr>
              <w:pStyle w:val="Compact"/>
              <w:jc w:val="left"/>
            </w:pPr>
            <w:r>
              <w:t xml:space="preserve">effetti collaterali da lievi a moderati, nessuno grave</w:t>
            </w:r>
          </w:p>
        </w:tc>
      </w:tr>
      <w:tr>
        <w:tc>
          <w:tcPr/>
          <w:p>
            <w:pPr>
              <w:pStyle w:val="Compact"/>
              <w:jc w:val="left"/>
            </w:pPr>
            <w:r>
              <w:t xml:space="preserve">NL005 nell’infarto (Zhang 2025, PMID 41229390)</w:t>
            </w:r>
          </w:p>
        </w:tc>
        <w:tc>
          <w:tcPr/>
          <w:p>
            <w:pPr>
              <w:pStyle w:val="Compact"/>
              <w:jc w:val="left"/>
            </w:pPr>
            <w:r>
              <w:t xml:space="preserve">96 persone con STEMI dopo trattamento con catetere, RCT contro placebo</w:t>
            </w:r>
          </w:p>
        </w:tc>
        <w:tc>
          <w:tcPr/>
          <w:p>
            <w:pPr>
              <w:pStyle w:val="Compact"/>
              <w:jc w:val="left"/>
            </w:pPr>
            <w:r>
              <w:t xml:space="preserve">90 giorni</w:t>
            </w:r>
          </w:p>
        </w:tc>
        <w:tc>
          <w:tcPr/>
          <w:p>
            <w:pPr>
              <w:pStyle w:val="Compact"/>
              <w:jc w:val="left"/>
            </w:pPr>
            <w:r>
              <w:t xml:space="preserve">nel complesso nessuna differenza significativa nelle dimensioni dell’infarto; vantaggio solo nel sottogruppo trattato entro 8 ore (n = 43)</w:t>
            </w:r>
          </w:p>
        </w:tc>
      </w:tr>
      <w:tr>
        <w:tc>
          <w:tcPr/>
          <w:p>
            <w:pPr>
              <w:pStyle w:val="Compact"/>
              <w:jc w:val="left"/>
            </w:pPr>
            <w:r>
              <w:t xml:space="preserve">Cellule staminali pretrattate con Tβ4 (Zhu 2016, PMID 27288307)</w:t>
            </w:r>
          </w:p>
        </w:tc>
        <w:tc>
          <w:tcPr/>
          <w:p>
            <w:pPr>
              <w:pStyle w:val="Compact"/>
              <w:jc w:val="left"/>
            </w:pPr>
            <w:r>
              <w:t xml:space="preserve">10 persone con infarto, studio pilota randomizzato</w:t>
            </w:r>
          </w:p>
        </w:tc>
        <w:tc>
          <w:tcPr/>
          <w:p>
            <w:pPr>
              <w:pStyle w:val="Compact"/>
              <w:jc w:val="left"/>
            </w:pPr>
            <w:r>
              <w:t xml:space="preserve">6 mesi</w:t>
            </w:r>
          </w:p>
        </w:tc>
        <w:tc>
          <w:tcPr/>
          <w:p>
            <w:pPr>
              <w:pStyle w:val="Compact"/>
              <w:jc w:val="left"/>
            </w:pPr>
            <w:r>
              <w:t xml:space="preserve">distanza percorsa a piedi migliorata maggiormente; la Tβ4 è stata aggiunta solo alle cellule in laboratorio, non somministrata ai pazienti</w:t>
            </w:r>
          </w:p>
        </w:tc>
      </w:tr>
    </w:tbl>
    <w:p>
      <w:pPr>
        <w:pStyle w:val="BodyText"/>
      </w:pPr>
      <w:r>
        <w:t xml:space="preserve">Lo studio cardiaco più importante è lo studio cinese su 96 pazienti con infarto. Considerando tutti i partecipanti, la Tβ4 ricombinante non ha ridotto in modo significativo le dimensioni dell’infarto dopo 90 giorni; un vantaggio è emerso solo nel sottogruppo che ha ricevuto la prima dose entro otto ore</w:t>
      </w:r>
      <w:r>
        <w:rPr>
          <w:rStyle w:val="FootnoteReference"/>
        </w:rPr>
        <w:footnoteReference w:id="968"/>
      </w:r>
      <w:r>
        <w:t xml:space="preserve">. I risultati di sottogruppo sono considerati un indizio, non una prova. Gli autori stessi chiedono ulteriori studi randomizzati.</w:t>
      </w:r>
    </w:p>
    <w:bookmarkEnd w:id="969"/>
    <w:bookmarkStart w:id="972" w:name="pelle-e-ferite"/>
    <w:p>
      <w:pPr>
        <w:pStyle w:val="Heading4"/>
      </w:pPr>
      <w:r>
        <w:t xml:space="preserve">Pelle e ferite</w:t>
      </w:r>
    </w:p>
    <w:p>
      <w:pPr>
        <w:pStyle w:val="FirstParagraph"/>
      </w:pPr>
      <w:r>
        <w:t xml:space="preserve">Negli anni Duemila RegeneRx valutò un gel di Tβ4 nelle ulcere venose delle gambe, nelle ulcere da decubito e nella malattia bollosa ereditaria epidermolisi bollosa. Lo studio sulle ulcere venose ha randomizzato 73 persone; la sicurezza era paragonabile al placebo, un effetto si poteva descrivere solo come tendenza per la concentrazione dello 0,03%</w:t>
      </w:r>
      <w:r>
        <w:rPr>
          <w:rStyle w:val="FootnoteReference"/>
        </w:rPr>
        <w:footnoteReference w:id="970"/>
      </w:r>
      <w:r>
        <w:t xml:space="preserve">. Lo studio sull’epidermolisi bollosa è stato interrotto anticipatamente</w:t>
      </w:r>
      <w:r>
        <w:rPr>
          <w:rStyle w:val="FootnoteReference"/>
        </w:rPr>
        <w:footnoteReference w:id="971"/>
      </w:r>
      <w:r>
        <w:t xml:space="preserve">. Nessuno di questi studi ha portato a un’autorizzazione.</w:t>
      </w:r>
    </w:p>
    <w:bookmarkEnd w:id="972"/>
    <w:bookmarkStart w:id="975" w:name="tb-500-sulluomo"/>
    <w:p>
      <w:pPr>
        <w:pStyle w:val="Heading4"/>
      </w:pPr>
      <w:r>
        <w:t xml:space="preserve">TB-500 sull’uomo</w:t>
      </w:r>
    </w:p>
    <w:p>
      <w:pPr>
        <w:pStyle w:val="FirstParagraph"/>
      </w:pPr>
      <w:r>
        <w:t xml:space="preserve">Per il frammento TB-500 non esiste alcuno studio sull’uomo pubblicato. Una voce di registro su TB-500 nelle malattie cardiovascolari iscritta nel 2026</w:t>
      </w:r>
      <w:r>
        <w:rPr>
          <w:rStyle w:val="FootnoteReference"/>
        </w:rPr>
        <w:footnoteReference w:id="973"/>
      </w:r>
      <w:r>
        <w:t xml:space="preserve"> </w:t>
      </w:r>
      <w:r>
        <w:t xml:space="preserve">si definisce nella sua stessa descrizione un esempio «fittizio» di voce di registro; non va quindi considerata uno studio reale. L’unica pubblicazione sull’uomo che menziona la Tβ4 per disturbi articolari è un sondaggio telefonico retrospettivo in cui a quattro persone era stato iniettato nel ginocchio BPC-157 insieme a Tβ4</w:t>
      </w:r>
      <w:r>
        <w:rPr>
          <w:rStyle w:val="FootnoteReference"/>
        </w:rPr>
        <w:footnoteReference w:id="974"/>
      </w:r>
      <w:r>
        <w:t xml:space="preserve">: troppo poco per qualsiasi conclusione.</w:t>
      </w:r>
    </w:p>
    <w:bookmarkEnd w:id="975"/>
    <w:bookmarkEnd w:id="976"/>
    <w:bookmarkStart w:id="984" w:name="studi-su-animali-e-in-laboratorio-16"/>
    <w:p>
      <w:pPr>
        <w:pStyle w:val="Heading3"/>
      </w:pPr>
      <w:r>
        <w:t xml:space="preserve">Studi su animali e in laboratorio</w:t>
      </w:r>
    </w:p>
    <w:p>
      <w:pPr>
        <w:pStyle w:val="FirstParagraph"/>
      </w:pPr>
      <w:r>
        <w:t xml:space="preserve">La reputazione della Tβ4 come «peptide riparatore» deriva soprattutto da due lavori pubblicati sulla rivista Nature. Nei topi con infarto indotto artificialmente la Tβ4 ha migliorato la sopravvivenza delle cellule del muscolo cardiaco e la funzione cardiaca</w:t>
      </w:r>
      <w:r>
        <w:rPr>
          <w:rStyle w:val="FootnoteReference"/>
        </w:rPr>
        <w:footnoteReference w:id="977"/>
      </w:r>
      <w:r>
        <w:t xml:space="preserve">. Un lavoro successivo ha mostrato nei topi che la Tβ4 attiva le cellule progenitrici dell’epicardio e stimola la formazione di nuovi vasi</w:t>
      </w:r>
      <w:r>
        <w:rPr>
          <w:rStyle w:val="FootnoteReference"/>
        </w:rPr>
        <w:footnoteReference w:id="978"/>
      </w:r>
      <w:r>
        <w:t xml:space="preserve">. Un gruppo indipendente non ha però potuto confermare che la Tβ4, dopo un infarto, faccia nascere da queste cellule nuove cellule muscolari cardiache</w:t>
      </w:r>
      <w:r>
        <w:rPr>
          <w:rStyle w:val="FootnoteReference"/>
        </w:rPr>
        <w:footnoteReference w:id="979"/>
      </w:r>
      <w:r>
        <w:t xml:space="preserve">: un esempio di quanto siano importanti le repliche indipendenti.</w:t>
      </w:r>
    </w:p>
    <w:p>
      <w:pPr>
        <w:pStyle w:val="BodyText"/>
      </w:pPr>
      <w:r>
        <w:t xml:space="preserve">Altri risultati su animali e in laboratorio riguardano pelle, cornea, cervello, rene e fegato. Nei ratti la Tβ4 ha migliorato la sopravvivenza dei lembi cutanei</w:t>
      </w:r>
      <w:r>
        <w:rPr>
          <w:rStyle w:val="FootnoteReference"/>
        </w:rPr>
        <w:footnoteReference w:id="980"/>
      </w:r>
      <w:r>
        <w:t xml:space="preserve">, nei topi la guarigione delle fratture ossee</w:t>
      </w:r>
      <w:r>
        <w:rPr>
          <w:rStyle w:val="FootnoteReference"/>
        </w:rPr>
        <w:footnoteReference w:id="981"/>
      </w:r>
      <w:r>
        <w:t xml:space="preserve">. Per tendini, legamenti e muscoli – cioè proprio gli ambiti per cui TB-500 viene pubblicizzato su internet – esistono solo dati su cellule e roditori</w:t>
      </w:r>
      <w:r>
        <w:rPr>
          <w:rStyle w:val="FootnoteReference"/>
        </w:rPr>
        <w:footnoteReference w:id="982"/>
      </w:r>
      <w:r>
        <w:t xml:space="preserve">. Uno studio sui ratti del 2026 ha trovato, dopo la recisione del tendine d’Achille in 32 animali, una maggiore resistenza alla rottura e una migliore struttura tissutale nel gruppo TB-500 rispetto al gruppo di controllo</w:t>
      </w:r>
      <w:r>
        <w:rPr>
          <w:rStyle w:val="FootnoteReference"/>
        </w:rPr>
        <w:footnoteReference w:id="983"/>
      </w:r>
      <w:r>
        <w:t xml:space="preserve">. È uno dei pochi studi sugli animali con il frammento effettivamente venduto.</w:t>
      </w:r>
    </w:p>
    <w:bookmarkEnd w:id="984"/>
    <w:bookmarkStart w:id="994" w:name="rischi-ed-effetti-collaterali-16"/>
    <w:p>
      <w:pPr>
        <w:pStyle w:val="Heading3"/>
      </w:pPr>
      <w:r>
        <w:t xml:space="preserve">Rischi ed effetti collaterali</w:t>
      </w:r>
    </w:p>
    <w:bookmarkStart w:id="987" w:name="documentati-timosina-beta-4"/>
    <w:p>
      <w:pPr>
        <w:pStyle w:val="Heading4"/>
      </w:pPr>
      <w:r>
        <w:t xml:space="preserve">Documentati (timosina beta 4)</w:t>
      </w:r>
    </w:p>
    <w:p>
      <w:pPr>
        <w:pStyle w:val="FirstParagraph"/>
      </w:pPr>
      <w:r>
        <w:t xml:space="preserve">Negli studi randomizzati con collirio, gel e infusione la Tβ4 è stata ben tollerata. In 40 persone sane, con infusioni fino a 1.260 mg al giorno per 14 giorni, non si sono verificati effetti collaterali dose-limitanti</w:t>
      </w:r>
      <w:r>
        <w:rPr>
          <w:rStyle w:val="FootnoteReference"/>
        </w:rPr>
        <w:footnoteReference w:id="985"/>
      </w:r>
      <w:r>
        <w:t xml:space="preserve">. Nello studio cinese di fase 1 gli effetti collaterali erano da lievi a moderati</w:t>
      </w:r>
      <w:r>
        <w:rPr>
          <w:rStyle w:val="FootnoteReference"/>
        </w:rPr>
        <w:footnoteReference w:id="986"/>
      </w:r>
      <w:r>
        <w:t xml:space="preserve">. Questi studi sono però brevi e riguardano l’intera proteina di qualità farmaceutica, non i prodotti del mercato grigio.</w:t>
      </w:r>
    </w:p>
    <w:bookmarkEnd w:id="987"/>
    <w:bookmarkStart w:id="990" w:name="teorici-cancro"/>
    <w:p>
      <w:pPr>
        <w:pStyle w:val="Heading4"/>
      </w:pPr>
      <w:r>
        <w:t xml:space="preserve">Teorici: cancro</w:t>
      </w:r>
    </w:p>
    <w:p>
      <w:pPr>
        <w:pStyle w:val="FirstParagraph"/>
      </w:pPr>
      <w:r>
        <w:t xml:space="preserve">La Tβ4 favorisce la migrazione cellulare e la formazione di nuovi vasi, due proprietà che anche i tumori sfruttano per crescere e diffondersi. In campioni di tessuto di 138 pazienti con cancro della vescica una forte produzione di Tβ4 era associata a stadio avanzato, coinvolgimento linfonodale e sopravvivenza più breve</w:t>
      </w:r>
      <w:r>
        <w:rPr>
          <w:rStyle w:val="FootnoteReference"/>
        </w:rPr>
        <w:footnoteReference w:id="988"/>
      </w:r>
      <w:r>
        <w:t xml:space="preserve">. In colture di cellule di cancro al seno l’aggiunta di Tβ4 ha aumentato il numero di cellule</w:t>
      </w:r>
      <w:r>
        <w:rPr>
          <w:rStyle w:val="FootnoteReference"/>
        </w:rPr>
        <w:footnoteReference w:id="989"/>
      </w:r>
      <w:r>
        <w:t xml:space="preserve">. Simili associazioni non dimostrano che la Tβ4 somministrata dall’esterno provochi il cancro. Sono però un motivo per cui gli specialisti raccomandano cautela nelle persone con una malattia tumorale o con un rischio di cancro aumentato. Mancano dati a lungo termine. La Parte IV tratta il tema in modo approfondito.</w:t>
      </w:r>
    </w:p>
    <w:bookmarkEnd w:id="990"/>
    <w:bookmarkStart w:id="993" w:name="mercato-grigio"/>
    <w:p>
      <w:pPr>
        <w:pStyle w:val="Heading4"/>
      </w:pPr>
      <w:r>
        <w:t xml:space="preserve">Mercato grigio</w:t>
      </w:r>
    </w:p>
    <w:p>
      <w:pPr>
        <w:pStyle w:val="FirstParagraph"/>
      </w:pPr>
      <w:r>
        <w:t xml:space="preserve">Ciò che viene venduto come «TB-500» non contiene in modo affidabile ciò che è scritto sull’etichetta. Un laboratorio antidoping equino ha analizzato prodotti offerti su internet e ha rilevato che il contenuto di «TB500» e «TB1000» non corrispondeva sempre alla composizione dichiarata</w:t>
      </w:r>
      <w:r>
        <w:rPr>
          <w:rStyle w:val="FootnoteReference"/>
        </w:rPr>
        <w:footnoteReference w:id="991"/>
      </w:r>
      <w:r>
        <w:t xml:space="preserve">. Alcuni prodotti contengono il frammento, altri forse l’intera Tβ4, altri ancora contaminanti. A ciò si aggiungono i noti rischi delle iniezioni non sterili. Il fatto che i laboratori antidoping equini avessero sviluppato metodi di rilevamento per TB-500 già nel 2012</w:t>
      </w:r>
      <w:r>
        <w:rPr>
          <w:rStyle w:val="FootnoteReference"/>
        </w:rPr>
        <w:footnoteReference w:id="992"/>
      </w:r>
      <w:r>
        <w:t xml:space="preserve"> </w:t>
      </w:r>
      <w:r>
        <w:t xml:space="preserve">mostra da quale ambito provenga il prodotto: da quello veterinario, non dalla medicina umana.</w:t>
      </w:r>
    </w:p>
    <w:bookmarkEnd w:id="993"/>
    <w:bookmarkEnd w:id="994"/>
    <w:bookmarkStart w:id="997" w:name="quadro-normativo-16"/>
    <w:p>
      <w:pPr>
        <w:pStyle w:val="Heading3"/>
      </w:pPr>
      <w:r>
        <w:t xml:space="preserve">Quadro normativo</w:t>
      </w:r>
    </w:p>
    <w:p>
      <w:pPr>
        <w:pStyle w:val="FirstParagraph"/>
      </w:pPr>
      <w:r>
        <w:rPr>
          <w:iCs/>
          <w:i/>
        </w:rPr>
        <w:t xml:space="preserve">Aggiornato al 2026, da verificare.</w:t>
      </w:r>
    </w:p>
    <w:p>
      <w:pPr>
        <w:numPr>
          <w:ilvl w:val="0"/>
          <w:numId w:val="1120"/>
        </w:numPr>
        <w:pStyle w:val="Compact"/>
      </w:pPr>
      <w:r>
        <w:rPr>
          <w:bCs/>
          <w:b/>
        </w:rPr>
        <w:t xml:space="preserve">UE, Germania, Austria:</w:t>
      </w:r>
      <w:r>
        <w:t xml:space="preserve"> </w:t>
      </w:r>
      <w:r>
        <w:t xml:space="preserve">né la Tβ4 né TB-500 sono autorizzati come medicinali. La cessione per l’uso sull’uomo non è consentita; i prodotti con la dicitura «solo per scopi di ricerca» non cambiano nulla.</w:t>
      </w:r>
    </w:p>
    <w:p>
      <w:pPr>
        <w:numPr>
          <w:ilvl w:val="0"/>
          <w:numId w:val="1120"/>
        </w:numPr>
        <w:pStyle w:val="Compact"/>
      </w:pPr>
      <w:r>
        <w:rPr>
          <w:bCs/>
          <w:b/>
        </w:rPr>
        <w:t xml:space="preserve">USA:</w:t>
      </w:r>
      <w:r>
        <w:t xml:space="preserve"> </w:t>
      </w:r>
      <w:r>
        <w:t xml:space="preserve">nessuna autorizzazione FDA. Secondo le conoscenze dell’autore, nel 2023 la FDA ha assegnato il frammento di Tβ4 (TB-500), come BPC-157, alla categoria 2 delle sostanze di partenza per preparazioni galeniche, cioè alle sostanze con rilevanti problemi di sicurezza; la valutazione dei peptidi per le preparazioni galeniche è attualmente oggetto di un dibattito controverso</w:t>
      </w:r>
      <w:r>
        <w:rPr>
          <w:rStyle w:val="FootnoteReference"/>
        </w:rPr>
        <w:footnoteReference w:id="995"/>
      </w:r>
      <w:r>
        <w:t xml:space="preserve">.</w:t>
      </w:r>
    </w:p>
    <w:p>
      <w:pPr>
        <w:numPr>
          <w:ilvl w:val="0"/>
          <w:numId w:val="1120"/>
        </w:numPr>
        <w:pStyle w:val="Compact"/>
      </w:pPr>
      <w:r>
        <w:rPr>
          <w:bCs/>
          <w:b/>
        </w:rPr>
        <w:t xml:space="preserve">WADA:</w:t>
      </w:r>
      <w:r>
        <w:t xml:space="preserve"> </w:t>
      </w:r>
      <w:r>
        <w:t xml:space="preserve">la Tβ4 e i suoi derivati come TB-500 sono espressamente vietati nella classe S2 (ormoni peptidici, fattori di crescita), in gara e fuori gara. È vietata anche negli sport equestri</w:t>
      </w:r>
      <w:r>
        <w:rPr>
          <w:rStyle w:val="FootnoteReference"/>
        </w:rPr>
        <w:footnoteReference w:id="996"/>
      </w:r>
      <w:r>
        <w:t xml:space="preserve">.</w:t>
      </w:r>
    </w:p>
    <w:bookmarkEnd w:id="997"/>
    <w:bookmarkStart w:id="1001" w:name="studi-in-corso-e-prospettive-16"/>
    <w:p>
      <w:pPr>
        <w:pStyle w:val="Heading3"/>
      </w:pPr>
      <w:r>
        <w:t xml:space="preserve">Studi in corso e prospettive</w:t>
      </w:r>
    </w:p>
    <w:p>
      <w:pPr>
        <w:pStyle w:val="FirstParagraph"/>
      </w:pPr>
      <w:r>
        <w:rPr>
          <w:bCs/>
          <w:b/>
        </w:rPr>
        <w:t xml:space="preserve">Certo (secondo il registro):</w:t>
      </w:r>
    </w:p>
    <w:p>
      <w:pPr>
        <w:numPr>
          <w:ilvl w:val="0"/>
          <w:numId w:val="1121"/>
        </w:numPr>
        <w:pStyle w:val="Compact"/>
      </w:pPr>
      <w:r>
        <w:rPr>
          <w:bCs/>
          <w:b/>
        </w:rPr>
        <w:t xml:space="preserve">SEER-2</w:t>
      </w:r>
      <w:r>
        <w:rPr>
          <w:rStyle w:val="FootnoteReference"/>
        </w:rPr>
        <w:footnoteReference w:id="998"/>
      </w:r>
      <w:r>
        <w:rPr>
          <w:bCs/>
          <w:b/>
        </w:rPr>
        <w:t xml:space="preserve">:</w:t>
      </w:r>
      <w:r>
        <w:t xml:space="preserve"> </w:t>
      </w:r>
      <w:r>
        <w:t xml:space="preserve">studio di fase 3 con collirio RGN-259 nella cheratopatia neurotrofica, previste 70 persone, in reclutamento, fine dello studio stimata dal registro a maggio 2026. A ottobre 2026 i risultati non erano pubblicati.</w:t>
      </w:r>
    </w:p>
    <w:p>
      <w:pPr>
        <w:numPr>
          <w:ilvl w:val="0"/>
          <w:numId w:val="1121"/>
        </w:numPr>
        <w:pStyle w:val="Compact"/>
      </w:pPr>
      <w:r>
        <w:rPr>
          <w:bCs/>
          <w:b/>
        </w:rPr>
        <w:t xml:space="preserve">NL005 nell’infarto</w:t>
      </w:r>
      <w:r>
        <w:rPr>
          <w:rStyle w:val="FootnoteReference"/>
        </w:rPr>
        <w:footnoteReference w:id="999"/>
      </w:r>
      <w:r>
        <w:rPr>
          <w:bCs/>
          <w:b/>
        </w:rPr>
        <w:t xml:space="preserve">:</w:t>
      </w:r>
      <w:r>
        <w:t xml:space="preserve"> </w:t>
      </w:r>
      <w:r>
        <w:t xml:space="preserve">studio cinese di fase 2c con Tβ4 ricombinante, previste 189 persone, endpoint primario dimensioni dell’infarto alla RM cardiaca dopo 90 giorni; non ancora in reclutamento, fine stimata nel 2028. Due precedenti studi di fase 2 dello stesso produttore con 62 e 90 persone risultano conclusi secondo il registro</w:t>
      </w:r>
      <w:r>
        <w:rPr>
          <w:rStyle w:val="FootnoteReference"/>
        </w:rPr>
        <w:footnoteReference w:id="1000"/>
      </w:r>
      <w:r>
        <w:t xml:space="preserve">.</w:t>
      </w:r>
    </w:p>
    <w:p>
      <w:pPr>
        <w:numPr>
          <w:ilvl w:val="0"/>
          <w:numId w:val="1121"/>
        </w:numPr>
        <w:pStyle w:val="Compact"/>
      </w:pPr>
      <w:r>
        <w:rPr>
          <w:bCs/>
          <w:b/>
        </w:rPr>
        <w:t xml:space="preserve">TB-500:</w:t>
      </w:r>
      <w:r>
        <w:t xml:space="preserve"> </w:t>
      </w:r>
      <w:r>
        <w:t xml:space="preserve">nessuno studio sull’uomo registrato credibile.</w:t>
      </w:r>
    </w:p>
    <w:p>
      <w:pPr>
        <w:pStyle w:val="FirstParagraph"/>
      </w:pPr>
      <w:r>
        <w:rPr>
          <w:bCs/>
          <w:b/>
        </w:rPr>
        <w:t xml:space="preserve">Valutazione dell’autore:</w:t>
      </w:r>
      <w:r>
        <w:t xml:space="preserve"> </w:t>
      </w:r>
      <w:r>
        <w:t xml:space="preserve">la possibilità più realistica di un’autorizzazione la ha la Tβ4 come collirio nella rara cheratopatia neurotrofica, dove già piccoli studi possono bastare per un’autorizzazione come medicinale per malattie rare, se SEER-2 darà esito positivo. Nell’occhio secco i grandi dati di fase 3 depongono contro un beneficio clinicamente rilevante. Nell’infarto tutto dipende dallo studio cinese in corso. Per TB-500 come rimedio per la guarigione di tendini e muscoli non si vede, in tempi prevedibili, alcuna ricerca seria sull’uomo.</w:t>
      </w:r>
    </w:p>
    <w:bookmarkEnd w:id="1001"/>
    <w:bookmarkStart w:id="1003" w:name="conclusione-16"/>
    <w:p>
      <w:pPr>
        <w:pStyle w:val="Heading3"/>
      </w:pPr>
      <w:r>
        <w:t xml:space="preserve">Conclusione</w:t>
      </w:r>
    </w:p>
    <w:p>
      <w:pPr>
        <w:pStyle w:val="FirstParagraph"/>
      </w:pPr>
      <w:r>
        <w:t xml:space="preserve">La timosina beta 4 è un peptide endogeno che negli studi randomizzati come collirio e infusione è stato ben tollerato, ma il cui beneficio non è stato confermato nei grandi studi sull’occhio secco e nell’infarto si è finora intravisto solo in un sottogruppo</w:t>
      </w:r>
      <w:r>
        <w:rPr>
          <w:rStyle w:val="FootnoteReference"/>
        </w:rPr>
        <w:footnoteReference w:id="1002"/>
      </w:r>
      <w:r>
        <w:t xml:space="preserve">. TB-500 è un’altra cosa: un frammento modificato che non è mai stato valutato in uno studio sull’uomo pubblicato e i cui prodotti del mercato grigio, come è stato dimostrato, non sempre contengono ciò che dichiarano. La pubblicità per TB-500 si basa su studi con l’intera proteina, e anche questi riguardano appena tendini, legamenti o muscoli. Per sportive e sportivi entrambe le sostanze sono vietate.</w:t>
      </w:r>
    </w:p>
    <w:bookmarkEnd w:id="1003"/>
    <w:bookmarkEnd w:id="1004"/>
    <w:bookmarkStart w:id="1064" w:name="timosina-alfa-1-timalfasina"/>
    <w:p>
      <w:pPr>
        <w:pStyle w:val="Heading2"/>
      </w:pPr>
      <w:r>
        <w:t xml:space="preserve">Timosina alfa 1 (timalfasina)</w:t>
      </w:r>
    </w:p>
    <w:p>
      <w:pPr>
        <w:pStyle w:val="FirstParagraph"/>
      </w:pPr>
      <w:r>
        <w:t xml:space="preserve">La timosina alfa 1 è un caso particolare in questo gruppo. A differenza di BPC-157 o TB-500, in una serie di Paesi è un medicinale autorizzato (nome commerciale Zadaxin), è stata valutata in decine di studi randomizzati su migliaia di persone e in Cina, in alcune cliniche, fa parte della pratica quotidiana. Allo stesso tempo proprio questo peptide mostra come un quadro cambi quando piccoli studi più datati vengono sostituiti da studi grandi e condotti con cura. In Europa e negli USA non è autorizzata, ma viene commercializzata negli ambienti della «longevity» e del biohacking come stimolante immunitario.</w:t>
      </w:r>
    </w:p>
    <w:bookmarkStart w:id="1007" w:name="scheda-17"/>
    <w:p>
      <w:pPr>
        <w:pStyle w:val="Heading3"/>
      </w:pPr>
      <w:r>
        <w:t xml:space="preserve">Scheda</w:t>
      </w:r>
    </w:p>
    <w:p>
      <w:pPr>
        <w:numPr>
          <w:ilvl w:val="0"/>
          <w:numId w:val="1122"/>
        </w:numPr>
        <w:pStyle w:val="Compact"/>
      </w:pPr>
      <w:r>
        <w:rPr>
          <w:bCs/>
          <w:b/>
        </w:rPr>
        <w:t xml:space="preserve">Tipo e struttura:</w:t>
      </w:r>
      <w:r>
        <w:t xml:space="preserve"> </w:t>
      </w:r>
      <w:r>
        <w:t xml:space="preserve">peptide di 28 aminoacidi, acetilato all’inizio</w:t>
      </w:r>
      <w:r>
        <w:rPr>
          <w:rStyle w:val="FootnoteReference"/>
        </w:rPr>
        <w:footnoteReference w:id="1005"/>
      </w:r>
      <w:r>
        <w:t xml:space="preserve">; frammento della proteina più grande protimosina alfa.</w:t>
      </w:r>
    </w:p>
    <w:p>
      <w:pPr>
        <w:numPr>
          <w:ilvl w:val="0"/>
          <w:numId w:val="1122"/>
        </w:numPr>
        <w:pStyle w:val="Compact"/>
      </w:pPr>
      <w:r>
        <w:rPr>
          <w:bCs/>
          <w:b/>
        </w:rPr>
        <w:t xml:space="preserve">Origine:</w:t>
      </w:r>
      <w:r>
        <w:t xml:space="preserve"> </w:t>
      </w:r>
      <w:r>
        <w:t xml:space="preserve">isolata negli anni Settanta da un estratto della ghiandola del timo («frazione 5 della timosina»); oggi sintetizzata chimicamente. Denominazione del principio attivo: timalfasina.</w:t>
      </w:r>
    </w:p>
    <w:p>
      <w:pPr>
        <w:numPr>
          <w:ilvl w:val="0"/>
          <w:numId w:val="1122"/>
        </w:numPr>
        <w:pStyle w:val="Compact"/>
      </w:pPr>
      <w:r>
        <w:rPr>
          <w:bCs/>
          <w:b/>
        </w:rPr>
        <w:t xml:space="preserve">Principio d’azione:</w:t>
      </w:r>
      <w:r>
        <w:t xml:space="preserve"> </w:t>
      </w:r>
      <w:r>
        <w:t xml:space="preserve">immunomodulatore – dovrebbe favorire la maturazione e l’attività dei linfociti T e delle cellule dendritiche.</w:t>
      </w:r>
    </w:p>
    <w:p>
      <w:pPr>
        <w:numPr>
          <w:ilvl w:val="0"/>
          <w:numId w:val="1122"/>
        </w:numPr>
        <w:pStyle w:val="Compact"/>
      </w:pPr>
      <w:r>
        <w:rPr>
          <w:bCs/>
          <w:b/>
        </w:rPr>
        <w:t xml:space="preserve">Autorizzazione UE:</w:t>
      </w:r>
      <w:r>
        <w:t xml:space="preserve"> </w:t>
      </w:r>
      <w:r>
        <w:t xml:space="preserve">nessuna autorizzazione centralizzata.</w:t>
      </w:r>
      <w:r>
        <w:t xml:space="preserve"> </w:t>
      </w:r>
      <w:r>
        <w:rPr>
          <w:bCs/>
          <w:b/>
        </w:rPr>
        <w:t xml:space="preserve">USA:</w:t>
      </w:r>
      <w:r>
        <w:t xml:space="preserve"> </w:t>
      </w:r>
      <w:r>
        <w:t xml:space="preserve">non autorizzata; nel 2023 la FDA ne ha limitato l’uso nelle farmacie galeniche</w:t>
      </w:r>
      <w:r>
        <w:rPr>
          <w:rStyle w:val="FootnoteReference"/>
        </w:rPr>
        <w:footnoteReference w:id="1006"/>
      </w:r>
      <w:r>
        <w:t xml:space="preserve">.</w:t>
      </w:r>
      <w:r>
        <w:t xml:space="preserve"> </w:t>
      </w:r>
      <w:r>
        <w:rPr>
          <w:bCs/>
          <w:b/>
        </w:rPr>
        <w:t xml:space="preserve">Altri Paesi:</w:t>
      </w:r>
      <w:r>
        <w:t xml:space="preserve"> </w:t>
      </w:r>
      <w:r>
        <w:t xml:space="preserve">autorizzata come Zadaxin, soprattutto in Cina e in altri Stati asiatici, per lo più per l’epatite B cronica e come terapia di supporto per il rafforzamento del sistema immunitario.</w:t>
      </w:r>
    </w:p>
    <w:p>
      <w:pPr>
        <w:numPr>
          <w:ilvl w:val="0"/>
          <w:numId w:val="1122"/>
        </w:numPr>
        <w:pStyle w:val="Compact"/>
      </w:pPr>
      <w:r>
        <w:rPr>
          <w:bCs/>
          <w:b/>
        </w:rPr>
        <w:t xml:space="preserve">WADA:</w:t>
      </w:r>
      <w:r>
        <w:t xml:space="preserve"> </w:t>
      </w:r>
      <w:r>
        <w:t xml:space="preserve">non elencata espressamente.</w:t>
      </w:r>
    </w:p>
    <w:p>
      <w:pPr>
        <w:numPr>
          <w:ilvl w:val="0"/>
          <w:numId w:val="1122"/>
        </w:numPr>
        <w:pStyle w:val="Compact"/>
      </w:pPr>
      <w:r>
        <w:rPr>
          <w:bCs/>
          <w:b/>
        </w:rPr>
        <w:t xml:space="preserve">Livello di evidenza: B</w:t>
      </w:r>
      <w:r>
        <w:t xml:space="preserve"> </w:t>
      </w:r>
      <w:r>
        <w:t xml:space="preserve">– formalmente esistono molti studi randomizzati; i grandi studi metodologicamente migliori hanno però mancato i loro endpoint primari, e i risultati positivi provengono per lo più da piccoli studi con un alto rischio di distorsione.</w:t>
      </w:r>
    </w:p>
    <w:bookmarkEnd w:id="1007"/>
    <w:bookmarkStart w:id="1010" w:name="come-dovrebbe-agire-17"/>
    <w:p>
      <w:pPr>
        <w:pStyle w:val="Heading3"/>
      </w:pPr>
      <w:r>
        <w:t xml:space="preserve">Come dovrebbe agire</w:t>
      </w:r>
    </w:p>
    <w:p>
      <w:pPr>
        <w:pStyle w:val="FirstParagraph"/>
      </w:pPr>
      <w:r>
        <w:t xml:space="preserve">Il timo, dietro lo sterno, è la «scuola» dei linfociti T: qui questi globuli bianchi imparano a distinguere l’estraneo dal proprio. Con l’età il timo si riduce. Già presto si ipotizzò che messaggeri del timo regolassero le difese, e li si cercò negli estratti di timo. La timosina alfa 1 fu una delle prime sostanze identificate in questo modo.</w:t>
      </w:r>
    </w:p>
    <w:p>
      <w:pPr>
        <w:pStyle w:val="BodyText"/>
      </w:pPr>
      <w:r>
        <w:t xml:space="preserve">Negli esperimenti di laboratorio e sugli animali la timosina alfa 1 attiva le cellule dendritiche – le «sentinelle» del sistema immunitario – attraverso i cosiddetti recettori Toll-like, aumenta l’espressione di molecole di riconoscimento sulle cellule e potenzia l’effetto dell’interferone</w:t>
      </w:r>
      <w:r>
        <w:rPr>
          <w:rStyle w:val="FootnoteReference"/>
        </w:rPr>
        <w:footnoteReference w:id="1008"/>
      </w:r>
      <w:r>
        <w:t xml:space="preserve">. Da qui derivarono le tre grandi idee di impiego:</w:t>
      </w:r>
    </w:p>
    <w:p>
      <w:pPr>
        <w:numPr>
          <w:ilvl w:val="0"/>
          <w:numId w:val="1123"/>
        </w:numPr>
        <w:pStyle w:val="Compact"/>
      </w:pPr>
      <w:r>
        <w:rPr>
          <w:bCs/>
          <w:b/>
        </w:rPr>
        <w:t xml:space="preserve">Infezioni virali croniche</w:t>
      </w:r>
      <w:r>
        <w:t xml:space="preserve"> </w:t>
      </w:r>
      <w:r>
        <w:t xml:space="preserve">(epatite B e C), in cui il sistema immunitario non elimina il virus con le proprie forze.</w:t>
      </w:r>
    </w:p>
    <w:p>
      <w:pPr>
        <w:numPr>
          <w:ilvl w:val="0"/>
          <w:numId w:val="1123"/>
        </w:numPr>
        <w:pStyle w:val="Compact"/>
      </w:pPr>
      <w:r>
        <w:rPr>
          <w:bCs/>
          <w:b/>
        </w:rPr>
        <w:t xml:space="preserve">Sepsi e infezioni gravi</w:t>
      </w:r>
      <w:r>
        <w:t xml:space="preserve">, in cui a una reazione eccessiva iniziale segue spesso una fase di immunodepressione.</w:t>
      </w:r>
    </w:p>
    <w:p>
      <w:pPr>
        <w:numPr>
          <w:ilvl w:val="0"/>
          <w:numId w:val="1123"/>
        </w:numPr>
        <w:pStyle w:val="Compact"/>
      </w:pPr>
      <w:r>
        <w:rPr>
          <w:bCs/>
          <w:b/>
        </w:rPr>
        <w:t xml:space="preserve">Cancro</w:t>
      </w:r>
      <w:r>
        <w:t xml:space="preserve">, come integrazione a chemioterapia, radioterapia e immunoterapia.</w:t>
      </w:r>
    </w:p>
    <w:p>
      <w:pPr>
        <w:pStyle w:val="FirstParagraph"/>
      </w:pPr>
      <w:r>
        <w:t xml:space="preserve">L’emivita nel sangue è di circa due ore; dopo 24 ore il livello è tornato al valore iniziale</w:t>
      </w:r>
      <w:r>
        <w:rPr>
          <w:rStyle w:val="FootnoteReference"/>
        </w:rPr>
        <w:footnoteReference w:id="1009"/>
      </w:r>
      <w:r>
        <w:t xml:space="preserve">.</w:t>
      </w:r>
    </w:p>
    <w:bookmarkEnd w:id="1010"/>
    <w:bookmarkStart w:id="1040" w:name="studi-sulluomo-17"/>
    <w:p>
      <w:pPr>
        <w:pStyle w:val="Heading3"/>
      </w:pPr>
      <w:r>
        <w:t xml:space="preserve">Studi sull’uomo</w:t>
      </w:r>
    </w:p>
    <w:p>
      <w:pPr>
        <w:pStyle w:val="FirstParagraph"/>
      </w:pPr>
      <w:r>
        <w:rPr>
          <w:bCs/>
          <w:b/>
        </w:rPr>
        <w:t xml:space="preserve">Dimensioni della letteratura (ricerca di ottobre 2026):</w:t>
      </w:r>
      <w:r>
        <w:t xml:space="preserve"> </w:t>
      </w:r>
      <w:r>
        <w:t xml:space="preserve">la ricerca automatizzata ha trovato</w:t>
      </w:r>
      <w:r>
        <w:t xml:space="preserve"> </w:t>
      </w:r>
      <w:r>
        <w:rPr>
          <w:bCs/>
          <w:b/>
        </w:rPr>
        <w:t xml:space="preserve">90</w:t>
      </w:r>
      <w:r>
        <w:t xml:space="preserve"> </w:t>
      </w:r>
      <w:r>
        <w:t xml:space="preserve">studi sull’uomo su PubMed e</w:t>
      </w:r>
      <w:r>
        <w:t xml:space="preserve"> </w:t>
      </w:r>
      <w:r>
        <w:rPr>
          <w:bCs/>
          <w:b/>
        </w:rPr>
        <w:t xml:space="preserve">66</w:t>
      </w:r>
      <w:r>
        <w:t xml:space="preserve"> </w:t>
      </w:r>
      <w:r>
        <w:t xml:space="preserve">voci su ClinicalTrials.gov, oltre a 15 meta-analisi e revisioni sistematiche. Gran parte degli studi proviene dalla Cina ed è piccola. Una revisione del 2024 che riassume oltre 30 studi con più di 11.000 persone è stata scritta espressamente per argomentare contro la limitazione della FDA</w:t>
      </w:r>
      <w:r>
        <w:rPr>
          <w:rStyle w:val="FootnoteReference"/>
        </w:rPr>
        <w:footnoteReference w:id="1011"/>
      </w:r>
      <w:r>
        <w:t xml:space="preserve">; non va quindi letta come una valutazione neutrale.</w:t>
      </w:r>
    </w:p>
    <w:bookmarkStart w:id="1012" w:name="i-grandi-studi-più-importanti"/>
    <w:p>
      <w:pPr>
        <w:pStyle w:val="Heading4"/>
      </w:pPr>
      <w:r>
        <w:t xml:space="preserve">I grandi studi più importanti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TESTS, sepsi (Wu 2025, PMID 39814420)</w:t>
            </w:r>
          </w:p>
        </w:tc>
        <w:tc>
          <w:tcPr/>
          <w:p>
            <w:pPr>
              <w:pStyle w:val="Compact"/>
              <w:jc w:val="left"/>
            </w:pPr>
            <w:r>
              <w:t xml:space="preserve">1.106 adulti con sepsi, 22 centri in Cina, RCT in doppio cieco contro placebo</w:t>
            </w:r>
          </w:p>
        </w:tc>
        <w:tc>
          <w:tcPr/>
          <w:p>
            <w:pPr>
              <w:pStyle w:val="Compact"/>
              <w:jc w:val="left"/>
            </w:pPr>
            <w:r>
              <w:t xml:space="preserve">7 giorni di trattamento, 28 giorni di osservazione</w:t>
            </w:r>
          </w:p>
        </w:tc>
        <w:tc>
          <w:tcPr/>
          <w:p>
            <w:pPr>
              <w:pStyle w:val="Compact"/>
              <w:jc w:val="left"/>
            </w:pPr>
            <w:r>
              <w:t xml:space="preserve">mortalità 23,4% vs. 24,1%; nessuna differenza</w:t>
            </w:r>
          </w:p>
        </w:tc>
      </w:tr>
      <w:tr>
        <w:tc>
          <w:tcPr/>
          <w:p>
            <w:pPr>
              <w:pStyle w:val="Compact"/>
              <w:jc w:val="left"/>
            </w:pPr>
            <w:r>
              <w:t xml:space="preserve">Pancreatite necrotizzante (Ke 2022, PMID 35713670)</w:t>
            </w:r>
          </w:p>
        </w:tc>
        <w:tc>
          <w:tcPr/>
          <w:p>
            <w:pPr>
              <w:pStyle w:val="Compact"/>
              <w:jc w:val="left"/>
            </w:pPr>
            <w:r>
              <w:t xml:space="preserve">508 persone, RCT in doppio cieco contro placebo</w:t>
            </w:r>
          </w:p>
        </w:tc>
        <w:tc>
          <w:tcPr/>
          <w:p>
            <w:pPr>
              <w:pStyle w:val="Compact"/>
              <w:jc w:val="left"/>
            </w:pPr>
            <w:r>
              <w:t xml:space="preserve">14 giorni di trattamento</w:t>
            </w:r>
          </w:p>
        </w:tc>
        <w:tc>
          <w:tcPr/>
          <w:p>
            <w:pPr>
              <w:pStyle w:val="Compact"/>
              <w:jc w:val="left"/>
            </w:pPr>
            <w:r>
              <w:t xml:space="preserve">necrosi infette 15,7% vs. 18,1%; nessuna differenza significativa</w:t>
            </w:r>
          </w:p>
        </w:tc>
      </w:tr>
      <w:tr>
        <w:tc>
          <w:tcPr/>
          <w:p>
            <w:pPr>
              <w:pStyle w:val="Compact"/>
              <w:jc w:val="left"/>
            </w:pPr>
            <w:r>
              <w:t xml:space="preserve">Melanoma (Maio 2010, PMID 20194853)</w:t>
            </w:r>
          </w:p>
        </w:tc>
        <w:tc>
          <w:tcPr/>
          <w:p>
            <w:pPr>
              <w:pStyle w:val="Compact"/>
              <w:jc w:val="left"/>
            </w:pPr>
            <w:r>
              <w:t xml:space="preserve">488 persone con melanoma metastatico, RCT con 5 gruppi</w:t>
            </w:r>
          </w:p>
        </w:tc>
        <w:tc>
          <w:tcPr/>
          <w:p>
            <w:pPr>
              <w:pStyle w:val="Compact"/>
              <w:jc w:val="left"/>
            </w:pPr>
            <w:r>
              <w:t xml:space="preserve">fino a 24 mesi</w:t>
            </w:r>
          </w:p>
        </w:tc>
        <w:tc>
          <w:tcPr/>
          <w:p>
            <w:pPr>
              <w:pStyle w:val="Compact"/>
              <w:jc w:val="left"/>
            </w:pPr>
            <w:r>
              <w:t xml:space="preserve">più risposte tumorali in due gruppi Tα1; sopravvivenza globale 9,4 vs. 6,6 mesi, non significativa (p = 0,08)</w:t>
            </w:r>
          </w:p>
        </w:tc>
      </w:tr>
      <w:tr>
        <w:tc>
          <w:tcPr/>
          <w:p>
            <w:pPr>
              <w:pStyle w:val="Compact"/>
              <w:jc w:val="left"/>
            </w:pPr>
            <w:r>
              <w:t xml:space="preserve">Cirrosi da epatite B (Wu 2018, PMID 30063860)</w:t>
            </w:r>
          </w:p>
        </w:tc>
        <w:tc>
          <w:tcPr/>
          <w:p>
            <w:pPr>
              <w:pStyle w:val="Compact"/>
              <w:jc w:val="left"/>
            </w:pPr>
            <w:r>
              <w:t xml:space="preserve">690 persone, RCT in aperto, Tα1 più entecavir vs. solo entecavir</w:t>
            </w:r>
          </w:p>
        </w:tc>
        <w:tc>
          <w:tcPr/>
          <w:p>
            <w:pPr>
              <w:pStyle w:val="Compact"/>
              <w:jc w:val="left"/>
            </w:pPr>
            <w:r>
              <w:t xml:space="preserve">mediana 38,2 mesi</w:t>
            </w:r>
          </w:p>
        </w:tc>
        <w:tc>
          <w:tcPr/>
          <w:p>
            <w:pPr>
              <w:pStyle w:val="Compact"/>
              <w:jc w:val="left"/>
            </w:pPr>
            <w:r>
              <w:t xml:space="preserve">nessuna differenza per insufficienza epatica, cancro del fegato o decesso</w:t>
            </w:r>
          </w:p>
        </w:tc>
      </w:tr>
      <w:tr>
        <w:tc>
          <w:tcPr/>
          <w:p>
            <w:pPr>
              <w:pStyle w:val="Compact"/>
              <w:jc w:val="left"/>
            </w:pPr>
            <w:r>
              <w:t xml:space="preserve">Epatite B, Giappone (Iino 2005, PMID 15850471)</w:t>
            </w:r>
          </w:p>
        </w:tc>
        <w:tc>
          <w:tcPr/>
          <w:p>
            <w:pPr>
              <w:pStyle w:val="Compact"/>
              <w:jc w:val="left"/>
            </w:pPr>
            <w:r>
              <w:t xml:space="preserve">316 persone, confronto tra due dosi, nessun gruppo placebo</w:t>
            </w:r>
          </w:p>
        </w:tc>
        <w:tc>
          <w:tcPr/>
          <w:p>
            <w:pPr>
              <w:pStyle w:val="Compact"/>
              <w:jc w:val="left"/>
            </w:pPr>
            <w:r>
              <w:t xml:space="preserve">24 settimane più 48 settimane</w:t>
            </w:r>
          </w:p>
        </w:tc>
        <w:tc>
          <w:tcPr/>
          <w:p>
            <w:pPr>
              <w:pStyle w:val="Compact"/>
              <w:jc w:val="left"/>
            </w:pPr>
            <w:r>
              <w:t xml:space="preserve">perdita dell’antigene HBe nel 22,8% con la dose più alta</w:t>
            </w:r>
          </w:p>
        </w:tc>
      </w:tr>
      <w:tr>
        <w:tc>
          <w:tcPr/>
          <w:p>
            <w:pPr>
              <w:pStyle w:val="Compact"/>
              <w:jc w:val="left"/>
            </w:pPr>
            <w:r>
              <w:t xml:space="preserve">Epatite B, fase 3 (Mutchnick 1999, PMID 10607256)</w:t>
            </w:r>
          </w:p>
        </w:tc>
        <w:tc>
          <w:tcPr/>
          <w:p>
            <w:pPr>
              <w:pStyle w:val="Compact"/>
              <w:jc w:val="left"/>
            </w:pPr>
            <w:r>
              <w:t xml:space="preserve">97 persone, RCT in doppio cieco contro placebo</w:t>
            </w:r>
          </w:p>
        </w:tc>
        <w:tc>
          <w:tcPr/>
          <w:p>
            <w:pPr>
              <w:pStyle w:val="Compact"/>
              <w:jc w:val="left"/>
            </w:pPr>
            <w:r>
              <w:t xml:space="preserve">12 mesi</w:t>
            </w:r>
          </w:p>
        </w:tc>
        <w:tc>
          <w:tcPr/>
          <w:p>
            <w:pPr>
              <w:pStyle w:val="Compact"/>
              <w:jc w:val="left"/>
            </w:pPr>
            <w:r>
              <w:t xml:space="preserve">risposta completa 14% vs. 4%, non significativa</w:t>
            </w:r>
          </w:p>
        </w:tc>
      </w:tr>
    </w:tbl>
    <w:bookmarkEnd w:id="1012"/>
    <w:bookmarkStart w:id="1020" w:name="epatite-b-e-c"/>
    <w:p>
      <w:pPr>
        <w:pStyle w:val="Heading4"/>
      </w:pPr>
      <w:r>
        <w:t xml:space="preserve">Epatite B e C</w:t>
      </w:r>
    </w:p>
    <w:p>
      <w:pPr>
        <w:pStyle w:val="FirstParagraph"/>
      </w:pPr>
      <w:r>
        <w:t xml:space="preserve">Le autorizzazioni in Asia si basano soprattutto su studi sull’epatite B cronica degli anni Novanta. Uno studio randomizzato su 98 persone ha trovato, 18 mesi dopo l’inizio, una risposta virologica completa nel 40,6% dopo un trattamento di sei mesi rispetto al 9,4% nel gruppo di controllo non trattato</w:t>
      </w:r>
      <w:r>
        <w:rPr>
          <w:rStyle w:val="FootnoteReference"/>
        </w:rPr>
        <w:footnoteReference w:id="1013"/>
      </w:r>
      <w:r>
        <w:t xml:space="preserve">. Lo studio di fase 3 in doppio cieco controllato con placebo non ha potuto confermarlo: 14% vs. 4%, statisticamente non significativo; gli autori stessi scrivono che i risultati non confermavano le osservazioni precedenti</w:t>
      </w:r>
      <w:r>
        <w:rPr>
          <w:rStyle w:val="FootnoteReference"/>
        </w:rPr>
        <w:footnoteReference w:id="1014"/>
      </w:r>
      <w:r>
        <w:t xml:space="preserve">.</w:t>
      </w:r>
    </w:p>
    <w:p>
      <w:pPr>
        <w:pStyle w:val="BodyText"/>
      </w:pPr>
      <w:r>
        <w:t xml:space="preserve">Una meta-analisi di quattro piccoli studi con 199 persone ha rilevato che la timosina alfa 1 dava risultati peggiori dell’interferone alfa alla fine del trattamento, ma migliori sei mesi dopo</w:t>
      </w:r>
      <w:r>
        <w:rPr>
          <w:rStyle w:val="FootnoteReference"/>
        </w:rPr>
        <w:footnoteReference w:id="1015"/>
      </w:r>
      <w:r>
        <w:t xml:space="preserve">. Oggi la questione è in gran parte superata: le moderne compresse contro l’epatite B (per esempio entecavir) sopprimono il virus in modo affidabile. Nel grande studio su 690 persone con cirrosi epatica l’aggiunta di timosina alfa 1 a entecavir non ha portato alcun vantaggio sull’endpoint primario composto da scompenso epatico, cancro del fegato o decesso</w:t>
      </w:r>
      <w:r>
        <w:rPr>
          <w:rStyle w:val="FootnoteReference"/>
        </w:rPr>
        <w:footnoteReference w:id="1016"/>
      </w:r>
      <w:r>
        <w:t xml:space="preserve">. Una meta-analisi di studi cinesi sulla stessa combinazione ha sì trovato tassi di risposta migliori dopo 24 settimane, ma nessuna differenza dopo 48–52 settimane</w:t>
      </w:r>
      <w:r>
        <w:rPr>
          <w:rStyle w:val="FootnoteReference"/>
        </w:rPr>
        <w:footnoteReference w:id="1017"/>
      </w:r>
      <w:r>
        <w:t xml:space="preserve">.</w:t>
      </w:r>
    </w:p>
    <w:p>
      <w:pPr>
        <w:pStyle w:val="BodyText"/>
      </w:pPr>
      <w:r>
        <w:t xml:space="preserve">In una forma di decorso particolarmente grave – l’insufficienza epatica acuta su cronica nell’epatite B – la sopravvivenza a 90 giorni senza trapianto in uno studio in aperto su 120 persone era del 75,0% con la timosina alfa 1 rispetto al 53,4%; le nuove infezioni erano più rare</w:t>
      </w:r>
      <w:r>
        <w:rPr>
          <w:rStyle w:val="FootnoteReference"/>
        </w:rPr>
        <w:footnoteReference w:id="1018"/>
      </w:r>
      <w:r>
        <w:t xml:space="preserve">. Lo studio non era in cieco, e in un’analisi che teneva conto dei rischi competitivi la differenza di sopravvivenza non era significativa.</w:t>
      </w:r>
    </w:p>
    <w:p>
      <w:pPr>
        <w:pStyle w:val="BodyText"/>
      </w:pPr>
      <w:r>
        <w:t xml:space="preserve">Nell’epatite C la combinazione con interferone ha migliorato in studi più piccoli i valori alla fine del trattamento</w:t>
      </w:r>
      <w:r>
        <w:rPr>
          <w:rStyle w:val="FootnoteReference"/>
        </w:rPr>
        <w:footnoteReference w:id="1019"/>
      </w:r>
      <w:r>
        <w:t xml:space="preserve">, ma la risposta duratura non differiva sostanzialmente. Da quando esistono compresse ad azione diretta che eliminano l’epatite C nella stragrande maggioranza dei casi, la timosina alfa 1 qui non ha più alcun ruolo.</w:t>
      </w:r>
    </w:p>
    <w:bookmarkEnd w:id="1020"/>
    <w:bookmarkStart w:id="1025" w:name="sepsi"/>
    <w:p>
      <w:pPr>
        <w:pStyle w:val="Heading4"/>
      </w:pPr>
      <w:r>
        <w:t xml:space="preserve">Sepsi</w:t>
      </w:r>
    </w:p>
    <w:p>
      <w:pPr>
        <w:pStyle w:val="FirstParagraph"/>
      </w:pPr>
      <w:r>
        <w:t xml:space="preserve">Nella sepsi l’evoluzione delle evidenze si mostra particolarmente bene. Le prime meta-analisi di studi cinesi per lo più piccoli trovavano una mortalità nettamente inferiore (Li 2015, PMID 25532482: rischio relativo 0,68 in 12 studi con 1.480 persone), ma segnalavano esse stesse la scarsa qualità degli studi. Il primo studio randomizzato più ampio (ETASS) con 361 persone ha trovato una mortalità a 28 giorni del 26,0% vs. 35,0%, appena al limite della significatività statistica, in singolo cieco</w:t>
      </w:r>
      <w:r>
        <w:rPr>
          <w:rStyle w:val="FootnoteReference"/>
        </w:rPr>
        <w:footnoteReference w:id="1021"/>
      </w:r>
      <w:r>
        <w:t xml:space="preserve">.</w:t>
      </w:r>
    </w:p>
    <w:p>
      <w:pPr>
        <w:pStyle w:val="BodyText"/>
      </w:pPr>
      <w:r>
        <w:t xml:space="preserve">In seguito lo stesso gruppo di lavoro ha pianificato lo studio finora più grande e migliore: TESTS, in doppio cieco, controllato con placebo, 1.106 adulti in 22 centri. Risultato: la mortalità a 28 giorni era del 23,4% con la timosina alfa 1 e del 24,1% con il placebo, nessuna differenza. Anche nessun endpoint secondario differiva</w:t>
      </w:r>
      <w:r>
        <w:rPr>
          <w:rStyle w:val="FootnoteReference"/>
        </w:rPr>
        <w:footnoteReference w:id="1022"/>
      </w:r>
      <w:r>
        <w:t xml:space="preserve">. Nei sottogruppi si intravedevano vantaggi negli ultrasessantenni e nelle persone con diabete, ma negli under 60 addirittura svantaggi; simili risultati di sottogruppo sono incerti.</w:t>
      </w:r>
    </w:p>
    <w:p>
      <w:pPr>
        <w:pStyle w:val="BodyText"/>
      </w:pPr>
      <w:r>
        <w:t xml:space="preserve">Una meta-analisi del 2025 con 11 studi randomizzati ha trovato nel complesso una mortalità inferiore, ma non considerando solo gli studi di alta qualità o solo quelli multicentrici; la quantità di dati disponibile sarebbe troppo piccola per una conclusione definitiva</w:t>
      </w:r>
      <w:r>
        <w:rPr>
          <w:rStyle w:val="FootnoteReference"/>
        </w:rPr>
        <w:footnoteReference w:id="1023"/>
      </w:r>
      <w:r>
        <w:t xml:space="preserve">. Molti studi cinesi combinano inoltre la timosina alfa 1 con l’ulinastatina, un altro farmaco usato in Cina; le meta-analisi di rete valutano l’affidabilità di questi risultati per lo più come bassa</w:t>
      </w:r>
      <w:r>
        <w:rPr>
          <w:rStyle w:val="FootnoteReference"/>
        </w:rPr>
        <w:footnoteReference w:id="1024"/>
      </w:r>
      <w:r>
        <w:t xml:space="preserve">.</w:t>
      </w:r>
    </w:p>
    <w:bookmarkEnd w:id="1025"/>
    <w:bookmarkStart w:id="1031" w:name="covid-19"/>
    <w:p>
      <w:pPr>
        <w:pStyle w:val="Heading4"/>
      </w:pPr>
      <w:r>
        <w:t xml:space="preserve">COVID-19</w:t>
      </w:r>
    </w:p>
    <w:p>
      <w:pPr>
        <w:pStyle w:val="FirstParagraph"/>
      </w:pPr>
      <w:r>
        <w:t xml:space="preserve">Durante la pandemia la timosina alfa 1 è stata ampiamente usata in Cina. Una prima analisi retrospettiva di 76 malati gravi a Wuhan riferiva una mortalità dell’11,1% vs. 30,0%</w:t>
      </w:r>
      <w:r>
        <w:rPr>
          <w:rStyle w:val="FootnoteReference"/>
        </w:rPr>
        <w:footnoteReference w:id="1026"/>
      </w:r>
      <w:r>
        <w:t xml:space="preserve">. Uno studio retrospettivo più ampio in cinque ospedali con oltre 2.200 persone ha trovato il contrario: dopo aver tenuto conto dei fattori confondenti, il trattamento era associato a un tasso più alto di mancata guarigione</w:t>
      </w:r>
      <w:r>
        <w:rPr>
          <w:rStyle w:val="FootnoteReference"/>
        </w:rPr>
        <w:footnoteReference w:id="1027"/>
      </w:r>
      <w:r>
        <w:t xml:space="preserve">. Un piccolo studio pilota randomizzato con 49 persone ha trovato aumenti più rapidi dei linfociti T helper, ma nessuna differenza significativa nella guarigione</w:t>
      </w:r>
      <w:r>
        <w:rPr>
          <w:rStyle w:val="FootnoteReference"/>
        </w:rPr>
        <w:footnoteReference w:id="1028"/>
      </w:r>
      <w:r>
        <w:t xml:space="preserve">.</w:t>
      </w:r>
    </w:p>
    <w:p>
      <w:pPr>
        <w:pStyle w:val="BodyText"/>
      </w:pPr>
      <w:r>
        <w:t xml:space="preserve">Due meta-analisi sono giunte a conclusioni opposte: una con 9 studi e 5.352 persone non ha trovato alcun effetto sulla mortalità e sconsiglia l’uso negli adulti ospedalizzati</w:t>
      </w:r>
      <w:r>
        <w:rPr>
          <w:rStyle w:val="FootnoteReference"/>
        </w:rPr>
        <w:footnoteReference w:id="1029"/>
      </w:r>
      <w:r>
        <w:t xml:space="preserve">; un’altra con 8 studi ha trovato una mortalità inferiore, con però un’eterogeneità molto marcata tra gli studi</w:t>
      </w:r>
      <w:r>
        <w:rPr>
          <w:rStyle w:val="FootnoteReference"/>
        </w:rPr>
        <w:footnoteReference w:id="1030"/>
      </w:r>
      <w:r>
        <w:t xml:space="preserve">. Quasi tutti i dati provengono da studi osservazionali non randomizzati. Un beneficio nel COVID-19 non è quindi dimostrato.</w:t>
      </w:r>
    </w:p>
    <w:bookmarkEnd w:id="1031"/>
    <w:bookmarkStart w:id="1035" w:name="cancro"/>
    <w:p>
      <w:pPr>
        <w:pStyle w:val="Heading4"/>
      </w:pPr>
      <w:r>
        <w:t xml:space="preserve">Cancro</w:t>
      </w:r>
    </w:p>
    <w:p>
      <w:pPr>
        <w:pStyle w:val="FirstParagraph"/>
      </w:pPr>
      <w:r>
        <w:t xml:space="preserve">Il più grande studio oncologico randomizzato ha valutato la timosina alfa 1 nel melanoma metastatico in aggiunta alla chemioterapia con dacarbazina. In due gruppi Tα1 hanno risposto più tumori che nel gruppo di controllo (10 e 12 vs. 4 risposte); la sopravvivenza globale mediana era di 9,4 rispetto a 6,6 mesi, ma la differenza non era significativa</w:t>
      </w:r>
      <w:r>
        <w:rPr>
          <w:rStyle w:val="FootnoteReference"/>
        </w:rPr>
        <w:footnoteReference w:id="1032"/>
      </w:r>
      <w:r>
        <w:t xml:space="preserve">. Non è seguita alcuna autorizzazione, e la terapia del melanoma è da allora cambiata radicalmente grazie agli inibitori dei checkpoint immunitari.</w:t>
      </w:r>
    </w:p>
    <w:p>
      <w:pPr>
        <w:pStyle w:val="BodyText"/>
      </w:pPr>
      <w:r>
        <w:t xml:space="preserve">Meta-analisi di studi cinesi sul cancro del polmone e dello stomaco riferiscono tassi di risposta migliori, migliore qualità di vita e meno effetti collaterali della chemioterapia quando venivano aggiunti peptidi timici (Zeng 2019, PMID 31326719: 27 studi, 1.925 persone; Wang 2026, PMID 42827862: 20 studi, 1.704 persone). Entrambi i lavori valutano però la qualità delle evidenze da moderata a molto bassa, e i dati sulla sopravvivenza a lungo termine mancano in gran parte. Una revisione degli studi oncologici dal 2016 al 2026 ha trovato per lo più studi osservazionali retrospettivi e casi clinici dalla Cina e una rilevazione non uniforme degli effetti collaterali</w:t>
      </w:r>
      <w:r>
        <w:rPr>
          <w:rStyle w:val="FootnoteReference"/>
        </w:rPr>
        <w:footnoteReference w:id="1033"/>
      </w:r>
      <w:r>
        <w:t xml:space="preserve">. Studi di fase 2 più recenti combinano la timosina alfa 1 con inibitori dei checkpoint immunitari, per esempio prima dell’intervento chirurgico per cancro dello stomaco con 30 persone</w:t>
      </w:r>
      <w:r>
        <w:rPr>
          <w:rStyle w:val="FootnoteReference"/>
        </w:rPr>
        <w:footnoteReference w:id="1034"/>
      </w:r>
      <w:r>
        <w:t xml:space="preserve">; senza gruppo di controllo non è possibile ricavarne il contributo della timosina alfa 1.</w:t>
      </w:r>
    </w:p>
    <w:bookmarkEnd w:id="1035"/>
    <w:bookmarkStart w:id="1039" w:name="potenziamento-dei-vaccini"/>
    <w:p>
      <w:pPr>
        <w:pStyle w:val="Heading4"/>
      </w:pPr>
      <w:r>
        <w:t xml:space="preserve">Potenziamento dei vaccini</w:t>
      </w:r>
    </w:p>
    <w:p>
      <w:pPr>
        <w:pStyle w:val="FirstParagraph"/>
      </w:pPr>
      <w:r>
        <w:t xml:space="preserve">Già nel 1989 90 uomini tra i 65 e i 99 anni ricevettero, oltre al vaccino antinfluenzale, timosina alfa 1 o placebo; non furono osservati effetti collaterali</w:t>
      </w:r>
      <w:r>
        <w:rPr>
          <w:rStyle w:val="FootnoteReference"/>
        </w:rPr>
        <w:footnoteReference w:id="1036"/>
      </w:r>
      <w:r>
        <w:t xml:space="preserve">. Questa idea viene oggi ripresa, per esempio nei pazienti in dialisi in relazione al COVID-19</w:t>
      </w:r>
      <w:r>
        <w:rPr>
          <w:rStyle w:val="FootnoteReference"/>
        </w:rPr>
        <w:footnoteReference w:id="1037"/>
      </w:r>
      <w:r>
        <w:t xml:space="preserve"> </w:t>
      </w:r>
      <w:r>
        <w:t xml:space="preserve">e in uno studio in corso sulla dose di richiamo negli anziani</w:t>
      </w:r>
      <w:r>
        <w:rPr>
          <w:rStyle w:val="FootnoteReference"/>
        </w:rPr>
        <w:footnoteReference w:id="1038"/>
      </w:r>
      <w:r>
        <w:t xml:space="preserve">. Mancano dati affidabili sugli esiti, cioè meno malattie o decessi.</w:t>
      </w:r>
    </w:p>
    <w:bookmarkEnd w:id="1039"/>
    <w:bookmarkEnd w:id="1040"/>
    <w:bookmarkStart w:id="1042" w:name="studi-su-animali-e-in-laboratorio-17"/>
    <w:p>
      <w:pPr>
        <w:pStyle w:val="Heading3"/>
      </w:pPr>
      <w:r>
        <w:t xml:space="preserve">Studi su animali e in laboratorio</w:t>
      </w:r>
    </w:p>
    <w:p>
      <w:pPr>
        <w:pStyle w:val="FirstParagraph"/>
      </w:pPr>
      <w:r>
        <w:t xml:space="preserve">Poiché la timosina alfa 1 viene studiata sull’uomo da decenni, gli studi sugli animali hanno un ruolo minore nella valutazione. Sono stati importanti per l’idea oncologica: in modelli murini di cancro del polmone, leucemia e melanoma e in un modello di ratto di metastasi epatiche, la combinazione di timosina alfa 1 con interferone o interleuchina 2 e chemioterapia ha funzionato meglio dei trattamenti singoli</w:t>
      </w:r>
      <w:r>
        <w:rPr>
          <w:rStyle w:val="FootnoteReference"/>
        </w:rPr>
        <w:footnoteReference w:id="1041"/>
      </w:r>
      <w:r>
        <w:t xml:space="preserve">. Questi risultati non si sono finora potuti replicare in modo convincente nell’uomo.</w:t>
      </w:r>
    </w:p>
    <w:bookmarkEnd w:id="1042"/>
    <w:bookmarkStart w:id="1051" w:name="rischi-ed-effetti-collaterali-17"/>
    <w:p>
      <w:pPr>
        <w:pStyle w:val="Heading3"/>
      </w:pPr>
      <w:r>
        <w:t xml:space="preserve">Rischi ed effetti collaterali</w:t>
      </w:r>
    </w:p>
    <w:bookmarkStart w:id="1046" w:name="documentati-1"/>
    <w:p>
      <w:pPr>
        <w:pStyle w:val="Heading4"/>
      </w:pPr>
      <w:r>
        <w:t xml:space="preserve">Documentati</w:t>
      </w:r>
    </w:p>
    <w:p>
      <w:pPr>
        <w:pStyle w:val="FirstParagraph"/>
      </w:pPr>
      <w:r>
        <w:t xml:space="preserve">Negli studi la timosina alfa 1 è considerata ben tollerata. Negli studi più datati è stata osservata per lo più solo un’irritazione locale nel sito di iniezione</w:t>
      </w:r>
      <w:r>
        <w:rPr>
          <w:rStyle w:val="FootnoteReference"/>
        </w:rPr>
        <w:footnoteReference w:id="1043"/>
      </w:r>
      <w:r>
        <w:t xml:space="preserve">. Nel grande studio sulla sepsi TESTS gli endpoint di sicurezza non differivano dal placebo</w:t>
      </w:r>
      <w:r>
        <w:rPr>
          <w:rStyle w:val="FootnoteReference"/>
        </w:rPr>
        <w:footnoteReference w:id="1044"/>
      </w:r>
      <w:r>
        <w:t xml:space="preserve">. Nell’epatite B si sono verificate in parte oscillazioni degli enzimi epatici, interpretate come espressione della reazione immunitaria</w:t>
      </w:r>
      <w:r>
        <w:rPr>
          <w:rStyle w:val="FootnoteReference"/>
        </w:rPr>
        <w:footnoteReference w:id="1045"/>
      </w:r>
      <w:r>
        <w:t xml:space="preserve">.</w:t>
      </w:r>
    </w:p>
    <w:bookmarkEnd w:id="1046"/>
    <w:bookmarkStart w:id="1050" w:name="da-considerare"/>
    <w:p>
      <w:pPr>
        <w:pStyle w:val="Heading4"/>
      </w:pPr>
      <w:r>
        <w:t xml:space="preserve">Da considerare</w:t>
      </w:r>
    </w:p>
    <w:p>
      <w:pPr>
        <w:numPr>
          <w:ilvl w:val="0"/>
          <w:numId w:val="1124"/>
        </w:numPr>
        <w:pStyle w:val="Compact"/>
      </w:pPr>
      <w:r>
        <w:rPr>
          <w:bCs/>
          <w:b/>
        </w:rPr>
        <w:t xml:space="preserve">Sottogruppi con possibile danno:</w:t>
      </w:r>
      <w:r>
        <w:t xml:space="preserve"> </w:t>
      </w:r>
      <w:r>
        <w:t xml:space="preserve">in TESTS la mortalità negli under 60 era più alta con la timosina alfa 1 che con il placebo (hazard ratio 1,67)</w:t>
      </w:r>
      <w:r>
        <w:rPr>
          <w:rStyle w:val="FootnoteReference"/>
        </w:rPr>
        <w:footnoteReference w:id="1047"/>
      </w:r>
      <w:r>
        <w:t xml:space="preserve">; nel COVID-19 il trattamento era associato, in un grande studio osservazionale, a un decorso peggiore</w:t>
      </w:r>
      <w:r>
        <w:rPr>
          <w:rStyle w:val="FootnoteReference"/>
        </w:rPr>
        <w:footnoteReference w:id="1048"/>
      </w:r>
      <w:r>
        <w:t xml:space="preserve">. Entrambe le cose possono essere dovute al caso o a distorsioni, ma mostrano che «innocuo stimolante immunitario» non è una descrizione certa.</w:t>
      </w:r>
    </w:p>
    <w:p>
      <w:pPr>
        <w:numPr>
          <w:ilvl w:val="0"/>
          <w:numId w:val="1124"/>
        </w:numPr>
        <w:pStyle w:val="Compact"/>
      </w:pPr>
      <w:r>
        <w:rPr>
          <w:bCs/>
          <w:b/>
        </w:rPr>
        <w:t xml:space="preserve">Malattie autoimmuni e trapianti:</w:t>
      </w:r>
      <w:r>
        <w:t xml:space="preserve"> </w:t>
      </w:r>
      <w:r>
        <w:t xml:space="preserve">una sostanza che dovrebbe stimolare il sistema immunitario potrebbe in teoria aggravare malattie autoimmuni o favorire il rigetto di organi trapiantati. Mancano dati sistematici in merito.</w:t>
      </w:r>
    </w:p>
    <w:p>
      <w:pPr>
        <w:numPr>
          <w:ilvl w:val="0"/>
          <w:numId w:val="1124"/>
        </w:numPr>
        <w:pStyle w:val="Compact"/>
      </w:pPr>
      <w:r>
        <w:rPr>
          <w:bCs/>
          <w:b/>
        </w:rPr>
        <w:t xml:space="preserve">Combinazione con immunoterapia:</w:t>
      </w:r>
      <w:r>
        <w:t xml:space="preserve"> </w:t>
      </w:r>
      <w:r>
        <w:t xml:space="preserve">un lavoro di revisione rimanda a un caso clinico in cui, durante un trattamento combinato, si è verificata una grave reazione immunitaria a carico di più organi, senza che la timosina alfa 1 fosse stata identificata con certezza come causa</w:t>
      </w:r>
      <w:r>
        <w:rPr>
          <w:rStyle w:val="FootnoteReference"/>
        </w:rPr>
        <w:footnoteReference w:id="1049"/>
      </w:r>
      <w:r>
        <w:t xml:space="preserve">.</w:t>
      </w:r>
    </w:p>
    <w:p>
      <w:pPr>
        <w:numPr>
          <w:ilvl w:val="0"/>
          <w:numId w:val="1124"/>
        </w:numPr>
        <w:pStyle w:val="Compact"/>
      </w:pPr>
      <w:r>
        <w:rPr>
          <w:bCs/>
          <w:b/>
        </w:rPr>
        <w:t xml:space="preserve">Mercato grigio:</w:t>
      </w:r>
      <w:r>
        <w:t xml:space="preserve"> </w:t>
      </w:r>
      <w:r>
        <w:t xml:space="preserve">al di fuori dei Paesi con autorizzazione, la timosina alfa 1 viene venduta come «peptide per la ricerca». Per questi prodotti gli studi su Zadaxin non valgono: purezza, contenuto e sterilità sono sconosciuti.</w:t>
      </w:r>
    </w:p>
    <w:bookmarkEnd w:id="1050"/>
    <w:bookmarkEnd w:id="1051"/>
    <w:bookmarkStart w:id="1054" w:name="quadro-normativo-17"/>
    <w:p>
      <w:pPr>
        <w:pStyle w:val="Heading3"/>
      </w:pPr>
      <w:r>
        <w:t xml:space="preserve">Quadro normativo</w:t>
      </w:r>
    </w:p>
    <w:p>
      <w:pPr>
        <w:pStyle w:val="FirstParagraph"/>
      </w:pPr>
      <w:r>
        <w:rPr>
          <w:iCs/>
          <w:i/>
        </w:rPr>
        <w:t xml:space="preserve">Aggiornato al 2026, da verificare.</w:t>
      </w:r>
    </w:p>
    <w:p>
      <w:pPr>
        <w:numPr>
          <w:ilvl w:val="0"/>
          <w:numId w:val="1125"/>
        </w:numPr>
        <w:pStyle w:val="Compact"/>
      </w:pPr>
      <w:r>
        <w:rPr>
          <w:bCs/>
          <w:b/>
        </w:rPr>
        <w:t xml:space="preserve">UE, Germania, Austria:</w:t>
      </w:r>
      <w:r>
        <w:t xml:space="preserve"> </w:t>
      </w:r>
      <w:r>
        <w:t xml:space="preserve">nessuna autorizzazione come medicinale. Una prescrizione nel singolo caso tramite importazione individuale da un Paese con autorizzazione può essere possibile secondo il diritto nazionale a condizioni rigorose; la vendita come «research peptide» per l’uso sull’uomo non è consentita.</w:t>
      </w:r>
    </w:p>
    <w:p>
      <w:pPr>
        <w:numPr>
          <w:ilvl w:val="0"/>
          <w:numId w:val="1125"/>
        </w:numPr>
        <w:pStyle w:val="Compact"/>
      </w:pPr>
      <w:r>
        <w:rPr>
          <w:bCs/>
          <w:b/>
        </w:rPr>
        <w:t xml:space="preserve">USA:</w:t>
      </w:r>
      <w:r>
        <w:t xml:space="preserve"> </w:t>
      </w:r>
      <w:r>
        <w:t xml:space="preserve">nessuna autorizzazione FDA. Nel 2023 la FDA ha inserito la timosina alfa 1, insieme ad altri peptidi, nell’elenco delle sostanze con problemi di sicurezza per le preparazioni galeniche; i sostenitori lo criticano</w:t>
      </w:r>
      <w:r>
        <w:rPr>
          <w:rStyle w:val="FootnoteReference"/>
        </w:rPr>
        <w:footnoteReference w:id="1052"/>
      </w:r>
      <w:r>
        <w:t xml:space="preserve">. La classificazione dei peptidi continua a essere discussa nel comitato consultivo della FDA</w:t>
      </w:r>
      <w:r>
        <w:rPr>
          <w:rStyle w:val="FootnoteReference"/>
        </w:rPr>
        <w:footnoteReference w:id="1053"/>
      </w:r>
      <w:r>
        <w:t xml:space="preserve">.</w:t>
      </w:r>
    </w:p>
    <w:p>
      <w:pPr>
        <w:numPr>
          <w:ilvl w:val="0"/>
          <w:numId w:val="1125"/>
        </w:numPr>
        <w:pStyle w:val="Compact"/>
      </w:pPr>
      <w:r>
        <w:rPr>
          <w:bCs/>
          <w:b/>
        </w:rPr>
        <w:t xml:space="preserve">Cina e altri Paesi:</w:t>
      </w:r>
      <w:r>
        <w:t xml:space="preserve"> </w:t>
      </w:r>
      <w:r>
        <w:t xml:space="preserve">autorizzata come Zadaxin o timalfasina; in Cina esiste anche una serie di preparati equivalenti.</w:t>
      </w:r>
    </w:p>
    <w:p>
      <w:pPr>
        <w:numPr>
          <w:ilvl w:val="0"/>
          <w:numId w:val="1125"/>
        </w:numPr>
        <w:pStyle w:val="Compact"/>
      </w:pPr>
      <w:r>
        <w:rPr>
          <w:bCs/>
          <w:b/>
        </w:rPr>
        <w:t xml:space="preserve">WADA:</w:t>
      </w:r>
      <w:r>
        <w:t xml:space="preserve"> </w:t>
      </w:r>
      <w:r>
        <w:t xml:space="preserve">non presente espressamente nella lista delle sostanze proibite. Sportive e sportivi dovrebbero comunque informarsi presso la propria agenzia nazionale antidoping prima di un uso.</w:t>
      </w:r>
    </w:p>
    <w:bookmarkEnd w:id="1054"/>
    <w:bookmarkStart w:id="1059" w:name="studi-in-corso-e-prospettive-17"/>
    <w:p>
      <w:pPr>
        <w:pStyle w:val="Heading3"/>
      </w:pPr>
      <w:r>
        <w:t xml:space="preserve">Studi in corso e prospettive</w:t>
      </w:r>
    </w:p>
    <w:p>
      <w:pPr>
        <w:pStyle w:val="FirstParagraph"/>
      </w:pPr>
      <w:r>
        <w:rPr>
          <w:bCs/>
          <w:b/>
        </w:rPr>
        <w:t xml:space="preserve">Certo (secondo il registro):</w:t>
      </w:r>
    </w:p>
    <w:p>
      <w:pPr>
        <w:numPr>
          <w:ilvl w:val="0"/>
          <w:numId w:val="1126"/>
        </w:numPr>
        <w:pStyle w:val="Compact"/>
      </w:pPr>
      <w:r>
        <w:rPr>
          <w:bCs/>
          <w:b/>
        </w:rPr>
        <w:t xml:space="preserve">Cancro del colon-retto dopo l’intervento</w:t>
      </w:r>
      <w:r>
        <w:rPr>
          <w:rStyle w:val="FootnoteReference"/>
        </w:rPr>
        <w:footnoteReference w:id="1055"/>
      </w:r>
      <w:r>
        <w:rPr>
          <w:bCs/>
          <w:b/>
        </w:rPr>
        <w:t xml:space="preserve">:</w:t>
      </w:r>
      <w:r>
        <w:t xml:space="preserve"> </w:t>
      </w:r>
      <w:r>
        <w:t xml:space="preserve">studio di fase 3 dell’Università Fudan di Shanghai, previste 2.500 persone con cancro del colon-retto in stadio II o III, endpoint primario sopravvivenza libera da malattia dopo tre anni; fine stimata a marzo 2027. Lo studio è solo in singolo cieco.</w:t>
      </w:r>
    </w:p>
    <w:p>
      <w:pPr>
        <w:numPr>
          <w:ilvl w:val="0"/>
          <w:numId w:val="1126"/>
        </w:numPr>
        <w:pStyle w:val="Compact"/>
      </w:pPr>
      <w:r>
        <w:rPr>
          <w:bCs/>
          <w:b/>
        </w:rPr>
        <w:t xml:space="preserve">Cancro e immunoterapia:</w:t>
      </w:r>
      <w:r>
        <w:t xml:space="preserve"> </w:t>
      </w:r>
      <w:r>
        <w:t xml:space="preserve">numerosi studi cinesi di fase 2 più piccoli che combinano la timosina alfa 1 con inibitori dei checkpoint immunitari e chemioterapia o radioterapia, per esempio nel cancro al seno triplo negativo con 572 persone previste</w:t>
      </w:r>
      <w:r>
        <w:rPr>
          <w:rStyle w:val="FootnoteReference"/>
        </w:rPr>
        <w:footnoteReference w:id="1056"/>
      </w:r>
      <w:r>
        <w:t xml:space="preserve">.</w:t>
      </w:r>
    </w:p>
    <w:p>
      <w:pPr>
        <w:numPr>
          <w:ilvl w:val="0"/>
          <w:numId w:val="1126"/>
        </w:numPr>
        <w:pStyle w:val="Compact"/>
      </w:pPr>
      <w:r>
        <w:rPr>
          <w:bCs/>
          <w:b/>
        </w:rPr>
        <w:t xml:space="preserve">Sepsi:</w:t>
      </w:r>
      <w:r>
        <w:t xml:space="preserve"> </w:t>
      </w:r>
      <w:r>
        <w:t xml:space="preserve">uno studio più piccolo sul recupero della funzione immunitaria in 60 persone</w:t>
      </w:r>
      <w:r>
        <w:rPr>
          <w:rStyle w:val="FootnoteReference"/>
        </w:rPr>
        <w:footnoteReference w:id="1057"/>
      </w:r>
      <w:r>
        <w:t xml:space="preserve">.</w:t>
      </w:r>
    </w:p>
    <w:p>
      <w:pPr>
        <w:numPr>
          <w:ilvl w:val="0"/>
          <w:numId w:val="1126"/>
        </w:numPr>
        <w:pStyle w:val="Compact"/>
      </w:pPr>
      <w:r>
        <w:rPr>
          <w:bCs/>
          <w:b/>
        </w:rPr>
        <w:t xml:space="preserve">Risposta vaccinale negli anziani</w:t>
      </w:r>
      <w:r>
        <w:rPr>
          <w:rStyle w:val="FootnoteReference"/>
        </w:rPr>
        <w:footnoteReference w:id="1058"/>
      </w:r>
      <w:r>
        <w:rPr>
          <w:bCs/>
          <w:b/>
        </w:rPr>
        <w:t xml:space="preserve">:</w:t>
      </w:r>
      <w:r>
        <w:t xml:space="preserve"> </w:t>
      </w:r>
      <w:r>
        <w:t xml:space="preserve">fase 1, previste 75 persone.</w:t>
      </w:r>
    </w:p>
    <w:p>
      <w:pPr>
        <w:pStyle w:val="FirstParagraph"/>
      </w:pPr>
      <w:r>
        <w:rPr>
          <w:bCs/>
          <w:b/>
        </w:rPr>
        <w:t xml:space="preserve">Valutazione dell’autore:</w:t>
      </w:r>
      <w:r>
        <w:t xml:space="preserve"> </w:t>
      </w:r>
      <w:r>
        <w:t xml:space="preserve">il grande studio sul cancro del colon-retto è la questione aperta più importante. Se darà esito positivo, sarebbe la prima grande prova di un beneficio in una malattia tumorale, ma con riserva per la mancanza del doppio cieco. Nella sepsi TESTS dovrebbe aver risposto per ora alla domanda sull’uso su larga scala; gli studi futuri si concentreranno su sottogruppi con immunodepressione dimostrata. Un’autorizzazione nell’UE o negli USA non è da attendersi nei prossimi anni.</w:t>
      </w:r>
    </w:p>
    <w:bookmarkEnd w:id="1059"/>
    <w:bookmarkStart w:id="1063" w:name="conclusione-17"/>
    <w:p>
      <w:pPr>
        <w:pStyle w:val="Heading3"/>
      </w:pPr>
      <w:r>
        <w:t xml:space="preserve">Conclusione</w:t>
      </w:r>
    </w:p>
    <w:p>
      <w:pPr>
        <w:pStyle w:val="FirstParagraph"/>
      </w:pPr>
      <w:r>
        <w:t xml:space="preserve">La timosina alfa 1 è il peptide meglio studiato di questo gruppo e in alcuni Paesi un medicinale autorizzato. I primi piccoli studi sembravano promettenti, ma i grandi studi condotti accuratamente in cieco non hanno mostrato alcun vantaggio sui loro endpoint primari nella sepsi</w:t>
      </w:r>
      <w:r>
        <w:rPr>
          <w:rStyle w:val="FootnoteReference"/>
        </w:rPr>
        <w:footnoteReference w:id="1060"/>
      </w:r>
      <w:r>
        <w:t xml:space="preserve">, nella pancreatite grave</w:t>
      </w:r>
      <w:r>
        <w:rPr>
          <w:rStyle w:val="FootnoteReference"/>
        </w:rPr>
        <w:footnoteReference w:id="1061"/>
      </w:r>
      <w:r>
        <w:t xml:space="preserve"> </w:t>
      </w:r>
      <w:r>
        <w:t xml:space="preserve">e nella cirrosi da epatite B</w:t>
      </w:r>
      <w:r>
        <w:rPr>
          <w:rStyle w:val="FootnoteReference"/>
        </w:rPr>
        <w:footnoteReference w:id="1062"/>
      </w:r>
      <w:r>
        <w:t xml:space="preserve">. Nel COVID-19 e nel cancro le affermazioni positive si basano per lo più su studi osservazionali e su studi di bassa qualità. Negli studi il peptide è ben tollerato, ma un beneficio dimostrato come «stimolante immunitario» generico per persone sane non esiste.</w:t>
      </w:r>
    </w:p>
    <w:bookmarkEnd w:id="1063"/>
    <w:bookmarkEnd w:id="1064"/>
    <w:bookmarkStart w:id="1087" w:name="kpv"/>
    <w:p>
      <w:pPr>
        <w:pStyle w:val="Heading2"/>
      </w:pPr>
      <w:r>
        <w:t xml:space="preserve">KPV</w:t>
      </w:r>
    </w:p>
    <w:p>
      <w:pPr>
        <w:pStyle w:val="FirstParagraph"/>
      </w:pPr>
      <w:r>
        <w:t xml:space="preserve">KPV è il peptide più piccolo di questo libro: lungo solo tre aminoacidi. Su internet viene offerto come antinfiammatorio per intestino e pelle, spesso in capsule o crema, a volte per iniezione. La base scientifica sono esperimenti su cellule e modelli murini: studi sull’uomo non esistono.</w:t>
      </w:r>
    </w:p>
    <w:bookmarkStart w:id="1066" w:name="scheda-18"/>
    <w:p>
      <w:pPr>
        <w:pStyle w:val="Heading3"/>
      </w:pPr>
      <w:r>
        <w:t xml:space="preserve">Scheda</w:t>
      </w:r>
    </w:p>
    <w:p>
      <w:pPr>
        <w:numPr>
          <w:ilvl w:val="0"/>
          <w:numId w:val="1127"/>
        </w:numPr>
        <w:pStyle w:val="Compact"/>
      </w:pPr>
      <w:r>
        <w:rPr>
          <w:bCs/>
          <w:b/>
        </w:rPr>
        <w:t xml:space="preserve">Tipo e struttura:</w:t>
      </w:r>
      <w:r>
        <w:t xml:space="preserve"> </w:t>
      </w:r>
      <w:r>
        <w:t xml:space="preserve">tripeptide formato dagli aminoacidi lisina, prolina e valina (Lys-Pro-Val, da cui KPV).</w:t>
      </w:r>
    </w:p>
    <w:p>
      <w:pPr>
        <w:numPr>
          <w:ilvl w:val="0"/>
          <w:numId w:val="1127"/>
        </w:numPr>
        <w:pStyle w:val="Compact"/>
      </w:pPr>
      <w:r>
        <w:rPr>
          <w:bCs/>
          <w:b/>
        </w:rPr>
        <w:t xml:space="preserve">Origine:</w:t>
      </w:r>
      <w:r>
        <w:t xml:space="preserve"> </w:t>
      </w:r>
      <w:r>
        <w:t xml:space="preserve">corrisponde agli ultimi tre aminoacidi (posizioni da 11 a 13) dell’ormone endogeno alfa-MSH (ormone alfa-melanocita-stimolante), coinvolto tra l’altro nell’abbronzatura della pelle e nella regolazione dell’infiammazione</w:t>
      </w:r>
      <w:r>
        <w:rPr>
          <w:rStyle w:val="FootnoteReference"/>
        </w:rPr>
        <w:footnoteReference w:id="1065"/>
      </w:r>
      <w:r>
        <w:t xml:space="preserve">.</w:t>
      </w:r>
    </w:p>
    <w:p>
      <w:pPr>
        <w:numPr>
          <w:ilvl w:val="0"/>
          <w:numId w:val="1127"/>
        </w:numPr>
        <w:pStyle w:val="Compact"/>
      </w:pPr>
      <w:r>
        <w:rPr>
          <w:bCs/>
          <w:b/>
        </w:rPr>
        <w:t xml:space="preserve">Principio d’azione (ipotizzato, da studi di laboratorio e sugli animali):</w:t>
      </w:r>
      <w:r>
        <w:t xml:space="preserve"> </w:t>
      </w:r>
      <w:r>
        <w:t xml:space="preserve">inibizione delle vie di segnalazione pro-infiammatorie nelle cellule intestinali e immunitarie dopo l’assorbimento tramite il trasportatore di peptidi PepT1.</w:t>
      </w:r>
    </w:p>
    <w:p>
      <w:pPr>
        <w:numPr>
          <w:ilvl w:val="0"/>
          <w:numId w:val="1127"/>
        </w:numPr>
        <w:pStyle w:val="Compact"/>
      </w:pPr>
      <w:r>
        <w:rPr>
          <w:bCs/>
          <w:b/>
        </w:rPr>
        <w:t xml:space="preserve">Autorizzazione UE/USA:</w:t>
      </w:r>
      <w:r>
        <w:t xml:space="preserve"> </w:t>
      </w:r>
      <w:r>
        <w:t xml:space="preserve">no.</w:t>
      </w:r>
    </w:p>
    <w:p>
      <w:pPr>
        <w:numPr>
          <w:ilvl w:val="0"/>
          <w:numId w:val="1127"/>
        </w:numPr>
        <w:pStyle w:val="Compact"/>
      </w:pPr>
      <w:r>
        <w:rPr>
          <w:bCs/>
          <w:b/>
        </w:rPr>
        <w:t xml:space="preserve">WADA:</w:t>
      </w:r>
      <w:r>
        <w:t xml:space="preserve"> </w:t>
      </w:r>
      <w:r>
        <w:t xml:space="preserve">non elencato espressamente; in quanto sostanza non approvata rientra, secondo l’autore, nel gruppo S0.</w:t>
      </w:r>
    </w:p>
    <w:p>
      <w:pPr>
        <w:numPr>
          <w:ilvl w:val="0"/>
          <w:numId w:val="1127"/>
        </w:numPr>
        <w:pStyle w:val="Compact"/>
      </w:pPr>
      <w:r>
        <w:rPr>
          <w:bCs/>
          <w:b/>
        </w:rPr>
        <w:t xml:space="preserve">Livello di evidenza: D</w:t>
      </w:r>
      <w:r>
        <w:t xml:space="preserve"> </w:t>
      </w:r>
      <w:r>
        <w:t xml:space="preserve">– nessuno studio pubblicato sull’uomo.</w:t>
      </w:r>
    </w:p>
    <w:bookmarkEnd w:id="1066"/>
    <w:bookmarkStart w:id="1071" w:name="come-dovrebbe-agire-18"/>
    <w:p>
      <w:pPr>
        <w:pStyle w:val="Heading3"/>
      </w:pPr>
      <w:r>
        <w:t xml:space="preserve">Come dovrebbe agire</w:t>
      </w:r>
    </w:p>
    <w:p>
      <w:pPr>
        <w:pStyle w:val="FirstParagraph"/>
      </w:pPr>
      <w:r>
        <w:t xml:space="preserve">L’alfa-MSH è noto soprattutto come ormone dell’abbronzatura, ma ha anche effetti antinfiammatori. Già negli anni Novanta i ricercatori notarono che una parte di questo effetto dipende dagli ultimi tre aminoacidi. Nel sangue umano di persone con infezione da HIV, l’alfa-MSH e il suo frammento terminale KPV hanno ridotto in provetta la produzione dei messaggeri dell’infiammazione interleuchina 1 e TNF-alfa</w:t>
      </w:r>
      <w:r>
        <w:rPr>
          <w:rStyle w:val="FootnoteReference"/>
        </w:rPr>
        <w:footnoteReference w:id="1067"/>
      </w:r>
      <w:r>
        <w:t xml:space="preserve">.</w:t>
      </w:r>
    </w:p>
    <w:p>
      <w:pPr>
        <w:pStyle w:val="BodyText"/>
      </w:pPr>
      <w:r>
        <w:t xml:space="preserve">A differenza dell’ormone completo, KPV a quanto pare non agisce attraverso i classici recettori della melanocortina. Nei topi con peritonite KPV ha inibito l’afflusso di cellule infiammatorie senza aumentare il tipico messaggero cAMP; gli autori ipotizzano un’inibizione dell’azione dell’interleuchina 1</w:t>
      </w:r>
      <w:r>
        <w:rPr>
          <w:rStyle w:val="FootnoteReference"/>
        </w:rPr>
        <w:footnoteReference w:id="1068"/>
      </w:r>
      <w:r>
        <w:t xml:space="preserve">. Questo ha un vantaggio pratico: KPV non dovrebbe abbronzare la pelle, a differenza di Melanotan o dei derivati dell’alfa-MSH.</w:t>
      </w:r>
    </w:p>
    <w:p>
      <w:pPr>
        <w:pStyle w:val="BodyText"/>
      </w:pPr>
      <w:r>
        <w:t xml:space="preserve">Un secondo meccanismo riguarda l’intestino. Lì si trova il trasportatore PepT1, che normalmente assorbe piccoli frammenti proteici dal cibo. Nelle malattie infiammatorie croniche intestinali PepT1 viene prodotto in maggiore quantità anche nel colon. In colture di cellule intestinali e immunitarie umane KPV è stato assorbito tramite PepT1 e a concentrazioni molto basse ha inibito gli interruttori dell’infiammazione NF-kappaB e MAP chinasi</w:t>
      </w:r>
      <w:r>
        <w:rPr>
          <w:rStyle w:val="FootnoteReference"/>
        </w:rPr>
        <w:footnoteReference w:id="1069"/>
      </w:r>
      <w:r>
        <w:t xml:space="preserve">. Da qui è nata l’idea di usare KPV in compresse contro le infiammazioni intestinali.</w:t>
      </w:r>
    </w:p>
    <w:p>
      <w:pPr>
        <w:pStyle w:val="BodyText"/>
      </w:pPr>
      <w:r>
        <w:t xml:space="preserve">Inoltre in laboratorio l’alfa-MSH e KPV hanno inibito la crescita del batterio Staphylococcus aureus e del lievito Candida albicans</w:t>
      </w:r>
      <w:r>
        <w:rPr>
          <w:rStyle w:val="FootnoteReference"/>
        </w:rPr>
        <w:footnoteReference w:id="1070"/>
      </w:r>
      <w:r>
        <w:t xml:space="preserve">.</w:t>
      </w:r>
    </w:p>
    <w:bookmarkEnd w:id="1071"/>
    <w:bookmarkStart w:id="1076" w:name="studi-sulluomo-18"/>
    <w:p>
      <w:pPr>
        <w:pStyle w:val="Heading3"/>
      </w:pPr>
      <w:r>
        <w:t xml:space="preserve">Studi sull’uomo</w:t>
      </w:r>
    </w:p>
    <w:p>
      <w:pPr>
        <w:pStyle w:val="FirstParagraph"/>
      </w:pPr>
      <w:r>
        <w:rPr>
          <w:bCs/>
          <w:b/>
        </w:rPr>
        <w:t xml:space="preserve">Dimensioni della letteratura (ricerca di ottobre 2026):</w:t>
      </w:r>
      <w:r>
        <w:t xml:space="preserve"> </w:t>
      </w:r>
      <w:r>
        <w:t xml:space="preserve">la ricerca automatizzata ha trovato</w:t>
      </w:r>
      <w:r>
        <w:t xml:space="preserve"> </w:t>
      </w:r>
      <w:r>
        <w:rPr>
          <w:bCs/>
          <w:b/>
        </w:rPr>
        <w:t xml:space="preserve">0</w:t>
      </w:r>
      <w:r>
        <w:t xml:space="preserve"> </w:t>
      </w:r>
      <w:r>
        <w:t xml:space="preserve">studi sull’uomo su PubMed e</w:t>
      </w:r>
      <w:r>
        <w:t xml:space="preserve"> </w:t>
      </w:r>
      <w:r>
        <w:rPr>
          <w:bCs/>
          <w:b/>
        </w:rPr>
        <w:t xml:space="preserve">0</w:t>
      </w:r>
      <w:r>
        <w:t xml:space="preserve"> </w:t>
      </w:r>
      <w:r>
        <w:t xml:space="preserve">voci su ClinicalTrials.gov. Anche una ricerca mirata di studi pilota, casi clinici o segnalazioni di effetti collaterali non ha prodotto alcuna pubblicazione in cui delle persone abbiano ricevuto KPV.</w:t>
      </w:r>
    </w:p>
    <w:p>
      <w:pPr>
        <w:pStyle w:val="BodyText"/>
      </w:pPr>
      <w:r>
        <w:t xml:space="preserve">Ciò che esiste sono esperimenti di laboratorio con cellule o tessuti umani, per esempio:</w:t>
      </w:r>
    </w:p>
    <w:p>
      <w:pPr>
        <w:numPr>
          <w:ilvl w:val="0"/>
          <w:numId w:val="1128"/>
        </w:numPr>
        <w:pStyle w:val="Compact"/>
      </w:pPr>
      <w:r>
        <w:t xml:space="preserve">campioni di sangue di persone con infezione da HIV, in cui KPV ha ridotto la produzione di messaggeri dell’infiammazione</w:t>
      </w:r>
      <w:r>
        <w:rPr>
          <w:rStyle w:val="FootnoteReference"/>
        </w:rPr>
        <w:footnoteReference w:id="1072"/>
      </w:r>
      <w:r>
        <w:t xml:space="preserve">,</w:t>
      </w:r>
    </w:p>
    <w:p>
      <w:pPr>
        <w:numPr>
          <w:ilvl w:val="0"/>
          <w:numId w:val="1128"/>
        </w:numPr>
        <w:pStyle w:val="Compact"/>
      </w:pPr>
      <w:r>
        <w:t xml:space="preserve">linee cellulari di pelle umana</w:t>
      </w:r>
      <w:r>
        <w:rPr>
          <w:rStyle w:val="FootnoteReference"/>
        </w:rPr>
        <w:footnoteReference w:id="1073"/>
      </w:r>
      <w:r>
        <w:t xml:space="preserve">,</w:t>
      </w:r>
    </w:p>
    <w:p>
      <w:pPr>
        <w:numPr>
          <w:ilvl w:val="0"/>
          <w:numId w:val="1128"/>
        </w:numPr>
        <w:pStyle w:val="Compact"/>
      </w:pPr>
      <w:r>
        <w:t xml:space="preserve">pelle umana donata, su cui è stato testato se KPV attraversa la pelle con microaghi e una debole corrente: senza ausili non penetrava in misura misurabile</w:t>
      </w:r>
      <w:r>
        <w:rPr>
          <w:rStyle w:val="FootnoteReference"/>
        </w:rPr>
        <w:footnoteReference w:id="1074"/>
      </w:r>
      <w:r>
        <w:t xml:space="preserve">.</w:t>
      </w:r>
    </w:p>
    <w:p>
      <w:pPr>
        <w:pStyle w:val="FirstParagraph"/>
      </w:pPr>
      <w:r>
        <w:t xml:space="preserve">Questi lavori dicono qualcosa sui meccanismi e sulle forme farmaceutiche, ma nulla su efficacia o sicurezza nell’uomo.</w:t>
      </w:r>
    </w:p>
    <w:p>
      <w:pPr>
        <w:pStyle w:val="BodyText"/>
      </w:pPr>
      <w:r>
        <w:t xml:space="preserve">Un parente stretto, la molecola doppia artificiale (CKPV)2, è stata studiata clinicamente a metà degli anni Duemila come rimedio contro le infezioni fungine; un lavoro del 2006 menziona che si trovava «attualmente in sperimentazione clinica»</w:t>
      </w:r>
      <w:r>
        <w:rPr>
          <w:rStyle w:val="FootnoteReference"/>
        </w:rPr>
        <w:footnoteReference w:id="1075"/>
      </w:r>
      <w:r>
        <w:t xml:space="preserve">. I risultati di questi studi non sono pubblicati su PubMed. (CKPV)2 è inoltre una sostanza diversa dal KPV venduto su internet.</w:t>
      </w:r>
    </w:p>
    <w:bookmarkEnd w:id="1076"/>
    <w:bookmarkStart w:id="1077" w:name="studi-su-animali-e-in-laboratorio-18"/>
    <w:p>
      <w:pPr>
        <w:pStyle w:val="Heading3"/>
      </w:pPr>
      <w:r>
        <w:t xml:space="preserve">Studi su animali e in laboratorio</w:t>
      </w:r>
    </w:p>
    <w:p>
      <w:pPr>
        <w:pStyle w:val="FirstParagraph"/>
      </w:pPr>
      <w:r>
        <w:t xml:space="preserve">Il fulcro della ricerca sono le malattie infiammatorie croniche intestinali. Tutti i risultati seguenti provengono da esperimenti sui topi: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Studio</w:t>
            </w:r>
          </w:p>
        </w:tc>
        <w:tc>
          <w:tcPr/>
          <w:p>
            <w:pPr>
              <w:pStyle w:val="Compact"/>
              <w:jc w:val="left"/>
            </w:pPr>
            <w:r>
              <w:t xml:space="preserve">Modello</w:t>
            </w:r>
          </w:p>
        </w:tc>
        <w:tc>
          <w:tcPr/>
          <w:p>
            <w:pPr>
              <w:pStyle w:val="Compact"/>
              <w:jc w:val="left"/>
            </w:pPr>
            <w:r>
              <w:t xml:space="preserve">Risultato</w:t>
            </w:r>
          </w:p>
        </w:tc>
      </w:tr>
      <w:tr>
        <w:tc>
          <w:tcPr/>
          <w:p>
            <w:pPr>
              <w:pStyle w:val="Compact"/>
              <w:jc w:val="left"/>
            </w:pPr>
            <w:r>
              <w:t xml:space="preserve">Dalmasso 2008, PMID 18061177</w:t>
            </w:r>
          </w:p>
        </w:tc>
        <w:tc>
          <w:tcPr/>
          <w:p>
            <w:pPr>
              <w:pStyle w:val="Compact"/>
              <w:jc w:val="left"/>
            </w:pPr>
            <w:r>
              <w:t xml:space="preserve">colite indotta chimicamente nei topi, KPV nell’acqua da bere</w:t>
            </w:r>
          </w:p>
        </w:tc>
        <w:tc>
          <w:tcPr/>
          <w:p>
            <w:pPr>
              <w:pStyle w:val="Compact"/>
              <w:jc w:val="left"/>
            </w:pPr>
            <w:r>
              <w:t xml:space="preserve">meno infiammazione, meno messaggeri dell’infiammazione</w:t>
            </w:r>
          </w:p>
        </w:tc>
      </w:tr>
      <w:tr>
        <w:tc>
          <w:tcPr/>
          <w:p>
            <w:pPr>
              <w:pStyle w:val="Compact"/>
              <w:jc w:val="left"/>
            </w:pPr>
            <w:r>
              <w:t xml:space="preserve">Kannengiesser 2008, PMID 18092346</w:t>
            </w:r>
          </w:p>
        </w:tc>
        <w:tc>
          <w:tcPr/>
          <w:p>
            <w:pPr>
              <w:pStyle w:val="Compact"/>
              <w:jc w:val="left"/>
            </w:pPr>
            <w:r>
              <w:t xml:space="preserve">due modelli di colite nei topi</w:t>
            </w:r>
          </w:p>
        </w:tc>
        <w:tc>
          <w:tcPr/>
          <w:p>
            <w:pPr>
              <w:pStyle w:val="Compact"/>
              <w:jc w:val="left"/>
            </w:pPr>
            <w:r>
              <w:t xml:space="preserve">recupero più rapido, meno cellule infiammatorie; in un modello tutti gli animali trattati sono sopravvissuti</w:t>
            </w:r>
          </w:p>
        </w:tc>
      </w:tr>
      <w:tr>
        <w:tc>
          <w:tcPr/>
          <w:p>
            <w:pPr>
              <w:pStyle w:val="Compact"/>
              <w:jc w:val="left"/>
            </w:pPr>
            <w:r>
              <w:t xml:space="preserve">Viennois 2016, PMID 27458604</w:t>
            </w:r>
          </w:p>
        </w:tc>
        <w:tc>
          <w:tcPr/>
          <w:p>
            <w:pPr>
              <w:pStyle w:val="Compact"/>
              <w:jc w:val="left"/>
            </w:pPr>
            <w:r>
              <w:t xml:space="preserve">cancro intestinale associato all’infiammazione nei topi</w:t>
            </w:r>
          </w:p>
        </w:tc>
        <w:tc>
          <w:tcPr/>
          <w:p>
            <w:pPr>
              <w:pStyle w:val="Compact"/>
              <w:jc w:val="left"/>
            </w:pPr>
            <w:r>
              <w:t xml:space="preserve">KPV ha impedito la formazione di tumori, ma solo nei topi con PepT1 funzionante</w:t>
            </w:r>
          </w:p>
        </w:tc>
      </w:tr>
      <w:tr>
        <w:tc>
          <w:tcPr/>
          <w:p>
            <w:pPr>
              <w:pStyle w:val="Compact"/>
              <w:jc w:val="left"/>
            </w:pPr>
            <w:r>
              <w:t xml:space="preserve">Xiao 2017, PMID 28143741</w:t>
            </w:r>
          </w:p>
        </w:tc>
        <w:tc>
          <w:tcPr/>
          <w:p>
            <w:pPr>
              <w:pStyle w:val="Compact"/>
              <w:jc w:val="left"/>
            </w:pPr>
            <w:r>
              <w:t xml:space="preserve">colite nei topi, KPV in nanoparticelle</w:t>
            </w:r>
          </w:p>
        </w:tc>
        <w:tc>
          <w:tcPr/>
          <w:p>
            <w:pPr>
              <w:pStyle w:val="Compact"/>
              <w:jc w:val="left"/>
            </w:pPr>
            <w:r>
              <w:t xml:space="preserve">effetto più forte rispetto a KPV non legato</w:t>
            </w:r>
          </w:p>
        </w:tc>
      </w:tr>
    </w:tbl>
    <w:p>
      <w:pPr>
        <w:pStyle w:val="BodyText"/>
      </w:pPr>
      <w:r>
        <w:t xml:space="preserve">Altri lavori studiano KPV in idrogel per ferite e mucose, in nanoparticelle contro la calcificazione vascolare o nel metabolismo delle cellule adipose, quasi esclusivamente in colture cellulari o su roditori. Colpisce che gran parte della letteratura più recente sviluppi forme farmaceutiche (nanoparticelle, gel, cerotti). Ciò indica che KPV da solo, in compresse o crema, evidentemente non raggiunge abbastanza bene il sito d’azione: un aspetto rilevante per i prodotti in libera vendita.</w:t>
      </w:r>
    </w:p>
    <w:bookmarkEnd w:id="1077"/>
    <w:bookmarkStart w:id="1082" w:name="rischi-ed-effetti-collaterali-18"/>
    <w:p>
      <w:pPr>
        <w:pStyle w:val="Heading3"/>
      </w:pPr>
      <w:r>
        <w:t xml:space="preserve">Rischi ed effetti collaterali</w:t>
      </w:r>
    </w:p>
    <w:bookmarkStart w:id="1078" w:name="documentati-2"/>
    <w:p>
      <w:pPr>
        <w:pStyle w:val="Heading4"/>
      </w:pPr>
      <w:r>
        <w:t xml:space="preserve">Documentati</w:t>
      </w:r>
    </w:p>
    <w:p>
      <w:pPr>
        <w:pStyle w:val="FirstParagraph"/>
      </w:pPr>
      <w:r>
        <w:t xml:space="preserve">Nessuno, perché non esistono studi sull’uomo. L’assenza di effetti collaterali segnalati non è qui un indizio di sicurezza.</w:t>
      </w:r>
    </w:p>
    <w:bookmarkEnd w:id="1078"/>
    <w:bookmarkStart w:id="1081" w:name="teorici"/>
    <w:p>
      <w:pPr>
        <w:pStyle w:val="Heading4"/>
      </w:pPr>
      <w:r>
        <w:t xml:space="preserve">Teorici</w:t>
      </w:r>
    </w:p>
    <w:p>
      <w:pPr>
        <w:numPr>
          <w:ilvl w:val="0"/>
          <w:numId w:val="1129"/>
        </w:numPr>
        <w:pStyle w:val="Compact"/>
      </w:pPr>
      <w:r>
        <w:rPr>
          <w:bCs/>
          <w:b/>
        </w:rPr>
        <w:t xml:space="preserve">Attenuazione delle difese:</w:t>
      </w:r>
      <w:r>
        <w:t xml:space="preserve"> </w:t>
      </w:r>
      <w:r>
        <w:t xml:space="preserve">una sostanza che inibisce i segnali infiammatori potrebbe in linea di principio compromettere anche la difesa dalle infezioni. I risultati di laboratorio indicano piuttosto un proprio effetto antimicrobico</w:t>
      </w:r>
      <w:r>
        <w:rPr>
          <w:rStyle w:val="FootnoteReference"/>
        </w:rPr>
        <w:footnoteReference w:id="1079"/>
      </w:r>
      <w:r>
        <w:t xml:space="preserve">, ma mancano dati sull’uomo.</w:t>
      </w:r>
    </w:p>
    <w:p>
      <w:pPr>
        <w:numPr>
          <w:ilvl w:val="0"/>
          <w:numId w:val="1129"/>
        </w:numPr>
        <w:pStyle w:val="Compact"/>
      </w:pPr>
      <w:r>
        <w:rPr>
          <w:bCs/>
          <w:b/>
        </w:rPr>
        <w:t xml:space="preserve">Assorbimento e dose non chiari:</w:t>
      </w:r>
      <w:r>
        <w:t xml:space="preserve"> </w:t>
      </w:r>
      <w:r>
        <w:t xml:space="preserve">quanta parte di KPV da una capsula o da una crema diventi effettivamente attiva non è stato studiato nell’uomo.</w:t>
      </w:r>
    </w:p>
    <w:p>
      <w:pPr>
        <w:numPr>
          <w:ilvl w:val="0"/>
          <w:numId w:val="1129"/>
        </w:numPr>
        <w:pStyle w:val="Compact"/>
      </w:pPr>
      <w:r>
        <w:rPr>
          <w:bCs/>
          <w:b/>
        </w:rPr>
        <w:t xml:space="preserve">Qualità del mercato grigio:</w:t>
      </w:r>
      <w:r>
        <w:t xml:space="preserve"> </w:t>
      </w:r>
      <w:r>
        <w:t xml:space="preserve">KPV viene venduto come «peptide per la ricerca» senza controllo farmaceutico. Una revisione di medicina dello sport cita espressamente KPV tra i frammenti peptidici che circolano negli ambienti del bodybuilding e mette in guardia da prodotti con etichettatura errata o contaminati</w:t>
      </w:r>
      <w:r>
        <w:rPr>
          <w:rStyle w:val="FootnoteReference"/>
        </w:rPr>
        <w:footnoteReference w:id="1080"/>
      </w:r>
      <w:r>
        <w:t xml:space="preserve">.</w:t>
      </w:r>
    </w:p>
    <w:bookmarkEnd w:id="1081"/>
    <w:bookmarkEnd w:id="1082"/>
    <w:bookmarkStart w:id="1083" w:name="quadro-normativo-18"/>
    <w:p>
      <w:pPr>
        <w:pStyle w:val="Heading3"/>
      </w:pPr>
      <w:r>
        <w:t xml:space="preserve">Quadro normativo</w:t>
      </w:r>
    </w:p>
    <w:p>
      <w:pPr>
        <w:pStyle w:val="FirstParagraph"/>
      </w:pPr>
      <w:r>
        <w:rPr>
          <w:iCs/>
          <w:i/>
        </w:rPr>
        <w:t xml:space="preserve">Aggiornato al 2026, da verificare.</w:t>
      </w:r>
    </w:p>
    <w:p>
      <w:pPr>
        <w:numPr>
          <w:ilvl w:val="0"/>
          <w:numId w:val="1130"/>
        </w:numPr>
        <w:pStyle w:val="Compact"/>
      </w:pPr>
      <w:r>
        <w:rPr>
          <w:bCs/>
          <w:b/>
        </w:rPr>
        <w:t xml:space="preserve">UE, Germania, Austria:</w:t>
      </w:r>
      <w:r>
        <w:t xml:space="preserve"> </w:t>
      </w:r>
      <w:r>
        <w:t xml:space="preserve">non autorizzato come medicinale. Se KPV viene offerto con affermazioni sull’attenuazione di malattie, è considerato un medicinale non autorizzato. Come componente di cosmetici valgono le regole del regolamento UE sui cosmetici; lì le promesse terapeutiche non sono consentite.</w:t>
      </w:r>
    </w:p>
    <w:p>
      <w:pPr>
        <w:numPr>
          <w:ilvl w:val="0"/>
          <w:numId w:val="1130"/>
        </w:numPr>
        <w:pStyle w:val="Compact"/>
      </w:pPr>
      <w:r>
        <w:rPr>
          <w:bCs/>
          <w:b/>
        </w:rPr>
        <w:t xml:space="preserve">USA:</w:t>
      </w:r>
      <w:r>
        <w:t xml:space="preserve"> </w:t>
      </w:r>
      <w:r>
        <w:t xml:space="preserve">nessuna autorizzazione FDA.</w:t>
      </w:r>
    </w:p>
    <w:p>
      <w:pPr>
        <w:numPr>
          <w:ilvl w:val="0"/>
          <w:numId w:val="1130"/>
        </w:numPr>
        <w:pStyle w:val="Compact"/>
      </w:pPr>
      <w:r>
        <w:rPr>
          <w:bCs/>
          <w:b/>
        </w:rPr>
        <w:t xml:space="preserve">WADA:</w:t>
      </w:r>
      <w:r>
        <w:t xml:space="preserve"> </w:t>
      </w:r>
      <w:r>
        <w:t xml:space="preserve">non elencato nominalmente. In quanto sostanza farmacologicamente attiva senza autorizzazione, secondo l’autore KPV rientra nella classe S0 (sostanze non approvate).</w:t>
      </w:r>
    </w:p>
    <w:bookmarkEnd w:id="1083"/>
    <w:bookmarkStart w:id="1084" w:name="studi-in-corso-e-prospettive-18"/>
    <w:p>
      <w:pPr>
        <w:pStyle w:val="Heading3"/>
      </w:pPr>
      <w:r>
        <w:t xml:space="preserve">Studi in corso e prospettive</w:t>
      </w:r>
    </w:p>
    <w:p>
      <w:pPr>
        <w:pStyle w:val="FirstParagraph"/>
      </w:pPr>
      <w:r>
        <w:rPr>
          <w:bCs/>
          <w:b/>
        </w:rPr>
        <w:t xml:space="preserve">Certo:</w:t>
      </w:r>
      <w:r>
        <w:t xml:space="preserve"> </w:t>
      </w:r>
      <w:r>
        <w:t xml:space="preserve">a ottobre 2026 su ClinicalTrials.gov non è registrato alcuno studio con KPV.</w:t>
      </w:r>
    </w:p>
    <w:p>
      <w:pPr>
        <w:pStyle w:val="BodyText"/>
      </w:pPr>
      <w:r>
        <w:rPr>
          <w:bCs/>
          <w:b/>
        </w:rPr>
        <w:t xml:space="preserve">Valutazione dell’autore:</w:t>
      </w:r>
      <w:r>
        <w:t xml:space="preserve"> </w:t>
      </w:r>
      <w:r>
        <w:t xml:space="preserve">i dati sui topi relativi alle infiammazioni intestinali sono coerenti e provengono da diversi gruppi indipendenti: è più di quanto molti altri «peptidi per la ricerca» possano vantare. Senza un’azienda che sviluppi KPV come medicinale, però, uno studio sull’uomo non è prevedibile. È più probabile che KPV continui a essere studiato in laboratorio come componente di nuove forme farmaceutiche (nanoparticelle, gel).</w:t>
      </w:r>
    </w:p>
    <w:bookmarkEnd w:id="1084"/>
    <w:bookmarkStart w:id="1086" w:name="conclusione-18"/>
    <w:p>
      <w:pPr>
        <w:pStyle w:val="Heading3"/>
      </w:pPr>
      <w:r>
        <w:t xml:space="preserve">Conclusione</w:t>
      </w:r>
    </w:p>
    <w:p>
      <w:pPr>
        <w:pStyle w:val="FirstParagraph"/>
      </w:pPr>
      <w:r>
        <w:t xml:space="preserve">KPV è un frammento di tre aminoacidi dell’ormone endogeno alfa-MSH che nelle colture cellulari e nei topi ha ridotto nettamente le infiammazioni intestinali</w:t>
      </w:r>
      <w:r>
        <w:rPr>
          <w:rStyle w:val="FootnoteReference"/>
        </w:rPr>
        <w:footnoteReference w:id="1085"/>
      </w:r>
      <w:r>
        <w:t xml:space="preserve">. Sull’uomo KPV non è mai stato studiato, né per l’efficacia né per la sicurezza. Tutte le affermazioni sugli effetti su intestino o pelle nell’uomo sono quindi supposizioni basate su esperimenti sugli animali. Chi usa prodotti KPV acquistati su internet partecipa a un autoesperimento non controllato con prodotti di qualità sconosciuta.</w:t>
      </w:r>
    </w:p>
    <w:bookmarkEnd w:id="1086"/>
    <w:bookmarkEnd w:id="1087"/>
    <w:bookmarkStart w:id="1122" w:name="ll-37"/>
    <w:p>
      <w:pPr>
        <w:pStyle w:val="Heading2"/>
      </w:pPr>
      <w:r>
        <w:t xml:space="preserve">LL-37</w:t>
      </w:r>
    </w:p>
    <w:p>
      <w:pPr>
        <w:pStyle w:val="FirstParagraph"/>
      </w:pPr>
      <w:r>
        <w:t xml:space="preserve">LL-37 è un peptide di difesa endogeno. Pelle, mucose e globuli bianchi lo producono per uccidere batteri, funghi e virus. Nell’ambiente dei peptidi viene offerto come «antibiotico naturale» e rimedio contro infezioni croniche, borreliosi o «immunodeficienza». Nella letteratura occorre distinguere con attenzione: esistono moltissime indagini in cui LL-37 è stato</w:t>
      </w:r>
      <w:r>
        <w:t xml:space="preserve"> </w:t>
      </w:r>
      <w:r>
        <w:rPr>
          <w:iCs/>
          <w:i/>
        </w:rPr>
        <w:t xml:space="preserve">misurato</w:t>
      </w:r>
      <w:r>
        <w:t xml:space="preserve"> </w:t>
      </w:r>
      <w:r>
        <w:t xml:space="preserve">nel sangue o nei tessuti, ma solo una manciata in cui delle persone hanno</w:t>
      </w:r>
      <w:r>
        <w:t xml:space="preserve"> </w:t>
      </w:r>
      <w:r>
        <w:rPr>
          <w:iCs/>
          <w:i/>
        </w:rPr>
        <w:t xml:space="preserve">ricevuto</w:t>
      </w:r>
      <w:r>
        <w:t xml:space="preserve"> </w:t>
      </w:r>
      <w:r>
        <w:t xml:space="preserve">LL-37 come principio attivo.</w:t>
      </w:r>
    </w:p>
    <w:bookmarkStart w:id="1089" w:name="scheda-19"/>
    <w:p>
      <w:pPr>
        <w:pStyle w:val="Heading3"/>
      </w:pPr>
      <w:r>
        <w:t xml:space="preserve">Scheda</w:t>
      </w:r>
    </w:p>
    <w:p>
      <w:pPr>
        <w:numPr>
          <w:ilvl w:val="0"/>
          <w:numId w:val="1131"/>
        </w:numPr>
        <w:pStyle w:val="Compact"/>
      </w:pPr>
      <w:r>
        <w:rPr>
          <w:bCs/>
          <w:b/>
        </w:rPr>
        <w:t xml:space="preserve">Tipo e struttura:</w:t>
      </w:r>
      <w:r>
        <w:t xml:space="preserve"> </w:t>
      </w:r>
      <w:r>
        <w:t xml:space="preserve">peptide di 37 aminoacidi, i primi due sono leucine (da cui «LL»). Unica catelicidina dell’uomo: così si chiama una famiglia di peptidi di difesa.</w:t>
      </w:r>
    </w:p>
    <w:p>
      <w:pPr>
        <w:numPr>
          <w:ilvl w:val="0"/>
          <w:numId w:val="1131"/>
        </w:numPr>
        <w:pStyle w:val="Compact"/>
      </w:pPr>
      <w:r>
        <w:rPr>
          <w:bCs/>
          <w:b/>
        </w:rPr>
        <w:t xml:space="preserve">Origine:</w:t>
      </w:r>
      <w:r>
        <w:t xml:space="preserve"> </w:t>
      </w:r>
      <w:r>
        <w:t xml:space="preserve">viene scisso dalla proteina precursore hCAP18; il gene corrispondente (CAMP) viene attivato tra l’altro dalla vitamina D</w:t>
      </w:r>
      <w:r>
        <w:rPr>
          <w:rStyle w:val="FootnoteReference"/>
        </w:rPr>
        <w:footnoteReference w:id="1088"/>
      </w:r>
      <w:r>
        <w:t xml:space="preserve">.</w:t>
      </w:r>
    </w:p>
    <w:p>
      <w:pPr>
        <w:numPr>
          <w:ilvl w:val="0"/>
          <w:numId w:val="1131"/>
        </w:numPr>
        <w:pStyle w:val="Compact"/>
      </w:pPr>
      <w:r>
        <w:rPr>
          <w:bCs/>
          <w:b/>
        </w:rPr>
        <w:t xml:space="preserve">Principio d’azione:</w:t>
      </w:r>
      <w:r>
        <w:t xml:space="preserve"> </w:t>
      </w:r>
      <w:r>
        <w:t xml:space="preserve">distrugge l’involucro dei microbi; al tempo stesso richiama cellule immunitarie, favorisce la formazione di nuovi vasi e la guarigione delle ferite e influenza le reazioni infiammatorie.</w:t>
      </w:r>
    </w:p>
    <w:p>
      <w:pPr>
        <w:numPr>
          <w:ilvl w:val="0"/>
          <w:numId w:val="1131"/>
        </w:numPr>
        <w:pStyle w:val="Compact"/>
      </w:pPr>
      <w:r>
        <w:rPr>
          <w:bCs/>
          <w:b/>
        </w:rPr>
        <w:t xml:space="preserve">Autorizzazione UE/USA:</w:t>
      </w:r>
      <w:r>
        <w:t xml:space="preserve"> </w:t>
      </w:r>
      <w:r>
        <w:t xml:space="preserve">no.</w:t>
      </w:r>
    </w:p>
    <w:p>
      <w:pPr>
        <w:numPr>
          <w:ilvl w:val="0"/>
          <w:numId w:val="1131"/>
        </w:numPr>
        <w:pStyle w:val="Compact"/>
      </w:pPr>
      <w:r>
        <w:rPr>
          <w:bCs/>
          <w:b/>
        </w:rPr>
        <w:t xml:space="preserve">WADA:</w:t>
      </w:r>
      <w:r>
        <w:t xml:space="preserve"> </w:t>
      </w:r>
      <w:r>
        <w:t xml:space="preserve">non elencato espressamente; in quanto sostanza non approvata rientrerebbe, secondo l’autore, nella classe S0.</w:t>
      </w:r>
    </w:p>
    <w:p>
      <w:pPr>
        <w:numPr>
          <w:ilvl w:val="0"/>
          <w:numId w:val="1131"/>
        </w:numPr>
        <w:pStyle w:val="Compact"/>
      </w:pPr>
      <w:r>
        <w:rPr>
          <w:bCs/>
          <w:b/>
        </w:rPr>
        <w:t xml:space="preserve">Livello di evidenza: B</w:t>
      </w:r>
      <w:r>
        <w:t xml:space="preserve"> </w:t>
      </w:r>
      <w:r>
        <w:t xml:space="preserve">– singoli studi randomizzati, da piccoli a medi, con applicazione locale sulle ferite; il più grande ha mancato il suo obiettivo primario.</w:t>
      </w:r>
    </w:p>
    <w:bookmarkEnd w:id="1089"/>
    <w:bookmarkStart w:id="1094" w:name="come-dovrebbe-agire-19"/>
    <w:p>
      <w:pPr>
        <w:pStyle w:val="Heading3"/>
      </w:pPr>
      <w:r>
        <w:t xml:space="preserve">Come dovrebbe agire</w:t>
      </w:r>
    </w:p>
    <w:p>
      <w:pPr>
        <w:pStyle w:val="FirstParagraph"/>
      </w:pPr>
      <w:r>
        <w:t xml:space="preserve">LL-37 appartiene al sistema immunitario innato, la prima linea di difesa aspecifica. Il peptide ha carica positiva e si deposita sugli involucri a carica negativa dei batteri, che diventano così permeabili. Inoltre agisce come sostanza di segnalazione: richiama i globuli bianchi e stimola le cellule della pelle a migrare; per questo è diventato interessante per la guarigione delle ferite.</w:t>
      </w:r>
    </w:p>
    <w:p>
      <w:pPr>
        <w:pStyle w:val="BodyText"/>
      </w:pPr>
      <w:r>
        <w:t xml:space="preserve">Nell’uomo la produzione di LL-37 è strettamente legata alla vitamina D. Il gene della proteina precursore porta un interruttore a cui si lega il recettore della vitamina D; questo interruttore si trova nei primati, ma non in topi, ratti o cani</w:t>
      </w:r>
      <w:r>
        <w:rPr>
          <w:rStyle w:val="FootnoteReference"/>
        </w:rPr>
        <w:footnoteReference w:id="1090"/>
      </w:r>
      <w:r>
        <w:t xml:space="preserve">. Ciò spiega perché molti studi somministrano vitamina D e misurano LL-37, e perché gli esperimenti sugli animali per LL-37 sono trasferibili all’uomo solo in misura limitata.</w:t>
      </w:r>
    </w:p>
    <w:p>
      <w:pPr>
        <w:pStyle w:val="BodyText"/>
      </w:pPr>
      <w:r>
        <w:t xml:space="preserve">Il rovescio della medaglia: LL-37 può anche alimentare le infiammazioni. Nella psoriasi LL-37 lega il DNA endogeno di cellule disgregate e lo rende «visibile» a determinate cellule immunitarie, che rilasciano quindi interferone</w:t>
      </w:r>
      <w:r>
        <w:rPr>
          <w:rStyle w:val="FootnoteReference"/>
        </w:rPr>
        <w:footnoteReference w:id="1091"/>
      </w:r>
      <w:r>
        <w:t xml:space="preserve">. In due terzi delle persone esaminate con psoriasi da moderata a grave sono stati trovati linfociti T diretti contro LL-37 stesso</w:t>
      </w:r>
      <w:r>
        <w:rPr>
          <w:rStyle w:val="FootnoteReference"/>
        </w:rPr>
        <w:footnoteReference w:id="1092"/>
      </w:r>
      <w:r>
        <w:t xml:space="preserve">. Nella rosacea le persone colpite producono quantità insolitamente elevate di LL-37 nella pelle del viso, e nei topi l’iniezione di questi peptidi ha provocato infiammazioni cutanee</w:t>
      </w:r>
      <w:r>
        <w:rPr>
          <w:rStyle w:val="FootnoteReference"/>
        </w:rPr>
        <w:footnoteReference w:id="1093"/>
      </w:r>
      <w:r>
        <w:t xml:space="preserve">.</w:t>
      </w:r>
    </w:p>
    <w:bookmarkEnd w:id="1094"/>
    <w:bookmarkStart w:id="1106" w:name="studi-sulluomo-19"/>
    <w:p>
      <w:pPr>
        <w:pStyle w:val="Heading3"/>
      </w:pPr>
      <w:r>
        <w:t xml:space="preserve">Studi sull’uomo</w:t>
      </w:r>
    </w:p>
    <w:p>
      <w:pPr>
        <w:pStyle w:val="FirstParagraph"/>
      </w:pPr>
      <w:r>
        <w:rPr>
          <w:bCs/>
          <w:b/>
        </w:rPr>
        <w:t xml:space="preserve">Dimensioni della letteratura (ricerca di ottobre 2026):</w:t>
      </w:r>
      <w:r>
        <w:t xml:space="preserve"> </w:t>
      </w:r>
      <w:r>
        <w:t xml:space="preserve">la ricerca automatizzata ha trovato</w:t>
      </w:r>
      <w:r>
        <w:t xml:space="preserve"> </w:t>
      </w:r>
      <w:r>
        <w:rPr>
          <w:bCs/>
          <w:b/>
        </w:rPr>
        <w:t xml:space="preserve">91</w:t>
      </w:r>
      <w:r>
        <w:t xml:space="preserve"> </w:t>
      </w:r>
      <w:r>
        <w:t xml:space="preserve">pubblicazioni classificate come studio sull’uomo e</w:t>
      </w:r>
      <w:r>
        <w:t xml:space="preserve"> </w:t>
      </w:r>
      <w:r>
        <w:rPr>
          <w:bCs/>
          <w:b/>
        </w:rPr>
        <w:t xml:space="preserve">20</w:t>
      </w:r>
      <w:r>
        <w:t xml:space="preserve"> </w:t>
      </w:r>
      <w:r>
        <w:t xml:space="preserve">voci su ClinicalTrials.gov. La stragrande maggioranza</w:t>
      </w:r>
      <w:r>
        <w:t xml:space="preserve"> </w:t>
      </w:r>
      <w:r>
        <w:rPr>
          <w:iCs/>
          <w:i/>
        </w:rPr>
        <w:t xml:space="preserve">non</w:t>
      </w:r>
      <w:r>
        <w:t xml:space="preserve"> </w:t>
      </w:r>
      <w:r>
        <w:t xml:space="preserve">somministra LL-37 come principio attivo: si tratta di studi su vitamina D o probiotici che rilevano LL-37 come valore misurato, o di studi osservazionali sui livelli di LL-37 nelle malattie. Su PubMed si trovano solo cinque studi in cui è stato somministrato LL-37 stesso; nel registro sono due.</w:t>
      </w:r>
    </w:p>
    <w:bookmarkStart w:id="1099" w:name="X682e10839cc89a73c1765e76202cbe8fe87813c"/>
    <w:p>
      <w:pPr>
        <w:pStyle w:val="Heading4"/>
      </w:pPr>
      <w:r>
        <w:t xml:space="preserve">Studi di intervento: LL-37 come principio attivo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Ulcere venose delle gambe (Grönberg 2014, PMID 25041740)</w:t>
            </w:r>
          </w:p>
        </w:tc>
        <w:tc>
          <w:tcPr/>
          <w:p>
            <w:pPr>
              <w:pStyle w:val="Compact"/>
              <w:jc w:val="left"/>
            </w:pPr>
            <w:r>
              <w:t xml:space="preserve">34 persone, primo uso sull’uomo, RCT in doppio cieco con tre concentrazioni e placebo</w:t>
            </w:r>
          </w:p>
        </w:tc>
        <w:tc>
          <w:tcPr/>
          <w:p>
            <w:pPr>
              <w:pStyle w:val="Compact"/>
              <w:jc w:val="left"/>
            </w:pPr>
            <w:r>
              <w:t xml:space="preserve">4 settimane di trattamento</w:t>
            </w:r>
          </w:p>
        </w:tc>
        <w:tc>
          <w:tcPr/>
          <w:p>
            <w:pPr>
              <w:pStyle w:val="Compact"/>
              <w:jc w:val="left"/>
            </w:pPr>
            <w:r>
              <w:t xml:space="preserve">area della ferita ridotta del 68% con la concentrazione più bassa, del 50% con quella intermedia; concentrazione più alta non migliore del placebo</w:t>
            </w:r>
          </w:p>
        </w:tc>
      </w:tr>
      <w:tr>
        <w:tc>
          <w:tcPr/>
          <w:p>
            <w:pPr>
              <w:pStyle w:val="Compact"/>
              <w:jc w:val="left"/>
            </w:pPr>
            <w:r>
              <w:t xml:space="preserve">HEAL LL-37, ulcere venose delle gambe (Mahlapuu 2021, PMID 34687253)</w:t>
            </w:r>
          </w:p>
        </w:tc>
        <w:tc>
          <w:tcPr/>
          <w:p>
            <w:pPr>
              <w:pStyle w:val="Compact"/>
              <w:jc w:val="left"/>
            </w:pPr>
            <w:r>
              <w:t xml:space="preserve">148 persone, fase 2b, RCT in doppio cieco</w:t>
            </w:r>
          </w:p>
        </w:tc>
        <w:tc>
          <w:tcPr/>
          <w:p>
            <w:pPr>
              <w:pStyle w:val="Compact"/>
              <w:jc w:val="left"/>
            </w:pPr>
            <w:r>
              <w:t xml:space="preserve">3 bracci, in aggiunta alla compressione</w:t>
            </w:r>
          </w:p>
        </w:tc>
        <w:tc>
          <w:tcPr/>
          <w:p>
            <w:pPr>
              <w:pStyle w:val="Compact"/>
              <w:jc w:val="left"/>
            </w:pPr>
            <w:r>
              <w:t xml:space="preserve">nessuna differenza significativa rispetto al placebo; vantaggio solo in un’analisi di sottogruppo a posteriori delle ferite grandi</w:t>
            </w:r>
          </w:p>
        </w:tc>
      </w:tr>
      <w:tr>
        <w:tc>
          <w:tcPr/>
          <w:p>
            <w:pPr>
              <w:pStyle w:val="Compact"/>
              <w:jc w:val="left"/>
            </w:pPr>
            <w:r>
              <w:t xml:space="preserve">Ulcera del piede diabetico (Miranda 2023, PMID 37480520; NCT04098562)</w:t>
            </w:r>
          </w:p>
        </w:tc>
        <w:tc>
          <w:tcPr/>
          <w:p>
            <w:pPr>
              <w:pStyle w:val="Compact"/>
              <w:jc w:val="left"/>
            </w:pPr>
            <w:r>
              <w:t xml:space="preserve">persone con ulcera del piede lievemente infetta a Giacarta, RCT in doppio cieco contro crema placebo</w:t>
            </w:r>
          </w:p>
        </w:tc>
        <w:tc>
          <w:tcPr/>
          <w:p>
            <w:pPr>
              <w:pStyle w:val="Compact"/>
              <w:jc w:val="left"/>
            </w:pPr>
            <w:r>
              <w:t xml:space="preserve">4 settimane</w:t>
            </w:r>
          </w:p>
        </w:tc>
        <w:tc>
          <w:tcPr/>
          <w:p>
            <w:pPr>
              <w:pStyle w:val="Compact"/>
              <w:jc w:val="left"/>
            </w:pPr>
            <w:r>
              <w:t xml:space="preserve">maggiore aumento del tessuto di granulazione; nessuna riduzione dei marcatori infiammatori o della carica batterica</w:t>
            </w:r>
          </w:p>
        </w:tc>
      </w:tr>
      <w:tr>
        <w:tc>
          <w:tcPr/>
          <w:p>
            <w:pPr>
              <w:pStyle w:val="Compact"/>
              <w:jc w:val="left"/>
            </w:pPr>
            <w:r>
              <w:t xml:space="preserve">COVID-19, LL-37 orale da batteri lattici (Zhao 2023, PMID 37605995)</w:t>
            </w:r>
          </w:p>
        </w:tc>
        <w:tc>
          <w:tcPr/>
          <w:p>
            <w:pPr>
              <w:pStyle w:val="Compact"/>
              <w:jc w:val="left"/>
            </w:pPr>
            <w:r>
              <w:t xml:space="preserve">238 pazienti ospedalizzati, RCT in aperto, un centro</w:t>
            </w:r>
          </w:p>
        </w:tc>
        <w:tc>
          <w:tcPr/>
          <w:p>
            <w:pPr>
              <w:pStyle w:val="Compact"/>
              <w:jc w:val="left"/>
            </w:pPr>
            <w:r>
              <w:t xml:space="preserve">ricovero ospedaliero</w:t>
            </w:r>
          </w:p>
        </w:tc>
        <w:tc>
          <w:tcPr/>
          <w:p>
            <w:pPr>
              <w:pStyle w:val="Compact"/>
              <w:jc w:val="left"/>
            </w:pPr>
            <w:r>
              <w:t xml:space="preserve">PCR virale negativa in media dopo 9,8 invece di 14,0 giorni; nessun effetto collaterale grave</w:t>
            </w:r>
          </w:p>
        </w:tc>
      </w:tr>
      <w:tr>
        <w:tc>
          <w:tcPr/>
          <w:p>
            <w:pPr>
              <w:pStyle w:val="Compact"/>
              <w:jc w:val="left"/>
            </w:pPr>
            <w:r>
              <w:t xml:space="preserve">Melanoma, iniezione nei tumori (NCT02225366)</w:t>
            </w:r>
          </w:p>
        </w:tc>
        <w:tc>
          <w:tcPr/>
          <w:p>
            <w:pPr>
              <w:pStyle w:val="Compact"/>
              <w:jc w:val="left"/>
            </w:pPr>
            <w:r>
              <w:t xml:space="preserve">4 persone, fase 1/2 senza gruppo di controllo</w:t>
            </w:r>
          </w:p>
        </w:tc>
        <w:tc>
          <w:tcPr/>
          <w:p>
            <w:pPr>
              <w:pStyle w:val="Compact"/>
              <w:jc w:val="left"/>
            </w:pPr>
            <w:r>
              <w:t xml:space="preserve">fino a 8 settimane</w:t>
            </w:r>
          </w:p>
        </w:tc>
        <w:tc>
          <w:tcPr/>
          <w:p>
            <w:pPr>
              <w:pStyle w:val="Compact"/>
              <w:jc w:val="left"/>
            </w:pPr>
            <w:r>
              <w:t xml:space="preserve">ricerca della dose; numero di casi piccolo, si vedano i rischi</w:t>
            </w:r>
          </w:p>
        </w:tc>
      </w:tr>
    </w:tbl>
    <w:p>
      <w:pPr>
        <w:pStyle w:val="BodyText"/>
      </w:pPr>
      <w:r>
        <w:t xml:space="preserve">Gli studi sulle ferite mostrano lo schema noto: il primo piccolo studio era incoraggiante – stranamente funzionavano le concentrazioni più basse, la più alta no</w:t>
      </w:r>
      <w:r>
        <w:rPr>
          <w:rStyle w:val="FootnoteReference"/>
        </w:rPr>
        <w:footnoteReference w:id="1095"/>
      </w:r>
      <w:r>
        <w:t xml:space="preserve">. Lo studio di fase 2b più ampio HEAL LL-37 con 148 persone non ha trovato nel gruppo complessivo alcun vantaggio rispetto al placebo. Un beneficio nelle ferite grandi è emerso solo in un’analisi di sottogruppo definita a posteriori, che gli autori stessi considerano uno spunto per un ulteriore studio, non una prova</w:t>
      </w:r>
      <w:r>
        <w:rPr>
          <w:rStyle w:val="FootnoteReference"/>
        </w:rPr>
        <w:footnoteReference w:id="1096"/>
      </w:r>
      <w:r>
        <w:t xml:space="preserve">.</w:t>
      </w:r>
    </w:p>
    <w:p>
      <w:pPr>
        <w:pStyle w:val="BodyText"/>
      </w:pPr>
      <w:r>
        <w:t xml:space="preserve">Lo studio indonesiano sull’ulcera del piede diabetico ha misurato come parametro principale la quota di tessuto di granulazione, cioè di tessuto di guarigione fresco: un marcatore intermedio, non la guarigione completa della ferita. I marcatori infiammatori e la colonizzazione batterica non sono diminuiti con LL-37 più che con il placebo</w:t>
      </w:r>
      <w:r>
        <w:rPr>
          <w:rStyle w:val="FootnoteReference"/>
        </w:rPr>
        <w:footnoteReference w:id="1097"/>
      </w:r>
      <w:r>
        <w:t xml:space="preserve">.</w:t>
      </w:r>
    </w:p>
    <w:p>
      <w:pPr>
        <w:pStyle w:val="BodyText"/>
      </w:pPr>
      <w:r>
        <w:t xml:space="preserve">Lo studio sul COVID-19 non ha usato il peptide LL-37, ma batteri lattici geneticamente modificati che dovrebbero produrre LL-37 nell’intestino. Non era in cieco e si è svolto in un unico centro; è stato misurato il tempo fino al test PCR negativo, non il decorso della malattia o la mortalità</w:t>
      </w:r>
      <w:r>
        <w:rPr>
          <w:rStyle w:val="FootnoteReference"/>
        </w:rPr>
        <w:footnoteReference w:id="1098"/>
      </w:r>
      <w:r>
        <w:t xml:space="preserve">.</w:t>
      </w:r>
    </w:p>
    <w:bookmarkEnd w:id="1099"/>
    <w:bookmarkStart w:id="1103" w:name="X797e54aeddf542e4415fadc953909e63b941c5a"/>
    <w:p>
      <w:pPr>
        <w:pStyle w:val="Heading4"/>
      </w:pPr>
      <w:r>
        <w:t xml:space="preserve">Studi osservazionali: LL-37 come valore misurato</w:t>
      </w:r>
    </w:p>
    <w:p>
      <w:pPr>
        <w:pStyle w:val="FirstParagraph"/>
      </w:pPr>
      <w:r>
        <w:t xml:space="preserve">Questi studi non dicono nulla sul fatto che LL-37 somministrato sia utile. Mostrano solo come l’organismo produce LL-37 nelle malattie. Alcuni esempi:</w:t>
      </w:r>
    </w:p>
    <w:p>
      <w:pPr>
        <w:numPr>
          <w:ilvl w:val="0"/>
          <w:numId w:val="1132"/>
        </w:numPr>
        <w:pStyle w:val="Compact"/>
      </w:pPr>
      <w:r>
        <w:t xml:space="preserve">In 50 persone con tubercolosi polmonare i livelli di LL-37 nel sangue erano più alti che nella polmonite da altri batteri e nelle persone sane</w:t>
      </w:r>
      <w:r>
        <w:rPr>
          <w:rStyle w:val="FootnoteReference"/>
        </w:rPr>
        <w:footnoteReference w:id="1100"/>
      </w:r>
      <w:r>
        <w:t xml:space="preserve">.</w:t>
      </w:r>
    </w:p>
    <w:p>
      <w:pPr>
        <w:numPr>
          <w:ilvl w:val="0"/>
          <w:numId w:val="1132"/>
        </w:numPr>
        <w:pStyle w:val="Compact"/>
      </w:pPr>
      <w:r>
        <w:t xml:space="preserve">In 76 bambini con meningite batterica LL-37 nel liquido cerebrospinale aumentava con la quantità di batteri; un rapporto elevato tra LL-37 e batteri era associato a meno danni all’udito</w:t>
      </w:r>
      <w:r>
        <w:rPr>
          <w:rStyle w:val="FootnoteReference"/>
        </w:rPr>
        <w:footnoteReference w:id="1101"/>
      </w:r>
      <w:r>
        <w:t xml:space="preserve">.</w:t>
      </w:r>
    </w:p>
    <w:p>
      <w:pPr>
        <w:numPr>
          <w:ilvl w:val="0"/>
          <w:numId w:val="1132"/>
        </w:numPr>
        <w:pStyle w:val="Compact"/>
      </w:pPr>
      <w:r>
        <w:t xml:space="preserve">In 30 pazienti di terapia intensiva con sepsi i livelli di LL-37 sono aumentati dopo vitamina D ad alte dosi</w:t>
      </w:r>
      <w:r>
        <w:rPr>
          <w:rStyle w:val="FootnoteReference"/>
        </w:rPr>
        <w:footnoteReference w:id="1102"/>
      </w:r>
      <w:r>
        <w:t xml:space="preserve">.</w:t>
      </w:r>
    </w:p>
    <w:bookmarkEnd w:id="1103"/>
    <w:bookmarkStart w:id="1105" w:name="Xbc93f5572c30c69da603525775595fa1e4e1299"/>
    <w:p>
      <w:pPr>
        <w:pStyle w:val="Heading4"/>
      </w:pPr>
      <w:r>
        <w:t xml:space="preserve">Indirettamente: stimolare LL-37 attraverso la vitamina D</w:t>
      </w:r>
    </w:p>
    <w:p>
      <w:pPr>
        <w:pStyle w:val="FirstParagraph"/>
      </w:pPr>
      <w:r>
        <w:t xml:space="preserve">In uno studio in doppio cieco del Bangladesh su 288 persone con tubercolosi polmonare, dopo quattro settimane un numero maggiore di partecipanti aveva colture negative se riceveva in aggiunta vitamina D3 e fenilbutirrato, due sostanze che stimolano la produzione endogena di LL-37 (71% vs. 42,2% con il placebo)</w:t>
      </w:r>
      <w:r>
        <w:rPr>
          <w:rStyle w:val="FootnoteReference"/>
        </w:rPr>
        <w:footnoteReference w:id="1104"/>
      </w:r>
      <w:r>
        <w:t xml:space="preserve">. È un’affermazione su questa combinazione, non su LL-37 come peptide. La vitamina D stessa non è un peptide e non viene trattata specificamente in questo libro.</w:t>
      </w:r>
    </w:p>
    <w:bookmarkEnd w:id="1105"/>
    <w:bookmarkEnd w:id="1106"/>
    <w:bookmarkStart w:id="1109" w:name="studi-su-animali-e-in-laboratorio-19"/>
    <w:p>
      <w:pPr>
        <w:pStyle w:val="Heading3"/>
      </w:pPr>
      <w:r>
        <w:t xml:space="preserve">Studi su animali e in laboratorio</w:t>
      </w:r>
    </w:p>
    <w:p>
      <w:pPr>
        <w:pStyle w:val="FirstParagraph"/>
      </w:pPr>
      <w:r>
        <w:t xml:space="preserve">In laboratorio LL-37 uccide un’ampia gamma di batteri, funghi e alcuni virus e favorisce la migrazione delle cellule della pelle. Un lavoro di revisione sul ruolo nel cancro riassume che LL-37, in esperimenti su cellule e animali,</w:t>
      </w:r>
      <w:r>
        <w:t xml:space="preserve"> </w:t>
      </w:r>
      <w:r>
        <w:rPr>
          <w:iCs/>
          <w:i/>
        </w:rPr>
        <w:t xml:space="preserve">favorisce</w:t>
      </w:r>
      <w:r>
        <w:t xml:space="preserve"> </w:t>
      </w:r>
      <w:r>
        <w:t xml:space="preserve">la crescita tumorale nel cancro dell’ovaio, del polmone, del seno, della prostata e del pancreas e nel melanoma, mentre la</w:t>
      </w:r>
      <w:r>
        <w:t xml:space="preserve"> </w:t>
      </w:r>
      <w:r>
        <w:rPr>
          <w:iCs/>
          <w:i/>
        </w:rPr>
        <w:t xml:space="preserve">inibisce</w:t>
      </w:r>
      <w:r>
        <w:t xml:space="preserve"> </w:t>
      </w:r>
      <w:r>
        <w:t xml:space="preserve">nel cancro del colon, dello stomaco e in alcuni tumori del sangue</w:t>
      </w:r>
      <w:r>
        <w:rPr>
          <w:rStyle w:val="FootnoteReference"/>
        </w:rPr>
        <w:footnoteReference w:id="1107"/>
      </w:r>
      <w:r>
        <w:t xml:space="preserve">. La stessa sostanza può quindi agire in modo opposto a seconda del tessuto.</w:t>
      </w:r>
    </w:p>
    <w:p>
      <w:pPr>
        <w:pStyle w:val="BodyText"/>
      </w:pPr>
      <w:r>
        <w:t xml:space="preserve">Per la trasferibilità è importante: i topi possiedono una propria catelicidina che assomiglia solo in parte a LL-37 umano e la regolano in modo diverso</w:t>
      </w:r>
      <w:r>
        <w:rPr>
          <w:rStyle w:val="FootnoteReference"/>
        </w:rPr>
        <w:footnoteReference w:id="1108"/>
      </w:r>
      <w:r>
        <w:t xml:space="preserve">. I risultati sui topi relativi a LL-37 vanno quindi valutati con ancora più cautela che per altri peptidi.</w:t>
      </w:r>
    </w:p>
    <w:bookmarkEnd w:id="1109"/>
    <w:bookmarkStart w:id="1117" w:name="rischi-ed-effetti-collaterali-19"/>
    <w:p>
      <w:pPr>
        <w:pStyle w:val="Heading3"/>
      </w:pPr>
      <w:r>
        <w:t xml:space="preserve">Rischi ed effetti collaterali</w:t>
      </w:r>
    </w:p>
    <w:bookmarkStart w:id="1112" w:name="documentati-3"/>
    <w:p>
      <w:pPr>
        <w:pStyle w:val="Heading4"/>
      </w:pPr>
      <w:r>
        <w:t xml:space="preserve">Documentati</w:t>
      </w:r>
    </w:p>
    <w:p>
      <w:pPr>
        <w:pStyle w:val="FirstParagraph"/>
      </w:pPr>
      <w:r>
        <w:t xml:space="preserve">Negli studi sulle ferite LL-37 applicato localmente è stato ben tollerato; non sono emersi problemi di sicurezza per effetti collaterali locali o sistemici</w:t>
      </w:r>
      <w:r>
        <w:rPr>
          <w:rStyle w:val="FootnoteReference"/>
        </w:rPr>
        <w:footnoteReference w:id="1110"/>
      </w:r>
      <w:r>
        <w:t xml:space="preserve">.</w:t>
      </w:r>
    </w:p>
    <w:p>
      <w:pPr>
        <w:pStyle w:val="BodyText"/>
      </w:pPr>
      <w:r>
        <w:t xml:space="preserve">Un caso clinico dello studio sul melanoma mostra però che LL-37 in forma iniettabile non è innocuo: in una donna di 63 anni che ha ricevuto otto iniezioni settimanali in metastasi cutanee sono comparse, circa 45 giorni dopo l’inizio, numerose lesioni cutanee simili a verruche e vesciche sul tronco e sugli arti, inizialmente scambiate per tumori della pelle. All’esame istologico si sono osservate alterazioni infiammatorie con cellule cutanee atipiche; tutte le lesioni sono regredite entro due mesi dalla sospensione</w:t>
      </w:r>
      <w:r>
        <w:rPr>
          <w:rStyle w:val="FootnoteReference"/>
        </w:rPr>
        <w:footnoteReference w:id="1111"/>
      </w:r>
      <w:r>
        <w:t xml:space="preserve">.</w:t>
      </w:r>
    </w:p>
    <w:bookmarkEnd w:id="1112"/>
    <w:bookmarkStart w:id="1116" w:name="Xf1dce859f3e6a068224adae6699a949253971ab"/>
    <w:p>
      <w:pPr>
        <w:pStyle w:val="Heading4"/>
      </w:pPr>
      <w:r>
        <w:t xml:space="preserve">Teorici e derivati dalla ricerca sulle malattie</w:t>
      </w:r>
    </w:p>
    <w:p>
      <w:pPr>
        <w:numPr>
          <w:ilvl w:val="0"/>
          <w:numId w:val="1133"/>
        </w:numPr>
        <w:pStyle w:val="Compact"/>
      </w:pPr>
      <w:r>
        <w:rPr>
          <w:bCs/>
          <w:b/>
        </w:rPr>
        <w:t xml:space="preserve">Autoimmunità e malattie della pelle:</w:t>
      </w:r>
      <w:r>
        <w:t xml:space="preserve"> </w:t>
      </w:r>
      <w:r>
        <w:t xml:space="preserve">nella psoriasi LL-37 è un fattore scatenante dell’infiammazione e un bersaglio di linfociti T mal indirizzati</w:t>
      </w:r>
      <w:r>
        <w:rPr>
          <w:rStyle w:val="FootnoteReference"/>
        </w:rPr>
        <w:footnoteReference w:id="1113"/>
      </w:r>
      <w:r>
        <w:t xml:space="preserve">, e nella rosacea partecipa all’infiammazione cutanea</w:t>
      </w:r>
      <w:r>
        <w:rPr>
          <w:rStyle w:val="FootnoteReference"/>
        </w:rPr>
        <w:footnoteReference w:id="1114"/>
      </w:r>
      <w:r>
        <w:t xml:space="preserve">. Le persone con queste o altre malattie autoimmuni (per esempio il lupus) dovrebbero essere particolarmente prudenti; non esistono studi in merito.</w:t>
      </w:r>
    </w:p>
    <w:p>
      <w:pPr>
        <w:numPr>
          <w:ilvl w:val="0"/>
          <w:numId w:val="1133"/>
        </w:numPr>
        <w:pStyle w:val="Compact"/>
      </w:pPr>
      <w:r>
        <w:rPr>
          <w:bCs/>
          <w:b/>
        </w:rPr>
        <w:t xml:space="preserve">Cancro:</w:t>
      </w:r>
      <w:r>
        <w:t xml:space="preserve"> </w:t>
      </w:r>
      <w:r>
        <w:t xml:space="preserve">poiché negli esperimenti di laboratorio LL-37 favorisce la crescita di alcuni tipi di tumore</w:t>
      </w:r>
      <w:r>
        <w:rPr>
          <w:rStyle w:val="FootnoteReference"/>
        </w:rPr>
        <w:footnoteReference w:id="1115"/>
      </w:r>
      <w:r>
        <w:t xml:space="preserve">, un uso in persone con una malattia tumorale o con una storia di cancro non è valutabile senza studi.</w:t>
      </w:r>
    </w:p>
    <w:p>
      <w:pPr>
        <w:numPr>
          <w:ilvl w:val="0"/>
          <w:numId w:val="1133"/>
        </w:numPr>
        <w:pStyle w:val="Compact"/>
      </w:pPr>
      <w:r>
        <w:rPr>
          <w:bCs/>
          <w:b/>
        </w:rPr>
        <w:t xml:space="preserve">Danno cellulare ad alte concentrazioni:</w:t>
      </w:r>
      <w:r>
        <w:t xml:space="preserve"> </w:t>
      </w:r>
      <w:r>
        <w:t xml:space="preserve">il peptide attacca gli involucri cellulari; a concentrazioni più alte può danneggiare anche le cellule umane. Questo potrebbe spiegare perché nel primo studio sulle ferite la concentrazione più alta non funzionava.</w:t>
      </w:r>
    </w:p>
    <w:p>
      <w:pPr>
        <w:numPr>
          <w:ilvl w:val="0"/>
          <w:numId w:val="1133"/>
        </w:numPr>
        <w:pStyle w:val="Compact"/>
      </w:pPr>
      <w:r>
        <w:rPr>
          <w:bCs/>
          <w:b/>
        </w:rPr>
        <w:t xml:space="preserve">Mercato grigio:</w:t>
      </w:r>
      <w:r>
        <w:t xml:space="preserve"> </w:t>
      </w:r>
      <w:r>
        <w:t xml:space="preserve">come per tutti i «peptidi per la ricerca», purezza, contenuto e sterilità sono sconosciuti. Per le iniezioni questo vale in modo particolare.</w:t>
      </w:r>
    </w:p>
    <w:bookmarkEnd w:id="1116"/>
    <w:bookmarkEnd w:id="1117"/>
    <w:bookmarkStart w:id="1118" w:name="quadro-normativo-19"/>
    <w:p>
      <w:pPr>
        <w:pStyle w:val="Heading3"/>
      </w:pPr>
      <w:r>
        <w:t xml:space="preserve">Quadro normativo</w:t>
      </w:r>
    </w:p>
    <w:p>
      <w:pPr>
        <w:pStyle w:val="FirstParagraph"/>
      </w:pPr>
      <w:r>
        <w:rPr>
          <w:iCs/>
          <w:i/>
        </w:rPr>
        <w:t xml:space="preserve">Aggiornato al 2026, da verificare.</w:t>
      </w:r>
    </w:p>
    <w:p>
      <w:pPr>
        <w:numPr>
          <w:ilvl w:val="0"/>
          <w:numId w:val="1134"/>
        </w:numPr>
        <w:pStyle w:val="Compact"/>
      </w:pPr>
      <w:r>
        <w:rPr>
          <w:bCs/>
          <w:b/>
        </w:rPr>
        <w:t xml:space="preserve">UE, Germania, Austria:</w:t>
      </w:r>
      <w:r>
        <w:t xml:space="preserve"> </w:t>
      </w:r>
      <w:r>
        <w:t xml:space="preserve">LL-37 non è autorizzato come medicinale. Lo sviluppo come prodotto per le ferite da parte di un’azienda svedese (con il nome ropocamptide) non è andato, secondo le conoscenze dell’autore, oltre la fase 2. La vendita per l’uso sull’uomo non è consentita.</w:t>
      </w:r>
    </w:p>
    <w:p>
      <w:pPr>
        <w:numPr>
          <w:ilvl w:val="0"/>
          <w:numId w:val="1134"/>
        </w:numPr>
        <w:pStyle w:val="Compact"/>
      </w:pPr>
      <w:r>
        <w:rPr>
          <w:bCs/>
          <w:b/>
        </w:rPr>
        <w:t xml:space="preserve">USA:</w:t>
      </w:r>
      <w:r>
        <w:t xml:space="preserve"> </w:t>
      </w:r>
      <w:r>
        <w:t xml:space="preserve">nessuna autorizzazione FDA.</w:t>
      </w:r>
    </w:p>
    <w:p>
      <w:pPr>
        <w:numPr>
          <w:ilvl w:val="0"/>
          <w:numId w:val="1134"/>
        </w:numPr>
        <w:pStyle w:val="Compact"/>
      </w:pPr>
      <w:r>
        <w:rPr>
          <w:bCs/>
          <w:b/>
        </w:rPr>
        <w:t xml:space="preserve">WADA:</w:t>
      </w:r>
      <w:r>
        <w:t xml:space="preserve"> </w:t>
      </w:r>
      <w:r>
        <w:t xml:space="preserve">non elencato nominalmente; secondo l’autore da classificare nella classe S0 come sostanza non approvata.</w:t>
      </w:r>
    </w:p>
    <w:bookmarkEnd w:id="1118"/>
    <w:bookmarkStart w:id="1119" w:name="studi-in-corso-e-prospettive-19"/>
    <w:p>
      <w:pPr>
        <w:pStyle w:val="Heading3"/>
      </w:pPr>
      <w:r>
        <w:t xml:space="preserve">Studi in corso e prospettive</w:t>
      </w:r>
    </w:p>
    <w:p>
      <w:pPr>
        <w:pStyle w:val="FirstParagraph"/>
      </w:pPr>
      <w:r>
        <w:rPr>
          <w:bCs/>
          <w:b/>
        </w:rPr>
        <w:t xml:space="preserve">Certo:</w:t>
      </w:r>
      <w:r>
        <w:t xml:space="preserve"> </w:t>
      </w:r>
      <w:r>
        <w:t xml:space="preserve">a ottobre 2026 su ClinicalTrials.gov non è registrato alcuno studio in corso in cui LL-37 venga somministrato come principio attivo. Le due voci con LL-37 come principio attivo (melanoma, NCT02225366; ulcera del piede diabetico, NCT04098562) sono concluse o hanno uno stato sconosciuto. Le altre voci di registro misurano LL-37 solo come biomarcatore, per esempio nelle gengive o durante la somministrazione di vitamina D.</w:t>
      </w:r>
    </w:p>
    <w:p>
      <w:pPr>
        <w:pStyle w:val="BodyText"/>
      </w:pPr>
      <w:r>
        <w:rPr>
          <w:bCs/>
          <w:b/>
        </w:rPr>
        <w:t xml:space="preserve">Valutazione dell’autore:</w:t>
      </w:r>
      <w:r>
        <w:t xml:space="preserve"> </w:t>
      </w:r>
      <w:r>
        <w:t xml:space="preserve">LL-37 in quanto tale difficilmente avrà un futuro come farmaco: è troppo instabile, dannoso per le cellule ad alte concentrazioni e gravato da rischi autoimmuni. La ricerca si sta spostando su derivati accorciati o modificati e su modi per aumentarne la produzione endogena. Uno studio sulle ferite nel sottogruppo delle grandi ulcere delle gambe, come quello richiesto dagli autori di HEAL, sarebbe il passo logico successivo; non risulta registrato.</w:t>
      </w:r>
    </w:p>
    <w:bookmarkEnd w:id="1119"/>
    <w:bookmarkStart w:id="1121" w:name="conclusione-19"/>
    <w:p>
      <w:pPr>
        <w:pStyle w:val="Heading3"/>
      </w:pPr>
      <w:r>
        <w:t xml:space="preserve">Conclusione</w:t>
      </w:r>
    </w:p>
    <w:p>
      <w:pPr>
        <w:pStyle w:val="FirstParagraph"/>
      </w:pPr>
      <w:r>
        <w:t xml:space="preserve">LL-37 è un importante peptide di difesa endogeno, il cui livello è stato misurato in molti studi, ma che come principio attivo è stato somministrato all’uomo solo in pochi piccoli studi. Applicato sulle ferite è stato ben tollerato, ma il più grande studio randomizzato con 148 persone non ha trovato alcun vantaggio rispetto al placebo</w:t>
      </w:r>
      <w:r>
        <w:rPr>
          <w:rStyle w:val="FootnoteReference"/>
        </w:rPr>
        <w:footnoteReference w:id="1120"/>
      </w:r>
      <w:r>
        <w:t xml:space="preserve">. Al tempo stesso LL-37 ha un ruolo di motore dell’infiammazione nella psoriasi e nella rosacea, e in un caso documentato un trattamento per iniezione ha provocato marcate alterazioni cutanee. Per gli usi pubblicizzati su internet – per esempio contro infezioni croniche o come stimolante immunitario per iniezione – non esistono studi sull’uomo.</w:t>
      </w:r>
    </w:p>
    <w:bookmarkEnd w:id="1121"/>
    <w:bookmarkEnd w:id="1122"/>
    <w:bookmarkStart w:id="1155" w:name="ara-290-cibinetide"/>
    <w:p>
      <w:pPr>
        <w:pStyle w:val="Heading2"/>
      </w:pPr>
      <w:r>
        <w:t xml:space="preserve">ARA-290 (cibinetide)</w:t>
      </w:r>
    </w:p>
    <w:p>
      <w:pPr>
        <w:pStyle w:val="FirstParagraph"/>
      </w:pPr>
      <w:r>
        <w:t xml:space="preserve">ARA-290 è un peptide artificiale derivato dall’ormone emopoietico eritropoietina (EPO), l’ormone diventato famoso nel ciclismo come sostanza dopante. ARA-290 però non dovrebbe stimolare proprio la produzione di sangue, ma sfruttare solo le proprietà di protezione tissutale dell’EPO. In piccoli studi sul dolore neuropatico nell’ambito della sarcoidosi ha mostrato segnali incoraggianti. Nell’ambiente del biohacking viene ormai offerto come peptide per la «rigenerazione nervosa» e «anti-aging».</w:t>
      </w:r>
    </w:p>
    <w:bookmarkStart w:id="1125" w:name="scheda-20"/>
    <w:p>
      <w:pPr>
        <w:pStyle w:val="Heading3"/>
      </w:pPr>
      <w:r>
        <w:t xml:space="preserve">Scheda</w:t>
      </w:r>
    </w:p>
    <w:p>
      <w:pPr>
        <w:numPr>
          <w:ilvl w:val="0"/>
          <w:numId w:val="1135"/>
        </w:numPr>
        <w:pStyle w:val="Compact"/>
      </w:pPr>
      <w:r>
        <w:rPr>
          <w:bCs/>
          <w:b/>
        </w:rPr>
        <w:t xml:space="preserve">Tipo e struttura:</w:t>
      </w:r>
      <w:r>
        <w:t xml:space="preserve"> </w:t>
      </w:r>
      <w:r>
        <w:t xml:space="preserve">peptide sintetico di 11 aminoacidi</w:t>
      </w:r>
      <w:r>
        <w:rPr>
          <w:rStyle w:val="FootnoteReference"/>
        </w:rPr>
        <w:footnoteReference w:id="1123"/>
      </w:r>
      <w:r>
        <w:t xml:space="preserve">; denominazione del principio attivo cibinetide.</w:t>
      </w:r>
    </w:p>
    <w:p>
      <w:pPr>
        <w:numPr>
          <w:ilvl w:val="0"/>
          <w:numId w:val="1135"/>
        </w:numPr>
        <w:pStyle w:val="Compact"/>
      </w:pPr>
      <w:r>
        <w:rPr>
          <w:bCs/>
          <w:b/>
        </w:rPr>
        <w:t xml:space="preserve">Origine:</w:t>
      </w:r>
      <w:r>
        <w:t xml:space="preserve"> </w:t>
      </w:r>
      <w:r>
        <w:t xml:space="preserve">riprodotto sulla base di una sezione della struttura spaziale dell’eritropoietina che sarebbe responsabile della sua protezione tissutale; sviluppato dall’azienda statunitense Araim Pharmaceuticals.</w:t>
      </w:r>
    </w:p>
    <w:p>
      <w:pPr>
        <w:numPr>
          <w:ilvl w:val="0"/>
          <w:numId w:val="1135"/>
        </w:numPr>
        <w:pStyle w:val="Compact"/>
      </w:pPr>
      <w:r>
        <w:rPr>
          <w:bCs/>
          <w:b/>
        </w:rPr>
        <w:t xml:space="preserve">Principio d’azione:</w:t>
      </w:r>
      <w:r>
        <w:t xml:space="preserve"> </w:t>
      </w:r>
      <w:r>
        <w:t xml:space="preserve">si lega a un cosiddetto «recettore di riparazione innato» (una combinazione del recettore dell’EPO e della subunità recettoriale CD131), non al classico recettore dell’EPO dell’emopoiesi; dovrebbe attenuare le infiammazioni e stimolare la riparazione dei tessuti.</w:t>
      </w:r>
    </w:p>
    <w:p>
      <w:pPr>
        <w:numPr>
          <w:ilvl w:val="0"/>
          <w:numId w:val="1135"/>
        </w:numPr>
        <w:pStyle w:val="Compact"/>
      </w:pPr>
      <w:r>
        <w:rPr>
          <w:bCs/>
          <w:b/>
        </w:rPr>
        <w:t xml:space="preserve">Autorizzazione UE/USA:</w:t>
      </w:r>
      <w:r>
        <w:t xml:space="preserve"> </w:t>
      </w:r>
      <w:r>
        <w:t xml:space="preserve">no.</w:t>
      </w:r>
    </w:p>
    <w:p>
      <w:pPr>
        <w:numPr>
          <w:ilvl w:val="0"/>
          <w:numId w:val="1135"/>
        </w:numPr>
        <w:pStyle w:val="Compact"/>
      </w:pPr>
      <w:r>
        <w:rPr>
          <w:bCs/>
          <w:b/>
        </w:rPr>
        <w:t xml:space="preserve">WADA:</w:t>
      </w:r>
      <w:r>
        <w:t xml:space="preserve"> </w:t>
      </w:r>
      <w:r>
        <w:t xml:space="preserve">vietato – gli agonisti non eritropoietici del recettore dell’EPO come ARA-290 sono citati espressamente nella classe S2; i laboratori antidoping hanno sviluppato metodi di rilevamento</w:t>
      </w:r>
      <w:r>
        <w:rPr>
          <w:rStyle w:val="FootnoteReference"/>
        </w:rPr>
        <w:footnoteReference w:id="1124"/>
      </w:r>
      <w:r>
        <w:t xml:space="preserve">.</w:t>
      </w:r>
    </w:p>
    <w:p>
      <w:pPr>
        <w:numPr>
          <w:ilvl w:val="0"/>
          <w:numId w:val="1135"/>
        </w:numPr>
        <w:pStyle w:val="Compact"/>
      </w:pPr>
      <w:r>
        <w:rPr>
          <w:bCs/>
          <w:b/>
        </w:rPr>
        <w:t xml:space="preserve">Livello di evidenza: B</w:t>
      </w:r>
      <w:r>
        <w:t xml:space="preserve"> </w:t>
      </w:r>
      <w:r>
        <w:t xml:space="preserve">– diversi piccoli studi di fase 2 randomizzati e controllati con placebo; nessuno studio di fase 3.</w:t>
      </w:r>
    </w:p>
    <w:bookmarkEnd w:id="1125"/>
    <w:bookmarkStart w:id="1128" w:name="come-dovrebbe-agire-20"/>
    <w:p>
      <w:pPr>
        <w:pStyle w:val="Heading3"/>
      </w:pPr>
      <w:r>
        <w:t xml:space="preserve">Come dovrebbe agire</w:t>
      </w:r>
    </w:p>
    <w:p>
      <w:pPr>
        <w:pStyle w:val="FirstParagraph"/>
      </w:pPr>
      <w:r>
        <w:t xml:space="preserve">L’eritropoietina viene prodotta nel rene e stimola nel midollo osseo la produzione di globuli rossi. Negli anni Duemila esperimenti sugli animali mostrarono che l’EPO può inoltre proteggere nervi, cuore e reni dai danni. Come farmaco per questo scopo l’EPO non è però adatta: aumenta il numero di globuli rossi, rende il sangue più denso e accresce il rischio di trombosi.</w:t>
      </w:r>
    </w:p>
    <w:p>
      <w:pPr>
        <w:pStyle w:val="BodyText"/>
      </w:pPr>
      <w:r>
        <w:t xml:space="preserve">Gli sviluppatori di ARA-290 ipotizzarono che l’effetto protettivo passasse attraverso un recettore diverso da quello dell’emopoiesi. Questo «recettore di riparazione» viene prodotto in quantità maggiore solo in caso di danno tissutale o infiammazione. ARA-290 dovrebbe attivare in modo mirato solo questo. Nei ratti con lesione nervosa ha ridotto in modo dose-dipendente l’ipersensibilità al tatto e al freddo fino a 20 settimane e attenuato l’attivazione delle cellule immunitarie nel midollo spinale</w:t>
      </w:r>
      <w:r>
        <w:rPr>
          <w:rStyle w:val="FootnoteReference"/>
        </w:rPr>
        <w:footnoteReference w:id="1126"/>
      </w:r>
      <w:r>
        <w:t xml:space="preserve">.</w:t>
      </w:r>
    </w:p>
    <w:p>
      <w:pPr>
        <w:pStyle w:val="BodyText"/>
      </w:pPr>
      <w:r>
        <w:t xml:space="preserve">ARA-290 viene degradato rapidamente nel sangue; un laboratorio antidoping ha descritto una marcata degradazione enzimatica con un prodotto di degradazione principale</w:t>
      </w:r>
      <w:r>
        <w:rPr>
          <w:rStyle w:val="FootnoteReference"/>
        </w:rPr>
        <w:footnoteReference w:id="1127"/>
      </w:r>
      <w:r>
        <w:t xml:space="preserve">.</w:t>
      </w:r>
    </w:p>
    <w:bookmarkEnd w:id="1128"/>
    <w:bookmarkStart w:id="1137" w:name="studi-sulluomo-20"/>
    <w:p>
      <w:pPr>
        <w:pStyle w:val="Heading3"/>
      </w:pPr>
      <w:r>
        <w:t xml:space="preserve">Studi sull’uomo</w:t>
      </w:r>
    </w:p>
    <w:p>
      <w:pPr>
        <w:pStyle w:val="FirstParagraph"/>
      </w:pPr>
      <w:r>
        <w:rPr>
          <w:bCs/>
          <w:b/>
        </w:rPr>
        <w:t xml:space="preserve">Dimensioni della letteratura (ricerca di ottobre 2026):</w:t>
      </w:r>
      <w:r>
        <w:t xml:space="preserve"> </w:t>
      </w:r>
      <w:r>
        <w:t xml:space="preserve">la ricerca automatizzata ha trovato</w:t>
      </w:r>
      <w:r>
        <w:t xml:space="preserve"> </w:t>
      </w:r>
      <w:r>
        <w:rPr>
          <w:bCs/>
          <w:b/>
        </w:rPr>
        <w:t xml:space="preserve">5</w:t>
      </w:r>
      <w:r>
        <w:t xml:space="preserve"> </w:t>
      </w:r>
      <w:r>
        <w:t xml:space="preserve">studi sull’uomo su PubMed e</w:t>
      </w:r>
      <w:r>
        <w:t xml:space="preserve"> </w:t>
      </w:r>
      <w:r>
        <w:rPr>
          <w:bCs/>
          <w:b/>
        </w:rPr>
        <w:t xml:space="preserve">5</w:t>
      </w:r>
      <w:r>
        <w:t xml:space="preserve"> </w:t>
      </w:r>
      <w:r>
        <w:t xml:space="preserve">voci su ClinicalTrials.gov. Un ulteriore studio (edema maculare diabetico) è stato cercato in modo mirato. Tutti gli studi sono piccoli e sono durati da quattro a dodici settimane.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Sarcoidosi, studio pilota (Heij 2012, PMID 23168581)</w:t>
            </w:r>
          </w:p>
        </w:tc>
        <w:tc>
          <w:tcPr/>
          <w:p>
            <w:pPr>
              <w:pStyle w:val="Compact"/>
              <w:jc w:val="left"/>
            </w:pPr>
            <w:r>
              <w:t xml:space="preserve">22 persone con dolore neuropatico da sarcoidosi, RCT in doppio cieco, infusione</w:t>
            </w:r>
          </w:p>
        </w:tc>
        <w:tc>
          <w:tcPr/>
          <w:p>
            <w:pPr>
              <w:pStyle w:val="Compact"/>
              <w:jc w:val="left"/>
            </w:pPr>
            <w:r>
              <w:t xml:space="preserve">4 settimane</w:t>
            </w:r>
          </w:p>
        </w:tc>
        <w:tc>
          <w:tcPr/>
          <w:p>
            <w:pPr>
              <w:pStyle w:val="Compact"/>
              <w:jc w:val="left"/>
            </w:pPr>
            <w:r>
              <w:t xml:space="preserve">questionario sulla neuropatia −11,5 vs. −2,9 punti; scala principale del dolore migliorata in egual misura nei due gruppi</w:t>
            </w:r>
          </w:p>
        </w:tc>
      </w:tr>
      <w:tr>
        <w:tc>
          <w:tcPr/>
          <w:p>
            <w:pPr>
              <w:pStyle w:val="Compact"/>
              <w:jc w:val="left"/>
            </w:pPr>
            <w:r>
              <w:t xml:space="preserve">Sarcoidosi, iniezione sottocutanea (Dahan 2013, PMID 24136731)</w:t>
            </w:r>
          </w:p>
        </w:tc>
        <w:tc>
          <w:tcPr/>
          <w:p>
            <w:pPr>
              <w:pStyle w:val="Compact"/>
              <w:jc w:val="left"/>
            </w:pPr>
            <w:r>
              <w:t xml:space="preserve">persone con perdita di fibre nervose da sarcoidosi, studio in cieco controllato con placebo</w:t>
            </w:r>
          </w:p>
        </w:tc>
        <w:tc>
          <w:tcPr/>
          <w:p>
            <w:pPr>
              <w:pStyle w:val="Compact"/>
              <w:jc w:val="left"/>
            </w:pPr>
            <w:r>
              <w:t xml:space="preserve">28 giorni</w:t>
            </w:r>
          </w:p>
        </w:tc>
        <w:tc>
          <w:tcPr/>
          <w:p>
            <w:pPr>
              <w:pStyle w:val="Compact"/>
              <w:jc w:val="left"/>
            </w:pPr>
            <w:r>
              <w:t xml:space="preserve">miglioramento dei disturbi, più fibre nervose nella cornea, distanza percorsa a piedi maggiore</w:t>
            </w:r>
          </w:p>
        </w:tc>
      </w:tr>
      <w:tr>
        <w:tc>
          <w:tcPr/>
          <w:p>
            <w:pPr>
              <w:pStyle w:val="Compact"/>
              <w:jc w:val="left"/>
            </w:pPr>
            <w:r>
              <w:t xml:space="preserve">Sarcoidosi, fase 2b (Culver 2017, PMID 28475703; NCT02039687)</w:t>
            </w:r>
          </w:p>
        </w:tc>
        <w:tc>
          <w:tcPr/>
          <w:p>
            <w:pPr>
              <w:pStyle w:val="Compact"/>
              <w:jc w:val="left"/>
            </w:pPr>
            <w:r>
              <w:t xml:space="preserve">64 persone, RCT con tre dosi e placebo</w:t>
            </w:r>
          </w:p>
        </w:tc>
        <w:tc>
          <w:tcPr/>
          <w:p>
            <w:pPr>
              <w:pStyle w:val="Compact"/>
              <w:jc w:val="left"/>
            </w:pPr>
            <w:r>
              <w:t xml:space="preserve">28 giorni</w:t>
            </w:r>
          </w:p>
        </w:tc>
        <w:tc>
          <w:tcPr/>
          <w:p>
            <w:pPr>
              <w:pStyle w:val="Compact"/>
              <w:jc w:val="left"/>
            </w:pPr>
            <w:r>
              <w:t xml:space="preserve">area delle fibre nervose corneali aumentata in modo significativo solo con la dose intermedia; dolore migliorato in tutti i gruppi, placebo compreso</w:t>
            </w:r>
          </w:p>
        </w:tc>
      </w:tr>
      <w:tr>
        <w:tc>
          <w:tcPr/>
          <w:p>
            <w:pPr>
              <w:pStyle w:val="Compact"/>
              <w:jc w:val="left"/>
            </w:pPr>
            <w:r>
              <w:t xml:space="preserve">Diabete di tipo 2 con neuropatia (Brines 2015, PMID 25387363)</w:t>
            </w:r>
          </w:p>
        </w:tc>
        <w:tc>
          <w:tcPr/>
          <w:p>
            <w:pPr>
              <w:pStyle w:val="Compact"/>
              <w:jc w:val="left"/>
            </w:pPr>
            <w:r>
              <w:t xml:space="preserve">persone con diabete di tipo 2 e dolore neuropatico, fase 2, contro placebo</w:t>
            </w:r>
          </w:p>
        </w:tc>
        <w:tc>
          <w:tcPr/>
          <w:p>
            <w:pPr>
              <w:pStyle w:val="Compact"/>
              <w:jc w:val="left"/>
            </w:pPr>
            <w:r>
              <w:t xml:space="preserve">28 giorni più 28 giorni</w:t>
            </w:r>
          </w:p>
        </w:tc>
        <w:tc>
          <w:tcPr/>
          <w:p>
            <w:pPr>
              <w:pStyle w:val="Compact"/>
              <w:jc w:val="left"/>
            </w:pPr>
            <w:r>
              <w:t xml:space="preserve">HbA1c e lipidi ematici migliorati, questionario sulla neuropatia migliore</w:t>
            </w:r>
          </w:p>
        </w:tc>
      </w:tr>
      <w:tr>
        <w:tc>
          <w:tcPr/>
          <w:p>
            <w:pPr>
              <w:pStyle w:val="Compact"/>
              <w:jc w:val="left"/>
            </w:pPr>
            <w:r>
              <w:t xml:space="preserve">Edema maculare diabetico (Lois 2020, PMID 32674280)</w:t>
            </w:r>
          </w:p>
        </w:tc>
        <w:tc>
          <w:tcPr/>
          <w:p>
            <w:pPr>
              <w:pStyle w:val="Compact"/>
              <w:jc w:val="left"/>
            </w:pPr>
            <w:r>
              <w:t xml:space="preserve">9 persone, fase 2 senza gruppo di controllo</w:t>
            </w:r>
          </w:p>
        </w:tc>
        <w:tc>
          <w:tcPr/>
          <w:p>
            <w:pPr>
              <w:pStyle w:val="Compact"/>
              <w:jc w:val="left"/>
            </w:pPr>
            <w:r>
              <w:t xml:space="preserve">12 settimane</w:t>
            </w:r>
          </w:p>
        </w:tc>
        <w:tc>
          <w:tcPr/>
          <w:p>
            <w:pPr>
              <w:pStyle w:val="Compact"/>
              <w:jc w:val="left"/>
            </w:pPr>
            <w:r>
              <w:t xml:space="preserve">nessun miglioramento di acuità visiva o spessore retinico; nessun anticorpo contro il principio attivo</w:t>
            </w:r>
          </w:p>
        </w:tc>
      </w:tr>
      <w:tr>
        <w:tc>
          <w:tcPr/>
          <w:p>
            <w:pPr>
              <w:pStyle w:val="Compact"/>
              <w:jc w:val="left"/>
            </w:pPr>
            <w:r>
              <w:t xml:space="preserve">Sani, umore (Cerit 2015, PMID 26431906)</w:t>
            </w:r>
          </w:p>
        </w:tc>
        <w:tc>
          <w:tcPr/>
          <w:p>
            <w:pPr>
              <w:pStyle w:val="Compact"/>
              <w:jc w:val="left"/>
            </w:pPr>
            <w:r>
              <w:t xml:space="preserve">36 sani, RCT in doppio cieco, dose singola</w:t>
            </w:r>
          </w:p>
        </w:tc>
        <w:tc>
          <w:tcPr/>
          <w:p>
            <w:pPr>
              <w:pStyle w:val="Compact"/>
              <w:jc w:val="left"/>
            </w:pPr>
            <w:r>
              <w:t xml:space="preserve">1 settimana</w:t>
            </w:r>
          </w:p>
        </w:tc>
        <w:tc>
          <w:tcPr/>
          <w:p>
            <w:pPr>
              <w:pStyle w:val="Compact"/>
              <w:jc w:val="left"/>
            </w:pPr>
            <w:r>
              <w:t xml:space="preserve">nessun effetto sull’umore; i risultati non depongono in modo univoco per un effetto antidepressivo</w:t>
            </w:r>
          </w:p>
        </w:tc>
      </w:tr>
    </w:tbl>
    <w:bookmarkStart w:id="1132" w:name="sarcoidosi-lambito-di-impiego-principale"/>
    <w:p>
      <w:pPr>
        <w:pStyle w:val="Heading4"/>
      </w:pPr>
      <w:r>
        <w:t xml:space="preserve">Sarcoidosi: l’ambito di impiego principale</w:t>
      </w:r>
    </w:p>
    <w:p>
      <w:pPr>
        <w:pStyle w:val="FirstParagraph"/>
      </w:pPr>
      <w:r>
        <w:t xml:space="preserve">La sarcoidosi è una malattia infiammatoria in cui nei polmoni, nella pelle, negli occhi e in altri organi si formano piccoli noduli. Molte persone colpite soffrono di dolori brucianti e sensazioni anomale dovuti al danno delle fibre nervose sottili (neuropatia delle piccole fibre). Trattamenti efficaci quasi non esistono.</w:t>
      </w:r>
    </w:p>
    <w:p>
      <w:pPr>
        <w:pStyle w:val="BodyText"/>
      </w:pPr>
      <w:r>
        <w:t xml:space="preserve">Nel primo studio pilota con 22 persone un questionario sui disturbi neuropatici è migliorato con ARA-290 molto più che con il placebo. I valori del questionario principale sul dolore e sulla stanchezza sono però migliorati in egual misura nei due gruppi: un indizio di un notevole effetto placebo</w:t>
      </w:r>
      <w:r>
        <w:rPr>
          <w:rStyle w:val="FootnoteReference"/>
        </w:rPr>
        <w:footnoteReference w:id="1129"/>
      </w:r>
      <w:r>
        <w:t xml:space="preserve">.</w:t>
      </w:r>
    </w:p>
    <w:p>
      <w:pPr>
        <w:pStyle w:val="BodyText"/>
      </w:pPr>
      <w:r>
        <w:t xml:space="preserve">Lo studio più grande, uno studio di fase 2b con 64 persone, ha scelto come endpoint primario l’area delle fibre nervose sottili nella cornea dell’occhio, misurabile con un microscopio speciale. Solo con la dose intermedia delle tre quest’area è aumentata in modo significativo rispetto al placebo; la dose bassa e quella alta non hanno mostrato un effetto significativo. I dolori sono migliorati in tutti i gruppi, anche con il placebo</w:t>
      </w:r>
      <w:r>
        <w:rPr>
          <w:rStyle w:val="FootnoteReference"/>
        </w:rPr>
        <w:footnoteReference w:id="1130"/>
      </w:r>
      <w:r>
        <w:t xml:space="preserve">. Le fibre nervose corneali sono un marcatore sostitutivo (endpoint surrogato): che più fibre nervose nella cornea significhino anche meno dolore in modo duraturo non è dimostrato.</w:t>
      </w:r>
    </w:p>
    <w:p>
      <w:pPr>
        <w:pStyle w:val="BodyText"/>
      </w:pPr>
      <w:r>
        <w:t xml:space="preserve">Una revisione di membri del gruppo di ricerca di Leida ha giudicato promettenti le prospettive</w:t>
      </w:r>
      <w:r>
        <w:rPr>
          <w:rStyle w:val="FootnoteReference"/>
        </w:rPr>
        <w:footnoteReference w:id="1131"/>
      </w:r>
      <w:r>
        <w:t xml:space="preserve">. Va considerato che gran parte degli studi proviene dall’azienda sviluppatrice e da ricercatori strettamente legati a essa.</w:t>
      </w:r>
    </w:p>
    <w:bookmarkEnd w:id="1132"/>
    <w:bookmarkStart w:id="1136" w:name="diabete"/>
    <w:p>
      <w:pPr>
        <w:pStyle w:val="Heading4"/>
      </w:pPr>
      <w:r>
        <w:t xml:space="preserve">Diabete</w:t>
      </w:r>
    </w:p>
    <w:p>
      <w:pPr>
        <w:pStyle w:val="FirstParagraph"/>
      </w:pPr>
      <w:r>
        <w:t xml:space="preserve">Nelle persone con diabete di tipo 2 e neuropatia dolorosa, con ARA-290 sono migliorati in 28 giorni l’emoglobina glicata HbA1c, i lipidi ematici e i disturbi neuropatici</w:t>
      </w:r>
      <w:r>
        <w:rPr>
          <w:rStyle w:val="FootnoteReference"/>
        </w:rPr>
        <w:footnoteReference w:id="1133"/>
      </w:r>
      <w:r>
        <w:t xml:space="preserve">. Il numero di partecipanti non è indicato nell’abstract; lo studio era breve. Uno studio svedese registrato separatamente sull’effetto glicemico nel prediabete, con 24 persone previste, ha uno stato sconosciuto</w:t>
      </w:r>
      <w:r>
        <w:rPr>
          <w:rStyle w:val="FootnoteReference"/>
        </w:rPr>
        <w:footnoteReference w:id="1134"/>
      </w:r>
      <w:r>
        <w:t xml:space="preserve">. In nove persone con edema maculare diabetico – un rigonfiamento del centro della retina – acuità visiva e spessore retinico non sono migliorati</w:t>
      </w:r>
      <w:r>
        <w:rPr>
          <w:rStyle w:val="FootnoteReference"/>
        </w:rPr>
        <w:footnoteReference w:id="1135"/>
      </w:r>
      <w:r>
        <w:t xml:space="preserve">.</w:t>
      </w:r>
    </w:p>
    <w:bookmarkEnd w:id="1136"/>
    <w:bookmarkEnd w:id="1137"/>
    <w:bookmarkStart w:id="1143" w:name="studi-su-animali-e-in-laboratorio-20"/>
    <w:p>
      <w:pPr>
        <w:pStyle w:val="Heading3"/>
      </w:pPr>
      <w:r>
        <w:t xml:space="preserve">Studi su animali e in laboratorio</w:t>
      </w:r>
    </w:p>
    <w:p>
      <w:pPr>
        <w:pStyle w:val="FirstParagraph"/>
      </w:pPr>
      <w:r>
        <w:t xml:space="preserve">La ricerca sugli animali su ARA-290 è ampia. In ratti, topi e maiali sono stati descritti effetti protettivi nel dolore neuropatico</w:t>
      </w:r>
      <w:r>
        <w:rPr>
          <w:rStyle w:val="FootnoteReference"/>
        </w:rPr>
        <w:footnoteReference w:id="1138"/>
      </w:r>
      <w:r>
        <w:t xml:space="preserve">, nei danni renali dopo un disturbo circolatorio nei maiali</w:t>
      </w:r>
      <w:r>
        <w:rPr>
          <w:rStyle w:val="FootnoteReference"/>
        </w:rPr>
        <w:footnoteReference w:id="1139"/>
      </w:r>
      <w:r>
        <w:t xml:space="preserve">, nel diabete nei ratti</w:t>
      </w:r>
      <w:r>
        <w:rPr>
          <w:rStyle w:val="FootnoteReference"/>
        </w:rPr>
        <w:footnoteReference w:id="1140"/>
      </w:r>
      <w:r>
        <w:t xml:space="preserve"> </w:t>
      </w:r>
      <w:r>
        <w:t xml:space="preserve">e in alterazioni simili a quelle dell’Alzheimer</w:t>
      </w:r>
      <w:r>
        <w:rPr>
          <w:rStyle w:val="FootnoteReference"/>
        </w:rPr>
        <w:footnoteReference w:id="1141"/>
      </w:r>
      <w:r>
        <w:t xml:space="preserve">. In uno studio a lungo termine su ratti anziani per 15 mesi ARA-290 ha ridotto i segni di infiammazione nel cuore e attenuato i peggioramenti della funzione cardiaca legati all’età</w:t>
      </w:r>
      <w:r>
        <w:rPr>
          <w:rStyle w:val="FootnoteReference"/>
        </w:rPr>
        <w:footnoteReference w:id="1142"/>
      </w:r>
      <w:r>
        <w:t xml:space="preserve">: su questo lavoro si basa la commercializzazione come «peptide anti-aging». Tutti questi risultati provengono da esperimenti sugli animali.</w:t>
      </w:r>
    </w:p>
    <w:bookmarkEnd w:id="1143"/>
    <w:bookmarkStart w:id="1148" w:name="rischi-ed-effetti-collaterali-20"/>
    <w:p>
      <w:pPr>
        <w:pStyle w:val="Heading3"/>
      </w:pPr>
      <w:r>
        <w:t xml:space="preserve">Rischi ed effetti collaterali</w:t>
      </w:r>
    </w:p>
    <w:bookmarkStart w:id="1146" w:name="documentati-4"/>
    <w:p>
      <w:pPr>
        <w:pStyle w:val="Heading4"/>
      </w:pPr>
      <w:r>
        <w:t xml:space="preserve">Documentati</w:t>
      </w:r>
    </w:p>
    <w:p>
      <w:pPr>
        <w:pStyle w:val="FirstParagraph"/>
      </w:pPr>
      <w:r>
        <w:t xml:space="preserve">In tutti gli studi pubblicati non sono stati riferiti problemi di sicurezza</w:t>
      </w:r>
      <w:r>
        <w:rPr>
          <w:rStyle w:val="FootnoteReference"/>
        </w:rPr>
        <w:footnoteReference w:id="1144"/>
      </w:r>
      <w:r>
        <w:t xml:space="preserve">. Nello studio sull’edema maculare, durato dodici settimane, non si sono verificati effetti collaterali gravi né anticorpi contro ARA-290</w:t>
      </w:r>
      <w:r>
        <w:rPr>
          <w:rStyle w:val="FootnoteReference"/>
        </w:rPr>
        <w:footnoteReference w:id="1145"/>
      </w:r>
      <w:r>
        <w:t xml:space="preserve">. La base di dati è però piccola, con complessivamente molto meno di 200 persone trattate e durate di trattamento al massimo di dodici settimane.</w:t>
      </w:r>
    </w:p>
    <w:bookmarkEnd w:id="1146"/>
    <w:bookmarkStart w:id="1147" w:name="teorici-1"/>
    <w:p>
      <w:pPr>
        <w:pStyle w:val="Heading4"/>
      </w:pPr>
      <w:r>
        <w:t xml:space="preserve">Teorici</w:t>
      </w:r>
    </w:p>
    <w:p>
      <w:pPr>
        <w:numPr>
          <w:ilvl w:val="0"/>
          <w:numId w:val="1136"/>
        </w:numPr>
        <w:pStyle w:val="Compact"/>
      </w:pPr>
      <w:r>
        <w:rPr>
          <w:bCs/>
          <w:b/>
        </w:rPr>
        <w:t xml:space="preserve">Effetti simili all’EPO:</w:t>
      </w:r>
      <w:r>
        <w:t xml:space="preserve"> </w:t>
      </w:r>
      <w:r>
        <w:t xml:space="preserve">ARA-290 è stato progettato in modo da non stimolare l’emopoiesi. Se con un uso più prolungato o dosi più alte, come quelle che circolano sul mercato grigio, si verifichino comunque effetti simili all’EPO non è stato studiato nell’uomo.</w:t>
      </w:r>
    </w:p>
    <w:p>
      <w:pPr>
        <w:numPr>
          <w:ilvl w:val="0"/>
          <w:numId w:val="1136"/>
        </w:numPr>
        <w:pStyle w:val="Compact"/>
      </w:pPr>
      <w:r>
        <w:rPr>
          <w:bCs/>
          <w:b/>
        </w:rPr>
        <w:t xml:space="preserve">Crescita tumorale:</w:t>
      </w:r>
      <w:r>
        <w:t xml:space="preserve"> </w:t>
      </w:r>
      <w:r>
        <w:t xml:space="preserve">l’EPO stessa è sospettata di favorire la crescita tumorale in alcune malattie oncologiche. Se ciò abbia un ruolo per ARA-290 non è noto; mancano dati a lungo termine.</w:t>
      </w:r>
    </w:p>
    <w:p>
      <w:pPr>
        <w:numPr>
          <w:ilvl w:val="0"/>
          <w:numId w:val="1136"/>
        </w:numPr>
        <w:pStyle w:val="Compact"/>
      </w:pPr>
      <w:r>
        <w:rPr>
          <w:bCs/>
          <w:b/>
        </w:rPr>
        <w:t xml:space="preserve">Mercato grigio:</w:t>
      </w:r>
      <w:r>
        <w:t xml:space="preserve"> </w:t>
      </w:r>
      <w:r>
        <w:t xml:space="preserve">gli studi sono stati condotti con qualità farmaceutica. Per i prodotti in libera vendita purezza e contenuto sono sconosciuti.</w:t>
      </w:r>
    </w:p>
    <w:bookmarkEnd w:id="1147"/>
    <w:bookmarkEnd w:id="1148"/>
    <w:bookmarkStart w:id="1149" w:name="quadro-normativo-20"/>
    <w:p>
      <w:pPr>
        <w:pStyle w:val="Heading3"/>
      </w:pPr>
      <w:r>
        <w:t xml:space="preserve">Quadro normativo</w:t>
      </w:r>
    </w:p>
    <w:p>
      <w:pPr>
        <w:pStyle w:val="FirstParagraph"/>
      </w:pPr>
      <w:r>
        <w:rPr>
          <w:iCs/>
          <w:i/>
        </w:rPr>
        <w:t xml:space="preserve">Aggiornato al 2026, da verificare.</w:t>
      </w:r>
    </w:p>
    <w:p>
      <w:pPr>
        <w:numPr>
          <w:ilvl w:val="0"/>
          <w:numId w:val="1137"/>
        </w:numPr>
        <w:pStyle w:val="Compact"/>
      </w:pPr>
      <w:r>
        <w:rPr>
          <w:bCs/>
          <w:b/>
        </w:rPr>
        <w:t xml:space="preserve">UE, Germania, Austria:</w:t>
      </w:r>
      <w:r>
        <w:t xml:space="preserve"> </w:t>
      </w:r>
      <w:r>
        <w:t xml:space="preserve">non autorizzato. La cessione per l’uso sull’uomo non è consentita.</w:t>
      </w:r>
    </w:p>
    <w:p>
      <w:pPr>
        <w:numPr>
          <w:ilvl w:val="0"/>
          <w:numId w:val="1137"/>
        </w:numPr>
        <w:pStyle w:val="Compact"/>
      </w:pPr>
      <w:r>
        <w:rPr>
          <w:bCs/>
          <w:b/>
        </w:rPr>
        <w:t xml:space="preserve">USA:</w:t>
      </w:r>
      <w:r>
        <w:t xml:space="preserve"> </w:t>
      </w:r>
      <w:r>
        <w:t xml:space="preserve">nessuna autorizzazione FDA.</w:t>
      </w:r>
    </w:p>
    <w:p>
      <w:pPr>
        <w:numPr>
          <w:ilvl w:val="0"/>
          <w:numId w:val="1137"/>
        </w:numPr>
        <w:pStyle w:val="Compact"/>
      </w:pPr>
      <w:r>
        <w:rPr>
          <w:bCs/>
          <w:b/>
        </w:rPr>
        <w:t xml:space="preserve">WADA:</w:t>
      </w:r>
      <w:r>
        <w:t xml:space="preserve"> </w:t>
      </w:r>
      <w:r>
        <w:t xml:space="preserve">vietato in gara e fuori gara (S2, ormoni peptidici e sostanze correlate; ARA-290 è citato come esempio di agonista non eritropoietico del recettore dell’EPO).</w:t>
      </w:r>
    </w:p>
    <w:bookmarkEnd w:id="1149"/>
    <w:bookmarkStart w:id="1152" w:name="studi-in-corso-e-prospettive-20"/>
    <w:p>
      <w:pPr>
        <w:pStyle w:val="Heading3"/>
      </w:pPr>
      <w:r>
        <w:t xml:space="preserve">Studi in corso e prospettive</w:t>
      </w:r>
    </w:p>
    <w:p>
      <w:pPr>
        <w:pStyle w:val="FirstParagraph"/>
      </w:pPr>
      <w:r>
        <w:rPr>
          <w:bCs/>
          <w:b/>
        </w:rPr>
        <w:t xml:space="preserve">Certo:</w:t>
      </w:r>
      <w:r>
        <w:t xml:space="preserve"> </w:t>
      </w:r>
      <w:r>
        <w:t xml:space="preserve">a ottobre 2026 su ClinicalTrials.gov non è registrato alcuno studio in corso con ARA-290 o cibinetide. Lo studio finora più grande</w:t>
      </w:r>
      <w:r>
        <w:rPr>
          <w:rStyle w:val="FootnoteReference"/>
        </w:rPr>
        <w:footnoteReference w:id="1150"/>
      </w:r>
      <w:r>
        <w:t xml:space="preserve"> </w:t>
      </w:r>
      <w:r>
        <w:t xml:space="preserve">è stato concluso nel 2015; da allora non è stato avviato alcuno studio di fase 3. Lo studio sull’edema maculare è stato concluso con nove persone</w:t>
      </w:r>
      <w:r>
        <w:rPr>
          <w:rStyle w:val="FootnoteReference"/>
        </w:rPr>
        <w:footnoteReference w:id="1151"/>
      </w:r>
      <w:r>
        <w:t xml:space="preserve">.</w:t>
      </w:r>
    </w:p>
    <w:p>
      <w:pPr>
        <w:pStyle w:val="BodyText"/>
      </w:pPr>
      <w:r>
        <w:rPr>
          <w:bCs/>
          <w:b/>
        </w:rPr>
        <w:t xml:space="preserve">Valutazione dell’autore:</w:t>
      </w:r>
      <w:r>
        <w:t xml:space="preserve"> </w:t>
      </w:r>
      <w:r>
        <w:t xml:space="preserve">i risultati nella neuropatia da sarcoidosi erano abbastanza interessanti per uno studio di fase 3, che però a oltre dieci anni dallo studio di fase 2b non risulta avviato. Senza un nuovo sviluppatore o finanziatore un’autorizzazione è improbabile. La commercializzazione sul mercato grigio come rimedio anti-aging si basa su studi sui ratti e ha poco a che fare con gli impieghi studiati nell’uomo.</w:t>
      </w:r>
    </w:p>
    <w:bookmarkEnd w:id="1152"/>
    <w:bookmarkStart w:id="1154" w:name="conclusione-20"/>
    <w:p>
      <w:pPr>
        <w:pStyle w:val="Heading3"/>
      </w:pPr>
      <w:r>
        <w:t xml:space="preserve">Conclusione</w:t>
      </w:r>
    </w:p>
    <w:p>
      <w:pPr>
        <w:pStyle w:val="FirstParagraph"/>
      </w:pPr>
      <w:r>
        <w:t xml:space="preserve">ARA-290 è un peptide derivato dall’eritropoietina che dovrebbe proteggere i tessuti senza stimolare l’emopoiesi. In piccoli studi randomizzati sul danno nervoso da sarcoidosi le fibre nervose nella cornea sono aumentate, ma solo con una delle tre dosi, e i dolori sono migliorati nettamente anche con il placebo</w:t>
      </w:r>
      <w:r>
        <w:rPr>
          <w:rStyle w:val="FootnoteReference"/>
        </w:rPr>
        <w:footnoteReference w:id="1153"/>
      </w:r>
      <w:r>
        <w:t xml:space="preserve">. La tollerabilità negli studi brevi è stata buona, mancano dati a lungo termine. Dal 2015 non ci sono nuovi studi registrati; nello sport ARA-290 è vietato.</w:t>
      </w:r>
    </w:p>
    <w:bookmarkEnd w:id="1154"/>
    <w:bookmarkEnd w:id="1155"/>
    <w:bookmarkStart w:id="1193" w:name="larazotide"/>
    <w:p>
      <w:pPr>
        <w:pStyle w:val="Heading2"/>
      </w:pPr>
      <w:r>
        <w:t xml:space="preserve">Larazotide</w:t>
      </w:r>
    </w:p>
    <w:p>
      <w:pPr>
        <w:pStyle w:val="FirstParagraph"/>
      </w:pPr>
      <w:r>
        <w:t xml:space="preserve">Larazotide è l’unico peptide di questo gruppo arrivato fino a uno studio registrativo di fase 3 senza essere stato prima autorizzato da qualche parte. Doveva diventare il primo farmaco contro la celiachia, una malattia per la quale ancora oggi l’unico rimedio è la dieta senza glutine per tutta la vita. Il concetto alla base, la sigillatura di una parete intestinale «permeabile», rende larazotide interessante anche per l’ambiente che ruota attorno al «leaky gut». La storia di questo principio attivo mostra quanto sia difficile trasformare un’idea plausibile in un farmaco efficace.</w:t>
      </w:r>
    </w:p>
    <w:bookmarkStart w:id="1157" w:name="scheda-21"/>
    <w:p>
      <w:pPr>
        <w:pStyle w:val="Heading3"/>
      </w:pPr>
      <w:r>
        <w:t xml:space="preserve">Scheda</w:t>
      </w:r>
    </w:p>
    <w:p>
      <w:pPr>
        <w:numPr>
          <w:ilvl w:val="0"/>
          <w:numId w:val="1138"/>
        </w:numPr>
        <w:pStyle w:val="Compact"/>
      </w:pPr>
      <w:r>
        <w:rPr>
          <w:bCs/>
          <w:b/>
        </w:rPr>
        <w:t xml:space="preserve">Tipo e struttura:</w:t>
      </w:r>
      <w:r>
        <w:t xml:space="preserve"> </w:t>
      </w:r>
      <w:r>
        <w:t xml:space="preserve">peptide sintetico di 8 aminoacidi</w:t>
      </w:r>
      <w:r>
        <w:rPr>
          <w:rStyle w:val="FootnoteReference"/>
        </w:rPr>
        <w:footnoteReference w:id="1156"/>
      </w:r>
      <w:r>
        <w:t xml:space="preserve">, come sale acetato (larazotide acetato); codice di sviluppo AT-1001.</w:t>
      </w:r>
    </w:p>
    <w:p>
      <w:pPr>
        <w:numPr>
          <w:ilvl w:val="0"/>
          <w:numId w:val="1138"/>
        </w:numPr>
        <w:pStyle w:val="Compact"/>
      </w:pPr>
      <w:r>
        <w:rPr>
          <w:bCs/>
          <w:b/>
        </w:rPr>
        <w:t xml:space="preserve">Origine:</w:t>
      </w:r>
      <w:r>
        <w:t xml:space="preserve"> </w:t>
      </w:r>
      <w:r>
        <w:t xml:space="preserve">derivato dalla ricerca sulla tossina zonula occludens del batterio del colera, che apre le giunzioni tra le cellule intestinali; larazotide dovrebbe agire in senso opposto.</w:t>
      </w:r>
    </w:p>
    <w:p>
      <w:pPr>
        <w:numPr>
          <w:ilvl w:val="0"/>
          <w:numId w:val="1138"/>
        </w:numPr>
        <w:pStyle w:val="Compact"/>
      </w:pPr>
      <w:r>
        <w:rPr>
          <w:bCs/>
          <w:b/>
        </w:rPr>
        <w:t xml:space="preserve">Principio d’azione:</w:t>
      </w:r>
      <w:r>
        <w:t xml:space="preserve"> </w:t>
      </w:r>
      <w:r>
        <w:t xml:space="preserve">regolatore delle «tight junction» (giunzioni serrate tra le cellule intestinali); è considerato un antagonista della sostanza di segnalazione endogena zonulina. Agisce localmente nell’intestino e viene assorbito pochissimo nel sangue.</w:t>
      </w:r>
    </w:p>
    <w:p>
      <w:pPr>
        <w:numPr>
          <w:ilvl w:val="0"/>
          <w:numId w:val="1138"/>
        </w:numPr>
        <w:pStyle w:val="Compact"/>
      </w:pPr>
      <w:r>
        <w:rPr>
          <w:bCs/>
          <w:b/>
        </w:rPr>
        <w:t xml:space="preserve">Autorizzazione UE/USA:</w:t>
      </w:r>
      <w:r>
        <w:t xml:space="preserve"> </w:t>
      </w:r>
      <w:r>
        <w:t xml:space="preserve">no.</w:t>
      </w:r>
    </w:p>
    <w:p>
      <w:pPr>
        <w:numPr>
          <w:ilvl w:val="0"/>
          <w:numId w:val="1138"/>
        </w:numPr>
        <w:pStyle w:val="Compact"/>
      </w:pPr>
      <w:r>
        <w:rPr>
          <w:bCs/>
          <w:b/>
        </w:rPr>
        <w:t xml:space="preserve">WADA:</w:t>
      </w:r>
      <w:r>
        <w:t xml:space="preserve"> </w:t>
      </w:r>
      <w:r>
        <w:t xml:space="preserve">non elencato; senza un riconoscibile effetto di miglioramento della prestazione.</w:t>
      </w:r>
    </w:p>
    <w:p>
      <w:pPr>
        <w:numPr>
          <w:ilvl w:val="0"/>
          <w:numId w:val="1138"/>
        </w:numPr>
        <w:pStyle w:val="Compact"/>
      </w:pPr>
      <w:r>
        <w:rPr>
          <w:bCs/>
          <w:b/>
        </w:rPr>
        <w:t xml:space="preserve">Livello di evidenza: B</w:t>
      </w:r>
      <w:r>
        <w:t xml:space="preserve"> </w:t>
      </w:r>
      <w:r>
        <w:t xml:space="preserve">– diversi studi randomizzati di fase 2 con risultati contrastanti; lo studio di fase 3 è stato interrotto, senza risultati pubblicati.</w:t>
      </w:r>
    </w:p>
    <w:bookmarkEnd w:id="1157"/>
    <w:bookmarkStart w:id="1160" w:name="come-dovrebbe-agire-21"/>
    <w:p>
      <w:pPr>
        <w:pStyle w:val="Heading3"/>
      </w:pPr>
      <w:r>
        <w:t xml:space="preserve">Come dovrebbe agire</w:t>
      </w:r>
    </w:p>
    <w:p>
      <w:pPr>
        <w:pStyle w:val="FirstParagraph"/>
      </w:pPr>
      <w:r>
        <w:t xml:space="preserve">Nella celiachia il sistema immunitario delle persone geneticamente predisposte reagisce al glutine, una proteina presente in frumento, segale e orzo. Frammenti di glutine attraversano la mucosa intestinale e vi scatenano un’infiammazione che distrugge i villi intestinali. Una parte di questi frammenti passa probabilmente attraverso gli spazi tra le cellule intestinali. Questi spazi sono chiusi dalle tight junction, una sorta di cerniera lampo molecolare.</w:t>
      </w:r>
    </w:p>
    <w:p>
      <w:pPr>
        <w:pStyle w:val="BodyText"/>
      </w:pPr>
      <w:r>
        <w:t xml:space="preserve">La sostanza di segnalazione zonulina può aprire questa cerniera; la gliadina, un componente del glutine, libera zonulina. Larazotide dovrebbe bloccare questa via. In colture di cellule intestinali umane larazotide ha impedito la ridistribuzione delle proteine di chiusura e ridotto il passaggio di un frammento di gliadina attraverso lo strato cellulare; nei topi geneticamente modificati con sensibilità al glutine la struttura delle giunzioni serrate è rimasta integra</w:t>
      </w:r>
      <w:r>
        <w:rPr>
          <w:rStyle w:val="FootnoteReference"/>
        </w:rPr>
        <w:footnoteReference w:id="1158"/>
      </w:r>
      <w:r>
        <w:t xml:space="preserve">. Lavori più recenti ipotizzano inoltre un’inibizione dell’enzima chinasi della catena leggera della miosina, che mette in tensione le giunzioni cellulari</w:t>
      </w:r>
      <w:r>
        <w:rPr>
          <w:rStyle w:val="FootnoteReference"/>
        </w:rPr>
        <w:footnoteReference w:id="1159"/>
      </w:r>
      <w:r>
        <w:t xml:space="preserve">.</w:t>
      </w:r>
    </w:p>
    <w:p>
      <w:pPr>
        <w:pStyle w:val="BodyText"/>
      </w:pPr>
      <w:r>
        <w:t xml:space="preserve">Larazotide non è mai stato pensato come sostituto della dieta senza glutine. L’obiettivo era un farmaco aggiuntivo per le persone che hanno disturbi nonostante la dieta, per esempio a causa di tracce di glutine non notate.</w:t>
      </w:r>
    </w:p>
    <w:bookmarkEnd w:id="1160"/>
    <w:bookmarkStart w:id="1176" w:name="studi-sulluomo-21"/>
    <w:p>
      <w:pPr>
        <w:pStyle w:val="Heading3"/>
      </w:pPr>
      <w:r>
        <w:t xml:space="preserve">Studi sull’uomo</w:t>
      </w:r>
    </w:p>
    <w:p>
      <w:pPr>
        <w:pStyle w:val="FirstParagraph"/>
      </w:pPr>
      <w:r>
        <w:rPr>
          <w:bCs/>
          <w:b/>
        </w:rPr>
        <w:t xml:space="preserve">Dimensioni della letteratura (ricerca di ottobre 2026):</w:t>
      </w:r>
      <w:r>
        <w:t xml:space="preserve"> </w:t>
      </w:r>
      <w:r>
        <w:t xml:space="preserve">la ricerca automatizzata ha trovato</w:t>
      </w:r>
      <w:r>
        <w:t xml:space="preserve"> </w:t>
      </w:r>
      <w:r>
        <w:rPr>
          <w:bCs/>
          <w:b/>
        </w:rPr>
        <w:t xml:space="preserve">4</w:t>
      </w:r>
      <w:r>
        <w:t xml:space="preserve"> </w:t>
      </w:r>
      <w:r>
        <w:t xml:space="preserve">studi sull’uomo su PubMed e</w:t>
      </w:r>
      <w:r>
        <w:t xml:space="preserve"> </w:t>
      </w:r>
      <w:r>
        <w:rPr>
          <w:bCs/>
          <w:b/>
        </w:rPr>
        <w:t xml:space="preserve">29</w:t>
      </w:r>
      <w:r>
        <w:t xml:space="preserve"> </w:t>
      </w:r>
      <w:r>
        <w:t xml:space="preserve">voci su ClinicalTrials.gov. Di queste 29 voci, però, 19 riguardano un farmaco completamente diverso: migalastat contro la malattia di Fabry portava in passato lo stesso codice di sviluppo AT1001. A larazotide appartengono effettivamente</w:t>
      </w:r>
      <w:r>
        <w:t xml:space="preserve"> </w:t>
      </w:r>
      <w:r>
        <w:rPr>
          <w:bCs/>
          <w:b/>
        </w:rPr>
        <w:t xml:space="preserve">10</w:t>
      </w:r>
      <w:r>
        <w:t xml:space="preserve"> </w:t>
      </w:r>
      <w:r>
        <w:t xml:space="preserve">voci di registro. Una meta-analisi del 2022 ha riassunto quattro studi randomizzati con 626 persone</w:t>
      </w:r>
      <w:r>
        <w:rPr>
          <w:rStyle w:val="FootnoteReference"/>
        </w:rPr>
        <w:footnoteReference w:id="1161"/>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Carico di glutine (Leffler 2012, PMID 22825365)</w:t>
            </w:r>
          </w:p>
        </w:tc>
        <w:tc>
          <w:tcPr/>
          <w:p>
            <w:pPr>
              <w:pStyle w:val="Compact"/>
              <w:jc w:val="left"/>
            </w:pPr>
            <w:r>
              <w:t xml:space="preserve">86 persone con celiachia, RCT con 4 dosi e placebo</w:t>
            </w:r>
          </w:p>
        </w:tc>
        <w:tc>
          <w:tcPr/>
          <w:p>
            <w:pPr>
              <w:pStyle w:val="Compact"/>
              <w:jc w:val="left"/>
            </w:pPr>
            <w:r>
              <w:t xml:space="preserve">14 giorni</w:t>
            </w:r>
          </w:p>
        </w:tc>
        <w:tc>
          <w:tcPr/>
          <w:p>
            <w:pPr>
              <w:pStyle w:val="Compact"/>
              <w:jc w:val="left"/>
            </w:pPr>
            <w:r>
              <w:t xml:space="preserve">test di permeabilità senza differenze significative; meno disturbi con alcune dosi basse</w:t>
            </w:r>
          </w:p>
        </w:tc>
      </w:tr>
      <w:tr>
        <w:tc>
          <w:tcPr/>
          <w:p>
            <w:pPr>
              <w:pStyle w:val="Compact"/>
              <w:jc w:val="left"/>
            </w:pPr>
            <w:r>
              <w:t xml:space="preserve">Carico di glutine (Kelly 2013, PMID 23163616)</w:t>
            </w:r>
          </w:p>
        </w:tc>
        <w:tc>
          <w:tcPr/>
          <w:p>
            <w:pPr>
              <w:pStyle w:val="Compact"/>
              <w:jc w:val="left"/>
            </w:pPr>
            <w:r>
              <w:t xml:space="preserve">184 persone, RCT con 3 dosi e placebo, 2,7 g di glutine al giorno</w:t>
            </w:r>
          </w:p>
        </w:tc>
        <w:tc>
          <w:tcPr/>
          <w:p>
            <w:pPr>
              <w:pStyle w:val="Compact"/>
              <w:jc w:val="left"/>
            </w:pPr>
            <w:r>
              <w:t xml:space="preserve">6 settimane</w:t>
            </w:r>
          </w:p>
        </w:tc>
        <w:tc>
          <w:tcPr/>
          <w:p>
            <w:pPr>
              <w:pStyle w:val="Compact"/>
              <w:jc w:val="left"/>
            </w:pPr>
            <w:r>
              <w:t xml:space="preserve">permeabilità invariata; meno disturbi solo con 1 mg; minore aumento degli anticorpi della celiachia</w:t>
            </w:r>
          </w:p>
        </w:tc>
      </w:tr>
      <w:tr>
        <w:tc>
          <w:tcPr/>
          <w:p>
            <w:pPr>
              <w:pStyle w:val="Compact"/>
              <w:jc w:val="left"/>
            </w:pPr>
            <w:r>
              <w:t xml:space="preserve">Disturbi nonostante la dieta (Leffler 2015, PMID 25683116; NCT01396213)</w:t>
            </w:r>
          </w:p>
        </w:tc>
        <w:tc>
          <w:tcPr/>
          <w:p>
            <w:pPr>
              <w:pStyle w:val="Compact"/>
              <w:jc w:val="left"/>
            </w:pPr>
            <w:r>
              <w:t xml:space="preserve">342 persone, RCT con 3 dosi e placebo</w:t>
            </w:r>
          </w:p>
        </w:tc>
        <w:tc>
          <w:tcPr/>
          <w:p>
            <w:pPr>
              <w:pStyle w:val="Compact"/>
              <w:jc w:val="left"/>
            </w:pPr>
            <w:r>
              <w:t xml:space="preserve">12 settimane</w:t>
            </w:r>
          </w:p>
        </w:tc>
        <w:tc>
          <w:tcPr/>
          <w:p>
            <w:pPr>
              <w:pStyle w:val="Compact"/>
              <w:jc w:val="left"/>
            </w:pPr>
            <w:r>
              <w:t xml:space="preserve">obiettivo primario raggiunto solo con la dose più bassa (0,5 mg); 1 mg e 2 mg non migliori del placebo</w:t>
            </w:r>
          </w:p>
        </w:tc>
      </w:tr>
      <w:tr>
        <w:tc>
          <w:tcPr/>
          <w:p>
            <w:pPr>
              <w:pStyle w:val="Compact"/>
              <w:jc w:val="left"/>
            </w:pPr>
            <w:r>
              <w:t xml:space="preserve">CeDLara, fase 3 (NCT03569007)</w:t>
            </w:r>
          </w:p>
        </w:tc>
        <w:tc>
          <w:tcPr/>
          <w:p>
            <w:pPr>
              <w:pStyle w:val="Compact"/>
              <w:jc w:val="left"/>
            </w:pPr>
            <w:r>
              <w:t xml:space="preserve">307 persone, randomizzato, in cieco</w:t>
            </w:r>
          </w:p>
        </w:tc>
        <w:tc>
          <w:tcPr/>
          <w:p>
            <w:pPr>
              <w:pStyle w:val="Compact"/>
              <w:jc w:val="left"/>
            </w:pPr>
            <w:r>
              <w:t xml:space="preserve">previste 12 settimane</w:t>
            </w:r>
          </w:p>
        </w:tc>
        <w:tc>
          <w:tcPr/>
          <w:p>
            <w:pPr>
              <w:pStyle w:val="Compact"/>
              <w:jc w:val="left"/>
            </w:pPr>
            <w:r>
              <w:t xml:space="preserve">interrotto dallo sponsor nel 2022; nessun risultato pubblicato</w:t>
            </w:r>
          </w:p>
        </w:tc>
      </w:tr>
      <w:tr>
        <w:tc>
          <w:tcPr/>
          <w:p>
            <w:pPr>
              <w:pStyle w:val="Compact"/>
              <w:jc w:val="left"/>
            </w:pPr>
            <w:r>
              <w:t xml:space="preserve">MIS-C nei bambini (Yonker 2025, PMID 40737433)</w:t>
            </w:r>
          </w:p>
        </w:tc>
        <w:tc>
          <w:tcPr/>
          <w:p>
            <w:pPr>
              <w:pStyle w:val="Compact"/>
              <w:jc w:val="left"/>
            </w:pPr>
            <w:r>
              <w:t xml:space="preserve">12 bambini con sindrome infiammatoria dopo COVID-19, fase 2a, RCT</w:t>
            </w:r>
          </w:p>
        </w:tc>
        <w:tc>
          <w:tcPr/>
          <w:p>
            <w:pPr>
              <w:pStyle w:val="Compact"/>
              <w:jc w:val="left"/>
            </w:pPr>
            <w:r>
              <w:t xml:space="preserve">3 settimane</w:t>
            </w:r>
          </w:p>
        </w:tc>
        <w:tc>
          <w:tcPr/>
          <w:p>
            <w:pPr>
              <w:pStyle w:val="Compact"/>
              <w:jc w:val="left"/>
            </w:pPr>
            <w:r>
              <w:t xml:space="preserve">risoluzione più rapida dei disturbi gastrointestinali; nessun effetto collaterale dovuto a larazotide</w:t>
            </w:r>
          </w:p>
        </w:tc>
      </w:tr>
    </w:tbl>
    <w:bookmarkStart w:id="1166" w:name="celiachia-fase-2"/>
    <w:p>
      <w:pPr>
        <w:pStyle w:val="Heading4"/>
      </w:pPr>
      <w:r>
        <w:t xml:space="preserve">Celiachia: fase 2</w:t>
      </w:r>
    </w:p>
    <w:p>
      <w:pPr>
        <w:pStyle w:val="FirstParagraph"/>
      </w:pPr>
      <w:r>
        <w:t xml:space="preserve">Nei due studi con carico mirato di glutine larazotide doveva impedire l’aumento della permeabilità intestinale. Questa veniva misurata con un test degli zuccheri nelle urine (rapporto lattulosio/mannitolo). Nella vita quotidiana questo test era così variabile che non è stato possibile dimostrare alcun effetto</w:t>
      </w:r>
      <w:r>
        <w:rPr>
          <w:rStyle w:val="FootnoteReference"/>
        </w:rPr>
        <w:footnoteReference w:id="1162"/>
      </w:r>
      <w:r>
        <w:t xml:space="preserve">. Per i disturbi è emerso uno schema insolito: le dosi basse funzionavano in parte meglio di quelle alte. Nello studio con 184 persone solo la dose da 1 mg ha limitato in modo significativo i disturbi provocati dal glutine; allo stesso tempo gli anticorpi della celiachia sono aumentati con tutte le dosi di larazotide molto meno che con il placebo</w:t>
      </w:r>
      <w:r>
        <w:rPr>
          <w:rStyle w:val="FootnoteReference"/>
        </w:rPr>
        <w:footnoteReference w:id="1163"/>
      </w:r>
      <w:r>
        <w:t xml:space="preserve">.</w:t>
      </w:r>
    </w:p>
    <w:p>
      <w:pPr>
        <w:pStyle w:val="BodyText"/>
      </w:pPr>
      <w:r>
        <w:t xml:space="preserve">Il più grande studio di fase 2, con 342 persone che avevano disturbi nonostante la dieta senza glutine, ha raggiunto il suo obiettivo primario solo con la dose più bassa di 0,5 mg. Con questa dose i giorni con disturbi da celiachia sono stati il 26% in meno. Le dosi più alte non sono risultate migliori del placebo in alcun endpoint; gli autori stessi definiscono i risultati «contrastanti»</w:t>
      </w:r>
      <w:r>
        <w:rPr>
          <w:rStyle w:val="FootnoteReference"/>
        </w:rPr>
        <w:footnoteReference w:id="1164"/>
      </w:r>
      <w:r>
        <w:t xml:space="preserve">. Un farmaco in cui funziona solo la dose più bassa è insolito dal punto di vista farmacologico e lascia dubbi sul fatto che si tratti di un effetto reale o del caso.</w:t>
      </w:r>
    </w:p>
    <w:p>
      <w:pPr>
        <w:pStyle w:val="BodyText"/>
      </w:pPr>
      <w:r>
        <w:t xml:space="preserve">La meta-analisi non ha trovato alcun effetto sulla permeabilità intestinale, e un miglioramento dei disturbi solo con il carico di glutine, ma non nelle persone a dieta senza glutine, cioè proprio non nel gruppo per cui larazotide era pensato</w:t>
      </w:r>
      <w:r>
        <w:rPr>
          <w:rStyle w:val="FootnoteReference"/>
        </w:rPr>
        <w:footnoteReference w:id="1165"/>
      </w:r>
      <w:r>
        <w:t xml:space="preserve">.</w:t>
      </w:r>
    </w:p>
    <w:bookmarkEnd w:id="1166"/>
    <w:bookmarkStart w:id="1170" w:name="celiachia-lo-studio-di-fase-3-cedlara"/>
    <w:p>
      <w:pPr>
        <w:pStyle w:val="Heading4"/>
      </w:pPr>
      <w:r>
        <w:t xml:space="preserve">Celiachia: lo studio di fase 3 CeDLara</w:t>
      </w:r>
    </w:p>
    <w:p>
      <w:pPr>
        <w:pStyle w:val="FirstParagraph"/>
      </w:pPr>
      <w:r>
        <w:t xml:space="preserve">Sulla base dei risultati con 0,5 mg nel 2019 è partito lo studio di fase 3 CeDLara con larazotide in microsfere gastroresistenti</w:t>
      </w:r>
      <w:r>
        <w:rPr>
          <w:rStyle w:val="FootnoteReference"/>
        </w:rPr>
        <w:footnoteReference w:id="1167"/>
      </w:r>
      <w:r>
        <w:t xml:space="preserve">. Secondo il registro sono state arruolate 307 persone; lo studio è stato «terminato dallo sponsor» a luglio 2022. Secondo le conoscenze dell’autore, l’allora produttore 9 Meters Biopharma motivò l’interruzione con il fatto che un’analisi intermedia aveva mostrato che sarebbero stati necessari molti più partecipanti per dimostrare una differenza rispetto al placebo. Su PubMed non esiste una pubblicazione scientifica dei risultati. I lavori di revisione osservano che finora nessun farmaco per la celiachia ha concluso con successo uno studio di fase 3</w:t>
      </w:r>
      <w:r>
        <w:rPr>
          <w:rStyle w:val="FootnoteReference"/>
        </w:rPr>
        <w:footnoteReference w:id="1168"/>
      </w:r>
      <w:r>
        <w:t xml:space="preserve"> </w:t>
      </w:r>
      <w:r>
        <w:t xml:space="preserve">e che nessun trattamento è dimostrato come alternativa efficace alla dieta senza glutine</w:t>
      </w:r>
      <w:r>
        <w:rPr>
          <w:rStyle w:val="FootnoteReference"/>
        </w:rPr>
        <w:footnoteReference w:id="1169"/>
      </w:r>
      <w:r>
        <w:t xml:space="preserve">.</w:t>
      </w:r>
    </w:p>
    <w:bookmarkEnd w:id="1170"/>
    <w:bookmarkStart w:id="1175" w:name="X2a0723be2edec237f0e4387e2f2bd2b179592b5"/>
    <w:p>
      <w:pPr>
        <w:pStyle w:val="Heading4"/>
      </w:pPr>
      <w:r>
        <w:t xml:space="preserve">Nuovo impiego: sindrome infiammatoria dopo COVID-19</w:t>
      </w:r>
    </w:p>
    <w:p>
      <w:pPr>
        <w:pStyle w:val="FirstParagraph"/>
      </w:pPr>
      <w:r>
        <w:t xml:space="preserve">Un gruppo di ricerca ipotizza che nella sindrome infiammatoria multisistemica pediatrica (MIS-C) dopo COVID-19 componenti virali passino dall’intestino al sangue. In una prima serie di casi con quattro bambini, con larazotide la proteina virale è scomparsa dal sangue e i disturbi gastrointestinali si sono risolti più rapidamente che in 22 bambini di confronto</w:t>
      </w:r>
      <w:r>
        <w:rPr>
          <w:rStyle w:val="FootnoteReference"/>
        </w:rPr>
        <w:footnoteReference w:id="1171"/>
      </w:r>
      <w:r>
        <w:t xml:space="preserve">. Uno studio randomizzato di fase 2a con soli 12 bambini ha confermato miglioramenti più rapidi dei disturbi; non sono stati osservati effetti collaterali dovuti a larazotide</w:t>
      </w:r>
      <w:r>
        <w:rPr>
          <w:rStyle w:val="FootnoteReference"/>
        </w:rPr>
        <w:footnoteReference w:id="1172"/>
      </w:r>
      <w:r>
        <w:t xml:space="preserve">. Lo studio è stato interrotto per il calo del numero di casi</w:t>
      </w:r>
      <w:r>
        <w:rPr>
          <w:rStyle w:val="FootnoteReference"/>
        </w:rPr>
        <w:footnoteReference w:id="1173"/>
      </w:r>
      <w:r>
        <w:t xml:space="preserve">. Uno studio sul long COVID con 107 bambini e adulti risulta concluso secondo il registro da giugno 2026</w:t>
      </w:r>
      <w:r>
        <w:rPr>
          <w:rStyle w:val="FootnoteReference"/>
        </w:rPr>
        <w:footnoteReference w:id="1174"/>
      </w:r>
      <w:r>
        <w:t xml:space="preserve">; a ottobre 2026 i risultati non erano pubblicati.</w:t>
      </w:r>
    </w:p>
    <w:bookmarkEnd w:id="1175"/>
    <w:bookmarkEnd w:id="1176"/>
    <w:bookmarkStart w:id="1180" w:name="studi-su-animali-e-in-laboratorio-21"/>
    <w:p>
      <w:pPr>
        <w:pStyle w:val="Heading3"/>
      </w:pPr>
      <w:r>
        <w:t xml:space="preserve">Studi su animali e in laboratorio</w:t>
      </w:r>
    </w:p>
    <w:p>
      <w:pPr>
        <w:pStyle w:val="FirstParagraph"/>
      </w:pPr>
      <w:r>
        <w:t xml:space="preserve">Oltre alla celiachia, larazotide è stato valutato in modelli animali di altre malattie con barriera intestinale alterata. Nei topi predisposti a un’infiammazione articolare larazotide ha ridotto l’insorgenza dell’artrite</w:t>
      </w:r>
      <w:r>
        <w:rPr>
          <w:rStyle w:val="FootnoteReference"/>
        </w:rPr>
        <w:footnoteReference w:id="1177"/>
      </w:r>
      <w:r>
        <w:t xml:space="preserve">. Nei maiali ha favorito il recupero del tessuto dell’intestino tenue dopo un disturbo circolatorio</w:t>
      </w:r>
      <w:r>
        <w:rPr>
          <w:rStyle w:val="FootnoteReference"/>
        </w:rPr>
        <w:footnoteReference w:id="1178"/>
      </w:r>
      <w:r>
        <w:t xml:space="preserve">. Nei ratti sono stati descritti effetti nella pancreatite acuta e nell’insufficienza epatica acuta</w:t>
      </w:r>
      <w:r>
        <w:rPr>
          <w:rStyle w:val="FootnoteReference"/>
        </w:rPr>
        <w:footnoteReference w:id="1179"/>
      </w:r>
      <w:r>
        <w:t xml:space="preserve">. Sono esperimenti sugli animali; non se ne possono ricavare conclusioni su reumatismi, pancreas o fegato nell’uomo.</w:t>
      </w:r>
    </w:p>
    <w:bookmarkEnd w:id="1180"/>
    <w:bookmarkStart w:id="1186" w:name="rischi-ed-effetti-collaterali-21"/>
    <w:p>
      <w:pPr>
        <w:pStyle w:val="Heading3"/>
      </w:pPr>
      <w:r>
        <w:t xml:space="preserve">Rischi ed effetti collaterali</w:t>
      </w:r>
    </w:p>
    <w:bookmarkStart w:id="1184" w:name="documentati-5"/>
    <w:p>
      <w:pPr>
        <w:pStyle w:val="Heading4"/>
      </w:pPr>
      <w:r>
        <w:t xml:space="preserve">Documentati</w:t>
      </w:r>
    </w:p>
    <w:p>
      <w:pPr>
        <w:pStyle w:val="FirstParagraph"/>
      </w:pPr>
      <w:r>
        <w:t xml:space="preserve">Larazotide è stato ben tollerato in tutti gli studi. Nello studio con 86 persone non si sono verificati effetti collaterali gravi; i più frequenti erano cefalea e infezioni delle vie urinarie</w:t>
      </w:r>
      <w:r>
        <w:rPr>
          <w:rStyle w:val="FootnoteReference"/>
        </w:rPr>
        <w:footnoteReference w:id="1181"/>
      </w:r>
      <w:r>
        <w:t xml:space="preserve">. Nel più grande studio di fase 2 la sicurezza era paragonabile al placebo</w:t>
      </w:r>
      <w:r>
        <w:rPr>
          <w:rStyle w:val="FootnoteReference"/>
        </w:rPr>
        <w:footnoteReference w:id="1182"/>
      </w:r>
      <w:r>
        <w:t xml:space="preserve">. La meta-analisi non ha trovato nel complesso un accumulo di effetti collaterali rispetto al placebo</w:t>
      </w:r>
      <w:r>
        <w:rPr>
          <w:rStyle w:val="FootnoteReference"/>
        </w:rPr>
        <w:footnoteReference w:id="1183"/>
      </w:r>
      <w:r>
        <w:t xml:space="preserve">. Poiché larazotide arriva pochissimo nel sangue, un profilo di sicurezza favorevole è plausibile.</w:t>
      </w:r>
    </w:p>
    <w:bookmarkEnd w:id="1184"/>
    <w:bookmarkStart w:id="1185" w:name="da-considerare-1"/>
    <w:p>
      <w:pPr>
        <w:pStyle w:val="Heading4"/>
      </w:pPr>
      <w:r>
        <w:t xml:space="preserve">Da considerare</w:t>
      </w:r>
    </w:p>
    <w:p>
      <w:pPr>
        <w:numPr>
          <w:ilvl w:val="0"/>
          <w:numId w:val="1139"/>
        </w:numPr>
        <w:pStyle w:val="Compact"/>
      </w:pPr>
      <w:r>
        <w:rPr>
          <w:bCs/>
          <w:b/>
        </w:rPr>
        <w:t xml:space="preserve">Nessuna alternativa alla dieta:</w:t>
      </w:r>
      <w:r>
        <w:t xml:space="preserve"> </w:t>
      </w:r>
      <w:r>
        <w:t xml:space="preserve">anche negli studi positivi larazotide non ha protetto dal danno provocato da quantità maggiori di glutine. Chi allenta la dieta senza glutine a causa di un simile farmaco rischia danni intestinali.</w:t>
      </w:r>
    </w:p>
    <w:p>
      <w:pPr>
        <w:numPr>
          <w:ilvl w:val="0"/>
          <w:numId w:val="1139"/>
        </w:numPr>
        <w:pStyle w:val="Compact"/>
      </w:pPr>
      <w:r>
        <w:rPr>
          <w:bCs/>
          <w:b/>
        </w:rPr>
        <w:t xml:space="preserve">Mercato grigio:</w:t>
      </w:r>
      <w:r>
        <w:t xml:space="preserve"> </w:t>
      </w:r>
      <w:r>
        <w:t xml:space="preserve">larazotide viene offerto sporadicamente come «peptide per il leaky gut». Gli studi hanno usato una speciale forma farmaceutica gastroresistente; se i prodotti in libera vendita portino il principio attivo fino al sito d’azione non è noto. Per il concetto di «leaky gut» senza celiachia non esistono studi con larazotide.</w:t>
      </w:r>
    </w:p>
    <w:bookmarkEnd w:id="1185"/>
    <w:bookmarkEnd w:id="1186"/>
    <w:bookmarkStart w:id="1187" w:name="quadro-normativo-21"/>
    <w:p>
      <w:pPr>
        <w:pStyle w:val="Heading3"/>
      </w:pPr>
      <w:r>
        <w:t xml:space="preserve">Quadro normativo</w:t>
      </w:r>
    </w:p>
    <w:p>
      <w:pPr>
        <w:pStyle w:val="FirstParagraph"/>
      </w:pPr>
      <w:r>
        <w:rPr>
          <w:iCs/>
          <w:i/>
        </w:rPr>
        <w:t xml:space="preserve">Aggiornato al 2026, da verificare.</w:t>
      </w:r>
    </w:p>
    <w:p>
      <w:pPr>
        <w:numPr>
          <w:ilvl w:val="0"/>
          <w:numId w:val="1140"/>
        </w:numPr>
        <w:pStyle w:val="Compact"/>
      </w:pPr>
      <w:r>
        <w:rPr>
          <w:bCs/>
          <w:b/>
        </w:rPr>
        <w:t xml:space="preserve">UE, Germania, Austria:</w:t>
      </w:r>
      <w:r>
        <w:t xml:space="preserve"> </w:t>
      </w:r>
      <w:r>
        <w:t xml:space="preserve">non autorizzato.</w:t>
      </w:r>
    </w:p>
    <w:p>
      <w:pPr>
        <w:numPr>
          <w:ilvl w:val="0"/>
          <w:numId w:val="1140"/>
        </w:numPr>
        <w:pStyle w:val="Compact"/>
      </w:pPr>
      <w:r>
        <w:rPr>
          <w:bCs/>
          <w:b/>
        </w:rPr>
        <w:t xml:space="preserve">USA:</w:t>
      </w:r>
      <w:r>
        <w:t xml:space="preserve"> </w:t>
      </w:r>
      <w:r>
        <w:t xml:space="preserve">non autorizzato. Secondo le conoscenze dell’autore lo sviluppatore aveva ottenuto dalla FDA una procedura di valutazione accelerata («Fast Track») per la celiachia; dopo l’interruzione dello studio di fase 3 non è stata presentata alcuna domanda di autorizzazione.</w:t>
      </w:r>
    </w:p>
    <w:p>
      <w:pPr>
        <w:numPr>
          <w:ilvl w:val="0"/>
          <w:numId w:val="1140"/>
        </w:numPr>
        <w:pStyle w:val="Compact"/>
      </w:pPr>
      <w:r>
        <w:rPr>
          <w:bCs/>
          <w:b/>
        </w:rPr>
        <w:t xml:space="preserve">WADA:</w:t>
      </w:r>
      <w:r>
        <w:t xml:space="preserve"> </w:t>
      </w:r>
      <w:r>
        <w:t xml:space="preserve">non elencato.</w:t>
      </w:r>
    </w:p>
    <w:bookmarkEnd w:id="1187"/>
    <w:bookmarkStart w:id="1190" w:name="studi-in-corso-e-prospettive-21"/>
    <w:p>
      <w:pPr>
        <w:pStyle w:val="Heading3"/>
      </w:pPr>
      <w:r>
        <w:t xml:space="preserve">Studi in corso e prospettive</w:t>
      </w:r>
    </w:p>
    <w:p>
      <w:pPr>
        <w:pStyle w:val="FirstParagraph"/>
      </w:pPr>
      <w:r>
        <w:rPr>
          <w:bCs/>
          <w:b/>
        </w:rPr>
        <w:t xml:space="preserve">Certo:</w:t>
      </w:r>
      <w:r>
        <w:t xml:space="preserve"> </w:t>
      </w:r>
      <w:r>
        <w:t xml:space="preserve">a ottobre 2026 su ClinicalTrials.gov non è registrato alcuno studio in corso con larazotide. Lo studio sul long COVID</w:t>
      </w:r>
      <w:r>
        <w:rPr>
          <w:rStyle w:val="FootnoteReference"/>
        </w:rPr>
        <w:footnoteReference w:id="1188"/>
      </w:r>
      <w:r>
        <w:t xml:space="preserve"> </w:t>
      </w:r>
      <w:r>
        <w:t xml:space="preserve">è concluso, i risultati sono in attesa.</w:t>
      </w:r>
    </w:p>
    <w:p>
      <w:pPr>
        <w:pStyle w:val="BodyText"/>
      </w:pPr>
      <w:r>
        <w:rPr>
          <w:bCs/>
          <w:b/>
        </w:rPr>
        <w:t xml:space="preserve">Valutazione dell’autore:</w:t>
      </w:r>
      <w:r>
        <w:t xml:space="preserve"> </w:t>
      </w:r>
      <w:r>
        <w:t xml:space="preserve">per la celiachia larazotide probabilmente non ha futuro dopo l’interruzione di CeDLara, a meno che un nuovo sviluppatore non ne rilevi i diritti. Altri approcci – enzimi che degradano il glutine, inibitori della transglutaminasi 2 o procedure di tolleranza immunitaria – sono attualmente considerati più promettenti</w:t>
      </w:r>
      <w:r>
        <w:rPr>
          <w:rStyle w:val="FootnoteReference"/>
        </w:rPr>
        <w:footnoteReference w:id="1189"/>
      </w:r>
      <w:r>
        <w:t xml:space="preserve">. Per MIS-C e long COVID l’ulteriore sviluppo dipende dai risultati non ancora pubblicati.</w:t>
      </w:r>
    </w:p>
    <w:bookmarkEnd w:id="1190"/>
    <w:bookmarkStart w:id="1192" w:name="conclusione-21"/>
    <w:p>
      <w:pPr>
        <w:pStyle w:val="Heading3"/>
      </w:pPr>
      <w:r>
        <w:t xml:space="preserve">Conclusione</w:t>
      </w:r>
    </w:p>
    <w:p>
      <w:pPr>
        <w:pStyle w:val="FirstParagraph"/>
      </w:pPr>
      <w:r>
        <w:t xml:space="preserve">Larazotide è un peptide di otto aminoacidi che dovrebbe sigillare le giunzioni tra le cellule intestinali ed è stato il primo principio attivo contro la celiachia ad arrivare a uno studio di fase 3. Negli studi di fase 2 i risultati sono stati contrastanti: un effetto sulla permeabilità intestinale non è stato dimostrato, e nei disturbi nonostante la dieta ha funzionato solo la dose più bassa</w:t>
      </w:r>
      <w:r>
        <w:rPr>
          <w:rStyle w:val="FootnoteReference"/>
        </w:rPr>
        <w:footnoteReference w:id="1191"/>
      </w:r>
      <w:r>
        <w:t xml:space="preserve">. Lo studio di fase 3 CeDLara è stato interrotto nel 2022, i risultati non sono stati pubblicati. Larazotide è ben tollerato, ma non è né autorizzato né dimostrato efficace, e non sostituisce la dieta senza glutine.</w:t>
      </w:r>
    </w:p>
    <w:bookmarkEnd w:id="1192"/>
    <w:bookmarkEnd w:id="1193"/>
    <w:bookmarkStart w:id="1222" w:name="timalina-e-timogeno"/>
    <w:p>
      <w:pPr>
        <w:pStyle w:val="Heading2"/>
      </w:pPr>
      <w:r>
        <w:t xml:space="preserve">Timalina e timogeno</w:t>
      </w:r>
    </w:p>
    <w:p>
      <w:pPr>
        <w:pStyle w:val="FirstParagraph"/>
      </w:pPr>
      <w:r>
        <w:t xml:space="preserve">La timalina è un estratto della ghiandola del timo di vitello, il timogeno un dipeptide sintetico da essa derivato. Entrambi provengono dalla medicina militare sovietica degli anni Settanta e Ottanta e sono ancora oggi in commercio in Russia come medicinali. Negli ambienti occidentali della longevity vengono commercializzati come «bioregolatori» che dovrebbero «ringiovanire» il sistema immunitario e allungare la vita. Il fondamento di queste promesse è quasi esclusivamente la ricerca di un’unica scuola, quella del gerontologo di San Pietroburgo Vladimir Khavinson. Questo capitolo inquadra questa ricerca e spiega perché i suoi risultati vanno letti con grande cautela.</w:t>
      </w:r>
    </w:p>
    <w:bookmarkStart w:id="1197" w:name="scheda-22"/>
    <w:p>
      <w:pPr>
        <w:pStyle w:val="Heading3"/>
      </w:pPr>
      <w:r>
        <w:t xml:space="preserve">Scheda</w:t>
      </w:r>
    </w:p>
    <w:p>
      <w:pPr>
        <w:numPr>
          <w:ilvl w:val="0"/>
          <w:numId w:val="1141"/>
        </w:numPr>
        <w:pStyle w:val="Compact"/>
      </w:pPr>
      <w:r>
        <w:rPr>
          <w:bCs/>
          <w:b/>
        </w:rPr>
        <w:t xml:space="preserve">Timalina:</w:t>
      </w:r>
      <w:r>
        <w:t xml:space="preserve"> </w:t>
      </w:r>
      <w:r>
        <w:t xml:space="preserve">miscela di peptidi ottenuta per estrazione acida dal timo di vitello</w:t>
      </w:r>
      <w:r>
        <w:rPr>
          <w:rStyle w:val="FootnoteReference"/>
        </w:rPr>
        <w:footnoteReference w:id="1194"/>
      </w:r>
      <w:r>
        <w:t xml:space="preserve">; non è una sostanza definita in modo uniforme. Come principali componenti attivi vengono indicati i dipeptidi Lys-Glu (KE) e Glu-Trp (EW)</w:t>
      </w:r>
      <w:r>
        <w:rPr>
          <w:rStyle w:val="FootnoteReference"/>
        </w:rPr>
        <w:footnoteReference w:id="1195"/>
      </w:r>
      <w:r>
        <w:t xml:space="preserve">.</w:t>
      </w:r>
    </w:p>
    <w:p>
      <w:pPr>
        <w:numPr>
          <w:ilvl w:val="0"/>
          <w:numId w:val="1141"/>
        </w:numPr>
        <w:pStyle w:val="Compact"/>
      </w:pPr>
      <w:r>
        <w:rPr>
          <w:bCs/>
          <w:b/>
        </w:rPr>
        <w:t xml:space="preserve">Timogeno:</w:t>
      </w:r>
      <w:r>
        <w:t xml:space="preserve"> </w:t>
      </w:r>
      <w:r>
        <w:t xml:space="preserve">dipeptide L-Glu-L-Trp prodotto per sintesi, isolato dalla timalina</w:t>
      </w:r>
      <w:r>
        <w:rPr>
          <w:rStyle w:val="FootnoteReference"/>
        </w:rPr>
        <w:footnoteReference w:id="1196"/>
      </w:r>
      <w:r>
        <w:t xml:space="preserve">; in Russia disponibile anche come spray nasale.</w:t>
      </w:r>
    </w:p>
    <w:p>
      <w:pPr>
        <w:numPr>
          <w:ilvl w:val="0"/>
          <w:numId w:val="1141"/>
        </w:numPr>
        <w:pStyle w:val="Compact"/>
      </w:pPr>
      <w:r>
        <w:rPr>
          <w:bCs/>
          <w:b/>
        </w:rPr>
        <w:t xml:space="preserve">Principio d’azione (dichiarato):</w:t>
      </w:r>
      <w:r>
        <w:t xml:space="preserve"> </w:t>
      </w:r>
      <w:r>
        <w:t xml:space="preserve">stimolazione della maturazione dei linfociti T, «normalizzazione» della funzione immunitaria e della coagulazione del sangue; secondo la teoria di Khavinson i peptidi brevi agiscono come «bioregolatori» direttamente sull’attività dei geni.</w:t>
      </w:r>
    </w:p>
    <w:p>
      <w:pPr>
        <w:numPr>
          <w:ilvl w:val="0"/>
          <w:numId w:val="1141"/>
        </w:numPr>
        <w:pStyle w:val="Compact"/>
      </w:pPr>
      <w:r>
        <w:rPr>
          <w:bCs/>
          <w:b/>
        </w:rPr>
        <w:t xml:space="preserve">Autorizzazione:</w:t>
      </w:r>
      <w:r>
        <w:t xml:space="preserve"> </w:t>
      </w:r>
      <w:r>
        <w:t xml:space="preserve">autorizzati come medicinali in Russia e in alcuni Stati successori dell’Unione Sovietica;</w:t>
      </w:r>
      <w:r>
        <w:t xml:space="preserve"> </w:t>
      </w:r>
      <w:r>
        <w:rPr>
          <w:bCs/>
          <w:b/>
        </w:rPr>
        <w:t xml:space="preserve">UE e USA:</w:t>
      </w:r>
      <w:r>
        <w:t xml:space="preserve"> </w:t>
      </w:r>
      <w:r>
        <w:t xml:space="preserve">no.</w:t>
      </w:r>
    </w:p>
    <w:p>
      <w:pPr>
        <w:numPr>
          <w:ilvl w:val="0"/>
          <w:numId w:val="1141"/>
        </w:numPr>
        <w:pStyle w:val="Compact"/>
      </w:pPr>
      <w:r>
        <w:rPr>
          <w:bCs/>
          <w:b/>
        </w:rPr>
        <w:t xml:space="preserve">WADA:</w:t>
      </w:r>
      <w:r>
        <w:t xml:space="preserve"> </w:t>
      </w:r>
      <w:r>
        <w:t xml:space="preserve">non elencati espressamente.</w:t>
      </w:r>
    </w:p>
    <w:p>
      <w:pPr>
        <w:numPr>
          <w:ilvl w:val="0"/>
          <w:numId w:val="1141"/>
        </w:numPr>
        <w:pStyle w:val="Compact"/>
      </w:pPr>
      <w:r>
        <w:rPr>
          <w:bCs/>
          <w:b/>
        </w:rPr>
        <w:t xml:space="preserve">Livello di evidenza: C</w:t>
      </w:r>
      <w:r>
        <w:t xml:space="preserve"> </w:t>
      </w:r>
      <w:r>
        <w:t xml:space="preserve">– per lo più studi piccoli, in aperto o descritti in modo insufficiente; su PubMed un solo studio descritto come randomizzato e controllato con placebo.</w:t>
      </w:r>
    </w:p>
    <w:bookmarkEnd w:id="1197"/>
    <w:bookmarkStart w:id="1201" w:name="come-dovrebbe-agire-22"/>
    <w:p>
      <w:pPr>
        <w:pStyle w:val="Heading3"/>
      </w:pPr>
      <w:r>
        <w:t xml:space="preserve">Come dovrebbe agire</w:t>
      </w:r>
    </w:p>
    <w:p>
      <w:pPr>
        <w:pStyle w:val="FirstParagraph"/>
      </w:pPr>
      <w:r>
        <w:t xml:space="preserve">L’idea segue la stessa logica della timosina alfa 1 (si veda il relativo capitolo): il timo addestra i linfociti T e si riduce con l’età, quindi i messaggeri del timo dovrebbero rafforzare le difese. Ma mentre la timosina alfa 1 è un peptide definito con precisione e di sequenza nota, la timalina è una miscela di molti componenti di origine animale.</w:t>
      </w:r>
    </w:p>
    <w:p>
      <w:pPr>
        <w:pStyle w:val="BodyText"/>
      </w:pPr>
      <w:r>
        <w:t xml:space="preserve">Da questa miscela i ricercatori hanno isolato il dipeptide Glu-Trp e lo hanno immesso sul mercato in forma sintetica come timogeno. Dovrebbe favorire la differenziazione dei linfociti T e il riconoscimento degli antigeni e attivare i fagociti</w:t>
      </w:r>
      <w:r>
        <w:rPr>
          <w:rStyle w:val="FootnoteReference"/>
        </w:rPr>
        <w:footnoteReference w:id="1198"/>
      </w:r>
      <w:r>
        <w:t xml:space="preserve">.</w:t>
      </w:r>
    </w:p>
    <w:p>
      <w:pPr>
        <w:pStyle w:val="BodyText"/>
      </w:pPr>
      <w:r>
        <w:t xml:space="preserve">Khavinson ne ha sviluppato una teoria più ampia: peptidi brevi provenienti da diversi organi agirebbero in modo specifico per tessuto e «regolerebbero» l’attività genica – peptidi della ghiandola pineale per la ghiandola pineale, del timo per il sistema immunitario e così via</w:t>
      </w:r>
      <w:r>
        <w:rPr>
          <w:rStyle w:val="FootnoteReference"/>
        </w:rPr>
        <w:footnoteReference w:id="1199"/>
      </w:r>
      <w:r>
        <w:t xml:space="preserve">. Anche l’epitalon, trattato nella Parte II · D, proviene da questa scuola. Questa teoria è stata verificata appena al di fuori del gruppo di lavoro e non corrisponde alla comprensione generale di come agiscono i messaggeri peptidici, cioè di norma attraverso recettori sulla superficie cellulare. Lavori più recenti del gruppo basano il meccanismo soprattutto su simulazioni al computer del legame al DNA e su colture cellulari</w:t>
      </w:r>
      <w:r>
        <w:rPr>
          <w:rStyle w:val="FootnoteReference"/>
        </w:rPr>
        <w:footnoteReference w:id="1200"/>
      </w:r>
      <w:r>
        <w:t xml:space="preserve">.</w:t>
      </w:r>
    </w:p>
    <w:bookmarkEnd w:id="1201"/>
    <w:bookmarkStart w:id="1210" w:name="studi-sulluomo-22"/>
    <w:p>
      <w:pPr>
        <w:pStyle w:val="Heading3"/>
      </w:pPr>
      <w:r>
        <w:t xml:space="preserve">Studi sull’uomo</w:t>
      </w:r>
    </w:p>
    <w:p>
      <w:pPr>
        <w:pStyle w:val="FirstParagraph"/>
      </w:pPr>
      <w:r>
        <w:rPr>
          <w:bCs/>
          <w:b/>
        </w:rPr>
        <w:t xml:space="preserve">Dimensioni della letteratura (ricerca di ottobre 2026):</w:t>
      </w:r>
      <w:r>
        <w:t xml:space="preserve"> </w:t>
      </w:r>
      <w:r>
        <w:t xml:space="preserve">la ricerca automatizzata ha trovato</w:t>
      </w:r>
      <w:r>
        <w:t xml:space="preserve"> </w:t>
      </w:r>
      <w:r>
        <w:rPr>
          <w:bCs/>
          <w:b/>
        </w:rPr>
        <w:t xml:space="preserve">17</w:t>
      </w:r>
      <w:r>
        <w:t xml:space="preserve"> </w:t>
      </w:r>
      <w:r>
        <w:t xml:space="preserve">studi sull’uomo su PubMed e</w:t>
      </w:r>
      <w:r>
        <w:t xml:space="preserve"> </w:t>
      </w:r>
      <w:r>
        <w:rPr>
          <w:bCs/>
          <w:b/>
        </w:rPr>
        <w:t xml:space="preserve">0</w:t>
      </w:r>
      <w:r>
        <w:t xml:space="preserve"> </w:t>
      </w:r>
      <w:r>
        <w:t xml:space="preserve">voci su ClinicalTrials.gov. In totale PubMed elenca circa 290 pubblicazioni su timalina o timogeno; di queste circa 250 sono in lingua russa, e solo una menziona nel titolo o nell’abstract «randomizzato» o «placebo». Per la maggior parte degli studi sull’uomo PubMed riporta solo un breve abstract in russo o in ucraino, spesso senza indicazioni sul numero di partecipanti, sul gruppo di controllo o sulla procedura in cieco.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«Allungamento della vita» (Khavinson 2003, PMID 14523363)</w:t>
            </w:r>
          </w:p>
        </w:tc>
        <w:tc>
          <w:tcPr/>
          <w:p>
            <w:pPr>
              <w:pStyle w:val="Compact"/>
              <w:jc w:val="left"/>
            </w:pPr>
            <w:r>
              <w:t xml:space="preserve">266 persone anziane, timalina e/o epitalamina vs. controllo; assegnazione e cecità non descritte</w:t>
            </w:r>
          </w:p>
        </w:tc>
        <w:tc>
          <w:tcPr/>
          <w:p>
            <w:pPr>
              <w:pStyle w:val="Compact"/>
              <w:jc w:val="left"/>
            </w:pPr>
            <w:r>
              <w:t xml:space="preserve">6–8 anni di osservazione</w:t>
            </w:r>
          </w:p>
        </w:tc>
        <w:tc>
          <w:tcPr/>
          <w:p>
            <w:pPr>
              <w:pStyle w:val="Compact"/>
              <w:jc w:val="left"/>
            </w:pPr>
            <w:r>
              <w:t xml:space="preserve">mortalità nel gruppo timalina da 2,0 a 2,1 volte inferiore rispetto al controllo</w:t>
            </w:r>
          </w:p>
        </w:tc>
      </w:tr>
      <w:tr>
        <w:tc>
          <w:tcPr/>
          <w:p>
            <w:pPr>
              <w:pStyle w:val="Compact"/>
              <w:jc w:val="left"/>
            </w:pPr>
            <w:r>
              <w:t xml:space="preserve">Prima di interventi addominali (Smirnov 2011, PMID 21957588)</w:t>
            </w:r>
          </w:p>
        </w:tc>
        <w:tc>
          <w:tcPr/>
          <w:p>
            <w:pPr>
              <w:pStyle w:val="Compact"/>
              <w:jc w:val="left"/>
            </w:pPr>
            <w:r>
              <w:t xml:space="preserve">persone anziane con tumori addominali, RCT in doppio cieco contro placebo, timogeno in gocce nasali; numero di partecipanti non indicato nell’abstract</w:t>
            </w:r>
          </w:p>
        </w:tc>
        <w:tc>
          <w:tcPr/>
          <w:p>
            <w:pPr>
              <w:pStyle w:val="Compact"/>
              <w:jc w:val="left"/>
            </w:pPr>
            <w:r>
              <w:t xml:space="preserve">7 giorni prima dell’intervento</w:t>
            </w:r>
          </w:p>
        </w:tc>
        <w:tc>
          <w:tcPr/>
          <w:p>
            <w:pPr>
              <w:pStyle w:val="Compact"/>
              <w:jc w:val="left"/>
            </w:pPr>
            <w:r>
              <w:t xml:space="preserve">meno complicanze dopo l’intervento</w:t>
            </w:r>
          </w:p>
        </w:tc>
      </w:tr>
      <w:tr>
        <w:tc>
          <w:tcPr/>
          <w:p>
            <w:pPr>
              <w:pStyle w:val="Compact"/>
              <w:jc w:val="left"/>
            </w:pPr>
            <w:r>
              <w:t xml:space="preserve">COVID-19 grave (Kuznik 2022, PMID 36169363)</w:t>
            </w:r>
          </w:p>
        </w:tc>
        <w:tc>
          <w:tcPr/>
          <w:p>
            <w:pPr>
              <w:pStyle w:val="Compact"/>
              <w:jc w:val="left"/>
            </w:pPr>
            <w:r>
              <w:t xml:space="preserve">tre gruppi: terapia di base, più tocilizumab, più timalina; assegnazione non descritta</w:t>
            </w:r>
          </w:p>
        </w:tc>
        <w:tc>
          <w:tcPr/>
          <w:p>
            <w:pPr>
              <w:pStyle w:val="Compact"/>
              <w:jc w:val="left"/>
            </w:pPr>
            <w:r>
              <w:t xml:space="preserve">ricovero ospedaliero</w:t>
            </w:r>
          </w:p>
        </w:tc>
        <w:tc>
          <w:tcPr/>
          <w:p>
            <w:pPr>
              <w:pStyle w:val="Compact"/>
              <w:jc w:val="left"/>
            </w:pPr>
            <w:r>
              <w:t xml:space="preserve">mortalità ospedaliera 40,9%, 28,4% e 20,6%</w:t>
            </w:r>
          </w:p>
        </w:tc>
      </w:tr>
      <w:tr>
        <w:tc>
          <w:tcPr/>
          <w:p>
            <w:pPr>
              <w:pStyle w:val="Compact"/>
              <w:jc w:val="left"/>
            </w:pPr>
            <w:r>
              <w:t xml:space="preserve">Schizofrenia resistente alla terapia (Govorin 1990, PMID 2163147)</w:t>
            </w:r>
          </w:p>
        </w:tc>
        <w:tc>
          <w:tcPr/>
          <w:p>
            <w:pPr>
              <w:pStyle w:val="Compact"/>
              <w:jc w:val="left"/>
            </w:pPr>
            <w:r>
              <w:t xml:space="preserve">36 persone, nessun gruppo di controllo</w:t>
            </w:r>
          </w:p>
        </w:tc>
        <w:tc>
          <w:tcPr/>
          <w:p>
            <w:pPr>
              <w:pStyle w:val="Compact"/>
              <w:jc w:val="left"/>
            </w:pPr>
            <w:r>
              <w:t xml:space="preserve">non indicata</w:t>
            </w:r>
          </w:p>
        </w:tc>
        <w:tc>
          <w:tcPr/>
          <w:p>
            <w:pPr>
              <w:pStyle w:val="Compact"/>
              <w:jc w:val="left"/>
            </w:pPr>
            <w:r>
              <w:t xml:space="preserve">miglioramento dei sintomi psichici riferito</w:t>
            </w:r>
          </w:p>
        </w:tc>
      </w:tr>
      <w:tr>
        <w:tc>
          <w:tcPr/>
          <w:p>
            <w:pPr>
              <w:pStyle w:val="Compact"/>
              <w:jc w:val="left"/>
            </w:pPr>
            <w:r>
              <w:t xml:space="preserve">Parkinson (Musienko 1999, PMID 10424021)</w:t>
            </w:r>
          </w:p>
        </w:tc>
        <w:tc>
          <w:tcPr/>
          <w:p>
            <w:pPr>
              <w:pStyle w:val="Compact"/>
              <w:jc w:val="left"/>
            </w:pPr>
            <w:r>
              <w:t xml:space="preserve">15 persone, nessun gruppo di controllo</w:t>
            </w:r>
          </w:p>
        </w:tc>
        <w:tc>
          <w:tcPr/>
          <w:p>
            <w:pPr>
              <w:pStyle w:val="Compact"/>
              <w:jc w:val="left"/>
            </w:pPr>
            <w:r>
              <w:t xml:space="preserve">un ciclo di trattamento</w:t>
            </w:r>
          </w:p>
        </w:tc>
        <w:tc>
          <w:tcPr/>
          <w:p>
            <w:pPr>
              <w:pStyle w:val="Compact"/>
              <w:jc w:val="left"/>
            </w:pPr>
            <w:r>
              <w:t xml:space="preserve">miglioramento del benessere e dei sintomi riferito</w:t>
            </w:r>
          </w:p>
        </w:tc>
      </w:tr>
    </w:tbl>
    <w:bookmarkStart w:id="1203" w:name="Xeffee0d3507e689c05def0eb89a6442cb829df9"/>
    <w:p>
      <w:pPr>
        <w:pStyle w:val="Heading4"/>
      </w:pPr>
      <w:r>
        <w:t xml:space="preserve">Lo studio a lungo termine sull’allungamento della vita</w:t>
      </w:r>
    </w:p>
    <w:p>
      <w:pPr>
        <w:pStyle w:val="FirstParagraph"/>
      </w:pPr>
      <w:r>
        <w:t xml:space="preserve">Il lavoro più noto è anche il più problematico. Per sei-otto anni sono state osservate 266 persone anziane a San Pietroburgo e a Kiev, alcune delle quali nei primi due o tre anni hanno ricevuto timalina, epitalamina o entrambe. Viene riferita una mortalità da 2,0 a 2,1 volte inferiore con la timalina e 4,1 volte inferiore con il trattamento combinato annuale per sei anni</w:t>
      </w:r>
      <w:r>
        <w:rPr>
          <w:rStyle w:val="FootnoteReference"/>
        </w:rPr>
        <w:footnoteReference w:id="1202"/>
      </w:r>
      <w:r>
        <w:t xml:space="preserve">.</w:t>
      </w:r>
    </w:p>
    <w:p>
      <w:pPr>
        <w:pStyle w:val="BodyText"/>
      </w:pPr>
      <w:r>
        <w:t xml:space="preserve">Effetti simili sarebbero spettacolari, superiori a quelli di quasi ogni farmaco consolidato. L’abstract però non descrive né come i partecipanti siano stati assegnati ai gruppi, né se ci fosse una procedura in cieco, né quante persone ci fossero in ciascun gruppo. Chi è più sano e attivo partecipa più facilmente a un trattamento pluriennale; senza assegnazione casuale una simile differenza può nascere solo per questo motivo. Non esistono repliche indipendenti.</w:t>
      </w:r>
    </w:p>
    <w:bookmarkEnd w:id="1203"/>
    <w:bookmarkStart w:id="1206" w:name="covid-19-1"/>
    <w:p>
      <w:pPr>
        <w:pStyle w:val="Heading4"/>
      </w:pPr>
      <w:r>
        <w:t xml:space="preserve">COVID-19</w:t>
      </w:r>
    </w:p>
    <w:p>
      <w:pPr>
        <w:pStyle w:val="FirstParagraph"/>
      </w:pPr>
      <w:r>
        <w:t xml:space="preserve">Durante la pandemia il gruppo di lavoro ha riferito sull’uso della timalina in malati gravi di COVID-19. In un’analisi la mortalità ospedaliera era del 40,9% con la terapia di base, del 28,4% con l’aggiunta di tocilizumab e del 20,6% con l’aggiunta di timalina</w:t>
      </w:r>
      <w:r>
        <w:rPr>
          <w:rStyle w:val="FootnoteReference"/>
        </w:rPr>
        <w:footnoteReference w:id="1204"/>
      </w:r>
      <w:r>
        <w:t xml:space="preserve">. Come le persone siano state assegnate ai gruppi e quanto fossero grandi i gruppi non risulta dall’abstract. Un altro lavoro riferisce riduzioni più rapide dei valori infiammatori e della coagulazione</w:t>
      </w:r>
      <w:r>
        <w:rPr>
          <w:rStyle w:val="FootnoteReference"/>
        </w:rPr>
        <w:footnoteReference w:id="1205"/>
      </w:r>
      <w:r>
        <w:t xml:space="preserve">. Dopo l’esperienza con la timosina alfa 1, per la quale i primi dati osservazionali favorevoli non sono stati confermati in studi più ampi (si veda il relativo capitolo), questi numeri non sono affidabili senza una conferma randomizzata.</w:t>
      </w:r>
    </w:p>
    <w:bookmarkEnd w:id="1206"/>
    <w:bookmarkStart w:id="1208" w:name="lunico-studio-controllato-con-placebo"/>
    <w:p>
      <w:pPr>
        <w:pStyle w:val="Heading4"/>
      </w:pPr>
      <w:r>
        <w:t xml:space="preserve">L’unico studio controllato con placebo</w:t>
      </w:r>
    </w:p>
    <w:p>
      <w:pPr>
        <w:pStyle w:val="FirstParagraph"/>
      </w:pPr>
      <w:r>
        <w:t xml:space="preserve">L’unico studio descritto come in doppio cieco, randomizzato e controllato con placebo ha valutato gocce nasali di timogeno in persone anziane prima di interventi per tumori addominali. Vengono riferite meno complicanze dopo l’intervento e un decorso di guarigione più breve</w:t>
      </w:r>
      <w:r>
        <w:rPr>
          <w:rStyle w:val="FootnoteReference"/>
        </w:rPr>
        <w:footnoteReference w:id="1207"/>
      </w:r>
      <w:r>
        <w:t xml:space="preserve">. Numero di partecipanti ed entità degli effetti non sono indicati nell’abstract russo.</w:t>
      </w:r>
    </w:p>
    <w:bookmarkEnd w:id="1208"/>
    <w:bookmarkStart w:id="1209" w:name="altri-studi"/>
    <w:p>
      <w:pPr>
        <w:pStyle w:val="Heading4"/>
      </w:pPr>
      <w:r>
        <w:t xml:space="preserve">Altri studi</w:t>
      </w:r>
    </w:p>
    <w:p>
      <w:pPr>
        <w:pStyle w:val="FirstParagraph"/>
      </w:pPr>
      <w:r>
        <w:t xml:space="preserve">Gli altri studi sull’uomo risalgono per lo più agli anni Ottanta e Novanta e riguardano uno spettro sorprendentemente ampio: tubercolosi, dissenteria, erisipela, ferite purulente, peritonite nei bambini, pancreatite, colite ulcerosa, infiammazioni degli organi genitali femminili, schizofrenia e Parkinson. Quasi sempre la timalina o il timogeno sono stati somministrati in aggiunta al trattamento standard, senza placebo e per lo più senza assegnazione casuale. Spesso sono stati misurati valori di laboratorio del sistema immunitario, non esiti clinici «duri» come guarigione o sopravvivenza.</w:t>
      </w:r>
    </w:p>
    <w:bookmarkEnd w:id="1209"/>
    <w:bookmarkEnd w:id="1210"/>
    <w:bookmarkStart w:id="1213" w:name="studi-su-animali-e-in-laboratorio-22"/>
    <w:p>
      <w:pPr>
        <w:pStyle w:val="Heading3"/>
      </w:pPr>
      <w:r>
        <w:t xml:space="preserve">Studi su animali e in laboratorio</w:t>
      </w:r>
    </w:p>
    <w:p>
      <w:pPr>
        <w:pStyle w:val="FirstParagraph"/>
      </w:pPr>
      <w:r>
        <w:t xml:space="preserve">Anche gli studi sugli animali provengono per lo più da gruppi di lavoro russi e ucraini. In 76 ratti che per dodici mesi hanno ricevuto Glu-Trp (timogeno) o soluzione fisiologica, la durata media della vita era uguale; il dieci per cento più longevo viveva più a lungo con il timogeno, e i tumori erano più rari</w:t>
      </w:r>
      <w:r>
        <w:rPr>
          <w:rStyle w:val="FootnoteReference"/>
        </w:rPr>
        <w:footnoteReference w:id="1211"/>
      </w:r>
      <w:r>
        <w:t xml:space="preserve">. In colture di cellule staminali del sangue umane la timalina ne ha influenzato la differenziazione</w:t>
      </w:r>
      <w:r>
        <w:rPr>
          <w:rStyle w:val="FootnoteReference"/>
        </w:rPr>
        <w:footnoteReference w:id="1212"/>
      </w:r>
      <w:r>
        <w:t xml:space="preserve">. Altri lavori descrivono effetti sulla coagulazione del sangue, sulla cancerogenesi dopo irradiazione o sostanze chimiche e sulle infezioni nei roditori.</w:t>
      </w:r>
    </w:p>
    <w:bookmarkEnd w:id="1213"/>
    <w:bookmarkStart w:id="1214" w:name="Xfa83e7be0dbe35f12ca8858b21fbcae46c810fd"/>
    <w:p>
      <w:pPr>
        <w:pStyle w:val="Heading3"/>
      </w:pPr>
      <w:r>
        <w:t xml:space="preserve">Qualità della ricerca: un inquadramento critico</w:t>
      </w:r>
    </w:p>
    <w:p>
      <w:pPr>
        <w:pStyle w:val="FirstParagraph"/>
      </w:pPr>
      <w:r>
        <w:t xml:space="preserve">Per la valutazione di timalina e timogeno la provenienza dei dati è più importante dei singoli risultati:</w:t>
      </w:r>
    </w:p>
    <w:p>
      <w:pPr>
        <w:numPr>
          <w:ilvl w:val="0"/>
          <w:numId w:val="1142"/>
        </w:numPr>
        <w:pStyle w:val="Compact"/>
      </w:pPr>
      <w:r>
        <w:rPr>
          <w:bCs/>
          <w:b/>
        </w:rPr>
        <w:t xml:space="preserve">Un’unica scuola, quasi nessuna conferma indipendente.</w:t>
      </w:r>
      <w:r>
        <w:t xml:space="preserve"> </w:t>
      </w:r>
      <w:r>
        <w:t xml:space="preserve">Gran parte dei lavori proviene da Khavinson, dai suoi collaboratori o da istituti collegati. Secondo PubMed Khavinson ha partecipato a oltre 80 delle circa 290 pubblicazioni; molte altre provengono da gruppi strettamente collegati. Mancano studi di replica occidentali indipendenti.</w:t>
      </w:r>
    </w:p>
    <w:p>
      <w:pPr>
        <w:numPr>
          <w:ilvl w:val="0"/>
          <w:numId w:val="1142"/>
        </w:numPr>
        <w:pStyle w:val="Compact"/>
      </w:pPr>
      <w:r>
        <w:rPr>
          <w:bCs/>
          <w:b/>
        </w:rPr>
        <w:t xml:space="preserve">Lingua e accessibilità.</w:t>
      </w:r>
      <w:r>
        <w:t xml:space="preserve"> </w:t>
      </w:r>
      <w:r>
        <w:t xml:space="preserve">Circa 250 dei lavori sono in lingua russa, su PubMed spesso solo con un breve abstract. I testi integrali sono difficilmente accessibili, i metodi quasi non verificabili.</w:t>
      </w:r>
    </w:p>
    <w:p>
      <w:pPr>
        <w:numPr>
          <w:ilvl w:val="0"/>
          <w:numId w:val="1142"/>
        </w:numPr>
        <w:pStyle w:val="Compact"/>
      </w:pPr>
      <w:r>
        <w:rPr>
          <w:bCs/>
          <w:b/>
        </w:rPr>
        <w:t xml:space="preserve">Disegno degli studi.</w:t>
      </w:r>
      <w:r>
        <w:t xml:space="preserve"> </w:t>
      </w:r>
      <w:r>
        <w:t xml:space="preserve">Quasi nessuno studio è randomizzato, in cieco e registrato in anticipo secondo gli standard odierni. Nessuno studio è iscritto su ClinicalTrials.gov.</w:t>
      </w:r>
    </w:p>
    <w:p>
      <w:pPr>
        <w:numPr>
          <w:ilvl w:val="0"/>
          <w:numId w:val="1142"/>
        </w:numPr>
        <w:pStyle w:val="Compact"/>
      </w:pPr>
      <w:r>
        <w:rPr>
          <w:bCs/>
          <w:b/>
        </w:rPr>
        <w:t xml:space="preserve">Effetti insolitamente grandi in moltissime malattie.</w:t>
      </w:r>
      <w:r>
        <w:t xml:space="preserve"> </w:t>
      </w:r>
      <w:r>
        <w:t xml:space="preserve">Un preparato che agisce allo stesso modo su tubercolosi, schizofrenia, Parkinson, COVID-19 e invecchiamento e dimezza la mortalità è, dal punto di vista metodologico, un segnale d’allarme, non una raccomandazione.</w:t>
      </w:r>
    </w:p>
    <w:p>
      <w:pPr>
        <w:numPr>
          <w:ilvl w:val="0"/>
          <w:numId w:val="1142"/>
        </w:numPr>
        <w:pStyle w:val="Compact"/>
      </w:pPr>
      <w:r>
        <w:rPr>
          <w:bCs/>
          <w:b/>
        </w:rPr>
        <w:t xml:space="preserve">Conflitti di interesse.</w:t>
      </w:r>
      <w:r>
        <w:t xml:space="preserve"> </w:t>
      </w:r>
      <w:r>
        <w:t xml:space="preserve">Il gruppo di lavoro ha sviluppato esso stesso i preparati; secondo le conoscenze dell’autore i «bioregolatori» di questa scuola vengono commercializzati a livello internazionale come integratori alimentari. Mancano verifiche indipendenti da parte di ricercatori senza tali legami.</w:t>
      </w:r>
    </w:p>
    <w:p>
      <w:pPr>
        <w:pStyle w:val="FirstParagraph"/>
      </w:pPr>
      <w:r>
        <w:t xml:space="preserve">Ciò non significa che tutti i risultati debbano essere sbagliati. Significa che, secondo i criteri di questo libro, non possono essere considerati prova di un beneficio finché non vengono confermati in studi indipendenti e pianificati correttamente.</w:t>
      </w:r>
    </w:p>
    <w:bookmarkEnd w:id="1214"/>
    <w:bookmarkStart w:id="1217" w:name="rischi-ed-effetti-collaterali-22"/>
    <w:p>
      <w:pPr>
        <w:pStyle w:val="Heading3"/>
      </w:pPr>
      <w:r>
        <w:t xml:space="preserve">Rischi ed effetti collaterali</w:t>
      </w:r>
    </w:p>
    <w:bookmarkStart w:id="1215" w:name="documentati-6"/>
    <w:p>
      <w:pPr>
        <w:pStyle w:val="Heading4"/>
      </w:pPr>
      <w:r>
        <w:t xml:space="preserve">Documentati</w:t>
      </w:r>
    </w:p>
    <w:p>
      <w:pPr>
        <w:pStyle w:val="FirstParagraph"/>
      </w:pPr>
      <w:r>
        <w:t xml:space="preserve">Non esistono dati di sicurezza raccolti sistematicamente secondo gli standard odierni. Gli studi disponibili riferiscono appena sugli effetti collaterali, il che dice poco in studi piccoli e non in cieco.</w:t>
      </w:r>
    </w:p>
    <w:bookmarkEnd w:id="1215"/>
    <w:bookmarkStart w:id="1216" w:name="teorici-2"/>
    <w:p>
      <w:pPr>
        <w:pStyle w:val="Heading4"/>
      </w:pPr>
      <w:r>
        <w:t xml:space="preserve">Teorici</w:t>
      </w:r>
    </w:p>
    <w:p>
      <w:pPr>
        <w:numPr>
          <w:ilvl w:val="0"/>
          <w:numId w:val="1143"/>
        </w:numPr>
        <w:pStyle w:val="Compact"/>
      </w:pPr>
      <w:r>
        <w:rPr>
          <w:bCs/>
          <w:b/>
        </w:rPr>
        <w:t xml:space="preserve">Materiale di partenza animale:</w:t>
      </w:r>
      <w:r>
        <w:t xml:space="preserve"> </w:t>
      </w:r>
      <w:r>
        <w:t xml:space="preserve">la timalina è un estratto di timo di vitello. Con gli estratti animali esistono in linea di principio rischi dovuti a contaminazioni, variazioni tra lotti e reazioni allergiche. Anche la trasmissione di agenti patogeni dal tessuto bovino è un rischio teorico che dipende dalla qualità di produzione.</w:t>
      </w:r>
    </w:p>
    <w:p>
      <w:pPr>
        <w:numPr>
          <w:ilvl w:val="0"/>
          <w:numId w:val="1143"/>
        </w:numPr>
        <w:pStyle w:val="Compact"/>
      </w:pPr>
      <w:r>
        <w:rPr>
          <w:bCs/>
          <w:b/>
        </w:rPr>
        <w:t xml:space="preserve">Stimolazione immunitaria:</w:t>
      </w:r>
      <w:r>
        <w:t xml:space="preserve"> </w:t>
      </w:r>
      <w:r>
        <w:t xml:space="preserve">in caso di malattie autoimmuni o dopo un trapianto d’organo una stimolazione del sistema immunitario potrebbe essere dannosa. Mancano dati in merito.</w:t>
      </w:r>
    </w:p>
    <w:p>
      <w:pPr>
        <w:numPr>
          <w:ilvl w:val="0"/>
          <w:numId w:val="1143"/>
        </w:numPr>
        <w:pStyle w:val="Compact"/>
      </w:pPr>
      <w:r>
        <w:rPr>
          <w:bCs/>
          <w:b/>
        </w:rPr>
        <w:t xml:space="preserve">Mercato grigio e «bioregolatori»:</w:t>
      </w:r>
      <w:r>
        <w:t xml:space="preserve"> </w:t>
      </w:r>
      <w:r>
        <w:t xml:space="preserve">al di fuori della Russia timalina, timogeno e prodotti affini vengono distribuiti via internet, in parte come soluzione iniettabile, in parte come capsule con la denominazione «bioregolatore». Origine, contenuto e qualità di questi prodotti non sono verificabili.</w:t>
      </w:r>
    </w:p>
    <w:bookmarkEnd w:id="1216"/>
    <w:bookmarkEnd w:id="1217"/>
    <w:bookmarkStart w:id="1218" w:name="quadro-normativo-22"/>
    <w:p>
      <w:pPr>
        <w:pStyle w:val="Heading3"/>
      </w:pPr>
      <w:r>
        <w:t xml:space="preserve">Quadro normativo</w:t>
      </w:r>
    </w:p>
    <w:p>
      <w:pPr>
        <w:pStyle w:val="FirstParagraph"/>
      </w:pPr>
      <w:r>
        <w:rPr>
          <w:iCs/>
          <w:i/>
        </w:rPr>
        <w:t xml:space="preserve">Aggiornato al 2026, da verificare.</w:t>
      </w:r>
    </w:p>
    <w:p>
      <w:pPr>
        <w:numPr>
          <w:ilvl w:val="0"/>
          <w:numId w:val="1144"/>
        </w:numPr>
        <w:pStyle w:val="Compact"/>
      </w:pPr>
      <w:r>
        <w:rPr>
          <w:bCs/>
          <w:b/>
        </w:rPr>
        <w:t xml:space="preserve">Russia e alcuni Stati successori dell’Unione Sovietica:</w:t>
      </w:r>
      <w:r>
        <w:t xml:space="preserve"> </w:t>
      </w:r>
      <w:r>
        <w:t xml:space="preserve">timalina e timogeno sono autorizzati come medicinali.</w:t>
      </w:r>
    </w:p>
    <w:p>
      <w:pPr>
        <w:numPr>
          <w:ilvl w:val="0"/>
          <w:numId w:val="1144"/>
        </w:numPr>
        <w:pStyle w:val="Compact"/>
      </w:pPr>
      <w:r>
        <w:rPr>
          <w:bCs/>
          <w:b/>
        </w:rPr>
        <w:t xml:space="preserve">UE, Germania, Austria:</w:t>
      </w:r>
      <w:r>
        <w:t xml:space="preserve"> </w:t>
      </w:r>
      <w:r>
        <w:t xml:space="preserve">nessuna autorizzazione. L’importazione e la cessione per l’uso sull’uomo sono consentite solo alle rigorose condizioni della rispettiva normativa sui medicinali. Le capsule con estratti d’organo vendute come integratori alimentari non possono promettere effetti sulle malattie; se debbano essere classificate come medicinali dipende dal singolo caso.</w:t>
      </w:r>
    </w:p>
    <w:p>
      <w:pPr>
        <w:numPr>
          <w:ilvl w:val="0"/>
          <w:numId w:val="1144"/>
        </w:numPr>
        <w:pStyle w:val="Compact"/>
      </w:pPr>
      <w:r>
        <w:rPr>
          <w:bCs/>
          <w:b/>
        </w:rPr>
        <w:t xml:space="preserve">USA:</w:t>
      </w:r>
      <w:r>
        <w:t xml:space="preserve"> </w:t>
      </w:r>
      <w:r>
        <w:t xml:space="preserve">nessuna autorizzazione FDA.</w:t>
      </w:r>
    </w:p>
    <w:p>
      <w:pPr>
        <w:numPr>
          <w:ilvl w:val="0"/>
          <w:numId w:val="1144"/>
        </w:numPr>
        <w:pStyle w:val="Compact"/>
      </w:pPr>
      <w:r>
        <w:rPr>
          <w:bCs/>
          <w:b/>
        </w:rPr>
        <w:t xml:space="preserve">WADA:</w:t>
      </w:r>
      <w:r>
        <w:t xml:space="preserve"> </w:t>
      </w:r>
      <w:r>
        <w:t xml:space="preserve">non elencati nominalmente.</w:t>
      </w:r>
    </w:p>
    <w:bookmarkEnd w:id="1218"/>
    <w:bookmarkStart w:id="1219" w:name="studi-in-corso-e-prospettive-22"/>
    <w:p>
      <w:pPr>
        <w:pStyle w:val="Heading3"/>
      </w:pPr>
      <w:r>
        <w:t xml:space="preserve">Studi in corso e prospettive</w:t>
      </w:r>
    </w:p>
    <w:p>
      <w:pPr>
        <w:pStyle w:val="FirstParagraph"/>
      </w:pPr>
      <w:r>
        <w:rPr>
          <w:bCs/>
          <w:b/>
        </w:rPr>
        <w:t xml:space="preserve">Certo:</w:t>
      </w:r>
      <w:r>
        <w:t xml:space="preserve"> </w:t>
      </w:r>
      <w:r>
        <w:t xml:space="preserve">a ottobre 2026 su ClinicalTrials.gov non è registrato alcuno studio su timalina o timogeno.</w:t>
      </w:r>
    </w:p>
    <w:p>
      <w:pPr>
        <w:pStyle w:val="BodyText"/>
      </w:pPr>
      <w:r>
        <w:rPr>
          <w:bCs/>
          <w:b/>
        </w:rPr>
        <w:t xml:space="preserve">Valutazione dell’autore:</w:t>
      </w:r>
      <w:r>
        <w:t xml:space="preserve"> </w:t>
      </w:r>
      <w:r>
        <w:t xml:space="preserve">un’autorizzazione nell’UE o negli USA è esclusa senza nuovi studi condotti secondo gli standard internazionali, e tali studi non sono in vista. Timalina e timogeno resteranno quindi presumibilmente un fenomeno del mercato sanitario di lingua russa e dell’ambiente internazionale della longevity.</w:t>
      </w:r>
    </w:p>
    <w:bookmarkEnd w:id="1219"/>
    <w:bookmarkStart w:id="1221" w:name="conclusione-22"/>
    <w:p>
      <w:pPr>
        <w:pStyle w:val="Heading3"/>
      </w:pPr>
      <w:r>
        <w:t xml:space="preserve">Conclusione</w:t>
      </w:r>
    </w:p>
    <w:p>
      <w:pPr>
        <w:pStyle w:val="FirstParagraph"/>
      </w:pPr>
      <w:r>
        <w:t xml:space="preserve">La timalina è un estratto di timo di vitello, il timogeno un dipeptide da esso derivato; entrambi sono autorizzati in Russia e pubblicizzati in Occidente come «bioregolatori» per allungare la vita. La letteratura proviene quasi interamente da un’unica scuola di ricerca russa, è pubblicata per lo più in lingua russa ed è costituita da studi piccoli, per lo più non randomizzati. Il tanto citato dimezzamento della mortalità negli anziani</w:t>
      </w:r>
      <w:r>
        <w:rPr>
          <w:rStyle w:val="FootnoteReference"/>
        </w:rPr>
        <w:footnoteReference w:id="1220"/>
      </w:r>
      <w:r>
        <w:t xml:space="preserve"> </w:t>
      </w:r>
      <w:r>
        <w:t xml:space="preserve">si basa su uno studio il cui disegno non è descritto in modo comprensibile nell’abstract. Secondo i criteri odierni un beneficio non è dimostrato, e la qualità dei prodotti in libera vendita è sconosciuta.</w:t>
      </w:r>
    </w:p>
    <w:bookmarkEnd w:id="1221"/>
    <w:bookmarkEnd w:id="1222"/>
    <w:bookmarkEnd w:id="1223"/>
    <w:bookmarkStart w:id="1603" w:name="Xe1cd13e02ed97c9e1fc06d04eab0e393f12c8ba"/>
    <w:p>
      <w:pPr>
        <w:pStyle w:val="Heading1"/>
      </w:pPr>
      <w:r>
        <w:t xml:space="preserve">Parte II · C – Asse dell’ormone della crescita</w:t>
      </w:r>
    </w:p>
    <w:p>
      <w:pPr>
        <w:pStyle w:val="FirstParagraph"/>
      </w:pPr>
      <w:r>
        <w:t xml:space="preserve">L’ormone della crescita (GH, dall’inglese</w:t>
      </w:r>
      <w:r>
        <w:t xml:space="preserve"> </w:t>
      </w:r>
      <w:r>
        <w:rPr>
          <w:iCs/>
          <w:i/>
        </w:rPr>
        <w:t xml:space="preserve">growth hormone</w:t>
      </w:r>
      <w:r>
        <w:t xml:space="preserve">) è uno degli ormoni più mitizzati in assoluto. Nelle palestre è considerato l’ormone dei muscoli e della combustione dei grassi, negli studi anti-aging una «fonte di giovinezza». Il vero ormone della crescita è una proteina grande, costosa e soggetta a prescrizione medica. I peptidi di questa parte promettono una via apparentemente più elegante: dovrebbero indurre l’organismo a secernere</w:t>
      </w:r>
      <w:r>
        <w:t xml:space="preserve"> </w:t>
      </w:r>
      <w:r>
        <w:rPr>
          <w:iCs/>
          <w:i/>
        </w:rPr>
        <w:t xml:space="preserve">più ormone della crescita proprio</w:t>
      </w:r>
      <w:r>
        <w:t xml:space="preserve">, oppure forniscono direttamente il messaggero a valle IGF-1.</w:t>
      </w:r>
    </w:p>
    <w:bookmarkStart w:id="1225" w:name="lasse-in-quattro-tappe"/>
    <w:p>
      <w:pPr>
        <w:pStyle w:val="Heading3"/>
      </w:pPr>
      <w:r>
        <w:t xml:space="preserve">L’asse in quattro tappe</w:t>
      </w:r>
    </w:p>
    <w:p>
      <w:pPr>
        <w:numPr>
          <w:ilvl w:val="0"/>
          <w:numId w:val="1145"/>
        </w:numPr>
        <w:pStyle w:val="Compact"/>
      </w:pPr>
      <w:r>
        <w:rPr>
          <w:bCs/>
          <w:b/>
        </w:rPr>
        <w:t xml:space="preserve">GHRH</w:t>
      </w:r>
      <w:r>
        <w:t xml:space="preserve"> </w:t>
      </w:r>
      <w:r>
        <w:t xml:space="preserve">(ormone di rilascio dell’ormone della crescita) dell’ipotalamo dà all’ipofisi il segnale per la secrezione. Il suo antagonista, la somatostatina, la frena.</w:t>
      </w:r>
    </w:p>
    <w:p>
      <w:pPr>
        <w:numPr>
          <w:ilvl w:val="0"/>
          <w:numId w:val="1145"/>
        </w:numPr>
        <w:pStyle w:val="Compact"/>
      </w:pPr>
      <w:r>
        <w:rPr>
          <w:bCs/>
          <w:b/>
        </w:rPr>
        <w:t xml:space="preserve">Grelina</w:t>
      </w:r>
      <w:r>
        <w:t xml:space="preserve">, un ormone dello stomaco, potenzia la secrezione attraverso un proprio recettore (GHS-R1a) e al tempo stesso mette fame</w:t>
      </w:r>
      <w:r>
        <w:rPr>
          <w:rStyle w:val="FootnoteReference"/>
        </w:rPr>
        <w:footnoteReference w:id="1224"/>
      </w:r>
      <w:r>
        <w:t xml:space="preserve">.</w:t>
      </w:r>
    </w:p>
    <w:p>
      <w:pPr>
        <w:numPr>
          <w:ilvl w:val="0"/>
          <w:numId w:val="1145"/>
        </w:numPr>
        <w:pStyle w:val="Compact"/>
      </w:pPr>
      <w:r>
        <w:rPr>
          <w:bCs/>
          <w:b/>
        </w:rPr>
        <w:t xml:space="preserve">Ormone della crescita:</w:t>
      </w:r>
      <w:r>
        <w:t xml:space="preserve"> </w:t>
      </w:r>
      <w:r>
        <w:t xml:space="preserve">viene rilasciato dall’ipofisi a impulsi, soprattutto di notte.</w:t>
      </w:r>
    </w:p>
    <w:p>
      <w:pPr>
        <w:numPr>
          <w:ilvl w:val="0"/>
          <w:numId w:val="1145"/>
        </w:numPr>
        <w:pStyle w:val="Compact"/>
      </w:pPr>
      <w:r>
        <w:rPr>
          <w:bCs/>
          <w:b/>
        </w:rPr>
        <w:t xml:space="preserve">IGF-1</w:t>
      </w:r>
      <w:r>
        <w:t xml:space="preserve"> </w:t>
      </w:r>
      <w:r>
        <w:t xml:space="preserve">(fattore di crescita insulino-simile 1) viene prodotto soprattutto nel fegato in risposta all’ormone della crescita e ne media molti effetti anabolici. Livelli elevati di IGF-1 frenano a loro volta l’asse.</w:t>
      </w:r>
    </w:p>
    <w:p>
      <w:pPr>
        <w:pStyle w:val="FirstParagraph"/>
      </w:pPr>
      <w:r>
        <w:t xml:space="preserve">I principi attivi di questa parte agiscono in tappe diverse: gli</w:t>
      </w:r>
      <w:r>
        <w:t xml:space="preserve"> </w:t>
      </w:r>
      <w:r>
        <w:rPr>
          <w:bCs/>
          <w:b/>
        </w:rPr>
        <w:t xml:space="preserve">analoghi del GHRH</w:t>
      </w:r>
      <w:r>
        <w:t xml:space="preserve"> </w:t>
      </w:r>
      <w:r>
        <w:t xml:space="preserve">(sermorelina, tesamorelina, CJC-1295) sul recettore del GHRH, i</w:t>
      </w:r>
      <w:r>
        <w:t xml:space="preserve"> </w:t>
      </w:r>
      <w:r>
        <w:rPr>
          <w:bCs/>
          <w:b/>
        </w:rPr>
        <w:t xml:space="preserve">mimetici della grelina</w:t>
      </w:r>
      <w:r>
        <w:t xml:space="preserve"> </w:t>
      </w:r>
      <w:r>
        <w:t xml:space="preserve">(ipamorelina, GHRP-2, GHRP-6, esarelina, macimorelina e, per confronto, il non peptide ibutamoren) sul recettore della grelina,</w:t>
      </w:r>
      <w:r>
        <w:t xml:space="preserve"> </w:t>
      </w:r>
      <w:r>
        <w:rPr>
          <w:bCs/>
          <w:b/>
        </w:rPr>
        <w:t xml:space="preserve">IGF-1 e le sue varianti</w:t>
      </w:r>
      <w:r>
        <w:t xml:space="preserve"> </w:t>
      </w:r>
      <w:r>
        <w:t xml:space="preserve">(mecasermina, IGF-1 LR3) direttamente alla fine della catena.</w:t>
      </w:r>
    </w:p>
    <w:bookmarkEnd w:id="1225"/>
    <w:bookmarkStart w:id="1228" w:name="perché-questo-gruppo-è-così-popolare"/>
    <w:p>
      <w:pPr>
        <w:pStyle w:val="Heading3"/>
      </w:pPr>
      <w:r>
        <w:t xml:space="preserve">Perché questo gruppo è così popolare</w:t>
      </w:r>
    </w:p>
    <w:p>
      <w:pPr>
        <w:pStyle w:val="FirstParagraph"/>
      </w:pPr>
      <w:r>
        <w:t xml:space="preserve">L’ormone della crescita riduce il grasso e aumenta la massa magra: questo è ben documentato. Una revisione di studi randomizzati su persone giovani e allenate ha trovato un aumento della massa magra di 2,1 kg, ma nessun miglioramento di forza o resistenza, in compenso più ritenzione idrica e stanchezza</w:t>
      </w:r>
      <w:r>
        <w:rPr>
          <w:rStyle w:val="FootnoteReference"/>
        </w:rPr>
        <w:footnoteReference w:id="1226"/>
      </w:r>
      <w:r>
        <w:t xml:space="preserve">. Nelle persone anziane sane la massa grassa è diminuita di 2,1 kg e la massa magra è aumentata di 2,1 kg; allo stesso tempo sono comparsi più spesso gonfiori dei tessuti, dolori articolari, sindrome del tunnel carpale e ingrossamento del seno negli uomini</w:t>
      </w:r>
      <w:r>
        <w:rPr>
          <w:rStyle w:val="FootnoteReference"/>
        </w:rPr>
        <w:footnoteReference w:id="1227"/>
      </w:r>
      <w:r>
        <w:t xml:space="preserve">. Poiché la secrezione di ormone della crescita diminuisce con l’età, viene spontaneo pensare di «riportarla indietro». I secretagoghi sono considerati un’alternativa più delicata, perché la regolazione endogena resta intatta. A ciò si aggiunge che molti di essi sono disponibili online a basso prezzo come «research peptides».</w:t>
      </w:r>
    </w:p>
    <w:p>
      <w:pPr>
        <w:pStyle w:val="BodyText"/>
      </w:pPr>
      <w:r>
        <w:t xml:space="preserve">Lo schema che attraversa quasi tutti i capitoli: IGF-1 e massa magra aumentano, ma forza, funzione o decorso delle malattie migliorano appena negli studi controllati, mentre glicemia, ritenzione idrica e, per alcune sostanze, ormoni dello stress aumentano.</w:t>
      </w:r>
    </w:p>
    <w:bookmarkEnd w:id="1228"/>
    <w:bookmarkStart w:id="1235" w:name="il-punto-aperto-più-importante-il-cancro"/>
    <w:p>
      <w:pPr>
        <w:pStyle w:val="Heading3"/>
      </w:pPr>
      <w:r>
        <w:t xml:space="preserve">Il punto aperto più importante: il cancro</w:t>
      </w:r>
    </w:p>
    <w:p>
      <w:pPr>
        <w:pStyle w:val="FirstParagraph"/>
      </w:pPr>
      <w:r>
        <w:t xml:space="preserve">L’IGF-1 favorisce la divisione cellulare e mantiene in vita le cellule. Se un innalzamento duraturo aumenti il rischio di cancro è la questione di sicurezza centrale di questo gruppo. Le evidenze, riassunte in modo sobrio:</w:t>
      </w:r>
    </w:p>
    <w:p>
      <w:pPr>
        <w:numPr>
          <w:ilvl w:val="0"/>
          <w:numId w:val="1146"/>
        </w:numPr>
        <w:pStyle w:val="Compact"/>
      </w:pPr>
      <w:r>
        <w:rPr>
          <w:bCs/>
          <w:b/>
        </w:rPr>
        <w:t xml:space="preserve">IGF-1 naturalmente alto:</w:t>
      </w:r>
      <w:r>
        <w:t xml:space="preserve"> </w:t>
      </w:r>
      <w:r>
        <w:t xml:space="preserve">negli studi osservazionali un livello più alto è associato a un rischio moderatamente aumentato di cancro della prostata e di cancro al seno prima della menopausa</w:t>
      </w:r>
      <w:r>
        <w:rPr>
          <w:rStyle w:val="FootnoteReference"/>
        </w:rPr>
        <w:footnoteReference w:id="1229"/>
      </w:r>
      <w:r>
        <w:t xml:space="preserve">. Analisi genetiche con centinaia di migliaia di partecipanti indicano che l’associazione potrebbe essere causale per il cancro al seno e al colon-retto</w:t>
      </w:r>
      <w:r>
        <w:rPr>
          <w:rStyle w:val="FootnoteReference"/>
        </w:rPr>
        <w:footnoteReference w:id="1230"/>
      </w:r>
      <w:r>
        <w:t xml:space="preserve">.</w:t>
      </w:r>
    </w:p>
    <w:p>
      <w:pPr>
        <w:numPr>
          <w:ilvl w:val="0"/>
          <w:numId w:val="1146"/>
        </w:numPr>
        <w:pStyle w:val="Compact"/>
      </w:pPr>
      <w:r>
        <w:rPr>
          <w:bCs/>
          <w:b/>
        </w:rPr>
        <w:t xml:space="preserve">Eccesso naturale di ormone della crescita (acromegalia):</w:t>
      </w:r>
      <w:r>
        <w:t xml:space="preserve"> </w:t>
      </w:r>
      <w:r>
        <w:t xml:space="preserve">una meta-analisi di 23 studi ha trovato un tasso di cancro aumentato di circa il 50%, ma indica anche distorsioni negli studi più datati</w:t>
      </w:r>
      <w:r>
        <w:rPr>
          <w:rStyle w:val="FootnoteReference"/>
        </w:rPr>
        <w:footnoteReference w:id="1231"/>
      </w:r>
      <w:r>
        <w:t xml:space="preserve">.</w:t>
      </w:r>
    </w:p>
    <w:p>
      <w:pPr>
        <w:numPr>
          <w:ilvl w:val="0"/>
          <w:numId w:val="1146"/>
        </w:numPr>
        <w:pStyle w:val="Compact"/>
      </w:pPr>
      <w:r>
        <w:rPr>
          <w:bCs/>
          <w:b/>
        </w:rPr>
        <w:t xml:space="preserve">Carenza di IGF-1 per tutta la vita (sindrome di Laron):</w:t>
      </w:r>
      <w:r>
        <w:t xml:space="preserve"> </w:t>
      </w:r>
      <w:r>
        <w:t xml:space="preserve">il cancro si è presentato in modo sorprendentemente raro</w:t>
      </w:r>
      <w:r>
        <w:rPr>
          <w:rStyle w:val="FootnoteReference"/>
        </w:rPr>
        <w:footnoteReference w:id="1232"/>
      </w:r>
      <w:r>
        <w:t xml:space="preserve">.</w:t>
      </w:r>
    </w:p>
    <w:p>
      <w:pPr>
        <w:numPr>
          <w:ilvl w:val="0"/>
          <w:numId w:val="1146"/>
        </w:numPr>
        <w:pStyle w:val="Compact"/>
      </w:pPr>
      <w:r>
        <w:rPr>
          <w:bCs/>
          <w:b/>
        </w:rPr>
        <w:t xml:space="preserve">Ormone della crescita come medicinale:</w:t>
      </w:r>
      <w:r>
        <w:t xml:space="preserve"> </w:t>
      </w:r>
      <w:r>
        <w:t xml:space="preserve">in una coorte europea di 23.984 bambini trattati non è emerso un rischio generalmente aumentato nei bambini senza malattie pregresse, ma anomalie per singoli tipi di cancro e nei bambini che avevano avuto in precedenza un cancro</w:t>
      </w:r>
      <w:r>
        <w:rPr>
          <w:rStyle w:val="FootnoteReference"/>
        </w:rPr>
        <w:footnoteReference w:id="1233"/>
      </w:r>
      <w:r>
        <w:t xml:space="preserve">. In 8.418 adulti trattati con ipopituitarismo il rischio di cancro non era aumentato</w:t>
      </w:r>
      <w:r>
        <w:rPr>
          <w:rStyle w:val="FootnoteReference"/>
        </w:rPr>
        <w:footnoteReference w:id="1234"/>
      </w:r>
      <w:r>
        <w:t xml:space="preserve">.</w:t>
      </w:r>
    </w:p>
    <w:p>
      <w:pPr>
        <w:pStyle w:val="FirstParagraph"/>
      </w:pPr>
      <w:r>
        <w:t xml:space="preserve">Conclusione: nelle persone con una carenza reale una terapia sostitutiva, secondo le conoscenze attuali, non è associata a un rischio di cancro nettamente maggiore. Per le persone sane che innalzano per anni un livello normale mancano dati, e la biologia depone più a favore che contro un certo rischio. La Parte IV approfondisce il tema.</w:t>
      </w:r>
    </w:p>
    <w:bookmarkEnd w:id="1235"/>
    <w:bookmarkStart w:id="1236" w:name="panoramica-1"/>
    <w:p>
      <w:pPr>
        <w:pStyle w:val="Heading3"/>
      </w:pPr>
      <w:r>
        <w:t xml:space="preserve">Panoramica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Peptide</w:t>
            </w:r>
          </w:p>
        </w:tc>
        <w:tc>
          <w:tcPr/>
          <w:p>
            <w:pPr>
              <w:pStyle w:val="Compact"/>
              <w:jc w:val="left"/>
            </w:pPr>
            <w:r>
              <w:t xml:space="preserve">Evidenza</w:t>
            </w:r>
          </w:p>
        </w:tc>
        <w:tc>
          <w:tcPr/>
          <w:p>
            <w:pPr>
              <w:pStyle w:val="Compact"/>
              <w:jc w:val="left"/>
            </w:pPr>
            <w:r>
              <w:t xml:space="preserve">Autorizzazione</w:t>
            </w:r>
          </w:p>
        </w:tc>
        <w:tc>
          <w:tcPr/>
          <w:p>
            <w:pPr>
              <w:pStyle w:val="Compact"/>
              <w:jc w:val="left"/>
            </w:pPr>
            <w:r>
              <w:t xml:space="preserve">In breve</w:t>
            </w:r>
          </w:p>
        </w:tc>
      </w:tr>
      <w:tr>
        <w:tc>
          <w:tcPr/>
          <w:p>
            <w:pPr>
              <w:pStyle w:val="Compact"/>
              <w:jc w:val="left"/>
            </w:pPr>
            <w:r>
              <w:t xml:space="preserve">Sermorelina</w:t>
            </w:r>
          </w:p>
        </w:tc>
        <w:tc>
          <w:tcPr/>
          <w:p>
            <w:pPr>
              <w:pStyle w:val="Compact"/>
              <w:jc w:val="left"/>
            </w:pPr>
            <w:r>
              <w:t xml:space="preserve">B</w:t>
            </w:r>
          </w:p>
        </w:tc>
        <w:tc>
          <w:tcPr/>
          <w:p>
            <w:pPr>
              <w:pStyle w:val="Compact"/>
              <w:jc w:val="left"/>
            </w:pPr>
            <w:r>
              <w:t xml:space="preserve">in passato USA (Geref), oggi nessuna</w:t>
            </w:r>
          </w:p>
        </w:tc>
        <w:tc>
          <w:tcPr/>
          <w:p>
            <w:pPr>
              <w:pStyle w:val="Compact"/>
              <w:jc w:val="left"/>
            </w:pPr>
            <w:r>
              <w:t xml:space="preserve">frammento di GHRH; bambini con carenza di GH</w:t>
            </w:r>
          </w:p>
        </w:tc>
      </w:tr>
      <w:tr>
        <w:tc>
          <w:tcPr/>
          <w:p>
            <w:pPr>
              <w:pStyle w:val="Compact"/>
              <w:jc w:val="left"/>
            </w:pPr>
            <w:r>
              <w:t xml:space="preserve">Tesamorelina</w:t>
            </w:r>
          </w:p>
        </w:tc>
        <w:tc>
          <w:tcPr/>
          <w:p>
            <w:pPr>
              <w:pStyle w:val="Compact"/>
              <w:jc w:val="left"/>
            </w:pPr>
            <w:r>
              <w:t xml:space="preserve">A</w:t>
            </w:r>
          </w:p>
        </w:tc>
        <w:tc>
          <w:tcPr/>
          <w:p>
            <w:pPr>
              <w:pStyle w:val="Compact"/>
              <w:jc w:val="left"/>
            </w:pPr>
            <w:r>
              <w:t xml:space="preserve">USA (Egrifta)</w:t>
            </w:r>
          </w:p>
        </w:tc>
        <w:tc>
          <w:tcPr/>
          <w:p>
            <w:pPr>
              <w:pStyle w:val="Compact"/>
              <w:jc w:val="left"/>
            </w:pPr>
            <w:r>
              <w:t xml:space="preserve">meno grasso addominale ed epatico nell’HIV</w:t>
            </w:r>
          </w:p>
        </w:tc>
      </w:tr>
      <w:tr>
        <w:tc>
          <w:tcPr/>
          <w:p>
            <w:pPr>
              <w:pStyle w:val="Compact"/>
              <w:jc w:val="left"/>
            </w:pPr>
            <w:r>
              <w:t xml:space="preserve">CJC-1295</w:t>
            </w:r>
          </w:p>
        </w:tc>
        <w:tc>
          <w:tcPr/>
          <w:p>
            <w:pPr>
              <w:pStyle w:val="Compact"/>
              <w:jc w:val="left"/>
            </w:pPr>
            <w:r>
              <w:t xml:space="preserve">C</w:t>
            </w:r>
          </w:p>
        </w:tc>
        <w:tc>
          <w:tcPr/>
          <w:p>
            <w:pPr>
              <w:pStyle w:val="Compact"/>
              <w:jc w:val="left"/>
            </w:pPr>
            <w:r>
              <w:t xml:space="preserve">nessuna</w:t>
            </w:r>
          </w:p>
        </w:tc>
        <w:tc>
          <w:tcPr/>
          <w:p>
            <w:pPr>
              <w:pStyle w:val="Compact"/>
              <w:jc w:val="left"/>
            </w:pPr>
            <w:r>
              <w:t xml:space="preserve">solo dati di fase 1; variante «senza DAC» non studiata</w:t>
            </w:r>
          </w:p>
        </w:tc>
      </w:tr>
      <w:tr>
        <w:tc>
          <w:tcPr/>
          <w:p>
            <w:pPr>
              <w:pStyle w:val="Compact"/>
              <w:jc w:val="left"/>
            </w:pPr>
            <w:r>
              <w:t xml:space="preserve">Ipamorelina</w:t>
            </w:r>
          </w:p>
        </w:tc>
        <w:tc>
          <w:tcPr/>
          <w:p>
            <w:pPr>
              <w:pStyle w:val="Compact"/>
              <w:jc w:val="left"/>
            </w:pPr>
            <w:r>
              <w:t xml:space="preserve">B</w:t>
            </w:r>
          </w:p>
        </w:tc>
        <w:tc>
          <w:tcPr/>
          <w:p>
            <w:pPr>
              <w:pStyle w:val="Compact"/>
              <w:jc w:val="left"/>
            </w:pPr>
            <w:r>
              <w:t xml:space="preserve">nessuna</w:t>
            </w:r>
          </w:p>
        </w:tc>
        <w:tc>
          <w:tcPr/>
          <w:p>
            <w:pPr>
              <w:pStyle w:val="Compact"/>
              <w:jc w:val="left"/>
            </w:pPr>
            <w:r>
              <w:t xml:space="preserve">nessun beneficio nell’ileo postoperatorio</w:t>
            </w:r>
          </w:p>
        </w:tc>
      </w:tr>
      <w:tr>
        <w:tc>
          <w:tcPr/>
          <w:p>
            <w:pPr>
              <w:pStyle w:val="Compact"/>
              <w:jc w:val="left"/>
            </w:pPr>
            <w:r>
              <w:t xml:space="preserve">GHRP-2 (pralmorelina)</w:t>
            </w:r>
          </w:p>
        </w:tc>
        <w:tc>
          <w:tcPr/>
          <w:p>
            <w:pPr>
              <w:pStyle w:val="Compact"/>
              <w:jc w:val="left"/>
            </w:pPr>
            <w:r>
              <w:t xml:space="preserve">B</w:t>
            </w:r>
          </w:p>
        </w:tc>
        <w:tc>
          <w:tcPr/>
          <w:p>
            <w:pPr>
              <w:pStyle w:val="Compact"/>
              <w:jc w:val="left"/>
            </w:pPr>
            <w:r>
              <w:t xml:space="preserve">Giappone (diagnostico)</w:t>
            </w:r>
          </w:p>
        </w:tc>
        <w:tc>
          <w:tcPr/>
          <w:p>
            <w:pPr>
              <w:pStyle w:val="Compact"/>
              <w:jc w:val="left"/>
            </w:pPr>
            <w:r>
              <w:t xml:space="preserve">test per la carenza di GH</w:t>
            </w:r>
          </w:p>
        </w:tc>
      </w:tr>
      <w:tr>
        <w:tc>
          <w:tcPr/>
          <w:p>
            <w:pPr>
              <w:pStyle w:val="Compact"/>
              <w:jc w:val="left"/>
            </w:pPr>
            <w:r>
              <w:t xml:space="preserve">GHRP-6</w:t>
            </w:r>
          </w:p>
        </w:tc>
        <w:tc>
          <w:tcPr/>
          <w:p>
            <w:pPr>
              <w:pStyle w:val="Compact"/>
              <w:jc w:val="left"/>
            </w:pPr>
            <w:r>
              <w:t xml:space="preserve">C</w:t>
            </w:r>
          </w:p>
        </w:tc>
        <w:tc>
          <w:tcPr/>
          <w:p>
            <w:pPr>
              <w:pStyle w:val="Compact"/>
              <w:jc w:val="left"/>
            </w:pPr>
            <w:r>
              <w:t xml:space="preserve">nessuna</w:t>
            </w:r>
          </w:p>
        </w:tc>
        <w:tc>
          <w:tcPr/>
          <w:p>
            <w:pPr>
              <w:pStyle w:val="Compact"/>
              <w:jc w:val="left"/>
            </w:pPr>
            <w:r>
              <w:t xml:space="preserve">sostanza di ricerca e di test</w:t>
            </w:r>
          </w:p>
        </w:tc>
      </w:tr>
      <w:tr>
        <w:tc>
          <w:tcPr/>
          <w:p>
            <w:pPr>
              <w:pStyle w:val="Compact"/>
              <w:jc w:val="left"/>
            </w:pPr>
            <w:r>
              <w:t xml:space="preserve">Esarelina</w:t>
            </w:r>
          </w:p>
        </w:tc>
        <w:tc>
          <w:tcPr/>
          <w:p>
            <w:pPr>
              <w:pStyle w:val="Compact"/>
              <w:jc w:val="left"/>
            </w:pPr>
            <w:r>
              <w:t xml:space="preserve">C</w:t>
            </w:r>
          </w:p>
        </w:tc>
        <w:tc>
          <w:tcPr/>
          <w:p>
            <w:pPr>
              <w:pStyle w:val="Compact"/>
              <w:jc w:val="left"/>
            </w:pPr>
            <w:r>
              <w:t xml:space="preserve">nessuna</w:t>
            </w:r>
          </w:p>
        </w:tc>
        <w:tc>
          <w:tcPr/>
          <w:p>
            <w:pPr>
              <w:pStyle w:val="Compact"/>
              <w:jc w:val="left"/>
            </w:pPr>
            <w:r>
              <w:t xml:space="preserve">effetti cardiaci acuti; perdita di efficacia con la somministrazione continua</w:t>
            </w:r>
          </w:p>
        </w:tc>
      </w:tr>
      <w:tr>
        <w:tc>
          <w:tcPr/>
          <w:p>
            <w:pPr>
              <w:pStyle w:val="Compact"/>
              <w:jc w:val="left"/>
            </w:pPr>
            <w:r>
              <w:t xml:space="preserve">Macimorelina</w:t>
            </w:r>
          </w:p>
        </w:tc>
        <w:tc>
          <w:tcPr/>
          <w:p>
            <w:pPr>
              <w:pStyle w:val="Compact"/>
              <w:jc w:val="left"/>
            </w:pPr>
            <w:r>
              <w:t xml:space="preserve">A</w:t>
            </w:r>
          </w:p>
        </w:tc>
        <w:tc>
          <w:tcPr/>
          <w:p>
            <w:pPr>
              <w:pStyle w:val="Compact"/>
              <w:jc w:val="left"/>
            </w:pPr>
            <w:r>
              <w:t xml:space="preserve">UE, USA (diagnostico)</w:t>
            </w:r>
          </w:p>
        </w:tc>
        <w:tc>
          <w:tcPr/>
          <w:p>
            <w:pPr>
              <w:pStyle w:val="Compact"/>
              <w:jc w:val="left"/>
            </w:pPr>
            <w:r>
              <w:t xml:space="preserve">test orale per la carenza di GH</w:t>
            </w:r>
          </w:p>
        </w:tc>
      </w:tr>
      <w:tr>
        <w:tc>
          <w:tcPr/>
          <w:p>
            <w:pPr>
              <w:pStyle w:val="Compact"/>
              <w:jc w:val="left"/>
            </w:pPr>
            <w:r>
              <w:t xml:space="preserve">Mecasermina (IGF-1)</w:t>
            </w:r>
          </w:p>
        </w:tc>
        <w:tc>
          <w:tcPr/>
          <w:p>
            <w:pPr>
              <w:pStyle w:val="Compact"/>
              <w:jc w:val="left"/>
            </w:pPr>
            <w:r>
              <w:t xml:space="preserve">A</w:t>
            </w:r>
          </w:p>
        </w:tc>
        <w:tc>
          <w:tcPr/>
          <w:p>
            <w:pPr>
              <w:pStyle w:val="Compact"/>
              <w:jc w:val="left"/>
            </w:pPr>
            <w:r>
              <w:t xml:space="preserve">UE, USA (Increlex)</w:t>
            </w:r>
          </w:p>
        </w:tc>
        <w:tc>
          <w:tcPr/>
          <w:p>
            <w:pPr>
              <w:pStyle w:val="Compact"/>
              <w:jc w:val="left"/>
            </w:pPr>
            <w:r>
              <w:t xml:space="preserve">grave carenza di IGF-1 nei bambini</w:t>
            </w:r>
          </w:p>
        </w:tc>
      </w:tr>
      <w:tr>
        <w:tc>
          <w:tcPr/>
          <w:p>
            <w:pPr>
              <w:pStyle w:val="Compact"/>
              <w:jc w:val="left"/>
            </w:pPr>
            <w:r>
              <w:t xml:space="preserve">IGF-1 LR3</w:t>
            </w:r>
          </w:p>
        </w:tc>
        <w:tc>
          <w:tcPr/>
          <w:p>
            <w:pPr>
              <w:pStyle w:val="Compact"/>
              <w:jc w:val="left"/>
            </w:pPr>
            <w:r>
              <w:t xml:space="preserve">D</w:t>
            </w:r>
          </w:p>
        </w:tc>
        <w:tc>
          <w:tcPr/>
          <w:p>
            <w:pPr>
              <w:pStyle w:val="Compact"/>
              <w:jc w:val="left"/>
            </w:pPr>
            <w:r>
              <w:t xml:space="preserve">nessuna</w:t>
            </w:r>
          </w:p>
        </w:tc>
        <w:tc>
          <w:tcPr/>
          <w:p>
            <w:pPr>
              <w:pStyle w:val="Compact"/>
              <w:jc w:val="left"/>
            </w:pPr>
            <w:r>
              <w:t xml:space="preserve">reagente di laboratorio, mai valutato sull’uomo</w:t>
            </w:r>
          </w:p>
        </w:tc>
      </w:tr>
      <w:tr>
        <w:tc>
          <w:tcPr/>
          <w:p>
            <w:pPr>
              <w:pStyle w:val="Compact"/>
              <w:jc w:val="left"/>
            </w:pPr>
            <w:r>
              <w:t xml:space="preserve">Ibutamoren (confronto)</w:t>
            </w:r>
          </w:p>
        </w:tc>
        <w:tc>
          <w:tcPr/>
          <w:p>
            <w:pPr>
              <w:pStyle w:val="Compact"/>
              <w:jc w:val="left"/>
            </w:pPr>
            <w:r>
              <w:t xml:space="preserve">B</w:t>
            </w:r>
          </w:p>
        </w:tc>
        <w:tc>
          <w:tcPr/>
          <w:p>
            <w:pPr>
              <w:pStyle w:val="Compact"/>
              <w:jc w:val="left"/>
            </w:pPr>
            <w:r>
              <w:t xml:space="preserve">nessuna</w:t>
            </w:r>
          </w:p>
        </w:tc>
        <w:tc>
          <w:tcPr/>
          <w:p>
            <w:pPr>
              <w:pStyle w:val="Compact"/>
              <w:jc w:val="left"/>
            </w:pPr>
            <w:r>
              <w:t xml:space="preserve">compressa; segnale di insufficienza cardiaca</w:t>
            </w:r>
          </w:p>
        </w:tc>
      </w:tr>
    </w:tbl>
    <w:bookmarkEnd w:id="1236"/>
    <w:bookmarkStart w:id="1237" w:name="indicazioni-per-la-lettura-2"/>
    <w:p>
      <w:pPr>
        <w:pStyle w:val="Heading3"/>
      </w:pPr>
      <w:r>
        <w:t xml:space="preserve">Indicazioni per la lettura</w:t>
      </w:r>
    </w:p>
    <w:p>
      <w:pPr>
        <w:pStyle w:val="FirstParagraph"/>
      </w:pPr>
      <w:r>
        <w:t xml:space="preserve">Chi è interessato agli impieghi con un beneficio reale inizi da tesamorelina, macimorelina e mecasermina. Chi vuole sapere che cosa si nasconde dietro i classici del mercato grigio legga CJC-1295, ipamorelina e IGF-1 LR3. Ibutamoren non è un peptide, ma nei grandi studi mostra in modo particolarmente chiaro che cosa provoca una stimolazione duratura dell’asse. Tutti i principi attivi di questo gruppo figurano nella lista delle sostanze proibite dell’Agenzia mondiale antidoping (gruppo S2).</w:t>
      </w:r>
    </w:p>
    <w:bookmarkEnd w:id="1237"/>
    <w:bookmarkStart w:id="1274" w:name="sermorelina"/>
    <w:p>
      <w:pPr>
        <w:pStyle w:val="Heading2"/>
      </w:pPr>
      <w:r>
        <w:t xml:space="preserve">Sermorelina</w:t>
      </w:r>
    </w:p>
    <w:p>
      <w:pPr>
        <w:pStyle w:val="FirstParagraph"/>
      </w:pPr>
      <w:r>
        <w:t xml:space="preserve">La sermorelina è un pezzo di storia dei farmaci che su internet vive una seconda vita. Negli anni Novanta era autorizzata come medicinale negli USA, prima come sostanza di test per la diagnosi di una carenza di ormone della crescita, poi per il trattamento dei bambini di bassa statura. Dalla fine degli anni Duemila il preparato originale è scomparso dal mercato. Oggi la sermorelina viene prescritta come preparazione galenica soprattutto nelle cliniche americane «anti-aging» e di «men’s health» e offerta sul mercato grigio. Questo capitolo mostra che cosa dimostrano davvero i vecchi studi e che cosa no.</w:t>
      </w:r>
    </w:p>
    <w:bookmarkStart w:id="1239" w:name="scheda-23"/>
    <w:p>
      <w:pPr>
        <w:pStyle w:val="Heading3"/>
      </w:pPr>
      <w:r>
        <w:t xml:space="preserve">Scheda</w:t>
      </w:r>
    </w:p>
    <w:p>
      <w:pPr>
        <w:numPr>
          <w:ilvl w:val="0"/>
          <w:numId w:val="1147"/>
        </w:numPr>
        <w:pStyle w:val="Compact"/>
      </w:pPr>
      <w:r>
        <w:rPr>
          <w:bCs/>
          <w:b/>
        </w:rPr>
        <w:t xml:space="preserve">Tipo e struttura:</w:t>
      </w:r>
      <w:r>
        <w:t xml:space="preserve"> </w:t>
      </w:r>
      <w:r>
        <w:t xml:space="preserve">peptide sintetico di 29 aminoacidi; corrisponde alla sezione anteriore, attiva, dell’ormone endogeno di rilascio dell’ormone della crescita, GHRH(1-29)NH2. È il peptide sintetico più corto con piena attività GHRH</w:t>
      </w:r>
      <w:r>
        <w:rPr>
          <w:rStyle w:val="FootnoteReference"/>
        </w:rPr>
        <w:footnoteReference w:id="1238"/>
      </w:r>
      <w:r>
        <w:t xml:space="preserve">.</w:t>
      </w:r>
    </w:p>
    <w:p>
      <w:pPr>
        <w:numPr>
          <w:ilvl w:val="0"/>
          <w:numId w:val="1147"/>
        </w:numPr>
        <w:pStyle w:val="Compact"/>
      </w:pPr>
      <w:r>
        <w:rPr>
          <w:bCs/>
          <w:b/>
        </w:rPr>
        <w:t xml:space="preserve">Origine:</w:t>
      </w:r>
      <w:r>
        <w:t xml:space="preserve"> </w:t>
      </w:r>
      <w:r>
        <w:t xml:space="preserve">derivata negli anni Ottanta dal GHRH naturale; commercializzata da Serono come Geref.</w:t>
      </w:r>
    </w:p>
    <w:p>
      <w:pPr>
        <w:numPr>
          <w:ilvl w:val="0"/>
          <w:numId w:val="1147"/>
        </w:numPr>
        <w:pStyle w:val="Compact"/>
      </w:pPr>
      <w:r>
        <w:rPr>
          <w:bCs/>
          <w:b/>
        </w:rPr>
        <w:t xml:space="preserve">Principio d’azione:</w:t>
      </w:r>
      <w:r>
        <w:t xml:space="preserve"> </w:t>
      </w:r>
      <w:r>
        <w:t xml:space="preserve">si lega al recettore del GHRH dell’ipofisi e vi provoca una secrezione di ormone della crescita; la regolazione endogena (freno da parte della somatostatina, retroazione da parte dell’IGF-1) resta intatta.</w:t>
      </w:r>
    </w:p>
    <w:p>
      <w:pPr>
        <w:numPr>
          <w:ilvl w:val="0"/>
          <w:numId w:val="1147"/>
        </w:numPr>
        <w:pStyle w:val="Compact"/>
      </w:pPr>
      <w:r>
        <w:rPr>
          <w:bCs/>
          <w:b/>
        </w:rPr>
        <w:t xml:space="preserve">Autorizzazione UE:</w:t>
      </w:r>
      <w:r>
        <w:t xml:space="preserve"> </w:t>
      </w:r>
      <w:r>
        <w:t xml:space="preserve">no (aggiornato al 2026).</w:t>
      </w:r>
      <w:r>
        <w:t xml:space="preserve"> </w:t>
      </w:r>
      <w:r>
        <w:rPr>
          <w:bCs/>
          <w:b/>
        </w:rPr>
        <w:t xml:space="preserve">Autorizzazione USA:</w:t>
      </w:r>
      <w:r>
        <w:t xml:space="preserve"> </w:t>
      </w:r>
      <w:r>
        <w:t xml:space="preserve">in passato sì (Geref come diagnostico e per il trattamento di bambini con carenza di ormone della crescita); il preparato originale non è più disponibile dalla fine degli anni Duemila.</w:t>
      </w:r>
    </w:p>
    <w:p>
      <w:pPr>
        <w:numPr>
          <w:ilvl w:val="0"/>
          <w:numId w:val="1147"/>
        </w:numPr>
        <w:pStyle w:val="Compact"/>
      </w:pPr>
      <w:r>
        <w:rPr>
          <w:bCs/>
          <w:b/>
        </w:rPr>
        <w:t xml:space="preserve">WADA:</w:t>
      </w:r>
      <w:r>
        <w:t xml:space="preserve"> </w:t>
      </w:r>
      <w:r>
        <w:t xml:space="preserve">vietata, gruppo S2 – la sermorelina è citata espressamente come analogo del GHRH.</w:t>
      </w:r>
    </w:p>
    <w:p>
      <w:pPr>
        <w:numPr>
          <w:ilvl w:val="0"/>
          <w:numId w:val="1147"/>
        </w:numPr>
        <w:pStyle w:val="Compact"/>
      </w:pPr>
      <w:r>
        <w:rPr>
          <w:bCs/>
          <w:b/>
        </w:rPr>
        <w:t xml:space="preserve">Livello di evidenza: B</w:t>
      </w:r>
      <w:r>
        <w:t xml:space="preserve"> </w:t>
      </w:r>
      <w:r>
        <w:t xml:space="preserve">– singoli piccoli studi randomizzati o controllati, per lo più in aperto e degli anni Ottanta e Novanta; nessun grande studio moderno.</w:t>
      </w:r>
    </w:p>
    <w:bookmarkEnd w:id="1239"/>
    <w:bookmarkStart w:id="1241" w:name="come-dovrebbe-agire-23"/>
    <w:p>
      <w:pPr>
        <w:pStyle w:val="Heading3"/>
      </w:pPr>
      <w:r>
        <w:t xml:space="preserve">Come dovrebbe agire</w:t>
      </w:r>
    </w:p>
    <w:p>
      <w:pPr>
        <w:pStyle w:val="FirstParagraph"/>
      </w:pPr>
      <w:r>
        <w:t xml:space="preserve">L’ipofisi rilascia l’ormone della crescita a impulsi. Il segnale di avvio lo dà il GHRH dell’ipotalamo. Il GHRH prodotto naturalmente è lungo 44 aminoacidi; negli anni Ottanta i ricercatori constatarono che i primi 29 aminoacidi bastano per l’effetto completo. Da qui è nata la sermorelina.</w:t>
      </w:r>
    </w:p>
    <w:p>
      <w:pPr>
        <w:pStyle w:val="BodyText"/>
      </w:pPr>
      <w:r>
        <w:t xml:space="preserve">Il vantaggio rispetto all’ormone della crescita iniettato dovrebbe consistere nel fatto che l’ipofisi «partecipa alla decisione»: se nel sangue c’è abbastanza IGF-1, l’organismo frena da solo tramite la somatostatina. I sovradosaggi come con la somministrazione diretta di GH dovrebbero quindi essere meno probabili. Lo svantaggio: la sermorelina funziona solo se l’ipofisi è ancora in grado di produrre ormone della crescita, e il suo effetto è breve: l’emivita nel sangue nell’uomo è di soli 10–20 minuti circa</w:t>
      </w:r>
      <w:r>
        <w:rPr>
          <w:rStyle w:val="FootnoteReference"/>
        </w:rPr>
        <w:footnoteReference w:id="1240"/>
      </w:r>
      <w:r>
        <w:t xml:space="preserve">. È efficace quindi soprattutto nei disturbi che risiedono nell’ipotalamo, non nell’ipofisi stessa.</w:t>
      </w:r>
    </w:p>
    <w:bookmarkEnd w:id="1241"/>
    <w:bookmarkStart w:id="1258" w:name="studi-sulluomo-23"/>
    <w:p>
      <w:pPr>
        <w:pStyle w:val="Heading3"/>
      </w:pPr>
      <w:r>
        <w:t xml:space="preserve">Studi sull’uomo</w:t>
      </w:r>
    </w:p>
    <w:p>
      <w:pPr>
        <w:pStyle w:val="FirstParagraph"/>
      </w:pPr>
      <w:r>
        <w:rPr>
          <w:bCs/>
          <w:b/>
        </w:rPr>
        <w:t xml:space="preserve">Dimensioni della letteratura (ricerca di ottobre 2026):</w:t>
      </w:r>
      <w:r>
        <w:t xml:space="preserve"> </w:t>
      </w:r>
      <w:r>
        <w:t xml:space="preserve">la ricerca automatizzata di questo libro con la parola chiave «sermorelin»</w:t>
      </w:r>
      <w:r>
        <w:t xml:space="preserve"> </w:t>
      </w:r>
      <w:r>
        <w:rPr>
          <w:bCs/>
          <w:b/>
        </w:rPr>
        <w:t xml:space="preserve">non</w:t>
      </w:r>
      <w:r>
        <w:t xml:space="preserve"> </w:t>
      </w:r>
      <w:r>
        <w:t xml:space="preserve">ha trovato alcuno studio sull’uomo (</w:t>
      </w:r>
      <w:r>
        <w:rPr>
          <w:rStyle w:val="VerbatimChar"/>
        </w:rPr>
        <w:t xml:space="preserve">humanstudien_alle</w:t>
      </w:r>
      <w:r>
        <w:t xml:space="preserve">: 0) e</w:t>
      </w:r>
      <w:r>
        <w:t xml:space="preserve"> </w:t>
      </w:r>
      <w:r>
        <w:rPr>
          <w:bCs/>
          <w:b/>
        </w:rPr>
        <w:t xml:space="preserve">27</w:t>
      </w:r>
      <w:r>
        <w:t xml:space="preserve"> </w:t>
      </w:r>
      <w:r>
        <w:t xml:space="preserve">voci su ClinicalTrials.gov. Entrambi i numeri ingannano: la maggior parte dei lavori clinici è stata pubblicata con denominazioni come «GHRH(1-29)NH2», «GRF 1-29» o «Geref» e non viene rilevata da una semplice ricerca per nome. Al contrario, molte delle 27 voci di registro non riguardano affatto la sermorelina, ma la tesamorelina o i test con GHRH in generale. Una ricerca mirata successiva ha individuato diverse decine di studi clinici, per lo più piccoli e precedenti al 2000.</w:t>
      </w:r>
    </w:p>
    <w:bookmarkStart w:id="1247" w:name="X79a6e14d63da3fb0ef411aa65849fed25a8d798"/>
    <w:p>
      <w:pPr>
        <w:pStyle w:val="Heading4"/>
      </w:pPr>
      <w:r>
        <w:t xml:space="preserve">Bambini con carenza di ormone della crescita</w:t>
      </w:r>
    </w:p>
    <w:p>
      <w:pPr>
        <w:pStyle w:val="FirstParagraph"/>
      </w:pPr>
      <w:r>
        <w:t xml:space="preserve">L’ambito di impiego principale era il disturbo della crescita nei bambini. In uno studio multicentrico in aperto del gruppo di studio Geref, 110 bambini prepuberi non ancora trattati hanno ricevuto per un anno sermorelina una volta al giorno la sera. La velocità di crescita è aumentata da 4,1 cm all’anno a 8,0 cm dopo sei mesi e a 7,2 cm dopo dodici mesi; il 74% è stato considerato dopo sei mesi un buon responder. Non si sono verificate alterazioni di laboratorio rilevanti</w:t>
      </w:r>
      <w:r>
        <w:rPr>
          <w:rStyle w:val="FootnoteReference"/>
        </w:rPr>
        <w:footnoteReference w:id="1242"/>
      </w:r>
      <w:r>
        <w:t xml:space="preserve">.</w:t>
      </w:r>
    </w:p>
    <w:p>
      <w:pPr>
        <w:pStyle w:val="BodyText"/>
      </w:pPr>
      <w:r>
        <w:t xml:space="preserve">Uno dei primi studi britannici con 18 bambini mostrava già i limiti: solo in 8 bambini la velocità di crescita è aumentata nei primi sei mesi di oltre 2 cm all’anno; in 14 bambini si sono formati anticorpi contro il peptide, senza un’influenza riconoscibile sulla crescita</w:t>
      </w:r>
      <w:r>
        <w:rPr>
          <w:rStyle w:val="FootnoteReference"/>
        </w:rPr>
        <w:footnoteReference w:id="1243"/>
      </w:r>
      <w:r>
        <w:t xml:space="preserve">. In uno studio randomizzato con 43 bambini, quelli trattati con sermorelina a basso dosaggio sono cresciuti più lentamente; solo con l’ormone della crescita la statura è migliorata in rapporto all’età ossea</w:t>
      </w:r>
      <w:r>
        <w:rPr>
          <w:rStyle w:val="FootnoteReference"/>
        </w:rPr>
        <w:footnoteReference w:id="1244"/>
      </w:r>
      <w:r>
        <w:t xml:space="preserve">. Una revisione ha osservato che la sermorelina è efficace in una parte dei bambini, ma meno dell’ormone della crescita, e che mancano dati sulla statura finale</w:t>
      </w:r>
      <w:r>
        <w:rPr>
          <w:rStyle w:val="FootnoteReference"/>
        </w:rPr>
        <w:footnoteReference w:id="1245"/>
      </w:r>
      <w:r>
        <w:t xml:space="preserve">.</w:t>
      </w:r>
    </w:p>
    <w:p>
      <w:pPr>
        <w:pStyle w:val="BodyText"/>
      </w:pPr>
      <w:r>
        <w:t xml:space="preserve">Anche nei bambini con bassa statura idiopatica (cioè senza carenza ormonale dimostrabile) la velocità di crescita è aumentata con iniezioni due volte al giorno in un piccolo studio con 18 bambini; dopo la sospensione è scesa sotto il valore iniziale, e glicemia a digiuno e insulina sono aumentate durante il trattamento</w:t>
      </w:r>
      <w:r>
        <w:rPr>
          <w:rStyle w:val="FootnoteReference"/>
        </w:rPr>
        <w:footnoteReference w:id="1246"/>
      </w:r>
      <w:r>
        <w:t xml:space="preserve">.</w:t>
      </w:r>
    </w:p>
    <w:bookmarkEnd w:id="1247"/>
    <w:bookmarkStart w:id="1252" w:name="adulti-anziani"/>
    <w:p>
      <w:pPr>
        <w:pStyle w:val="Heading4"/>
      </w:pPr>
      <w:r>
        <w:t xml:space="preserve">Adulti anziani</w:t>
      </w:r>
    </w:p>
    <w:p>
      <w:pPr>
        <w:pStyle w:val="FirstParagraph"/>
      </w:pPr>
      <w:r>
        <w:t xml:space="preserve">Per il marketing attuale («anti-aging») sono decisivi gli studi sulle persone anziane. Ce ne sono pochi, e sono molto piccoli:</w:t>
      </w:r>
    </w:p>
    <w:p>
      <w:pPr>
        <w:numPr>
          <w:ilvl w:val="0"/>
          <w:numId w:val="1148"/>
        </w:numPr>
        <w:pStyle w:val="Compact"/>
      </w:pPr>
      <w:r>
        <w:t xml:space="preserve">19 donne e uomini sani tra i 55 e i 71 anni hanno ricevuto, dopo quattro settimane di placebo, per 16 settimane un analogo della sermorelina. Ormone della crescita e IGF-1 sono aumentati, lo spessore della pelle è aumentato in entrambi i sessi, la massa magra e la sensibilità all’insulina solo negli uomini. Gli uomini hanno riferito un migliore benessere e una libido aumentata; la qualità del sonno non è cambiata. Come effetto collaterale si è verificato un aumento temporaneo dei lipidi ematici</w:t>
      </w:r>
      <w:r>
        <w:rPr>
          <w:rStyle w:val="FootnoteReference"/>
        </w:rPr>
        <w:footnoteReference w:id="1248"/>
      </w:r>
      <w:r>
        <w:t xml:space="preserve">. Lo stesso gruppo ha descritto alterazioni delle cellule immunitarie</w:t>
      </w:r>
      <w:r>
        <w:rPr>
          <w:rStyle w:val="FootnoteReference"/>
        </w:rPr>
        <w:footnoteReference w:id="1249"/>
      </w:r>
      <w:r>
        <w:t xml:space="preserve">. Lo studio era solo in singolo cieco e non aveva un gruppo di controllo parallelo.</w:t>
      </w:r>
    </w:p>
    <w:p>
      <w:pPr>
        <w:numPr>
          <w:ilvl w:val="0"/>
          <w:numId w:val="1148"/>
        </w:numPr>
        <w:pStyle w:val="Compact"/>
      </w:pPr>
      <w:r>
        <w:t xml:space="preserve">In 11 uomini sani tra i 64 e i 76 anni, sei settimane di iniezioni notturne hanno aumentato la secrezione notturna di GH, ma né l’IGF-1 né la massa muscolare o grassa sono cambiati; due delle sei misurazioni della forza sono migliorate</w:t>
      </w:r>
      <w:r>
        <w:rPr>
          <w:rStyle w:val="FootnoteReference"/>
        </w:rPr>
        <w:footnoteReference w:id="1250"/>
      </w:r>
      <w:r>
        <w:t xml:space="preserve">.</w:t>
      </w:r>
    </w:p>
    <w:p>
      <w:pPr>
        <w:pStyle w:val="FirstParagraph"/>
      </w:pPr>
      <w:r>
        <w:t xml:space="preserve">Due studi successivi sul GHRH nelle persone anziane sono stati interrotti rispettivamente dopo 5 e 13 partecipanti</w:t>
      </w:r>
      <w:r>
        <w:rPr>
          <w:rStyle w:val="FootnoteReference"/>
        </w:rPr>
        <w:footnoteReference w:id="1251"/>
      </w:r>
      <w:r>
        <w:t xml:space="preserve">.</w:t>
      </w:r>
    </w:p>
    <w:bookmarkEnd w:id="1252"/>
    <w:bookmarkStart w:id="1255" w:name="diagnostica"/>
    <w:p>
      <w:pPr>
        <w:pStyle w:val="Heading4"/>
      </w:pPr>
      <w:r>
        <w:t xml:space="preserve">Diagnostica</w:t>
      </w:r>
    </w:p>
    <w:p>
      <w:pPr>
        <w:pStyle w:val="FirstParagraph"/>
      </w:pPr>
      <w:r>
        <w:t xml:space="preserve">Come sostanza di test la sermorelina veniva somministrata per via endovenosa per verificare se l’ipofisi reagisse al GHRH. In combinazione con l’aminoacido arginina questo test era considerato negli adulti un’alternativa al gravoso test di ipoglicemia insulinica</w:t>
      </w:r>
      <w:r>
        <w:rPr>
          <w:rStyle w:val="FootnoteReference"/>
        </w:rPr>
        <w:footnoteReference w:id="1253"/>
      </w:r>
      <w:r>
        <w:t xml:space="preserve">. Dopo che il diagnostico non è stato più disponibile negli USA, uno studio in corso su un nuovo test (macimorelina) ha dovuto modificare il proprio disegno</w:t>
      </w:r>
      <w:r>
        <w:rPr>
          <w:rStyle w:val="FootnoteReference"/>
        </w:rPr>
        <w:footnoteReference w:id="1254"/>
      </w:r>
      <w:r>
        <w:t xml:space="preserve">.</w:t>
      </w:r>
    </w:p>
    <w:bookmarkEnd w:id="1255"/>
    <w:bookmarkStart w:id="1257" w:name="la-moderna-medicina-maschile"/>
    <w:p>
      <w:pPr>
        <w:pStyle w:val="Heading4"/>
      </w:pPr>
      <w:r>
        <w:t xml:space="preserve">La moderna «medicina maschile»</w:t>
      </w:r>
    </w:p>
    <w:p>
      <w:pPr>
        <w:pStyle w:val="FirstParagraph"/>
      </w:pPr>
      <w:r>
        <w:t xml:space="preserve">Un’analisi retrospettiva delle cartelle di una clinica maschile statunitense ha descritto 14 giovani uomini in terapia con testosterone ai quali era stata prescritta una combinazione di sermorelina, GHRP-2 e GHRP-6. L’IGF-1 è aumentato in media da 159,5 a 239,0 ng/ml</w:t>
      </w:r>
      <w:r>
        <w:rPr>
          <w:rStyle w:val="FootnoteReference"/>
        </w:rPr>
        <w:footnoteReference w:id="1256"/>
      </w:r>
      <w:r>
        <w:t xml:space="preserve">. Dei 105 uomini iniziali solo 14 soddisfacevano i criteri di inclusione; il lavoro non consente conclusioni su massa muscolare, riduzione del grasso o sicurezza.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Gruppo di studio Geref (Thorner 1996), PMID 8772599</w:t>
            </w:r>
          </w:p>
        </w:tc>
        <w:tc>
          <w:tcPr/>
          <w:p>
            <w:pPr>
              <w:pStyle w:val="Compact"/>
              <w:jc w:val="left"/>
            </w:pPr>
            <w:r>
              <w:t xml:space="preserve">110 bambini con carenza di GH, in aperto, senza gruppo di controllo</w:t>
            </w:r>
          </w:p>
        </w:tc>
        <w:tc>
          <w:tcPr/>
          <w:p>
            <w:pPr>
              <w:pStyle w:val="Compact"/>
              <w:jc w:val="left"/>
            </w:pPr>
            <w:r>
              <w:t xml:space="preserve">12 mesi</w:t>
            </w:r>
          </w:p>
        </w:tc>
        <w:tc>
          <w:tcPr/>
          <w:p>
            <w:pPr>
              <w:pStyle w:val="Compact"/>
              <w:jc w:val="left"/>
            </w:pPr>
            <w:r>
              <w:t xml:space="preserve">crescita 4,1 → 7,2 cm/anno</w:t>
            </w:r>
          </w:p>
        </w:tc>
      </w:tr>
      <w:tr>
        <w:tc>
          <w:tcPr/>
          <w:p>
            <w:pPr>
              <w:pStyle w:val="Compact"/>
              <w:jc w:val="left"/>
            </w:pPr>
            <w:r>
              <w:t xml:space="preserve">Confronto con GH (Neyzi 1993), PMID 8329826</w:t>
            </w:r>
          </w:p>
        </w:tc>
        <w:tc>
          <w:tcPr/>
          <w:p>
            <w:pPr>
              <w:pStyle w:val="Compact"/>
              <w:jc w:val="left"/>
            </w:pPr>
            <w:r>
              <w:t xml:space="preserve">43 bambini, randomizzato (2 dosi di sermorelina vs. GH)</w:t>
            </w:r>
          </w:p>
        </w:tc>
        <w:tc>
          <w:tcPr/>
          <w:p>
            <w:pPr>
              <w:pStyle w:val="Compact"/>
              <w:jc w:val="left"/>
            </w:pPr>
            <w:r>
              <w:t xml:space="preserve">6 mesi</w:t>
            </w:r>
          </w:p>
        </w:tc>
        <w:tc>
          <w:tcPr/>
          <w:p>
            <w:pPr>
              <w:pStyle w:val="Compact"/>
              <w:jc w:val="left"/>
            </w:pPr>
            <w:r>
              <w:t xml:space="preserve">dose alta simile al GH, bassa meno efficace</w:t>
            </w:r>
          </w:p>
        </w:tc>
      </w:tr>
      <w:tr>
        <w:tc>
          <w:tcPr/>
          <w:p>
            <w:pPr>
              <w:pStyle w:val="Compact"/>
              <w:jc w:val="left"/>
            </w:pPr>
            <w:r>
              <w:t xml:space="preserve">Adulti anziani (Khorram 1997), PMID 9141536</w:t>
            </w:r>
          </w:p>
        </w:tc>
        <w:tc>
          <w:tcPr/>
          <w:p>
            <w:pPr>
              <w:pStyle w:val="Compact"/>
              <w:jc w:val="left"/>
            </w:pPr>
            <w:r>
              <w:t xml:space="preserve">19 sani, 55–71 anni, in singolo cieco, fase preliminare con placebo</w:t>
            </w:r>
          </w:p>
        </w:tc>
        <w:tc>
          <w:tcPr/>
          <w:p>
            <w:pPr>
              <w:pStyle w:val="Compact"/>
              <w:jc w:val="left"/>
            </w:pPr>
            <w:r>
              <w:t xml:space="preserve">5 mesi</w:t>
            </w:r>
          </w:p>
        </w:tc>
        <w:tc>
          <w:tcPr/>
          <w:p>
            <w:pPr>
              <w:pStyle w:val="Compact"/>
              <w:jc w:val="left"/>
            </w:pPr>
            <w:r>
              <w:t xml:space="preserve">IGF-1 ↑, massa magra ↑ solo negli uomini</w:t>
            </w:r>
          </w:p>
        </w:tc>
      </w:tr>
      <w:tr>
        <w:tc>
          <w:tcPr/>
          <w:p>
            <w:pPr>
              <w:pStyle w:val="Compact"/>
              <w:jc w:val="left"/>
            </w:pPr>
            <w:r>
              <w:t xml:space="preserve">Uomini anziani (Vittone 1997), PMID 9005976</w:t>
            </w:r>
          </w:p>
        </w:tc>
        <w:tc>
          <w:tcPr/>
          <w:p>
            <w:pPr>
              <w:pStyle w:val="Compact"/>
              <w:jc w:val="left"/>
            </w:pPr>
            <w:r>
              <w:t xml:space="preserve">11 sani, 64–76 anni, senza gruppo di controllo</w:t>
            </w:r>
          </w:p>
        </w:tc>
        <w:tc>
          <w:tcPr/>
          <w:p>
            <w:pPr>
              <w:pStyle w:val="Compact"/>
              <w:jc w:val="left"/>
            </w:pPr>
            <w:r>
              <w:t xml:space="preserve">6 settimane</w:t>
            </w:r>
          </w:p>
        </w:tc>
        <w:tc>
          <w:tcPr/>
          <w:p>
            <w:pPr>
              <w:pStyle w:val="Compact"/>
              <w:jc w:val="left"/>
            </w:pPr>
            <w:r>
              <w:t xml:space="preserve">GH ↑, IGF-1 e composizione corporea invariati</w:t>
            </w:r>
          </w:p>
        </w:tc>
      </w:tr>
      <w:tr>
        <w:tc>
          <w:tcPr/>
          <w:p>
            <w:pPr>
              <w:pStyle w:val="Compact"/>
              <w:jc w:val="left"/>
            </w:pPr>
            <w:r>
              <w:t xml:space="preserve">Clinica maschile (Sigalos 2017), PMID 28830317</w:t>
            </w:r>
          </w:p>
        </w:tc>
        <w:tc>
          <w:tcPr/>
          <w:p>
            <w:pPr>
              <w:pStyle w:val="Compact"/>
              <w:jc w:val="left"/>
            </w:pPr>
            <w:r>
              <w:t xml:space="preserve">14 uomini, retrospettivo, combinazione con GHRP-2/-6</w:t>
            </w:r>
          </w:p>
        </w:tc>
        <w:tc>
          <w:tcPr/>
          <w:p>
            <w:pPr>
              <w:pStyle w:val="Compact"/>
              <w:jc w:val="left"/>
            </w:pPr>
            <w:r>
              <w:t xml:space="preserve">in media 134 giorni</w:t>
            </w:r>
          </w:p>
        </w:tc>
        <w:tc>
          <w:tcPr/>
          <w:p>
            <w:pPr>
              <w:pStyle w:val="Compact"/>
              <w:jc w:val="left"/>
            </w:pPr>
            <w:r>
              <w:t xml:space="preserve">IGF-1 159,5 → 239,0 ng/ml</w:t>
            </w:r>
          </w:p>
        </w:tc>
      </w:tr>
    </w:tbl>
    <w:bookmarkEnd w:id="1257"/>
    <w:bookmarkEnd w:id="1258"/>
    <w:bookmarkStart w:id="1261" w:name="studi-su-animali-e-in-laboratorio-23"/>
    <w:p>
      <w:pPr>
        <w:pStyle w:val="Heading3"/>
      </w:pPr>
      <w:r>
        <w:t xml:space="preserve">Studi su animali e in laboratorio</w:t>
      </w:r>
    </w:p>
    <w:p>
      <w:pPr>
        <w:pStyle w:val="FirstParagraph"/>
      </w:pPr>
      <w:r>
        <w:t xml:space="preserve">La sermorelina stessa è stata studiata in laboratorio soprattutto in relazione alla sua scoperta e a varianti con durata d’azione più lunga, per esempio varianti legate al polietilenglicole che nei ratti e nei maiali agivano più a lungo del peptide immodificato</w:t>
      </w:r>
      <w:r>
        <w:rPr>
          <w:rStyle w:val="FootnoteReference"/>
        </w:rPr>
        <w:footnoteReference w:id="1259"/>
      </w:r>
      <w:r>
        <w:t xml:space="preserve">. Un lavoro puramente computazionale, che confrontava i dati di attività genica di pazienti con glioma con una banca dati di farmaci, ha indicato la sermorelina come possibile candidata contro i tumori cerebrali recidivanti</w:t>
      </w:r>
      <w:r>
        <w:rPr>
          <w:rStyle w:val="FootnoteReference"/>
        </w:rPr>
        <w:footnoteReference w:id="1260"/>
      </w:r>
      <w:r>
        <w:t xml:space="preserve">. Si tratta di un’ipotesi al computer senza conferma in laboratorio o sui pazienti, ed è in evidente contrasto con il timore che una stimolazione dell’asse della crescita possa piuttosto favorire i tumori.</w:t>
      </w:r>
    </w:p>
    <w:bookmarkEnd w:id="1261"/>
    <w:bookmarkStart w:id="1267" w:name="rischi-ed-effetti-collaterali-23"/>
    <w:p>
      <w:pPr>
        <w:pStyle w:val="Heading3"/>
      </w:pPr>
      <w:r>
        <w:t xml:space="preserve">Rischi ed effetti collaterali</w:t>
      </w:r>
    </w:p>
    <w:p>
      <w:pPr>
        <w:pStyle w:val="FirstParagraph"/>
      </w:pPr>
      <w:r>
        <w:rPr>
          <w:bCs/>
          <w:b/>
        </w:rPr>
        <w:t xml:space="preserve">Documentati (dai dati registrativi e degli studi):</w:t>
      </w:r>
      <w:r>
        <w:t xml:space="preserve"> </w:t>
      </w:r>
      <w:r>
        <w:t xml:space="preserve">arrossamento transitorio del viso (flush) e dolore nel sito di iniezione erano gli effetti collaterali più frequenti</w:t>
      </w:r>
      <w:r>
        <w:rPr>
          <w:rStyle w:val="FootnoteReference"/>
        </w:rPr>
        <w:footnoteReference w:id="1262"/>
      </w:r>
      <w:r>
        <w:t xml:space="preserve">. Gli anticorpi contro la sermorelina comparivano spesso nei bambini, senza conseguenze riconoscibili</w:t>
      </w:r>
      <w:r>
        <w:rPr>
          <w:rStyle w:val="FootnoteReference"/>
        </w:rPr>
        <w:footnoteReference w:id="1263"/>
      </w:r>
      <w:r>
        <w:t xml:space="preserve">. In singoli studi glicemia, insulina o lipidi ematici sono aumentati temporaneamente</w:t>
      </w:r>
      <w:r>
        <w:rPr>
          <w:rStyle w:val="FootnoteReference"/>
        </w:rPr>
        <w:footnoteReference w:id="1264"/>
      </w:r>
      <w:r>
        <w:t xml:space="preserve">.</w:t>
      </w:r>
    </w:p>
    <w:p>
      <w:pPr>
        <w:pStyle w:val="BodyText"/>
      </w:pPr>
      <w:r>
        <w:rPr>
          <w:bCs/>
          <w:b/>
        </w:rPr>
        <w:t xml:space="preserve">Rischi a lungo termine:</w:t>
      </w:r>
      <w:r>
        <w:t xml:space="preserve"> </w:t>
      </w:r>
      <w:r>
        <w:t xml:space="preserve">non esistono dati sistematici a lungo termine sulla sermorelina negli adulti. Un caso clinico descrive un culturista amatoriale di 62 anni che per circa 20 anni aveva usato ormone della crescita e secretagoghi del GH (tra cui sermorelina con GHRP-6) e che a causa di un grande osteofita sulla colonna cervicale aveva sviluppato difficoltà di deglutizione; gli autori ritengono possibile, ma non dimostrato, un nesso</w:t>
      </w:r>
      <w:r>
        <w:rPr>
          <w:rStyle w:val="FootnoteReference"/>
        </w:rPr>
        <w:footnoteReference w:id="1265"/>
      </w:r>
      <w:r>
        <w:t xml:space="preserve">. Sulla questione di fondo se un innalzamento duraturo dell’IGF-1 aumenti il rischio di cancro si vedano l’introduzione a questo gruppo e la Parte IV.</w:t>
      </w:r>
    </w:p>
    <w:p>
      <w:pPr>
        <w:pStyle w:val="BodyText"/>
      </w:pPr>
      <w:r>
        <w:rPr>
          <w:bCs/>
          <w:b/>
        </w:rPr>
        <w:t xml:space="preserve">Mercato grigio:</w:t>
      </w:r>
      <w:r>
        <w:t xml:space="preserve"> </w:t>
      </w:r>
      <w:r>
        <w:t xml:space="preserve">in un’operazione doganale europea, tra i preparati iniettabili sequestrati sono stati trovati, oltre a ormone della crescita e Melanotan II, anche prodotti a base di sermorelina, privi di etichettatura e in parte senza principio attivo</w:t>
      </w:r>
      <w:r>
        <w:rPr>
          <w:rStyle w:val="FootnoteReference"/>
        </w:rPr>
        <w:footnoteReference w:id="1266"/>
      </w:r>
      <w:r>
        <w:t xml:space="preserve">.</w:t>
      </w:r>
    </w:p>
    <w:bookmarkEnd w:id="1267"/>
    <w:bookmarkStart w:id="1271" w:name="quadro-normativo-23"/>
    <w:p>
      <w:pPr>
        <w:pStyle w:val="Heading3"/>
      </w:pPr>
      <w:r>
        <w:t xml:space="preserve">Quadro normativo</w:t>
      </w:r>
    </w:p>
    <w:p>
      <w:pPr>
        <w:pStyle w:val="FirstParagraph"/>
      </w:pPr>
      <w:r>
        <w:rPr>
          <w:iCs/>
          <w:i/>
        </w:rPr>
        <w:t xml:space="preserve">Aggiornato al 2026, da verificare.</w:t>
      </w:r>
    </w:p>
    <w:p>
      <w:pPr>
        <w:numPr>
          <w:ilvl w:val="0"/>
          <w:numId w:val="1149"/>
        </w:numPr>
        <w:pStyle w:val="Compact"/>
      </w:pPr>
      <w:r>
        <w:rPr>
          <w:bCs/>
          <w:b/>
        </w:rPr>
        <w:t xml:space="preserve">Contesto dell’autorizzazione statunitense:</w:t>
      </w:r>
      <w:r>
        <w:t xml:space="preserve"> </w:t>
      </w:r>
      <w:r>
        <w:t xml:space="preserve">Geref era autorizzato negli USA dapprima come diagnostico e dagli anni Novanta per il trattamento dei bambini con carenza di ormone della crescita. Il produttore ne ha interrotto la distribuzione verso la fine degli anni Duemila; secondo le informazioni pubblicamente disponibili per motivi produttivi o economici e non per un problema di sicurezza emerso di recente. Che il diagnostico sia venuto meno in quel periodo è documentato in uno studio</w:t>
      </w:r>
      <w:r>
        <w:rPr>
          <w:rStyle w:val="FootnoteReference"/>
        </w:rPr>
        <w:footnoteReference w:id="1268"/>
      </w:r>
      <w:r>
        <w:t xml:space="preserve">. Oggi non esiste un medicinale pronto con un’autorizzazione valida.</w:t>
      </w:r>
    </w:p>
    <w:p>
      <w:pPr>
        <w:numPr>
          <w:ilvl w:val="0"/>
          <w:numId w:val="1149"/>
        </w:numPr>
        <w:pStyle w:val="Compact"/>
      </w:pPr>
      <w:r>
        <w:rPr>
          <w:bCs/>
          <w:b/>
        </w:rPr>
        <w:t xml:space="preserve">USA oggi:</w:t>
      </w:r>
      <w:r>
        <w:t xml:space="preserve"> </w:t>
      </w:r>
      <w:r>
        <w:t xml:space="preserve">la sermorelina viene prodotta dalle farmacie galeniche (compounding) e prescritta soprattutto negli studi anti-aging. Se e a quali condizioni ciò sia consentito dipende dalle regole in evoluzione della FDA sulle sostanze per preparazioni galeniche, discusse in modo controverso negli ambienti specialistici</w:t>
      </w:r>
      <w:r>
        <w:rPr>
          <w:rStyle w:val="FootnoteReference"/>
        </w:rPr>
        <w:footnoteReference w:id="1269"/>
      </w:r>
      <w:r>
        <w:t xml:space="preserve">.</w:t>
      </w:r>
    </w:p>
    <w:p>
      <w:pPr>
        <w:numPr>
          <w:ilvl w:val="0"/>
          <w:numId w:val="1149"/>
        </w:numPr>
        <w:pStyle w:val="Compact"/>
      </w:pPr>
      <w:r>
        <w:rPr>
          <w:bCs/>
          <w:b/>
        </w:rPr>
        <w:t xml:space="preserve">UE, Germania, Austria:</w:t>
      </w:r>
      <w:r>
        <w:t xml:space="preserve"> </w:t>
      </w:r>
      <w:r>
        <w:t xml:space="preserve">nessuna autorizzazione, nessun medicinale pronto in commercio. La cessione per l’uso sull’uomo senza autorizzazione non è consentita secondo la rispettiva legge sui medicinali; le etichette «solo per scopi di ricerca» non cambiano nulla.</w:t>
      </w:r>
    </w:p>
    <w:p>
      <w:pPr>
        <w:numPr>
          <w:ilvl w:val="0"/>
          <w:numId w:val="1149"/>
        </w:numPr>
        <w:pStyle w:val="Compact"/>
      </w:pPr>
      <w:r>
        <w:rPr>
          <w:bCs/>
          <w:b/>
        </w:rPr>
        <w:t xml:space="preserve">WADA:</w:t>
      </w:r>
      <w:r>
        <w:t xml:space="preserve"> </w:t>
      </w:r>
      <w:r>
        <w:t xml:space="preserve">vietata (S2). Sono stati sviluppati metodi di rilevamento della sermorelina e dei suoi prodotti di degradazione nelle urine</w:t>
      </w:r>
      <w:r>
        <w:rPr>
          <w:rStyle w:val="FootnoteReference"/>
        </w:rPr>
        <w:footnoteReference w:id="1270"/>
      </w:r>
      <w:r>
        <w:t xml:space="preserve">.</w:t>
      </w:r>
    </w:p>
    <w:bookmarkEnd w:id="1271"/>
    <w:bookmarkStart w:id="1272" w:name="studi-in-corso-e-prospettive-23"/>
    <w:p>
      <w:pPr>
        <w:pStyle w:val="Heading3"/>
      </w:pPr>
      <w:r>
        <w:t xml:space="preserve">Studi in corso e prospettive</w:t>
      </w:r>
    </w:p>
    <w:p>
      <w:pPr>
        <w:pStyle w:val="FirstParagraph"/>
      </w:pPr>
      <w:r>
        <w:t xml:space="preserve">A ottobre 2026 su ClinicalTrials.gov non risulta alcuno studio clinico in corso con la sermorelina stessa; le voci di registro con questo termine di ricerca riguardano studi sul GHRH conclusi o la tesamorelina.</w:t>
      </w:r>
      <w:r>
        <w:t xml:space="preserve"> </w:t>
      </w:r>
      <w:r>
        <w:rPr>
          <w:iCs/>
          <w:i/>
        </w:rPr>
        <w:t xml:space="preserve">Valutazione dell’autore:</w:t>
      </w:r>
      <w:r>
        <w:t xml:space="preserve"> </w:t>
      </w:r>
      <w:r>
        <w:t xml:space="preserve">un ritorno come medicinale autorizzato non è prevedibile. La domanda continuerà a essere trainata da cliniche e venditori online, non da nuovi dati di studio.</w:t>
      </w:r>
    </w:p>
    <w:bookmarkEnd w:id="1272"/>
    <w:bookmarkStart w:id="1273" w:name="conclusione-23"/>
    <w:p>
      <w:pPr>
        <w:pStyle w:val="Heading3"/>
      </w:pPr>
      <w:r>
        <w:t xml:space="preserve">Conclusione</w:t>
      </w:r>
    </w:p>
    <w:p>
      <w:pPr>
        <w:pStyle w:val="FirstParagraph"/>
      </w:pPr>
      <w:r>
        <w:t xml:space="preserve">La sermorelina stimola in modo affidabile la secrezione endogena di ormone della crescita ed era autorizzata negli USA per i bambini con carenza di ormone della crescita, ma lì era meno efficace dell’ormone della crescita stesso. Gli studi sugli adulti anziani comprendono ciascuno solo una decina-ventina di persone e mostrano al massimo effetti piccoli e non uniformi. Mancano prove di un beneficio come rimedio «anti-aging» o per migliorare la prestazione, così come dati di sicurezza a lungo termine.</w:t>
      </w:r>
    </w:p>
    <w:bookmarkEnd w:id="1273"/>
    <w:bookmarkEnd w:id="1274"/>
    <w:bookmarkStart w:id="1314" w:name="tesamorelina"/>
    <w:p>
      <w:pPr>
        <w:pStyle w:val="Heading2"/>
      </w:pPr>
      <w:r>
        <w:t xml:space="preserve">Tesamorelina</w:t>
      </w:r>
    </w:p>
    <w:p>
      <w:pPr>
        <w:pStyle w:val="FirstParagraph"/>
      </w:pPr>
      <w:r>
        <w:t xml:space="preserve">La tesamorelina è l’unico peptide di questo gruppo oggi autorizzato negli Stati Uniti come medicinale per un trattamento continuativo, anche se per una situazione molto particolare: l’eccesso di grasso addominale nelle persone con HIV. Proprio per questo è istruttiva. La tesamorelina permette di mostrare che cosa produce davvero, in studi rigorosi e controllati con placebo, un aumento della secrezione endogena di ormone della crescita, e che cosa invece non produce. In internet viene invece spesso pubblicizzata come «peptide contro il grasso addominale» per tutti. Questo capitolo separa l’impiego documentato dalle speranze.</w:t>
      </w:r>
    </w:p>
    <w:bookmarkStart w:id="1277" w:name="scheda-24"/>
    <w:p>
      <w:pPr>
        <w:pStyle w:val="Heading3"/>
      </w:pPr>
      <w:r>
        <w:t xml:space="preserve">Scheda</w:t>
      </w:r>
    </w:p>
    <w:p>
      <w:pPr>
        <w:numPr>
          <w:ilvl w:val="0"/>
          <w:numId w:val="1150"/>
        </w:numPr>
        <w:pStyle w:val="Compact"/>
      </w:pPr>
      <w:r>
        <w:rPr>
          <w:bCs/>
          <w:b/>
        </w:rPr>
        <w:t xml:space="preserve">Tipo e struttura:</w:t>
      </w:r>
      <w:r>
        <w:t xml:space="preserve"> </w:t>
      </w:r>
      <w:r>
        <w:t xml:space="preserve">peptide sintetico di 44 amminoacidi; corrisponde all’intero ormone di rilascio dell’ormone della crescita umano, GHRH(1-44)</w:t>
      </w:r>
      <w:r>
        <w:rPr>
          <w:rStyle w:val="FootnoteReference"/>
        </w:rPr>
        <w:footnoteReference w:id="1275"/>
      </w:r>
      <w:r>
        <w:t xml:space="preserve">, alla cui estremità iniziale è legato un gruppo chimico aggiuntivo che rallenta la rapida degradazione nel sangue.</w:t>
      </w:r>
    </w:p>
    <w:p>
      <w:pPr>
        <w:numPr>
          <w:ilvl w:val="0"/>
          <w:numId w:val="1150"/>
        </w:numPr>
        <w:pStyle w:val="Compact"/>
      </w:pPr>
      <w:r>
        <w:rPr>
          <w:bCs/>
          <w:b/>
        </w:rPr>
        <w:t xml:space="preserve">Origine:</w:t>
      </w:r>
      <w:r>
        <w:t xml:space="preserve"> </w:t>
      </w:r>
      <w:r>
        <w:t xml:space="preserve">sviluppata dall’azienda canadese Theratechnologies (nome di sviluppo TH9507).</w:t>
      </w:r>
    </w:p>
    <w:p>
      <w:pPr>
        <w:numPr>
          <w:ilvl w:val="0"/>
          <w:numId w:val="1150"/>
        </w:numPr>
        <w:pStyle w:val="Compact"/>
      </w:pPr>
      <w:r>
        <w:rPr>
          <w:bCs/>
          <w:b/>
        </w:rPr>
        <w:t xml:space="preserve">Principio d’azione:</w:t>
      </w:r>
      <w:r>
        <w:t xml:space="preserve"> </w:t>
      </w:r>
      <w:r>
        <w:t xml:space="preserve">come il GHRH endogeno, si lega al suo recettore nell’ipofisi e aumenta così la secrezione propria, sempre pulsatile, di ormone della crescita (GH); di conseguenza aumenta il messaggero IGF-1.</w:t>
      </w:r>
    </w:p>
    <w:p>
      <w:pPr>
        <w:numPr>
          <w:ilvl w:val="0"/>
          <w:numId w:val="1150"/>
        </w:numPr>
        <w:pStyle w:val="Compact"/>
      </w:pPr>
      <w:r>
        <w:rPr>
          <w:bCs/>
          <w:b/>
        </w:rPr>
        <w:t xml:space="preserve">Autorizzazione UE:</w:t>
      </w:r>
      <w:r>
        <w:t xml:space="preserve"> </w:t>
      </w:r>
      <w:r>
        <w:t xml:space="preserve">no.</w:t>
      </w:r>
      <w:r>
        <w:t xml:space="preserve"> </w:t>
      </w:r>
      <w:r>
        <w:rPr>
          <w:bCs/>
          <w:b/>
        </w:rPr>
        <w:t xml:space="preserve">Autorizzazione USA:</w:t>
      </w:r>
      <w:r>
        <w:t xml:space="preserve"> </w:t>
      </w:r>
      <w:r>
        <w:t xml:space="preserve">sì (Egrifta, dal 2010) per la riduzione del grasso addominale in eccesso negli adulti con HIV e lipodistrofia</w:t>
      </w:r>
      <w:r>
        <w:rPr>
          <w:rStyle w:val="FootnoteReference"/>
        </w:rPr>
        <w:footnoteReference w:id="1276"/>
      </w:r>
      <w:r>
        <w:t xml:space="preserve">.</w:t>
      </w:r>
    </w:p>
    <w:p>
      <w:pPr>
        <w:numPr>
          <w:ilvl w:val="0"/>
          <w:numId w:val="1150"/>
        </w:numPr>
        <w:pStyle w:val="Compact"/>
      </w:pPr>
      <w:r>
        <w:rPr>
          <w:bCs/>
          <w:b/>
        </w:rPr>
        <w:t xml:space="preserve">WADA:</w:t>
      </w:r>
      <w:r>
        <w:t xml:space="preserve"> </w:t>
      </w:r>
      <w:r>
        <w:t xml:space="preserve">vietata, classe S2 (ormoni peptidici, fattori di crescita, sostanze correlate), espressamente inclusa in quanto analogo del GHRH.</w:t>
      </w:r>
    </w:p>
    <w:p>
      <w:pPr>
        <w:numPr>
          <w:ilvl w:val="0"/>
          <w:numId w:val="1150"/>
        </w:numPr>
        <w:pStyle w:val="Compact"/>
      </w:pPr>
      <w:r>
        <w:rPr>
          <w:bCs/>
          <w:b/>
        </w:rPr>
        <w:t xml:space="preserve">Livello di evidenza: A</w:t>
      </w:r>
      <w:r>
        <w:t xml:space="preserve"> </w:t>
      </w:r>
      <w:r>
        <w:t xml:space="preserve">– due grandi studi di fase 3 con complessivamente 806 partecipanti, diversi altri studi randomizzati, autorizzazione negli Stati Uniti.</w:t>
      </w:r>
    </w:p>
    <w:bookmarkEnd w:id="1277"/>
    <w:bookmarkStart w:id="1278" w:name="come-dovrebbe-agire-24"/>
    <w:p>
      <w:pPr>
        <w:pStyle w:val="Heading3"/>
      </w:pPr>
      <w:r>
        <w:t xml:space="preserve">Come dovrebbe agire</w:t>
      </w:r>
    </w:p>
    <w:p>
      <w:pPr>
        <w:pStyle w:val="FirstParagraph"/>
      </w:pPr>
      <w:r>
        <w:t xml:space="preserve">L’ormone della crescita non viene rilasciato dall’ipofisi in modo uniforme, ma a impulsi, soprattutto di notte. Il processo è regolato da due antagonisti del diencefalo: il GHRH accelera, la somatostatina frena. L’ormone della crescita in sé scompone il grasso, in particolare quello tra gli organi della cavità addominale (grasso viscerale), e stimola il fegato a produrre IGF-1, che media molti degli effetti anabolici.</w:t>
      </w:r>
    </w:p>
    <w:p>
      <w:pPr>
        <w:pStyle w:val="BodyText"/>
      </w:pPr>
      <w:r>
        <w:t xml:space="preserve">Con alcune terapie anti-HIV, soprattutto quelle più vecchie, in certe persone si accumula una quantità vistosa di grasso addominale, mentre braccia e gambe tendono ad assottigliarsi. Questa ridistribuzione del grasso si chiama lipodistrofia. Nelle persone colpite la secrezione di ormone della crescita è spesso ridotta. L’idea alla base della tesamorelina: invece di iniettare ormone della crescita dall’esterno, si stimola l’ipofisi stessa. Poiché i circuiti di retroazione dell’organismo restano intatti, livelli eccessivi e i relativi effetti collaterali dovrebbero essere più rari che con la somministrazione diretta di GH, un’ipotesi che gli studi confermano in parte, ma non del tutto.</w:t>
      </w:r>
    </w:p>
    <w:bookmarkEnd w:id="1278"/>
    <w:bookmarkStart w:id="1296" w:name="studi-sulluomo-24"/>
    <w:p>
      <w:pPr>
        <w:pStyle w:val="Heading3"/>
      </w:pPr>
      <w:r>
        <w:t xml:space="preserve">Studi sull’uomo</w:t>
      </w:r>
    </w:p>
    <w:p>
      <w:pPr>
        <w:pStyle w:val="FirstParagraph"/>
      </w:pPr>
      <w:r>
        <w:rPr>
          <w:bCs/>
          <w:b/>
        </w:rPr>
        <w:t xml:space="preserve">Dimensioni della letteratura (ricerca di ottobre 2026):</w:t>
      </w:r>
      <w:r>
        <w:t xml:space="preserve"> </w:t>
      </w:r>
      <w:r>
        <w:t xml:space="preserve">la ricerca automatizzata di questo libro ha trovato</w:t>
      </w:r>
      <w:r>
        <w:t xml:space="preserve"> </w:t>
      </w:r>
      <w:r>
        <w:rPr>
          <w:bCs/>
          <w:b/>
        </w:rPr>
        <w:t xml:space="preserve">23</w:t>
      </w:r>
      <w:r>
        <w:t xml:space="preserve"> </w:t>
      </w:r>
      <w:r>
        <w:t xml:space="preserve">studi sull’uomo in PubMed (</w:t>
      </w:r>
      <w:r>
        <w:rPr>
          <w:rStyle w:val="VerbatimChar"/>
        </w:rPr>
        <w:t xml:space="preserve">humanstudien_alle</w:t>
      </w:r>
      <w:r>
        <w:t xml:space="preserve">) e</w:t>
      </w:r>
      <w:r>
        <w:t xml:space="preserve"> </w:t>
      </w:r>
      <w:r>
        <w:rPr>
          <w:bCs/>
          <w:b/>
        </w:rPr>
        <w:t xml:space="preserve">24</w:t>
      </w:r>
      <w:r>
        <w:t xml:space="preserve"> </w:t>
      </w:r>
      <w:r>
        <w:t xml:space="preserve">voci su ClinicalTrials.gov; una di queste (sponsor «Hudson Biotech», titolo con l’aggiunta «Mock Study») è evidentemente una voce di esempio fittizia e qui non viene conteggiata, per cui restano</w:t>
      </w:r>
      <w:r>
        <w:t xml:space="preserve"> </w:t>
      </w:r>
      <w:r>
        <w:rPr>
          <w:bCs/>
          <w:b/>
        </w:rPr>
        <w:t xml:space="preserve">23</w:t>
      </w:r>
      <w:r>
        <w:t xml:space="preserve"> </w:t>
      </w:r>
      <w:r>
        <w:t xml:space="preserve">studi registrati reali. A questi si aggiungono tre revisioni sistematiche con meta-analisi.</w:t>
      </w:r>
    </w:p>
    <w:bookmarkStart w:id="1284" w:name="gli-studi-registrativi"/>
    <w:p>
      <w:pPr>
        <w:pStyle w:val="Heading4"/>
      </w:pPr>
      <w:r>
        <w:t xml:space="preserve">Gli studi registrativi</w:t>
      </w:r>
    </w:p>
    <w:p>
      <w:pPr>
        <w:pStyle w:val="FirstParagraph"/>
      </w:pPr>
      <w:r>
        <w:t xml:space="preserve">L’autorizzazione si basa su due studi di fase 3 quasi identici nell’impostazione, condotti su persone con HIV e aumento del grasso addominale. In entrambi i partecipanti ricevevano, in rapporto 2:1, tesamorelina o un farmaco fittizio (placebo) iniettati quotidianamente sotto la pelle; dopo 26 settimane seguiva una fase di estensione in cui una parte del gruppo tesamorelina continuava il trattamento e un’altra passava al placebo.</w:t>
      </w:r>
    </w:p>
    <w:p>
      <w:pPr>
        <w:pStyle w:val="BodyText"/>
      </w:pPr>
      <w:r>
        <w:t xml:space="preserve">Nel primo studio, con 412 partecipanti (86% uomini), il grasso viscerale, misurato con tomografia computerizzata, è diminuito del 15,2% con tesamorelina ed è aumentato del 5,0% con placebo. I trigliceridi (grassi nel sangue) sono scesi di 50 mg/dl, contro un aumento di 9 mg/dl. L’IGF-1 è aumentato dell’81,0%. I valori glicemici non differivano in modo significativo; tuttavia nel gruppo tesamorelina più partecipanti hanno interrotto lo studio a causa di effetti collaterali</w:t>
      </w:r>
      <w:r>
        <w:rPr>
          <w:rStyle w:val="FootnoteReference"/>
        </w:rPr>
        <w:footnoteReference w:id="1279"/>
      </w:r>
      <w:r>
        <w:t xml:space="preserve">. Su 52 settimane, con trattamento continuativo, la riduzione del grasso addominale si è mantenuta intorno al −18%; dopo la sospensione il grasso è tornato</w:t>
      </w:r>
      <w:r>
        <w:rPr>
          <w:rStyle w:val="FootnoteReference"/>
        </w:rPr>
        <w:footnoteReference w:id="1280"/>
      </w:r>
      <w:r>
        <w:t xml:space="preserve">.</w:t>
      </w:r>
    </w:p>
    <w:p>
      <w:pPr>
        <w:pStyle w:val="BodyText"/>
      </w:pPr>
      <w:r>
        <w:t xml:space="preserve">Il secondo studio, con 404 partecipanti, lo ha confermato: −10,9% di grasso viscerale con tesamorelina contro −0,6% con placebo dopo sei mesi, nessuna variazione del grasso sottocutaneo di braccia, gambe e addome, e una rapida perdita dell’effetto dopo il passaggio al placebo</w:t>
      </w:r>
      <w:r>
        <w:rPr>
          <w:rStyle w:val="FootnoteReference"/>
        </w:rPr>
        <w:footnoteReference w:id="1281"/>
      </w:r>
      <w:r>
        <w:t xml:space="preserve">.</w:t>
      </w:r>
    </w:p>
    <w:p>
      <w:pPr>
        <w:pStyle w:val="BodyText"/>
      </w:pPr>
      <w:r>
        <w:t xml:space="preserve">L’analisi congiunta dei due studi, con 806 persone, ha mostrato dopo 26 settimane un effetto del trattamento di −15,4% sul grasso viscerale, miglioramenti dei trigliceridi e del rapporto tra colesterolo totale e HDL, nonché della soddisfazione per l’aspetto dell’addome. Gli autori non hanno rilevato differenze clinicamente rilevanti nei valori glicemici</w:t>
      </w:r>
      <w:r>
        <w:rPr>
          <w:rStyle w:val="FootnoteReference"/>
        </w:rPr>
        <w:footnoteReference w:id="1282"/>
      </w:r>
      <w:r>
        <w:t xml:space="preserve">. Non tutti ne traggono lo stesso beneficio: un’analisi successiva aveva definito in anticipo come «risposta» una riduzione del grasso addominale di almeno l’8%. In questi responder i trigliceridi sono scesi in modo nettamente maggiore e glicemia e HbA1c sono rimaste in gran parte stabili; nei non responder glicemia a digiuno e HbA1c sono leggermente aumentate (analisi a posteriori)</w:t>
      </w:r>
      <w:r>
        <w:rPr>
          <w:rStyle w:val="FootnoteReference"/>
        </w:rPr>
        <w:footnoteReference w:id="1283"/>
      </w:r>
      <w:r>
        <w:t xml:space="preserve">.</w:t>
      </w:r>
    </w:p>
    <w:bookmarkEnd w:id="1284"/>
    <w:bookmarkStart w:id="1287" w:name="grasso-epatico"/>
    <w:p>
      <w:pPr>
        <w:pStyle w:val="Heading4"/>
      </w:pPr>
      <w:r>
        <w:t xml:space="preserve">Grasso epatico</w:t>
      </w:r>
    </w:p>
    <w:p>
      <w:pPr>
        <w:pStyle w:val="FirstParagraph"/>
      </w:pPr>
      <w:r>
        <w:t xml:space="preserve">Particolarmente interessante è l’effetto sul fegato grasso. In uno studio più piccolo con 50 persone con HIV, oltre al grasso addominale è diminuito anche il grasso epatico; la glicemia a digiuno è aumentata temporaneamente dopo due settimane, mentre dopo sei mesi non c’era più alcuna differenza significativa</w:t>
      </w:r>
      <w:r>
        <w:rPr>
          <w:rStyle w:val="FootnoteReference"/>
        </w:rPr>
        <w:footnoteReference w:id="1285"/>
      </w:r>
      <w:r>
        <w:t xml:space="preserve">. Un successivo studio randomizzato in doppio cieco ha esaminato in modo mirato 61 persone con HIV e steatosi epatica non alcolica per dodici mesi, con biopsie epatiche. La frazione di grasso epatico è scesa in termini assoluti di 4,1 punti percentuali in più rispetto al placebo, in termini relativi del 37%; alla fine il 35% del gruppo tesamorelina, ma solo il 4% del gruppo placebo, si trovava sotto la soglia di steatosi del 5%</w:t>
      </w:r>
      <w:r>
        <w:rPr>
          <w:rStyle w:val="FootnoteReference"/>
        </w:rPr>
        <w:footnoteReference w:id="1286"/>
      </w:r>
      <w:r>
        <w:t xml:space="preserve">. Se ciò prevenga a lungo termine la cirrosi epatica o il cancro del fegato non è stato studiato.</w:t>
      </w:r>
    </w:p>
    <w:bookmarkEnd w:id="1287"/>
    <w:bookmarkStart w:id="1292" w:name="altri-impieghi"/>
    <w:p>
      <w:pPr>
        <w:pStyle w:val="Heading4"/>
      </w:pPr>
      <w:r>
        <w:t xml:space="preserve">Altri impieghi</w:t>
      </w:r>
    </w:p>
    <w:p>
      <w:pPr>
        <w:pStyle w:val="FirstParagraph"/>
      </w:pPr>
      <w:r>
        <w:t xml:space="preserve">Al di fuori dell’HIV esistono solo studi più piccoli:</w:t>
      </w:r>
    </w:p>
    <w:p>
      <w:pPr>
        <w:numPr>
          <w:ilvl w:val="0"/>
          <w:numId w:val="1151"/>
        </w:numPr>
        <w:pStyle w:val="Compact"/>
      </w:pPr>
      <w:r>
        <w:t xml:space="preserve">In 60 persone con obesità addominale e ridotta secrezione di GH (senza HIV), nell’arco di dodici mesi la tesamorelina ha ridotto il grasso viscerale, i trigliceridi, la proteina C-reattiva e lo spessore della parete carotidea, senza peggiorare i valori glicemici</w:t>
      </w:r>
      <w:r>
        <w:rPr>
          <w:rStyle w:val="FootnoteReference"/>
        </w:rPr>
        <w:footnoteReference w:id="1288"/>
      </w:r>
      <w:r>
        <w:t xml:space="preserve">.</w:t>
      </w:r>
    </w:p>
    <w:p>
      <w:pPr>
        <w:numPr>
          <w:ilvl w:val="0"/>
          <w:numId w:val="1151"/>
        </w:numPr>
        <w:pStyle w:val="Compact"/>
      </w:pPr>
      <w:r>
        <w:t xml:space="preserve">In 53 persone con diabete di tipo 2, nell’arco di dodici settimane né la risposta insulinica né l’HbA1c sono cambiate rispetto al placebo</w:t>
      </w:r>
      <w:r>
        <w:rPr>
          <w:rStyle w:val="FootnoteReference"/>
        </w:rPr>
        <w:footnoteReference w:id="1289"/>
      </w:r>
      <w:r>
        <w:t xml:space="preserve">.</w:t>
      </w:r>
    </w:p>
    <w:p>
      <w:pPr>
        <w:numPr>
          <w:ilvl w:val="0"/>
          <w:numId w:val="1151"/>
        </w:numPr>
        <w:pStyle w:val="Compact"/>
      </w:pPr>
      <w:r>
        <w:t xml:space="preserve">In uno studio con 152 adulti anziani (da 55 a 87 anni), di cui 66 con lieve compromissione cognitiva, dopo 20 settimane è emerso un effetto favorevole sulla valutazione complessiva delle capacità cognitive, soprattutto sulle funzioni esecutive. Effetti collaterali, per lo più lievi, sono stati riferiti dal 68% con tesamorelina contro il 36% con placebo</w:t>
      </w:r>
      <w:r>
        <w:rPr>
          <w:rStyle w:val="FootnoteReference"/>
        </w:rPr>
        <w:footnoteReference w:id="1290"/>
      </w:r>
      <w:r>
        <w:t xml:space="preserve">. Manca uno studio di conferma.</w:t>
      </w:r>
    </w:p>
    <w:p>
      <w:pPr>
        <w:numPr>
          <w:ilvl w:val="0"/>
          <w:numId w:val="1151"/>
        </w:numPr>
        <w:pStyle w:val="Compact"/>
      </w:pPr>
      <w:r>
        <w:t xml:space="preserve">In 73 persone con HIV, obesità addominale e deficit cognitivi, uno studio di fase 2 in aperto non ha rilevato differenze significative nelle capacità cognitive rispetto al trattamento standard</w:t>
      </w:r>
      <w:r>
        <w:rPr>
          <w:rStyle w:val="FootnoteReference"/>
        </w:rPr>
        <w:footnoteReference w:id="1291"/>
      </w:r>
      <w:r>
        <w:t xml:space="preserve">.</w:t>
      </w:r>
    </w:p>
    <w:bookmarkEnd w:id="1292"/>
    <w:bookmarkStart w:id="1295" w:name="meta-analisi"/>
    <w:p>
      <w:pPr>
        <w:pStyle w:val="Heading4"/>
      </w:pPr>
      <w:r>
        <w:t xml:space="preserve">Meta-analisi</w:t>
      </w:r>
    </w:p>
    <w:p>
      <w:pPr>
        <w:pStyle w:val="FirstParagraph"/>
      </w:pPr>
      <w:r>
        <w:t xml:space="preserve">Due meta-analisi del 2026 riassumono gli studi randomizzati nella lipodistrofia da HIV. La prima (quattro studi, 909 persone) ha rilevato una riduzione del grasso viscerale, della circonferenza vita di 1,61 cm e del grasso del tronco, nonché un aumento della massa magra di 1,42 kg; il tasso di abbandono per effetti collaterali tendeva a essere più alto (rapporto di rischio 2,25, di poco non statisticamente significativo)</w:t>
      </w:r>
      <w:r>
        <w:rPr>
          <w:rStyle w:val="FootnoteReference"/>
        </w:rPr>
        <w:footnoteReference w:id="1293"/>
      </w:r>
      <w:r>
        <w:t xml:space="preserve">. La seconda (cinque studi) ha confermato la riduzione del grasso epatico di 4,28 punti percentuali e ha indicato come effetti collaterali tipici dolori articolari e muscolari, parestesie e reazioni cutanee nel sito di iniezione</w:t>
      </w:r>
      <w:r>
        <w:rPr>
          <w:rStyle w:val="FootnoteReference"/>
        </w:rPr>
        <w:footnoteReference w:id="1294"/>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Fase 3, studio 1 (Falutz 2007), PMID 18057338</w:t>
            </w:r>
          </w:p>
        </w:tc>
        <w:tc>
          <w:tcPr/>
          <w:p>
            <w:pPr>
              <w:pStyle w:val="Compact"/>
              <w:jc w:val="left"/>
            </w:pPr>
            <w:r>
              <w:t xml:space="preserve">412 persone con HIV e grasso addominale, RCT contro placebo</w:t>
            </w:r>
          </w:p>
        </w:tc>
        <w:tc>
          <w:tcPr/>
          <w:p>
            <w:pPr>
              <w:pStyle w:val="Compact"/>
              <w:jc w:val="left"/>
            </w:pPr>
            <w:r>
              <w:t xml:space="preserve">26 settimane</w:t>
            </w:r>
          </w:p>
        </w:tc>
        <w:tc>
          <w:tcPr/>
          <w:p>
            <w:pPr>
              <w:pStyle w:val="Compact"/>
              <w:jc w:val="left"/>
            </w:pPr>
            <w:r>
              <w:t xml:space="preserve">grasso viscerale −15,2% vs. +5,0%</w:t>
            </w:r>
          </w:p>
        </w:tc>
      </w:tr>
      <w:tr>
        <w:tc>
          <w:tcPr/>
          <w:p>
            <w:pPr>
              <w:pStyle w:val="Compact"/>
              <w:jc w:val="left"/>
            </w:pPr>
            <w:r>
              <w:t xml:space="preserve">Fase 3, studio 2 (Falutz 2010), PMID 20101189</w:t>
            </w:r>
          </w:p>
        </w:tc>
        <w:tc>
          <w:tcPr/>
          <w:p>
            <w:pPr>
              <w:pStyle w:val="Compact"/>
              <w:jc w:val="left"/>
            </w:pPr>
            <w:r>
              <w:t xml:space="preserve">404 persone con HIV, RCT con fase di estensione</w:t>
            </w:r>
          </w:p>
        </w:tc>
        <w:tc>
          <w:tcPr/>
          <w:p>
            <w:pPr>
              <w:pStyle w:val="Compact"/>
              <w:jc w:val="left"/>
            </w:pPr>
            <w:r>
              <w:t xml:space="preserve">12 mesi</w:t>
            </w:r>
          </w:p>
        </w:tc>
        <w:tc>
          <w:tcPr/>
          <w:p>
            <w:pPr>
              <w:pStyle w:val="Compact"/>
              <w:jc w:val="left"/>
            </w:pPr>
            <w:r>
              <w:t xml:space="preserve">−10,9% vs. −0,6% dopo 6 mesi; l’effetto si perde dopo la sospensione</w:t>
            </w:r>
          </w:p>
        </w:tc>
      </w:tr>
      <w:tr>
        <w:tc>
          <w:tcPr/>
          <w:p>
            <w:pPr>
              <w:pStyle w:val="Compact"/>
              <w:jc w:val="left"/>
            </w:pPr>
            <w:r>
              <w:t xml:space="preserve">Analisi aggregata (Falutz 2010), PMID 20554713</w:t>
            </w:r>
          </w:p>
        </w:tc>
        <w:tc>
          <w:tcPr/>
          <w:p>
            <w:pPr>
              <w:pStyle w:val="Compact"/>
              <w:jc w:val="left"/>
            </w:pPr>
            <w:r>
              <w:t xml:space="preserve">806 persone dai due studi di fase 3</w:t>
            </w:r>
          </w:p>
        </w:tc>
        <w:tc>
          <w:tcPr/>
          <w:p>
            <w:pPr>
              <w:pStyle w:val="Compact"/>
              <w:jc w:val="left"/>
            </w:pPr>
            <w:r>
              <w:t xml:space="preserve">26–52 settimane</w:t>
            </w:r>
          </w:p>
        </w:tc>
        <w:tc>
          <w:tcPr/>
          <w:p>
            <w:pPr>
              <w:pStyle w:val="Compact"/>
              <w:jc w:val="left"/>
            </w:pPr>
            <w:r>
              <w:t xml:space="preserve">effetto del trattamento −15,4%; glicemia senza variazioni clinicamente rilevanti</w:t>
            </w:r>
          </w:p>
        </w:tc>
      </w:tr>
      <w:tr>
        <w:tc>
          <w:tcPr/>
          <w:p>
            <w:pPr>
              <w:pStyle w:val="Compact"/>
              <w:jc w:val="left"/>
            </w:pPr>
            <w:r>
              <w:t xml:space="preserve">Fegato grasso nell’HIV (Stanley 2019), PMID 31611038</w:t>
            </w:r>
          </w:p>
        </w:tc>
        <w:tc>
          <w:tcPr/>
          <w:p>
            <w:pPr>
              <w:pStyle w:val="Compact"/>
              <w:jc w:val="left"/>
            </w:pPr>
            <w:r>
              <w:t xml:space="preserve">61 persone con HIV e fegato grasso, RCT</w:t>
            </w:r>
          </w:p>
        </w:tc>
        <w:tc>
          <w:tcPr/>
          <w:p>
            <w:pPr>
              <w:pStyle w:val="Compact"/>
              <w:jc w:val="left"/>
            </w:pPr>
            <w:r>
              <w:t xml:space="preserve">12 mesi</w:t>
            </w:r>
          </w:p>
        </w:tc>
        <w:tc>
          <w:tcPr/>
          <w:p>
            <w:pPr>
              <w:pStyle w:val="Compact"/>
              <w:jc w:val="left"/>
            </w:pPr>
            <w:r>
              <w:t xml:space="preserve">frazione di grasso epatico −4,1 punti percentuali vs. placebo</w:t>
            </w:r>
          </w:p>
        </w:tc>
      </w:tr>
      <w:tr>
        <w:tc>
          <w:tcPr/>
          <w:p>
            <w:pPr>
              <w:pStyle w:val="Compact"/>
              <w:jc w:val="left"/>
            </w:pPr>
            <w:r>
              <w:t xml:space="preserve">Senza HIV (Makimura 2012), PMID 23015655</w:t>
            </w:r>
          </w:p>
        </w:tc>
        <w:tc>
          <w:tcPr/>
          <w:p>
            <w:pPr>
              <w:pStyle w:val="Compact"/>
              <w:jc w:val="left"/>
            </w:pPr>
            <w:r>
              <w:t xml:space="preserve">60 adulti con obesità addominale, RCT</w:t>
            </w:r>
          </w:p>
        </w:tc>
        <w:tc>
          <w:tcPr/>
          <w:p>
            <w:pPr>
              <w:pStyle w:val="Compact"/>
              <w:jc w:val="left"/>
            </w:pPr>
            <w:r>
              <w:t xml:space="preserve">12 mesi</w:t>
            </w:r>
          </w:p>
        </w:tc>
        <w:tc>
          <w:tcPr/>
          <w:p>
            <w:pPr>
              <w:pStyle w:val="Compact"/>
              <w:jc w:val="left"/>
            </w:pPr>
            <w:r>
              <w:t xml:space="preserve">grasso viscerale −35 cm² rispetto al placebo</w:t>
            </w:r>
          </w:p>
        </w:tc>
      </w:tr>
      <w:tr>
        <w:tc>
          <w:tcPr/>
          <w:p>
            <w:pPr>
              <w:pStyle w:val="Compact"/>
              <w:jc w:val="left"/>
            </w:pPr>
            <w:r>
              <w:t xml:space="preserve">Cognizione in età avanzata (Baker 2012), PMID 22869065</w:t>
            </w:r>
          </w:p>
        </w:tc>
        <w:tc>
          <w:tcPr/>
          <w:p>
            <w:pPr>
              <w:pStyle w:val="Compact"/>
              <w:jc w:val="left"/>
            </w:pPr>
            <w:r>
              <w:t xml:space="preserve">152 anziani, di cui 66 con lieve disturbo cognitivo, RCT</w:t>
            </w:r>
          </w:p>
        </w:tc>
        <w:tc>
          <w:tcPr/>
          <w:p>
            <w:pPr>
              <w:pStyle w:val="Compact"/>
              <w:jc w:val="left"/>
            </w:pPr>
            <w:r>
              <w:t xml:space="preserve">20 settimane</w:t>
            </w:r>
          </w:p>
        </w:tc>
        <w:tc>
          <w:tcPr/>
          <w:p>
            <w:pPr>
              <w:pStyle w:val="Compact"/>
              <w:jc w:val="left"/>
            </w:pPr>
            <w:r>
              <w:t xml:space="preserve">effetto favorevole sulle capacità cognitive; più effetti collaterali</w:t>
            </w:r>
          </w:p>
        </w:tc>
      </w:tr>
      <w:tr>
        <w:tc>
          <w:tcPr/>
          <w:p>
            <w:pPr>
              <w:pStyle w:val="Compact"/>
              <w:jc w:val="left"/>
            </w:pPr>
            <w:r>
              <w:t xml:space="preserve">Meta-analisi (Ditta 2026), PMID 42538058</w:t>
            </w:r>
          </w:p>
        </w:tc>
        <w:tc>
          <w:tcPr/>
          <w:p>
            <w:pPr>
              <w:pStyle w:val="Compact"/>
              <w:jc w:val="left"/>
            </w:pPr>
            <w:r>
              <w:t xml:space="preserve">4 RCT, 909 persone con HIV</w:t>
            </w:r>
          </w:p>
        </w:tc>
        <w:tc>
          <w:tcPr/>
          <w:p>
            <w:pPr>
              <w:pStyle w:val="Compact"/>
              <w:jc w:val="left"/>
            </w:pPr>
            <w:r>
              <w:t xml:space="preserve">–</w:t>
            </w:r>
          </w:p>
        </w:tc>
        <w:tc>
          <w:tcPr/>
          <w:p>
            <w:pPr>
              <w:pStyle w:val="Compact"/>
              <w:jc w:val="left"/>
            </w:pPr>
            <w:r>
              <w:t xml:space="preserve">meno grasso viscerale, +1,42 kg di massa magra</w:t>
            </w:r>
          </w:p>
        </w:tc>
      </w:tr>
    </w:tbl>
    <w:bookmarkEnd w:id="1295"/>
    <w:bookmarkEnd w:id="1296"/>
    <w:bookmarkStart w:id="1300" w:name="studi-su-animali-e-in-laboratorio-24"/>
    <w:p>
      <w:pPr>
        <w:pStyle w:val="Heading3"/>
      </w:pPr>
      <w:r>
        <w:t xml:space="preserve">Studi su animali e in laboratorio</w:t>
      </w:r>
    </w:p>
    <w:p>
      <w:pPr>
        <w:pStyle w:val="FirstParagraph"/>
      </w:pPr>
      <w:r>
        <w:t xml:space="preserve">Per la tesamorelina in sé esiste relativamente poca ricerca animale autonoma; lo sviluppo si è basato sul GHRH endogeno, ben studiato. Una revisione discute se una stimolazione dell’asse dell’ormone della crescita possa favorire la rigenerazione dei nervi lesionati, basandosi prevalentemente su studi animali e meccanicistici</w:t>
      </w:r>
      <w:r>
        <w:rPr>
          <w:rStyle w:val="FootnoteReference"/>
        </w:rPr>
        <w:footnoteReference w:id="1297"/>
      </w:r>
      <w:r>
        <w:t xml:space="preserve">. Un piccolo studio di fase 2 sull’uomo in merito è registrato</w:t>
      </w:r>
      <w:r>
        <w:rPr>
          <w:rStyle w:val="FootnoteReference"/>
        </w:rPr>
        <w:footnoteReference w:id="1298"/>
      </w:r>
      <w:r>
        <w:t xml:space="preserve">.</w:t>
      </w:r>
    </w:p>
    <w:p>
      <w:pPr>
        <w:pStyle w:val="BodyText"/>
      </w:pPr>
      <w:r>
        <w:t xml:space="preserve">Un’analisi dei tessuti delle biopsie epatiche dello studio sul fegato grasso ha mostrato che con tesamorelina i gruppi di geni della produzione di energia nei mitocondri erano più attivi, e i gruppi di geni legati a infiammazione, rimodellamento dei tessuti e divisione cellulare meno attivi rispetto al placebo</w:t>
      </w:r>
      <w:r>
        <w:rPr>
          <w:rStyle w:val="FootnoteReference"/>
        </w:rPr>
        <w:footnoteReference w:id="1299"/>
      </w:r>
      <w:r>
        <w:t xml:space="preserve">. Si tratta di risultati ottenuti da campioni di tessuto umano, ma non di endpoint clinici.</w:t>
      </w:r>
    </w:p>
    <w:bookmarkEnd w:id="1300"/>
    <w:bookmarkStart w:id="1309" w:name="rischi-ed-effetti-collaterali-24"/>
    <w:p>
      <w:pPr>
        <w:pStyle w:val="Heading3"/>
      </w:pPr>
      <w:r>
        <w:t xml:space="preserve">Rischi ed effetti collaterali</w:t>
      </w:r>
    </w:p>
    <w:p>
      <w:pPr>
        <w:pStyle w:val="FirstParagraph"/>
      </w:pPr>
      <w:r>
        <w:rPr>
          <w:bCs/>
          <w:b/>
        </w:rPr>
        <w:t xml:space="preserve">Documentati dagli studi:</w:t>
      </w:r>
    </w:p>
    <w:p>
      <w:pPr>
        <w:numPr>
          <w:ilvl w:val="0"/>
          <w:numId w:val="1152"/>
        </w:numPr>
        <w:pStyle w:val="Compact"/>
      </w:pPr>
      <w:r>
        <w:t xml:space="preserve">Reazioni nel sito di iniezione (arrossamento, prurito): nello studio sul fegato grasso più frequenti che con placebo, ma non gravi</w:t>
      </w:r>
      <w:r>
        <w:rPr>
          <w:rStyle w:val="FootnoteReference"/>
        </w:rPr>
        <w:footnoteReference w:id="1301"/>
      </w:r>
      <w:r>
        <w:t xml:space="preserve">.</w:t>
      </w:r>
    </w:p>
    <w:p>
      <w:pPr>
        <w:numPr>
          <w:ilvl w:val="0"/>
          <w:numId w:val="1152"/>
        </w:numPr>
        <w:pStyle w:val="Compact"/>
      </w:pPr>
      <w:r>
        <w:t xml:space="preserve">Effetti tipici dell’ormone della crescita come dolori articolari e muscolari e parestesie</w:t>
      </w:r>
      <w:r>
        <w:rPr>
          <w:rStyle w:val="FootnoteReference"/>
        </w:rPr>
        <w:footnoteReference w:id="1302"/>
      </w:r>
      <w:r>
        <w:t xml:space="preserve">.</w:t>
      </w:r>
    </w:p>
    <w:p>
      <w:pPr>
        <w:numPr>
          <w:ilvl w:val="0"/>
          <w:numId w:val="1152"/>
        </w:numPr>
        <w:pStyle w:val="Compact"/>
      </w:pPr>
      <w:r>
        <w:t xml:space="preserve">Glicemia: nei grandi studi nessun peggioramento clinicamente rilevante in media, ma un aumento temporaneo della glicemia a digiuno nelle prime settimane</w:t>
      </w:r>
      <w:r>
        <w:rPr>
          <w:rStyle w:val="FootnoteReference"/>
        </w:rPr>
        <w:footnoteReference w:id="1303"/>
      </w:r>
      <w:r>
        <w:t xml:space="preserve"> </w:t>
      </w:r>
      <w:r>
        <w:t xml:space="preserve">e un lieve aumento nelle persone il cui grasso addominale non ha risposto</w:t>
      </w:r>
      <w:r>
        <w:rPr>
          <w:rStyle w:val="FootnoteReference"/>
        </w:rPr>
        <w:footnoteReference w:id="1304"/>
      </w:r>
      <w:r>
        <w:t xml:space="preserve">. Le persone con diabete dovrebbero essere seguite dal medico.</w:t>
      </w:r>
    </w:p>
    <w:p>
      <w:pPr>
        <w:numPr>
          <w:ilvl w:val="0"/>
          <w:numId w:val="1152"/>
        </w:numPr>
        <w:pStyle w:val="Compact"/>
      </w:pPr>
      <w:r>
        <w:t xml:space="preserve">Più interruzioni della terapia per effetti collaterali che con placebo</w:t>
      </w:r>
      <w:r>
        <w:rPr>
          <w:rStyle w:val="FootnoteReference"/>
        </w:rPr>
        <w:footnoteReference w:id="1305"/>
      </w:r>
      <w:r>
        <w:t xml:space="preserve">.</w:t>
      </w:r>
    </w:p>
    <w:p>
      <w:pPr>
        <w:numPr>
          <w:ilvl w:val="0"/>
          <w:numId w:val="1152"/>
        </w:numPr>
        <w:pStyle w:val="Compact"/>
      </w:pPr>
      <w:r>
        <w:t xml:space="preserve">L’effetto non è duraturo: dopo la sospensione il grasso addominale ritorna</w:t>
      </w:r>
      <w:r>
        <w:rPr>
          <w:rStyle w:val="FootnoteReference"/>
        </w:rPr>
        <w:footnoteReference w:id="1306"/>
      </w:r>
      <w:r>
        <w:t xml:space="preserve">.</w:t>
      </w:r>
    </w:p>
    <w:p>
      <w:pPr>
        <w:pStyle w:val="FirstParagraph"/>
      </w:pPr>
      <w:r>
        <w:rPr>
          <w:bCs/>
          <w:b/>
        </w:rPr>
        <w:t xml:space="preserve">Aperti o teorici:</w:t>
      </w:r>
      <w:r>
        <w:t xml:space="preserve"> </w:t>
      </w:r>
      <w:r>
        <w:t xml:space="preserve">la tesamorelina aumenta nettamente l’IGF-1, nel primo studio di fase 3 dell’81%. Negli studi osservazionali livelli elevati di IGF-1 sono associati a un rischio leggermente più alto di alcuni tipi di cancro (dettagli nell’introduzione a questo gruppo e nella Parte IV). Dagli studi sulla tesamorelina non emerge un aumento del rischio di cancro, ma erano troppo brevi per valutarlo. Uno studio osservazionale a lungo termine del produttore con 391 partecipanti</w:t>
      </w:r>
      <w:r>
        <w:rPr>
          <w:rStyle w:val="FootnoteReference"/>
        </w:rPr>
        <w:footnoteReference w:id="1307"/>
      </w:r>
      <w:r>
        <w:t xml:space="preserve"> </w:t>
      </w:r>
      <w:r>
        <w:t xml:space="preserve">e uno studio sulla retinopatia diabetica</w:t>
      </w:r>
      <w:r>
        <w:rPr>
          <w:rStyle w:val="FootnoteReference"/>
        </w:rPr>
        <w:footnoteReference w:id="1308"/>
      </w:r>
      <w:r>
        <w:t xml:space="preserve"> </w:t>
      </w:r>
      <w:r>
        <w:t xml:space="preserve">sono stati conclusi anticipatamente; non ho trovato in PubMed risultati pubblicati in merito. Secondo il riassunto delle caratteristiche del prodotto, la tesamorelina non deve essere usata in presenza di un tumore attivo; i dettagli sono stabiliti dal riassunto delle caratteristiche del prodotto, e l’impiego spetta al medico.</w:t>
      </w:r>
    </w:p>
    <w:bookmarkEnd w:id="1309"/>
    <w:bookmarkStart w:id="1311" w:name="quadro-normativo-24"/>
    <w:p>
      <w:pPr>
        <w:pStyle w:val="Heading3"/>
      </w:pPr>
      <w:r>
        <w:t xml:space="preserve">Quadro normativo</w:t>
      </w:r>
    </w:p>
    <w:p>
      <w:pPr>
        <w:pStyle w:val="FirstParagraph"/>
      </w:pPr>
      <w:r>
        <w:rPr>
          <w:iCs/>
          <w:i/>
        </w:rPr>
        <w:t xml:space="preserve">Aggiornato al 2026, da verificare.</w:t>
      </w:r>
    </w:p>
    <w:p>
      <w:pPr>
        <w:numPr>
          <w:ilvl w:val="0"/>
          <w:numId w:val="1153"/>
        </w:numPr>
        <w:pStyle w:val="Compact"/>
      </w:pPr>
      <w:r>
        <w:rPr>
          <w:bCs/>
          <w:b/>
        </w:rPr>
        <w:t xml:space="preserve">UE:</w:t>
      </w:r>
      <w:r>
        <w:t xml:space="preserve"> </w:t>
      </w:r>
      <w:r>
        <w:t xml:space="preserve">non autorizzata. La tesamorelina non è in commercio come medicinale in nessuno Stato dell’UE.</w:t>
      </w:r>
    </w:p>
    <w:p>
      <w:pPr>
        <w:numPr>
          <w:ilvl w:val="0"/>
          <w:numId w:val="1153"/>
        </w:numPr>
        <w:pStyle w:val="Compact"/>
      </w:pPr>
      <w:r>
        <w:rPr>
          <w:bCs/>
          <w:b/>
        </w:rPr>
        <w:t xml:space="preserve">Germania e Austria:</w:t>
      </w:r>
      <w:r>
        <w:t xml:space="preserve"> </w:t>
      </w:r>
      <w:r>
        <w:t xml:space="preserve">nessuna autorizzazione. Un approvvigionamento sarebbe al massimo ipotizzabile tramite importazione individuale, sotto responsabilità medica, di un medicinale autorizzato all’estero; la cessione di prodotti del mercato grigio per uso umano non è consentita.</w:t>
      </w:r>
    </w:p>
    <w:p>
      <w:pPr>
        <w:numPr>
          <w:ilvl w:val="0"/>
          <w:numId w:val="1153"/>
        </w:numPr>
        <w:pStyle w:val="Compact"/>
      </w:pPr>
      <w:r>
        <w:rPr>
          <w:bCs/>
          <w:b/>
        </w:rPr>
        <w:t xml:space="preserve">USA:</w:t>
      </w:r>
      <w:r>
        <w:t xml:space="preserve"> </w:t>
      </w:r>
      <w:r>
        <w:t xml:space="preserve">autorizzata come Egrifta (soggetta a prescrizione) esclusivamente per la riduzione del grasso addominale in eccesso nella lipodistrofia associata all’HIV. Qualsiasi altro impiego, per esempio «per dimagrire» o «contro l’invecchiamento», è off-label.</w:t>
      </w:r>
    </w:p>
    <w:p>
      <w:pPr>
        <w:numPr>
          <w:ilvl w:val="0"/>
          <w:numId w:val="1153"/>
        </w:numPr>
        <w:pStyle w:val="Compact"/>
      </w:pPr>
      <w:r>
        <w:rPr>
          <w:bCs/>
          <w:b/>
        </w:rPr>
        <w:t xml:space="preserve">WADA:</w:t>
      </w:r>
      <w:r>
        <w:t xml:space="preserve"> </w:t>
      </w:r>
      <w:r>
        <w:t xml:space="preserve">vietata (S2), in gara e fuori gara. I laboratori antidoping hanno sviluppato metodi per rilevare nelle urine la tesamorelina e altri analoghi del GHRH</w:t>
      </w:r>
      <w:r>
        <w:rPr>
          <w:rStyle w:val="FootnoteReference"/>
        </w:rPr>
        <w:footnoteReference w:id="1310"/>
      </w:r>
      <w:r>
        <w:t xml:space="preserve">.</w:t>
      </w:r>
    </w:p>
    <w:bookmarkEnd w:id="1311"/>
    <w:bookmarkStart w:id="1312" w:name="studi-in-corso-e-prospettive-24"/>
    <w:p>
      <w:pPr>
        <w:pStyle w:val="Heading3"/>
      </w:pPr>
      <w:r>
        <w:t xml:space="preserve">Studi in corso e prospettive</w:t>
      </w:r>
    </w:p>
    <w:p>
      <w:pPr>
        <w:pStyle w:val="FirstParagraph"/>
      </w:pPr>
      <w:r>
        <w:t xml:space="preserve">Su ClinicalTrials.gov a ottobre 2026 risultano registrati, tra gli altri, i seguenti studi aperti: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Disegno</w:t>
            </w:r>
          </w:p>
        </w:tc>
        <w:tc>
          <w:tcPr/>
          <w:p>
            <w:pPr>
              <w:pStyle w:val="Compact"/>
              <w:jc w:val="left"/>
            </w:pPr>
            <w:r>
              <w:t xml:space="preserve">Stato</w:t>
            </w:r>
          </w:p>
        </w:tc>
        <w:tc>
          <w:tcPr/>
          <w:p>
            <w:pPr>
              <w:pStyle w:val="Compact"/>
              <w:jc w:val="left"/>
            </w:pPr>
            <w:r>
              <w:t xml:space="preserve">Tema</w:t>
            </w:r>
          </w:p>
        </w:tc>
      </w:tr>
      <w:tr>
        <w:tc>
          <w:tcPr/>
          <w:p>
            <w:pPr>
              <w:pStyle w:val="Compact"/>
              <w:jc w:val="left"/>
            </w:pPr>
            <w:r>
              <w:t xml:space="preserve">NCT06554717</w:t>
            </w:r>
          </w:p>
        </w:tc>
        <w:tc>
          <w:tcPr/>
          <w:p>
            <w:pPr>
              <w:pStyle w:val="Compact"/>
              <w:jc w:val="left"/>
            </w:pPr>
            <w:r>
              <w:t xml:space="preserve">Fase 2, 100 persone</w:t>
            </w:r>
          </w:p>
        </w:tc>
        <w:tc>
          <w:tcPr/>
          <w:p>
            <w:pPr>
              <w:pStyle w:val="Compact"/>
              <w:jc w:val="left"/>
            </w:pPr>
            <w:r>
              <w:t xml:space="preserve">in reclutamento (inizio 2025)</w:t>
            </w:r>
          </w:p>
        </w:tc>
        <w:tc>
          <w:tcPr/>
          <w:p>
            <w:pPr>
              <w:pStyle w:val="Compact"/>
              <w:jc w:val="left"/>
            </w:pPr>
            <w:r>
              <w:t xml:space="preserve">tesamorelina in aggiunta all’allenamento nell’HIV – capacità fisica</w:t>
            </w:r>
          </w:p>
        </w:tc>
      </w:tr>
      <w:tr>
        <w:tc>
          <w:tcPr/>
          <w:p>
            <w:pPr>
              <w:pStyle w:val="Compact"/>
              <w:jc w:val="left"/>
            </w:pPr>
            <w:r>
              <w:t xml:space="preserve">NCT03150511</w:t>
            </w:r>
          </w:p>
        </w:tc>
        <w:tc>
          <w:tcPr/>
          <w:p>
            <w:pPr>
              <w:pStyle w:val="Compact"/>
              <w:jc w:val="left"/>
            </w:pPr>
            <w:r>
              <w:t xml:space="preserve">Fase 2, 36 persone</w:t>
            </w:r>
          </w:p>
        </w:tc>
        <w:tc>
          <w:tcPr/>
          <w:p>
            <w:pPr>
              <w:pStyle w:val="Compact"/>
              <w:jc w:val="left"/>
            </w:pPr>
            <w:r>
              <w:t xml:space="preserve">in reclutamento (dal 2018)</w:t>
            </w:r>
          </w:p>
        </w:tc>
        <w:tc>
          <w:tcPr/>
          <w:p>
            <w:pPr>
              <w:pStyle w:val="Compact"/>
              <w:jc w:val="left"/>
            </w:pPr>
            <w:r>
              <w:t xml:space="preserve">recupero dopo lesione dei nervi periferici</w:t>
            </w:r>
          </w:p>
        </w:tc>
      </w:tr>
    </w:tbl>
    <w:p>
      <w:pPr>
        <w:pStyle w:val="BodyText"/>
      </w:pPr>
      <w:r>
        <w:rPr>
          <w:iCs/>
          <w:i/>
        </w:rPr>
        <w:t xml:space="preserve">Assodato</w:t>
      </w:r>
      <w:r>
        <w:t xml:space="preserve"> </w:t>
      </w:r>
      <w:r>
        <w:t xml:space="preserve">è quindi solo che la ricerca prosegue in piccoli studi di fase 2.</w:t>
      </w:r>
      <w:r>
        <w:t xml:space="preserve"> </w:t>
      </w:r>
      <w:r>
        <w:rPr>
          <w:iCs/>
          <w:i/>
        </w:rPr>
        <w:t xml:space="preserve">Valutazione dell’autore:</w:t>
      </w:r>
      <w:r>
        <w:t xml:space="preserve"> </w:t>
      </w:r>
      <w:r>
        <w:t xml:space="preserve">il fegato grasso al di fuori dell’HIV sarebbe il nuovo campo d’impiego più ovvio, ma lì competono ormai altri principi attivi con programmi di studio molto più ampi. Un’autorizzazione nell’UE non è prevedibile in tempi brevi.</w:t>
      </w:r>
    </w:p>
    <w:bookmarkEnd w:id="1312"/>
    <w:bookmarkStart w:id="1313" w:name="conclusione-24"/>
    <w:p>
      <w:pPr>
        <w:pStyle w:val="Heading3"/>
      </w:pPr>
      <w:r>
        <w:t xml:space="preserve">Conclusione</w:t>
      </w:r>
    </w:p>
    <w:p>
      <w:pPr>
        <w:pStyle w:val="FirstParagraph"/>
      </w:pPr>
      <w:r>
        <w:t xml:space="preserve">La tesamorelina è il peptide dell’asse dell’ormone della crescita meglio studiato: due grandi studi di fase 3 mostrano che nelle persone con HIV riduce il grasso addominale viscerale di circa il 15–18% e diminuisce anche il grasso epatico. L’effetto dura solo finché dura il trattamento, e non tutti rispondono. Per persone sane, sportive e sportivi o come rimedio «anti-aging» non ci sono dati solidi. La sicurezza a lungo termine, in particolare per quanto riguarda l’aumento dell’IGF-1, non è stata chiarita in modo definitivo.</w:t>
      </w:r>
    </w:p>
    <w:bookmarkEnd w:id="1313"/>
    <w:bookmarkEnd w:id="1314"/>
    <w:bookmarkStart w:id="1339" w:name="cjc-1295"/>
    <w:p>
      <w:pPr>
        <w:pStyle w:val="Heading2"/>
      </w:pPr>
      <w:r>
        <w:t xml:space="preserve">CJC-1295</w:t>
      </w:r>
    </w:p>
    <w:p>
      <w:pPr>
        <w:pStyle w:val="FirstParagraph"/>
      </w:pPr>
      <w:r>
        <w:t xml:space="preserve">Con il nome CJC-1295 in internet vengono vendute due sostanze diverse, ed è questo il punto più importante del capitolo. Il CJC-1295 originale dell’azienda ConjuChem è un ormone di rilascio dell’ormone della crescita con un’«ancora» chimica che nel sangue si lega alla proteina albumina e prolunga l’effetto a circa una settimana. I rivenditori del mercato grigio offrono inoltre il «CJC-1295 senza DAC», che nella letteratura specialistica si chiama per lo più «GRF (1-29) modificato». Per il primo esistono due piccoli studi su persone sane, per il secondo nemmeno uno.</w:t>
      </w:r>
    </w:p>
    <w:bookmarkStart w:id="1316" w:name="scheda-25"/>
    <w:p>
      <w:pPr>
        <w:pStyle w:val="Heading3"/>
      </w:pPr>
      <w:r>
        <w:t xml:space="preserve">Scheda</w:t>
      </w:r>
    </w:p>
    <w:p>
      <w:pPr>
        <w:numPr>
          <w:ilvl w:val="0"/>
          <w:numId w:val="1154"/>
        </w:numPr>
        <w:pStyle w:val="Compact"/>
      </w:pPr>
      <w:r>
        <w:rPr>
          <w:bCs/>
          <w:b/>
        </w:rPr>
        <w:t xml:space="preserve">Tipo e struttura:</w:t>
      </w:r>
      <w:r>
        <w:t xml:space="preserve"> </w:t>
      </w:r>
      <w:r>
        <w:t xml:space="preserve">analogo sintetico dell’ormone di rilascio dell’ormone della crescita, costruito sui suoi primi 29 amminoacidi con quattro unità sostituite che ne ostacolano la degradazione.</w:t>
      </w:r>
    </w:p>
    <w:p>
      <w:pPr>
        <w:numPr>
          <w:ilvl w:val="1"/>
          <w:numId w:val="1155"/>
        </w:numPr>
        <w:pStyle w:val="Compact"/>
      </w:pPr>
      <w:r>
        <w:rPr>
          <w:iCs/>
          <w:i/>
        </w:rPr>
        <w:t xml:space="preserve">CJC-1295 con DAC</w:t>
      </w:r>
      <w:r>
        <w:t xml:space="preserve"> </w:t>
      </w:r>
      <w:r>
        <w:t xml:space="preserve">(Drug Affinity Complex): in più un’ancora reattiva all’estremità della catena che, dopo l’iniezione, si lega saldamente all’albumina</w:t>
      </w:r>
      <w:r>
        <w:rPr>
          <w:rStyle w:val="FootnoteReference"/>
        </w:rPr>
        <w:footnoteReference w:id="1315"/>
      </w:r>
      <w:r>
        <w:t xml:space="preserve">.</w:t>
      </w:r>
    </w:p>
    <w:p>
      <w:pPr>
        <w:numPr>
          <w:ilvl w:val="1"/>
          <w:numId w:val="1155"/>
        </w:numPr>
        <w:pStyle w:val="Compact"/>
      </w:pPr>
      <w:r>
        <w:rPr>
          <w:iCs/>
          <w:i/>
        </w:rPr>
        <w:t xml:space="preserve">CJC-1295 senza DAC</w:t>
      </w:r>
      <w:r>
        <w:t xml:space="preserve"> </w:t>
      </w:r>
      <w:r>
        <w:t xml:space="preserve">(«Mod GRF 1-29»): la stessa catena senza ancora; breve durata d’azione.</w:t>
      </w:r>
    </w:p>
    <w:p>
      <w:pPr>
        <w:numPr>
          <w:ilvl w:val="0"/>
          <w:numId w:val="1154"/>
        </w:numPr>
        <w:pStyle w:val="Compact"/>
      </w:pPr>
      <w:r>
        <w:rPr>
          <w:bCs/>
          <w:b/>
        </w:rPr>
        <w:t xml:space="preserve">Origine:</w:t>
      </w:r>
      <w:r>
        <w:t xml:space="preserve"> </w:t>
      </w:r>
      <w:r>
        <w:t xml:space="preserve">sviluppato da ConjuChem (Canada) negli anni 2000; lo sviluppo clinico non è proseguito.</w:t>
      </w:r>
    </w:p>
    <w:p>
      <w:pPr>
        <w:numPr>
          <w:ilvl w:val="0"/>
          <w:numId w:val="1154"/>
        </w:numPr>
        <w:pStyle w:val="Compact"/>
      </w:pPr>
      <w:r>
        <w:rPr>
          <w:bCs/>
          <w:b/>
        </w:rPr>
        <w:t xml:space="preserve">Principio d’azione:</w:t>
      </w:r>
      <w:r>
        <w:t xml:space="preserve"> </w:t>
      </w:r>
      <w:r>
        <w:t xml:space="preserve">legame al recettore del GHRH dell’ipofisi; aumento dell’ormone della crescita e dell’IGF-1.</w:t>
      </w:r>
    </w:p>
    <w:p>
      <w:pPr>
        <w:numPr>
          <w:ilvl w:val="0"/>
          <w:numId w:val="1154"/>
        </w:numPr>
        <w:pStyle w:val="Compact"/>
      </w:pPr>
      <w:r>
        <w:rPr>
          <w:bCs/>
          <w:b/>
        </w:rPr>
        <w:t xml:space="preserve">Autorizzazione UE:</w:t>
      </w:r>
      <w:r>
        <w:t xml:space="preserve"> </w:t>
      </w:r>
      <w:r>
        <w:t xml:space="preserve">no.</w:t>
      </w:r>
      <w:r>
        <w:t xml:space="preserve"> </w:t>
      </w:r>
      <w:r>
        <w:rPr>
          <w:bCs/>
          <w:b/>
        </w:rPr>
        <w:t xml:space="preserve">Autorizzazione USA:</w:t>
      </w:r>
      <w:r>
        <w:t xml:space="preserve"> </w:t>
      </w:r>
      <w:r>
        <w:t xml:space="preserve">no.</w:t>
      </w:r>
    </w:p>
    <w:p>
      <w:pPr>
        <w:numPr>
          <w:ilvl w:val="0"/>
          <w:numId w:val="1154"/>
        </w:numPr>
        <w:pStyle w:val="Compact"/>
      </w:pPr>
      <w:r>
        <w:rPr>
          <w:bCs/>
          <w:b/>
        </w:rPr>
        <w:t xml:space="preserve">WADA:</w:t>
      </w:r>
      <w:r>
        <w:t xml:space="preserve"> </w:t>
      </w:r>
      <w:r>
        <w:t xml:space="preserve">vietato, classe S2; il CJC-1295 è espressamente citato come analogo del GHRH.</w:t>
      </w:r>
    </w:p>
    <w:p>
      <w:pPr>
        <w:numPr>
          <w:ilvl w:val="0"/>
          <w:numId w:val="1154"/>
        </w:numPr>
        <w:pStyle w:val="Compact"/>
      </w:pPr>
      <w:r>
        <w:rPr>
          <w:bCs/>
          <w:b/>
        </w:rPr>
        <w:t xml:space="preserve">Livello di evidenza: C</w:t>
      </w:r>
      <w:r>
        <w:t xml:space="preserve"> </w:t>
      </w:r>
      <w:r>
        <w:t xml:space="preserve">– due piccoli studi di fase 1 su persone sane (con DAC); nessuno studio su un beneficio clinico; per la variante senza DAC nessuno studio sull’uomo.</w:t>
      </w:r>
    </w:p>
    <w:bookmarkEnd w:id="1316"/>
    <w:bookmarkStart w:id="1318" w:name="come-dovrebbe-agire-25"/>
    <w:p>
      <w:pPr>
        <w:pStyle w:val="Heading3"/>
      </w:pPr>
      <w:r>
        <w:t xml:space="preserve">Come dovrebbe agire</w:t>
      </w:r>
    </w:p>
    <w:p>
      <w:pPr>
        <w:pStyle w:val="FirstParagraph"/>
      </w:pPr>
      <w:r>
        <w:t xml:space="preserve">Il GHRH naturale viene eliminato dal sangue in pochi minuti dall’enzima dipeptidil peptidasi-4 e attraverso i reni. L’ancora DAC doveva risolvere questo problema: dopo l’iniezione reagisce con un gruppo sulfidrilico libero dell’albumina. Il peptide «cavalca» poi l’albumina, che ha una vita di settimane, e viene rilasciato lentamente. Nei ratti il CJC-1295 è rimasto così rilevabile nel sangue per oltre 72 ore</w:t>
      </w:r>
      <w:r>
        <w:rPr>
          <w:rStyle w:val="FootnoteReference"/>
        </w:rPr>
        <w:footnoteReference w:id="1317"/>
      </w:r>
      <w:r>
        <w:t xml:space="preserve">.</w:t>
      </w:r>
    </w:p>
    <w:p>
      <w:pPr>
        <w:pStyle w:val="BodyText"/>
      </w:pPr>
      <w:r>
        <w:t xml:space="preserve">In questo il CJC-1295 con DAC si distingue radicalmente da tutti gli altri secretagoghi del GH: invece di brevi impulsi produce una stimolazione continua dell’ipofisi. Se ciò sia fisiologicamente favorevole era una delle questioni aperte dello sviluppo. La variante senza DAC ha invece una durata d’azione breve, simile alla sermorelina, e sul mercato grigio viene spesso offerta in combinazione con secretagoghi del GH del gruppo della grelina (per esempio l’ipamorelina), una pratica per la quale non esistono studi.</w:t>
      </w:r>
    </w:p>
    <w:bookmarkEnd w:id="1318"/>
    <w:bookmarkStart w:id="1324" w:name="studi-sulluomo-25"/>
    <w:p>
      <w:pPr>
        <w:pStyle w:val="Heading3"/>
      </w:pPr>
      <w:r>
        <w:t xml:space="preserve">Studi sull’uomo</w:t>
      </w:r>
    </w:p>
    <w:p>
      <w:pPr>
        <w:pStyle w:val="FirstParagraph"/>
      </w:pPr>
      <w:r>
        <w:rPr>
          <w:bCs/>
          <w:b/>
        </w:rPr>
        <w:t xml:space="preserve">Dimensioni della letteratura (ricerca di ottobre 2026):</w:t>
      </w:r>
      <w:r>
        <w:t xml:space="preserve"> </w:t>
      </w:r>
      <w:r>
        <w:t xml:space="preserve">la ricerca automatizzata di questo libro ha trovato</w:t>
      </w:r>
      <w:r>
        <w:t xml:space="preserve"> </w:t>
      </w:r>
      <w:r>
        <w:rPr>
          <w:bCs/>
          <w:b/>
        </w:rPr>
        <w:t xml:space="preserve">2</w:t>
      </w:r>
      <w:r>
        <w:t xml:space="preserve"> </w:t>
      </w:r>
      <w:r>
        <w:t xml:space="preserve">studi sull’uomo in PubMed (</w:t>
      </w:r>
      <w:r>
        <w:rPr>
          <w:rStyle w:val="VerbatimChar"/>
        </w:rPr>
        <w:t xml:space="preserve">humanstudien_alle</w:t>
      </w:r>
      <w:r>
        <w:t xml:space="preserve">) e</w:t>
      </w:r>
      <w:r>
        <w:t xml:space="preserve"> </w:t>
      </w:r>
      <w:r>
        <w:rPr>
          <w:bCs/>
          <w:b/>
        </w:rPr>
        <w:t xml:space="preserve">1</w:t>
      </w:r>
      <w:r>
        <w:t xml:space="preserve"> </w:t>
      </w:r>
      <w:r>
        <w:t xml:space="preserve">voce su ClinicalTrials.gov. Una ricerca mirata supplementare ha individuato inoltre un’analisi successiva di campioni di sangue di uno dei due studi. Tutti i lavori riguardano il CJC-1295</w:t>
      </w:r>
      <w:r>
        <w:t xml:space="preserve"> </w:t>
      </w:r>
      <w:r>
        <w:rPr>
          <w:iCs/>
          <w:i/>
        </w:rPr>
        <w:t xml:space="preserve">con</w:t>
      </w:r>
      <w:r>
        <w:t xml:space="preserve"> </w:t>
      </w:r>
      <w:r>
        <w:t xml:space="preserve">DAC.</w:t>
      </w:r>
    </w:p>
    <w:p>
      <w:pPr>
        <w:pStyle w:val="BodyText"/>
      </w:pPr>
      <w:r>
        <w:rPr>
          <w:bCs/>
          <w:b/>
        </w:rPr>
        <w:t xml:space="preserve">Ricerca della dose in persone sane:</w:t>
      </w:r>
      <w:r>
        <w:t xml:space="preserve"> </w:t>
      </w:r>
      <w:r>
        <w:t xml:space="preserve">in due studi randomizzati, controllati con placebo, in doppio cieco e a dosi crescenti, adulti sani tra 21 e 61 anni hanno ricevuto una singola iniezione oppure due-tre iniezioni settimanali o bisettimanali. Dopo una sola iniezione l’ormone della crescita è salito in media da 2 a 10 volte per sei giorni o più, l’IGF-1 da 1,5 a 3 volte per 9-11 giorni. L’emivita era di 5,8-8,1 giorni. Dopo più dosi l’IGF-1 è rimasto al di sopra del valore iniziale fino a 28 giorni. Non sono stati riportati effetti collaterali gravi</w:t>
      </w:r>
      <w:r>
        <w:rPr>
          <w:rStyle w:val="FootnoteReference"/>
        </w:rPr>
        <w:footnoteReference w:id="1319"/>
      </w:r>
      <w:r>
        <w:t xml:space="preserve">.</w:t>
      </w:r>
    </w:p>
    <w:p>
      <w:pPr>
        <w:pStyle w:val="BodyText"/>
      </w:pPr>
      <w:r>
        <w:rPr>
          <w:bCs/>
          <w:b/>
        </w:rPr>
        <w:t xml:space="preserve">Pulsatilità:</w:t>
      </w:r>
      <w:r>
        <w:t xml:space="preserve"> </w:t>
      </w:r>
      <w:r>
        <w:t xml:space="preserve">un secondo studio ha esaminato in uomini sani tra 20 e 40 anni se il naturale andamento a impulsi della secrezione di GH venisse mantenuto. Una settimana dopo l’iniezione frequenza e ampiezza dei picchi di GH erano invariate, ma il livello di base tra i picchi era aumentato di 7,5 volte; il GH medio è aumentato del 46%, l’IGF-1 del 45%</w:t>
      </w:r>
      <w:r>
        <w:rPr>
          <w:rStyle w:val="FootnoteReference"/>
        </w:rPr>
        <w:footnoteReference w:id="1320"/>
      </w:r>
      <w:r>
        <w:t xml:space="preserve">.</w:t>
      </w:r>
    </w:p>
    <w:p>
      <w:pPr>
        <w:pStyle w:val="BodyText"/>
      </w:pPr>
      <w:r>
        <w:rPr>
          <w:bCs/>
          <w:b/>
        </w:rPr>
        <w:t xml:space="preserve">Proteine del sangue:</w:t>
      </w:r>
      <w:r>
        <w:t xml:space="preserve"> </w:t>
      </w:r>
      <w:r>
        <w:t xml:space="preserve">un’analisi di campioni di siero di 11 giovani uomini prima e una settimana dopo l’iniezione ha cercato nuovi marcatori dell’effetto dell’ormone della crescita e ha trovato variazioni di singole proteine del sangue</w:t>
      </w:r>
      <w:r>
        <w:rPr>
          <w:rStyle w:val="FootnoteReference"/>
        </w:rPr>
        <w:footnoteReference w:id="1321"/>
      </w:r>
      <w:r>
        <w:t xml:space="preserve">. Si tratta di ricerca di base senza valore clinico.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Ricerca della dose (Teichman 2006), PMID 16352683</w:t>
            </w:r>
          </w:p>
        </w:tc>
        <w:tc>
          <w:tcPr/>
          <w:p>
            <w:pPr>
              <w:pStyle w:val="Compact"/>
              <w:jc w:val="left"/>
            </w:pPr>
            <w:r>
              <w:t xml:space="preserve">adulti sani 21–61 anni, due RCT contro placebo, dosi crescenti</w:t>
            </w:r>
          </w:p>
        </w:tc>
        <w:tc>
          <w:tcPr/>
          <w:p>
            <w:pPr>
              <w:pStyle w:val="Compact"/>
              <w:jc w:val="left"/>
            </w:pPr>
            <w:r>
              <w:t xml:space="preserve">28 o 49 giorni</w:t>
            </w:r>
          </w:p>
        </w:tc>
        <w:tc>
          <w:tcPr/>
          <w:p>
            <w:pPr>
              <w:pStyle w:val="Compact"/>
              <w:jc w:val="left"/>
            </w:pPr>
            <w:r>
              <w:t xml:space="preserve">GH aumentato da 2 a 10 volte, IGF-1 da 1,5 a 3 volte; emivita 5,8–8,1 giorni</w:t>
            </w:r>
          </w:p>
        </w:tc>
      </w:tr>
      <w:tr>
        <w:tc>
          <w:tcPr/>
          <w:p>
            <w:pPr>
              <w:pStyle w:val="Compact"/>
              <w:jc w:val="left"/>
            </w:pPr>
            <w:r>
              <w:t xml:space="preserve">Pulsatilità del GH (Ionescu 2006), PMID 17018654</w:t>
            </w:r>
          </w:p>
        </w:tc>
        <w:tc>
          <w:tcPr/>
          <w:p>
            <w:pPr>
              <w:pStyle w:val="Compact"/>
              <w:jc w:val="left"/>
            </w:pPr>
            <w:r>
              <w:t xml:space="preserve">uomini sani 20–40 anni, confronto prima-dopo</w:t>
            </w:r>
          </w:p>
        </w:tc>
        <w:tc>
          <w:tcPr/>
          <w:p>
            <w:pPr>
              <w:pStyle w:val="Compact"/>
              <w:jc w:val="left"/>
            </w:pPr>
            <w:r>
              <w:t xml:space="preserve">1 settimana dopo dose singola</w:t>
            </w:r>
          </w:p>
        </w:tc>
        <w:tc>
          <w:tcPr/>
          <w:p>
            <w:pPr>
              <w:pStyle w:val="Compact"/>
              <w:jc w:val="left"/>
            </w:pPr>
            <w:r>
              <w:t xml:space="preserve">impulsi mantenuti, GH di base ×7,5, IGF-1 +45%</w:t>
            </w:r>
          </w:p>
        </w:tc>
      </w:tr>
      <w:tr>
        <w:tc>
          <w:tcPr/>
          <w:p>
            <w:pPr>
              <w:pStyle w:val="Compact"/>
              <w:jc w:val="left"/>
            </w:pPr>
            <w:r>
              <w:t xml:space="preserve">Grasso addominale nell’HIV, NCT00267527</w:t>
            </w:r>
          </w:p>
        </w:tc>
        <w:tc>
          <w:tcPr/>
          <w:p>
            <w:pPr>
              <w:pStyle w:val="Compact"/>
              <w:jc w:val="left"/>
            </w:pPr>
            <w:r>
              <w:t xml:space="preserve">previste 120 persone, fase 2, RCT</w:t>
            </w:r>
          </w:p>
        </w:tc>
        <w:tc>
          <w:tcPr/>
          <w:p>
            <w:pPr>
              <w:pStyle w:val="Compact"/>
              <w:jc w:val="left"/>
            </w:pPr>
            <w:r>
              <w:t xml:space="preserve">previste 12 settimane</w:t>
            </w:r>
          </w:p>
        </w:tc>
        <w:tc>
          <w:tcPr/>
          <w:p>
            <w:pPr>
              <w:pStyle w:val="Compact"/>
              <w:jc w:val="left"/>
            </w:pPr>
            <w:r>
              <w:t xml:space="preserve">interrotto nel 2006; nessun risultato pubblicato</w:t>
            </w:r>
          </w:p>
        </w:tc>
      </w:tr>
    </w:tbl>
    <w:bookmarkStart w:id="1323" w:name="X91f4910a568e01004268ac820db8812ffe38c5d"/>
    <w:p>
      <w:pPr>
        <w:pStyle w:val="Heading4"/>
      </w:pPr>
      <w:r>
        <w:t xml:space="preserve">Lo studio di fase 2 interrotto e il decesso riferito</w:t>
      </w:r>
    </w:p>
    <w:p>
      <w:pPr>
        <w:pStyle w:val="FirstParagraph"/>
      </w:pPr>
      <w:r>
        <w:t xml:space="preserve">Alla fine del 2005 ConjuChem ha avviato uno studio di fase 2 randomizzato e controllato con placebo con due dosi di CJC-1295 in persone con HIV e aumento del grasso addominale, cioè nello stesso campo d’impiego in cui più tardi è stata autorizzata la tesamorelina</w:t>
      </w:r>
      <w:r>
        <w:rPr>
          <w:rStyle w:val="FootnoteReference"/>
        </w:rPr>
        <w:footnoteReference w:id="1322"/>
      </w:r>
      <w:r>
        <w:t xml:space="preserve">. La voce di registro indica lo stato «interrotto» (ultimo aggiornamento ottobre 2006), ma nessun motivo dell’interruzione e nessun risultato.</w:t>
      </w:r>
    </w:p>
    <w:p>
      <w:pPr>
        <w:pStyle w:val="BodyText"/>
      </w:pPr>
      <w:r>
        <w:t xml:space="preserve">Nei forum online e in alcune rassegne si legge che lo studio sarebbe stato fermato dopo la morte di un partecipante.</w:t>
      </w:r>
      <w:r>
        <w:t xml:space="preserve"> </w:t>
      </w:r>
      <w:r>
        <w:rPr>
          <w:bCs/>
          <w:b/>
        </w:rPr>
        <w:t xml:space="preserve">Questo decesso non è documentato nelle fonti verificate per questo libro:</w:t>
      </w:r>
      <w:r>
        <w:t xml:space="preserve"> </w:t>
      </w:r>
      <w:r>
        <w:t xml:space="preserve">né la voce di registro né una pubblicazione in PubMed ne danno conto. Non è quindi possibile né confermare che sia avvenuto né valutare se fosse collegato al principio attivo. È documentato solo che lo studio è terminato anticipatamente e che il CJC-1295 non è stato poi ulteriormente sviluppato.</w:t>
      </w:r>
    </w:p>
    <w:bookmarkEnd w:id="1323"/>
    <w:bookmarkEnd w:id="1324"/>
    <w:bookmarkStart w:id="1327" w:name="studi-su-animali-e-in-laboratorio-25"/>
    <w:p>
      <w:pPr>
        <w:pStyle w:val="Heading3"/>
      </w:pPr>
      <w:r>
        <w:t xml:space="preserve">Studi su animali e in laboratorio</w:t>
      </w:r>
    </w:p>
    <w:p>
      <w:pPr>
        <w:numPr>
          <w:ilvl w:val="0"/>
          <w:numId w:val="1156"/>
        </w:numPr>
        <w:pStyle w:val="Compact"/>
      </w:pPr>
      <w:r>
        <w:rPr>
          <w:bCs/>
          <w:b/>
        </w:rPr>
        <w:t xml:space="preserve">Ratti:</w:t>
      </w:r>
      <w:r>
        <w:t xml:space="preserve"> </w:t>
      </w:r>
      <w:r>
        <w:t xml:space="preserve">delle tre varianti con ancora all’albumina testate, il CJC-1295 ha rilasciato più ormone della crescita, nell’arco di due ore circa quattro volte quello del GRF(1-29) non modificato, ed è rimasto nel sangue per oltre 72 ore</w:t>
      </w:r>
      <w:r>
        <w:rPr>
          <w:rStyle w:val="FootnoteReference"/>
        </w:rPr>
        <w:footnoteReference w:id="1325"/>
      </w:r>
      <w:r>
        <w:t xml:space="preserve">.</w:t>
      </w:r>
    </w:p>
    <w:p>
      <w:pPr>
        <w:numPr>
          <w:ilvl w:val="0"/>
          <w:numId w:val="1156"/>
        </w:numPr>
        <w:pStyle w:val="Compact"/>
      </w:pPr>
      <w:r>
        <w:rPr>
          <w:bCs/>
          <w:b/>
        </w:rPr>
        <w:t xml:space="preserve">Topi:</w:t>
      </w:r>
      <w:r>
        <w:t xml:space="preserve"> </w:t>
      </w:r>
      <w:r>
        <w:t xml:space="preserve">in topi privi di GHRH proprio, la somministrazione quotidiana ha normalizzato peso e lunghezza; la somministrazione ogni 48 o 72 ore non è bastata del tutto. Nell’ipofisi è aumentato il numero di cellule produttrici di GH</w:t>
      </w:r>
      <w:r>
        <w:rPr>
          <w:rStyle w:val="FootnoteReference"/>
        </w:rPr>
        <w:footnoteReference w:id="1326"/>
      </w:r>
      <w:r>
        <w:t xml:space="preserve">. Un aumento delle cellule ipofisarie è auspicabile quando si deve compensare una carenza; nelle persone sane il suo significato a lungo termine è sconosciuto.</w:t>
      </w:r>
    </w:p>
    <w:bookmarkEnd w:id="1327"/>
    <w:bookmarkStart w:id="1332" w:name="rischi-ed-effetti-collaterali-25"/>
    <w:p>
      <w:pPr>
        <w:pStyle w:val="Heading3"/>
      </w:pPr>
      <w:r>
        <w:t xml:space="preserve">Rischi ed effetti collaterali</w:t>
      </w:r>
    </w:p>
    <w:p>
      <w:pPr>
        <w:pStyle w:val="FirstParagraph"/>
      </w:pPr>
      <w:r>
        <w:rPr>
          <w:bCs/>
          <w:b/>
        </w:rPr>
        <w:t xml:space="preserve">Documentati dagli studi di fase 1:</w:t>
      </w:r>
      <w:r>
        <w:t xml:space="preserve"> </w:t>
      </w:r>
      <w:r>
        <w:t xml:space="preserve">nessun effetto collaterale grave in poche persone sane trattate per breve tempo; la tollerabilità è stata descritta come relativamente buona, soprattutto alle dosi più basse</w:t>
      </w:r>
      <w:r>
        <w:rPr>
          <w:rStyle w:val="FootnoteReference"/>
        </w:rPr>
        <w:footnoteReference w:id="1328"/>
      </w:r>
      <w:r>
        <w:t xml:space="preserve">. Questa base di dati è troppo piccola per riconoscere rischi rari o a lungo termine.</w:t>
      </w:r>
    </w:p>
    <w:p>
      <w:pPr>
        <w:pStyle w:val="BodyText"/>
      </w:pPr>
      <w:r>
        <w:rPr>
          <w:bCs/>
          <w:b/>
        </w:rPr>
        <w:t xml:space="preserve">Plausibili, ma non studiati:</w:t>
      </w:r>
      <w:r>
        <w:t xml:space="preserve"> </w:t>
      </w:r>
      <w:r>
        <w:t xml:space="preserve">la variante DAC mantiene ormone della crescita e IGF-1 costantemente elevati per giorni. Conseguenze tipiche di livelli elevati di GH sono ritenzione idrica, dolori articolari, disturbi da tunnel carpale e un peggioramento della sensibilità all’insulina. Se un IGF-1 costantemente elevato aumenti a lungo termine il rischio di cancro non è stato studiato per il CJC-1295; per il quadro generale dei dati si veda l’introduzione di questo gruppo e la Parte IV.</w:t>
      </w:r>
    </w:p>
    <w:p>
      <w:pPr>
        <w:pStyle w:val="BodyText"/>
      </w:pPr>
      <w:r>
        <w:rPr>
          <w:bCs/>
          <w:b/>
        </w:rPr>
        <w:t xml:space="preserve">Mercato grigio:</w:t>
      </w:r>
      <w:r>
        <w:t xml:space="preserve"> </w:t>
      </w:r>
      <w:r>
        <w:t xml:space="preserve">già nel 2009 un laboratorio norvegese, su incarico di polizia e dogana, ha analizzato un preparato sconosciuto e ha trovato un peptide di 29 amminoacidi corrispondente alla sequenza venduta come CJC-1295</w:t>
      </w:r>
      <w:r>
        <w:rPr>
          <w:rStyle w:val="FootnoteReference"/>
        </w:rPr>
        <w:footnoteReference w:id="1329"/>
      </w:r>
      <w:r>
        <w:t xml:space="preserve">. Campioni della dogana danese contenevano «GRF 1-29 modificato» e mimetici della grelina con un amminoacido glicina aggiuntivo non dichiarato</w:t>
      </w:r>
      <w:r>
        <w:rPr>
          <w:rStyle w:val="FootnoteReference"/>
        </w:rPr>
        <w:footnoteReference w:id="1330"/>
      </w:r>
      <w:r>
        <w:t xml:space="preserve">. Chi acquista non può quindi sapere se riceve la variante con o senza DAC, una molecola modificata o qualcosa di completamente diverso. Un’analisi di forum di bodybuilding mostra che anche donne usano il CJC-1295 per dimagrire, per la pelle o per il sonno, basandosi su resoconti di esperienze anziché su studi</w:t>
      </w:r>
      <w:r>
        <w:rPr>
          <w:rStyle w:val="FootnoteReference"/>
        </w:rPr>
        <w:footnoteReference w:id="1331"/>
      </w:r>
      <w:r>
        <w:t xml:space="preserve">.</w:t>
      </w:r>
    </w:p>
    <w:bookmarkEnd w:id="1332"/>
    <w:bookmarkStart w:id="1336" w:name="quadro-normativo-25"/>
    <w:p>
      <w:pPr>
        <w:pStyle w:val="Heading3"/>
      </w:pPr>
      <w:r>
        <w:t xml:space="preserve">Quadro normativo</w:t>
      </w:r>
    </w:p>
    <w:p>
      <w:pPr>
        <w:pStyle w:val="FirstParagraph"/>
      </w:pPr>
      <w:r>
        <w:rPr>
          <w:iCs/>
          <w:i/>
        </w:rPr>
        <w:t xml:space="preserve">Aggiornato al 2026, da verificare.</w:t>
      </w:r>
    </w:p>
    <w:p>
      <w:pPr>
        <w:numPr>
          <w:ilvl w:val="0"/>
          <w:numId w:val="1157"/>
        </w:numPr>
        <w:pStyle w:val="Compact"/>
      </w:pPr>
      <w:r>
        <w:rPr>
          <w:bCs/>
          <w:b/>
        </w:rPr>
        <w:t xml:space="preserve">UE, Germania, Austria:</w:t>
      </w:r>
      <w:r>
        <w:t xml:space="preserve"> </w:t>
      </w:r>
      <w:r>
        <w:t xml:space="preserve">nessuna autorizzazione. Il CJC-1295 è un principio attivo non autorizzato; cessione e commercio per uso umano non sono consentiti dalle leggi sui medicinali, anche quando i prodotti sono dichiarati come «research peptide».</w:t>
      </w:r>
    </w:p>
    <w:p>
      <w:pPr>
        <w:numPr>
          <w:ilvl w:val="0"/>
          <w:numId w:val="1157"/>
        </w:numPr>
        <w:pStyle w:val="Compact"/>
      </w:pPr>
      <w:r>
        <w:rPr>
          <w:bCs/>
          <w:b/>
        </w:rPr>
        <w:t xml:space="preserve">USA:</w:t>
      </w:r>
      <w:r>
        <w:t xml:space="preserve"> </w:t>
      </w:r>
      <w:r>
        <w:t xml:space="preserve">nessuna autorizzazione. La FDA ha classificato il CJC-1295, come diversi altri peptidi di questo libro, tra le sostanze di partenza per le farmacie galeniche come sostanza con problemi di sicurezza (categoria 2). Da allora queste classificazioni sono state discusse in modo controverso nel comitato consultivo competente e negli ambienti specialistici</w:t>
      </w:r>
      <w:r>
        <w:rPr>
          <w:rStyle w:val="FootnoteReference"/>
        </w:rPr>
        <w:footnoteReference w:id="1333"/>
      </w:r>
      <w:r>
        <w:t xml:space="preserve">; sono possibili modifiche.</w:t>
      </w:r>
    </w:p>
    <w:p>
      <w:pPr>
        <w:numPr>
          <w:ilvl w:val="0"/>
          <w:numId w:val="1157"/>
        </w:numPr>
        <w:pStyle w:val="Compact"/>
      </w:pPr>
      <w:r>
        <w:rPr>
          <w:bCs/>
          <w:b/>
        </w:rPr>
        <w:t xml:space="preserve">WADA:</w:t>
      </w:r>
      <w:r>
        <w:t xml:space="preserve"> </w:t>
      </w:r>
      <w:r>
        <w:t xml:space="preserve">vietato (S2). Sono stati descritti metodi per rilevare nelle urine il CJC-1295 con e senza DAC</w:t>
      </w:r>
      <w:r>
        <w:rPr>
          <w:rStyle w:val="FootnoteReference"/>
        </w:rPr>
        <w:footnoteReference w:id="1334"/>
      </w:r>
      <w:r>
        <w:t xml:space="preserve">; viene ricercato anche negli sport equestri</w:t>
      </w:r>
      <w:r>
        <w:rPr>
          <w:rStyle w:val="FootnoteReference"/>
        </w:rPr>
        <w:footnoteReference w:id="1335"/>
      </w:r>
      <w:r>
        <w:t xml:space="preserve">.</w:t>
      </w:r>
    </w:p>
    <w:bookmarkEnd w:id="1336"/>
    <w:bookmarkStart w:id="1337" w:name="studi-in-corso-e-prospettive-25"/>
    <w:p>
      <w:pPr>
        <w:pStyle w:val="Heading3"/>
      </w:pPr>
      <w:r>
        <w:t xml:space="preserve">Studi in corso e prospettive</w:t>
      </w:r>
    </w:p>
    <w:p>
      <w:pPr>
        <w:pStyle w:val="FirstParagraph"/>
      </w:pPr>
      <w:r>
        <w:t xml:space="preserve">Su ClinicalTrials.gov a ottobre 2026, oltre allo studio di fase 2 interrotto nel 2006, non risulta alcuna voce sul CJC-1295.</w:t>
      </w:r>
      <w:r>
        <w:t xml:space="preserve"> </w:t>
      </w:r>
      <w:r>
        <w:rPr>
          <w:iCs/>
          <w:i/>
        </w:rPr>
        <w:t xml:space="preserve">Valutazione dell’autore:</w:t>
      </w:r>
      <w:r>
        <w:t xml:space="preserve"> </w:t>
      </w:r>
      <w:r>
        <w:t xml:space="preserve">non si intravede un ulteriore sviluppo clinico. Il principio «peptide con ancora all’albumina per un effetto più lungo» sopravvive invece in altri principi attivi, per esempio nei preparati di ormone della crescita a lunga durata d’azione e nei farmaci GLP-1.</w:t>
      </w:r>
    </w:p>
    <w:bookmarkEnd w:id="1337"/>
    <w:bookmarkStart w:id="1338" w:name="conclusione-25"/>
    <w:p>
      <w:pPr>
        <w:pStyle w:val="Heading3"/>
      </w:pPr>
      <w:r>
        <w:t xml:space="preserve">Conclusione</w:t>
      </w:r>
    </w:p>
    <w:p>
      <w:pPr>
        <w:pStyle w:val="FirstParagraph"/>
      </w:pPr>
      <w:r>
        <w:t xml:space="preserve">Il CJC-1295 con DAC aumenta nelle persone sane l’ormone della crescita e l’IGF-1 per una o due settimane dopo una singola iniezione; nell’uomo non è stato studiato altro. L’unico studio su pazienti è stato interrotto nel 2006 senza un motivo pubblicato; un decesso spesso affermato non è documentato né nel registro né nella letteratura specialistica. Per la variante senza DAC, la più venduta in internet, non esiste nemmeno uno studio sull’uomo, e le analisi di laboratorio mostrano che il contenuto dei prodotti del mercato grigio è incerto.</w:t>
      </w:r>
    </w:p>
    <w:bookmarkEnd w:id="1338"/>
    <w:bookmarkEnd w:id="1339"/>
    <w:bookmarkStart w:id="1362" w:name="ipamorelina"/>
    <w:p>
      <w:pPr>
        <w:pStyle w:val="Heading2"/>
      </w:pPr>
      <w:r>
        <w:t xml:space="preserve">Ipamorelina</w:t>
      </w:r>
    </w:p>
    <w:p>
      <w:pPr>
        <w:pStyle w:val="FirstParagraph"/>
      </w:pPr>
      <w:r>
        <w:t xml:space="preserve">Negli ambienti del fitness e dell’anti-aging l’ipamorelina è considerata il secretagogo «pulito» dell’ormone della crescita: dovrebbe rilasciare in modo mirato ormone della crescita senza stimolare ormoni dello stress e appetito. Questa proprietà deriva da esperimenti sugli animali degli anni Novanta. Nell’uomo l’ipamorelina è stata effettivamente sperimentata in clinica, ma non per la crescita muscolare o il ringiovanimento, bensì per qualcosa di completamente diverso: la paralisi intestinale dopo interventi addominali. Lì non ha portato alcun beneficio dimostrabile.</w:t>
      </w:r>
    </w:p>
    <w:bookmarkStart w:id="1341" w:name="scheda-26"/>
    <w:p>
      <w:pPr>
        <w:pStyle w:val="Heading3"/>
      </w:pPr>
      <w:r>
        <w:t xml:space="preserve">Scheda</w:t>
      </w:r>
    </w:p>
    <w:p>
      <w:pPr>
        <w:numPr>
          <w:ilvl w:val="0"/>
          <w:numId w:val="1158"/>
        </w:numPr>
        <w:pStyle w:val="Compact"/>
      </w:pPr>
      <w:r>
        <w:rPr>
          <w:bCs/>
          <w:b/>
        </w:rPr>
        <w:t xml:space="preserve">Tipo e struttura:</w:t>
      </w:r>
      <w:r>
        <w:t xml:space="preserve"> </w:t>
      </w:r>
      <w:r>
        <w:t xml:space="preserve">pentapeptide sintetico (5 amminoacidi, in parte non naturali: Aib-His-D-2-Nal-D-Phe-Lys-NH2)</w:t>
      </w:r>
      <w:r>
        <w:rPr>
          <w:rStyle w:val="FootnoteReference"/>
        </w:rPr>
        <w:footnoteReference w:id="1340"/>
      </w:r>
      <w:r>
        <w:t xml:space="preserve">.</w:t>
      </w:r>
    </w:p>
    <w:p>
      <w:pPr>
        <w:numPr>
          <w:ilvl w:val="0"/>
          <w:numId w:val="1158"/>
        </w:numPr>
        <w:pStyle w:val="Compact"/>
      </w:pPr>
      <w:r>
        <w:rPr>
          <w:bCs/>
          <w:b/>
        </w:rPr>
        <w:t xml:space="preserve">Origine:</w:t>
      </w:r>
      <w:r>
        <w:t xml:space="preserve"> </w:t>
      </w:r>
      <w:r>
        <w:t xml:space="preserve">sviluppata da Novo Nordisk (Danimarca) a partire dalla famiglia dei peptidi che rilasciano l’ormone della crescita (GHRP); in seguito sviluppata ulteriormente da Helsinn per l’ambito gastrointestinale.</w:t>
      </w:r>
    </w:p>
    <w:p>
      <w:pPr>
        <w:numPr>
          <w:ilvl w:val="0"/>
          <w:numId w:val="1158"/>
        </w:numPr>
        <w:pStyle w:val="Compact"/>
      </w:pPr>
      <w:r>
        <w:rPr>
          <w:bCs/>
          <w:b/>
        </w:rPr>
        <w:t xml:space="preserve">Principio d’azione:</w:t>
      </w:r>
      <w:r>
        <w:t xml:space="preserve"> </w:t>
      </w:r>
      <w:r>
        <w:t xml:space="preserve">si lega al recettore della grelina (GHS-R1a) nell’ipofisi e nel diencefalo, nonché nel tratto gastrointestinale; provoca un breve picco di ormone della crescita e dovrebbe stimolare la motilità intestinale.</w:t>
      </w:r>
    </w:p>
    <w:p>
      <w:pPr>
        <w:numPr>
          <w:ilvl w:val="0"/>
          <w:numId w:val="1158"/>
        </w:numPr>
        <w:pStyle w:val="Compact"/>
      </w:pPr>
      <w:r>
        <w:rPr>
          <w:bCs/>
          <w:b/>
        </w:rPr>
        <w:t xml:space="preserve">Autorizzazione UE:</w:t>
      </w:r>
      <w:r>
        <w:t xml:space="preserve"> </w:t>
      </w:r>
      <w:r>
        <w:t xml:space="preserve">no.</w:t>
      </w:r>
      <w:r>
        <w:t xml:space="preserve"> </w:t>
      </w:r>
      <w:r>
        <w:rPr>
          <w:bCs/>
          <w:b/>
        </w:rPr>
        <w:t xml:space="preserve">Autorizzazione USA:</w:t>
      </w:r>
      <w:r>
        <w:t xml:space="preserve"> </w:t>
      </w:r>
      <w:r>
        <w:t xml:space="preserve">no.</w:t>
      </w:r>
    </w:p>
    <w:p>
      <w:pPr>
        <w:numPr>
          <w:ilvl w:val="0"/>
          <w:numId w:val="1158"/>
        </w:numPr>
        <w:pStyle w:val="Compact"/>
      </w:pPr>
      <w:r>
        <w:rPr>
          <w:bCs/>
          <w:b/>
        </w:rPr>
        <w:t xml:space="preserve">WADA:</w:t>
      </w:r>
      <w:r>
        <w:t xml:space="preserve"> </w:t>
      </w:r>
      <w:r>
        <w:t xml:space="preserve">vietata, classe S2 (secretagoghi dell’ormone della crescita; l’ipamorelina è espressamente citata).</w:t>
      </w:r>
    </w:p>
    <w:p>
      <w:pPr>
        <w:numPr>
          <w:ilvl w:val="0"/>
          <w:numId w:val="1158"/>
        </w:numPr>
        <w:pStyle w:val="Compact"/>
      </w:pPr>
      <w:r>
        <w:rPr>
          <w:bCs/>
          <w:b/>
        </w:rPr>
        <w:t xml:space="preserve">Livello di evidenza: B</w:t>
      </w:r>
      <w:r>
        <w:t xml:space="preserve"> </w:t>
      </w:r>
      <w:r>
        <w:t xml:space="preserve">– uno studio randomizzato di fase 2 con 117 persone (senza prova di efficacia) e un piccolo studio farmacologico su persone sane; un secondo studio di fase 2 è concluso, ma non pubblicato.</w:t>
      </w:r>
    </w:p>
    <w:bookmarkEnd w:id="1341"/>
    <w:bookmarkStart w:id="1344" w:name="come-dovrebbe-agire-26"/>
    <w:p>
      <w:pPr>
        <w:pStyle w:val="Heading3"/>
      </w:pPr>
      <w:r>
        <w:t xml:space="preserve">Come dovrebbe agire</w:t>
      </w:r>
    </w:p>
    <w:p>
      <w:pPr>
        <w:pStyle w:val="FirstParagraph"/>
      </w:pPr>
      <w:r>
        <w:t xml:space="preserve">Il recettore della grelina è la seconda grande leva per la secrezione dell’ormone della crescita accanto al recettore del GHRH. La sua chiave naturale è la grelina, un ormone dello stomaco scoperto nel 1999</w:t>
      </w:r>
      <w:r>
        <w:rPr>
          <w:rStyle w:val="FootnoteReference"/>
        </w:rPr>
        <w:footnoteReference w:id="1342"/>
      </w:r>
      <w:r>
        <w:t xml:space="preserve">. La grelina non aumenta solo l’ormone della crescita, ma anche la fame, e stimola i movimenti di stomaco e intestino.</w:t>
      </w:r>
    </w:p>
    <w:p>
      <w:pPr>
        <w:pStyle w:val="BodyText"/>
      </w:pPr>
      <w:r>
        <w:t xml:space="preserve">I secretagoghi sintetici più vecchi, come GHRP-6 o GHRP-2, oltre all’ormone della crescita attivano anche il sistema degli ormoni dello stress (ACTH e cortisolo) e la prolattina. L’ipamorelina è stata sviluppata in modo mirato perché questo effetto secondario mancasse: nei maiali ha rilasciato ormone della crescita con un’intensità simile al GHRP-6, mentre ACTH e cortisolo, anche a dosi oltre 200 volte più alte, non sono aumentati più che con il GHRH</w:t>
      </w:r>
      <w:r>
        <w:rPr>
          <w:rStyle w:val="FootnoteReference"/>
        </w:rPr>
        <w:footnoteReference w:id="1343"/>
      </w:r>
      <w:r>
        <w:t xml:space="preserve">. Se questa selettività valga nella stessa misura nell’uomo non è stato studiato sistematicamente.</w:t>
      </w:r>
    </w:p>
    <w:p>
      <w:pPr>
        <w:pStyle w:val="BodyText"/>
      </w:pPr>
      <w:r>
        <w:t xml:space="preserve">In ambito clinico l’interesse riguardava soprattutto l’effetto sull’intestino: dopo interventi addominali l’attività intestinale si blocca spesso per giorni (ileo postoperatorio), il che prolunga la degenza ospedaliera. Un mimetico della grelina somministrabile per via endovenosa sembrava una soluzione elegante.</w:t>
      </w:r>
    </w:p>
    <w:bookmarkEnd w:id="1344"/>
    <w:bookmarkStart w:id="1349" w:name="studi-sulluomo-26"/>
    <w:p>
      <w:pPr>
        <w:pStyle w:val="Heading3"/>
      </w:pPr>
      <w:r>
        <w:t xml:space="preserve">Studi sull’uomo</w:t>
      </w:r>
    </w:p>
    <w:p>
      <w:pPr>
        <w:pStyle w:val="FirstParagraph"/>
      </w:pPr>
      <w:r>
        <w:rPr>
          <w:bCs/>
          <w:b/>
        </w:rPr>
        <w:t xml:space="preserve">Dimensioni della letteratura (ricerca di ottobre 2026):</w:t>
      </w:r>
      <w:r>
        <w:t xml:space="preserve"> </w:t>
      </w:r>
      <w:r>
        <w:t xml:space="preserve">la ricerca automatizzata di questo libro ha trovato</w:t>
      </w:r>
      <w:r>
        <w:t xml:space="preserve"> </w:t>
      </w:r>
      <w:r>
        <w:rPr>
          <w:bCs/>
          <w:b/>
        </w:rPr>
        <w:t xml:space="preserve">2</w:t>
      </w:r>
      <w:r>
        <w:t xml:space="preserve"> </w:t>
      </w:r>
      <w:r>
        <w:t xml:space="preserve">studi sull’uomo in PubMed (</w:t>
      </w:r>
      <w:r>
        <w:rPr>
          <w:rStyle w:val="VerbatimChar"/>
        </w:rPr>
        <w:t xml:space="preserve">humanstudien_alle</w:t>
      </w:r>
      <w:r>
        <w:t xml:space="preserve">) e</w:t>
      </w:r>
      <w:r>
        <w:t xml:space="preserve"> </w:t>
      </w:r>
      <w:r>
        <w:rPr>
          <w:bCs/>
          <w:b/>
        </w:rPr>
        <w:t xml:space="preserve">3</w:t>
      </w:r>
      <w:r>
        <w:t xml:space="preserve"> </w:t>
      </w:r>
      <w:r>
        <w:t xml:space="preserve">voci su ClinicalTrials.gov. Una di queste voci di registro</w:t>
      </w:r>
      <w:r>
        <w:rPr>
          <w:rStyle w:val="FootnoteReference"/>
        </w:rPr>
        <w:footnoteReference w:id="1345"/>
      </w:r>
      <w:r>
        <w:t xml:space="preserve"> </w:t>
      </w:r>
      <w:r>
        <w:t xml:space="preserve">riguarda uno studio osservazionale sugli psichedelici nei veterani e non esamina l’ipamorelina come farmaco sperimentale; lì viene solo elencata come uno dei vari componenti di una «integrazione fisiologica» (accanto a testosterone, olio di pesce e vitamine). Clinicamente rilevanti sono quindi due studi sull’ileo postoperatorio.</w:t>
      </w:r>
    </w:p>
    <w:p>
      <w:pPr>
        <w:pStyle w:val="BodyText"/>
      </w:pPr>
      <w:r>
        <w:rPr>
          <w:bCs/>
          <w:b/>
        </w:rPr>
        <w:t xml:space="preserve">Farmacologia in persone sane:</w:t>
      </w:r>
      <w:r>
        <w:t xml:space="preserve"> </w:t>
      </w:r>
      <w:r>
        <w:t xml:space="preserve">in uno studio a dosi crescenti, otto uomini sani per ogni livello di dose hanno ricevuto un’infusione di 15 minuti. L’ipamorelina aveva una breve emivita di circa 2 ore e a tutte le dosi provocava un singolo picco di GH, che raggiungeva il massimo dopo circa 40 minuti e poi calava rapidamente</w:t>
      </w:r>
      <w:r>
        <w:rPr>
          <w:rStyle w:val="FootnoteReference"/>
        </w:rPr>
        <w:footnoteReference w:id="1346"/>
      </w:r>
      <w:r>
        <w:t xml:space="preserve">.</w:t>
      </w:r>
    </w:p>
    <w:p>
      <w:pPr>
        <w:pStyle w:val="BodyText"/>
      </w:pPr>
      <w:r>
        <w:rPr>
          <w:bCs/>
          <w:b/>
        </w:rPr>
        <w:t xml:space="preserve">Ileo postoperatorio, primo studio di fase 2:</w:t>
      </w:r>
      <w:r>
        <w:t xml:space="preserve"> </w:t>
      </w:r>
      <w:r>
        <w:t xml:space="preserve">in uno studio multicentrico, in doppio cieco e controllato con placebo, 117 adulti dopo resezione dell’intestino tenue o crasso hanno ricevuto per un massimo di sette giorni, due volte al giorno, ipamorelina o placebo per infusione. Il tempo medio fino al primo pasto solido tollerato è stato di 25,3 ore con ipamorelina e di 32,6 ore con placebo, una differenza non statisticamente significativa (p = 0,15). Anche gli altri obiettivi di efficacia non differivano. Effetti collaterali si sono verificati nell’87,5% con ipamorelina e nel 94,8% con placebo, il che non è insolito dopo grandi interventi addominali</w:t>
      </w:r>
      <w:r>
        <w:rPr>
          <w:rStyle w:val="FootnoteReference"/>
        </w:rPr>
        <w:footnoteReference w:id="1347"/>
      </w:r>
      <w:r>
        <w:t xml:space="preserve">.</w:t>
      </w:r>
    </w:p>
    <w:p>
      <w:pPr>
        <w:pStyle w:val="BodyText"/>
      </w:pPr>
      <w:r>
        <w:rPr>
          <w:bCs/>
          <w:b/>
        </w:rPr>
        <w:t xml:space="preserve">Secondo studio di fase 2:</w:t>
      </w:r>
      <w:r>
        <w:t xml:space="preserve"> </w:t>
      </w:r>
      <w:r>
        <w:t xml:space="preserve">uno studio successivo più ampio, con 320 partecipanti, sul recupero della funzione gastrointestinale si è concluso nel 2014</w:t>
      </w:r>
      <w:r>
        <w:rPr>
          <w:rStyle w:val="FootnoteReference"/>
        </w:rPr>
        <w:footnoteReference w:id="1348"/>
      </w:r>
      <w:r>
        <w:t xml:space="preserve">. Non ho trovato in PubMed una pubblicazione dei risultati, e la voce di registro non contiene risultati. Dopo di allora lo sviluppo non è proseguito.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Farmacologia (Gobburu 1999), PMID 10496658</w:t>
            </w:r>
          </w:p>
        </w:tc>
        <w:tc>
          <w:tcPr/>
          <w:p>
            <w:pPr>
              <w:pStyle w:val="Compact"/>
              <w:jc w:val="left"/>
            </w:pPr>
            <w:r>
              <w:t xml:space="preserve">uomini sani, 5 livelli di dose da 8 persone ciascuno</w:t>
            </w:r>
          </w:p>
        </w:tc>
        <w:tc>
          <w:tcPr/>
          <w:p>
            <w:pPr>
              <w:pStyle w:val="Compact"/>
              <w:jc w:val="left"/>
            </w:pPr>
            <w:r>
              <w:t xml:space="preserve">infusione singola</w:t>
            </w:r>
          </w:p>
        </w:tc>
        <w:tc>
          <w:tcPr/>
          <w:p>
            <w:pPr>
              <w:pStyle w:val="Compact"/>
              <w:jc w:val="left"/>
            </w:pPr>
            <w:r>
              <w:t xml:space="preserve">emivita circa 2 h; un picco di GH per somministrazione</w:t>
            </w:r>
          </w:p>
        </w:tc>
      </w:tr>
      <w:tr>
        <w:tc>
          <w:tcPr/>
          <w:p>
            <w:pPr>
              <w:pStyle w:val="Compact"/>
              <w:jc w:val="left"/>
            </w:pPr>
            <w:r>
              <w:t xml:space="preserve">Studio sull’ileo 1 (Beck 2014), PMID 25331030</w:t>
            </w:r>
          </w:p>
        </w:tc>
        <w:tc>
          <w:tcPr/>
          <w:p>
            <w:pPr>
              <w:pStyle w:val="Compact"/>
              <w:jc w:val="left"/>
            </w:pPr>
            <w:r>
              <w:t xml:space="preserve">117 adulti dopo resezione intestinale, RCT contro placebo</w:t>
            </w:r>
          </w:p>
        </w:tc>
        <w:tc>
          <w:tcPr/>
          <w:p>
            <w:pPr>
              <w:pStyle w:val="Compact"/>
              <w:jc w:val="left"/>
            </w:pPr>
            <w:r>
              <w:t xml:space="preserve">fino a 7 giorni</w:t>
            </w:r>
          </w:p>
        </w:tc>
        <w:tc>
          <w:tcPr/>
          <w:p>
            <w:pPr>
              <w:pStyle w:val="Compact"/>
              <w:jc w:val="left"/>
            </w:pPr>
            <w:r>
              <w:t xml:space="preserve">25,3 vs. 32,6 h fino al primo pasto, non significativo</w:t>
            </w:r>
          </w:p>
        </w:tc>
      </w:tr>
      <w:tr>
        <w:tc>
          <w:tcPr/>
          <w:p>
            <w:pPr>
              <w:pStyle w:val="Compact"/>
              <w:jc w:val="left"/>
            </w:pPr>
            <w:r>
              <w:t xml:space="preserve">Studio sull’ileo 2, NCT01280344</w:t>
            </w:r>
          </w:p>
        </w:tc>
        <w:tc>
          <w:tcPr/>
          <w:p>
            <w:pPr>
              <w:pStyle w:val="Compact"/>
              <w:jc w:val="left"/>
            </w:pPr>
            <w:r>
              <w:t xml:space="preserve">320 adulti, fase 2 contro placebo</w:t>
            </w:r>
          </w:p>
        </w:tc>
        <w:tc>
          <w:tcPr/>
          <w:p>
            <w:pPr>
              <w:pStyle w:val="Compact"/>
              <w:jc w:val="left"/>
            </w:pPr>
            <w:r>
              <w:t xml:space="preserve">–</w:t>
            </w:r>
          </w:p>
        </w:tc>
        <w:tc>
          <w:tcPr/>
          <w:p>
            <w:pPr>
              <w:pStyle w:val="Compact"/>
              <w:jc w:val="left"/>
            </w:pPr>
            <w:r>
              <w:t xml:space="preserve">concluso nel 2014, risultati non pubblicati</w:t>
            </w:r>
          </w:p>
        </w:tc>
      </w:tr>
    </w:tbl>
    <w:p>
      <w:pPr>
        <w:pStyle w:val="BodyText"/>
      </w:pPr>
      <w:r>
        <w:rPr>
          <w:bCs/>
          <w:b/>
        </w:rPr>
        <w:t xml:space="preserve">Non esiste</w:t>
      </w:r>
      <w:r>
        <w:t xml:space="preserve"> </w:t>
      </w:r>
      <w:r>
        <w:t xml:space="preserve">alcuno studio pubblicato che abbia esaminato l’ipamorelina in adulti sani, sportive e sportivi o persone anziane riguardo a massa muscolare, perdita di grasso, sonno, pelle o prestazioni.</w:t>
      </w:r>
    </w:p>
    <w:bookmarkEnd w:id="1349"/>
    <w:bookmarkStart w:id="1353" w:name="studi-su-animali-e-in-laboratorio-26"/>
    <w:p>
      <w:pPr>
        <w:pStyle w:val="Heading3"/>
      </w:pPr>
      <w:r>
        <w:t xml:space="preserve">Studi su animali e in laboratorio</w:t>
      </w:r>
    </w:p>
    <w:p>
      <w:pPr>
        <w:numPr>
          <w:ilvl w:val="0"/>
          <w:numId w:val="1159"/>
        </w:numPr>
        <w:pStyle w:val="Compact"/>
      </w:pPr>
      <w:r>
        <w:rPr>
          <w:bCs/>
          <w:b/>
        </w:rPr>
        <w:t xml:space="preserve">Intestino (ratti):</w:t>
      </w:r>
      <w:r>
        <w:t xml:space="preserve"> </w:t>
      </w:r>
      <w:r>
        <w:t xml:space="preserve">in ratti con paralisi intestinale indotta chirurgicamente, una dose singola di ipamorelina ha accorciato il tempo fino alla prima defecazione; somministrazioni ripetute hanno aumentato quantità di feci, assunzione di cibo e aumento di peso</w:t>
      </w:r>
      <w:r>
        <w:rPr>
          <w:rStyle w:val="FootnoteReference"/>
        </w:rPr>
        <w:footnoteReference w:id="1350"/>
      </w:r>
      <w:r>
        <w:t xml:space="preserve">. Questi risultati sono stati la base degli studi sull’ileo nell’uomo, che non hanno confermato l’effetto.</w:t>
      </w:r>
    </w:p>
    <w:p>
      <w:pPr>
        <w:numPr>
          <w:ilvl w:val="0"/>
          <w:numId w:val="1159"/>
        </w:numPr>
        <w:pStyle w:val="Compact"/>
      </w:pPr>
      <w:r>
        <w:rPr>
          <w:bCs/>
          <w:b/>
        </w:rPr>
        <w:t xml:space="preserve">Ossa (ratti):</w:t>
      </w:r>
      <w:r>
        <w:t xml:space="preserve"> </w:t>
      </w:r>
      <w:r>
        <w:t xml:space="preserve">in ratte adulte l’ipamorelina ha aumentato in modo dose-dipendente, nell’arco di 15 giorni, la crescita in lunghezza delle ossa e l’aumento di peso, senza innalzare in modo misurabile l’IGF-1</w:t>
      </w:r>
      <w:r>
        <w:rPr>
          <w:rStyle w:val="FootnoteReference"/>
        </w:rPr>
        <w:footnoteReference w:id="1351"/>
      </w:r>
      <w:r>
        <w:t xml:space="preserve">.</w:t>
      </w:r>
    </w:p>
    <w:p>
      <w:pPr>
        <w:numPr>
          <w:ilvl w:val="0"/>
          <w:numId w:val="1159"/>
        </w:numPr>
        <w:pStyle w:val="Compact"/>
      </w:pPr>
      <w:r>
        <w:rPr>
          <w:bCs/>
          <w:b/>
        </w:rPr>
        <w:t xml:space="preserve">Selettività (maiali, cellule di ratto):</w:t>
      </w:r>
      <w:r>
        <w:t xml:space="preserve"> </w:t>
      </w:r>
      <w:r>
        <w:t xml:space="preserve">si veda sopra</w:t>
      </w:r>
      <w:r>
        <w:rPr>
          <w:rStyle w:val="FootnoteReference"/>
        </w:rPr>
        <w:footnoteReference w:id="1352"/>
      </w:r>
      <w:r>
        <w:t xml:space="preserve">.</w:t>
      </w:r>
    </w:p>
    <w:bookmarkEnd w:id="1353"/>
    <w:bookmarkStart w:id="1356" w:name="rischi-ed-effetti-collaterali-26"/>
    <w:p>
      <w:pPr>
        <w:pStyle w:val="Heading3"/>
      </w:pPr>
      <w:r>
        <w:t xml:space="preserve">Rischi ed effetti collaterali</w:t>
      </w:r>
    </w:p>
    <w:p>
      <w:pPr>
        <w:pStyle w:val="FirstParagraph"/>
      </w:pPr>
      <w:r>
        <w:rPr>
          <w:bCs/>
          <w:b/>
        </w:rPr>
        <w:t xml:space="preserve">Documentati:</w:t>
      </w:r>
      <w:r>
        <w:t xml:space="preserve"> </w:t>
      </w:r>
      <w:r>
        <w:t xml:space="preserve">nello studio sull’ileo l’ipamorelina è stata descritta come ben tollerata per un massimo di sette giorni, senza un accumulo di effetti collaterali rispetto al placebo</w:t>
      </w:r>
      <w:r>
        <w:rPr>
          <w:rStyle w:val="FootnoteReference"/>
        </w:rPr>
        <w:footnoteReference w:id="1354"/>
      </w:r>
      <w:r>
        <w:t xml:space="preserve">. Si tratta di un impiego breve in ospedale con somministrazione endovenosa.</w:t>
      </w:r>
    </w:p>
    <w:p>
      <w:pPr>
        <w:pStyle w:val="BodyText"/>
      </w:pPr>
      <w:r>
        <w:rPr>
          <w:bCs/>
          <w:b/>
        </w:rPr>
        <w:t xml:space="preserve">Sconosciuti:</w:t>
      </w:r>
      <w:r>
        <w:t xml:space="preserve"> </w:t>
      </w:r>
      <w:r>
        <w:t xml:space="preserve">non esistono dati sull’uso ripetuto per settimane o mesi, come descritto in internet. In teoria ci si devono attendere gli effetti di livelli elevati di GH (ritenzione idrica, disturbi articolari, ridotta sensibilità all’insulina) e, tramite il recettore della grelina, un aumento dell’appetito. Sulla questione di un rischio di cancro dovuto a un IGF-1 costantemente elevato si veda l’introduzione di questo gruppo e la Parte IV.</w:t>
      </w:r>
    </w:p>
    <w:p>
      <w:pPr>
        <w:pStyle w:val="BodyText"/>
      </w:pPr>
      <w:r>
        <w:rPr>
          <w:bCs/>
          <w:b/>
        </w:rPr>
        <w:t xml:space="preserve">Mercato grigio:</w:t>
      </w:r>
      <w:r>
        <w:t xml:space="preserve"> </w:t>
      </w:r>
      <w:r>
        <w:t xml:space="preserve">analisi di laboratorio di prodotti sequestrati hanno trovato «Gly-ipamorelina», cioè ipamorelina con un amminoacido aggiuntivo non dichiarato all’inizio, presumibilmente per eludere i test antidoping</w:t>
      </w:r>
      <w:r>
        <w:rPr>
          <w:rStyle w:val="FootnoteReference"/>
        </w:rPr>
        <w:footnoteReference w:id="1355"/>
      </w:r>
      <w:r>
        <w:t xml:space="preserve">. Come si comportino tali modifiche nell’organismo è sconosciuto.</w:t>
      </w:r>
    </w:p>
    <w:bookmarkEnd w:id="1356"/>
    <w:bookmarkStart w:id="1359" w:name="quadro-normativo-26"/>
    <w:p>
      <w:pPr>
        <w:pStyle w:val="Heading3"/>
      </w:pPr>
      <w:r>
        <w:t xml:space="preserve">Quadro normativo</w:t>
      </w:r>
    </w:p>
    <w:p>
      <w:pPr>
        <w:pStyle w:val="FirstParagraph"/>
      </w:pPr>
      <w:r>
        <w:rPr>
          <w:iCs/>
          <w:i/>
        </w:rPr>
        <w:t xml:space="preserve">Aggiornato al 2026, da verificare.</w:t>
      </w:r>
    </w:p>
    <w:p>
      <w:pPr>
        <w:numPr>
          <w:ilvl w:val="0"/>
          <w:numId w:val="1160"/>
        </w:numPr>
        <w:pStyle w:val="Compact"/>
      </w:pPr>
      <w:r>
        <w:rPr>
          <w:bCs/>
          <w:b/>
        </w:rPr>
        <w:t xml:space="preserve">UE, Germania, Austria:</w:t>
      </w:r>
      <w:r>
        <w:t xml:space="preserve"> </w:t>
      </w:r>
      <w:r>
        <w:t xml:space="preserve">nessuna autorizzazione; cessione per uso umano non consentita.</w:t>
      </w:r>
    </w:p>
    <w:p>
      <w:pPr>
        <w:numPr>
          <w:ilvl w:val="0"/>
          <w:numId w:val="1160"/>
        </w:numPr>
        <w:pStyle w:val="Compact"/>
      </w:pPr>
      <w:r>
        <w:rPr>
          <w:bCs/>
          <w:b/>
        </w:rPr>
        <w:t xml:space="preserve">USA:</w:t>
      </w:r>
      <w:r>
        <w:t xml:space="preserve"> </w:t>
      </w:r>
      <w:r>
        <w:t xml:space="preserve">nessuna autorizzazione. La FDA ha classificato l’ipamorelina tra le sostanze di partenza per le farmacie galeniche come sostanza con problemi di sicurezza (categoria 2); da allora la classificazione dei peptidi è oggetto di discussioni controverse</w:t>
      </w:r>
      <w:r>
        <w:rPr>
          <w:rStyle w:val="FootnoteReference"/>
        </w:rPr>
        <w:footnoteReference w:id="1357"/>
      </w:r>
      <w:r>
        <w:t xml:space="preserve">.</w:t>
      </w:r>
    </w:p>
    <w:p>
      <w:pPr>
        <w:numPr>
          <w:ilvl w:val="0"/>
          <w:numId w:val="1160"/>
        </w:numPr>
        <w:pStyle w:val="Compact"/>
      </w:pPr>
      <w:r>
        <w:rPr>
          <w:bCs/>
          <w:b/>
        </w:rPr>
        <w:t xml:space="preserve">WADA:</w:t>
      </w:r>
      <w:r>
        <w:t xml:space="preserve"> </w:t>
      </w:r>
      <w:r>
        <w:t xml:space="preserve">vietata (S2), in gara e fuori gara. L’ipamorelina e i suoi prodotti di degradazione sono rilevabili nelle urine, anche dopo l’uso come spray nasale</w:t>
      </w:r>
      <w:r>
        <w:rPr>
          <w:rStyle w:val="FootnoteReference"/>
        </w:rPr>
        <w:footnoteReference w:id="1358"/>
      </w:r>
      <w:r>
        <w:t xml:space="preserve">.</w:t>
      </w:r>
    </w:p>
    <w:bookmarkEnd w:id="1359"/>
    <w:bookmarkStart w:id="1360" w:name="studi-in-corso-e-prospettive-26"/>
    <w:p>
      <w:pPr>
        <w:pStyle w:val="Heading3"/>
      </w:pPr>
      <w:r>
        <w:t xml:space="preserve">Studi in corso e prospettive</w:t>
      </w:r>
    </w:p>
    <w:p>
      <w:pPr>
        <w:pStyle w:val="FirstParagraph"/>
      </w:pPr>
      <w:r>
        <w:t xml:space="preserve">Su ClinicalTrials.gov a ottobre 2026 non risulta alcuno studio in corso che esamini l’ipamorelina come farmaco sperimentale.</w:t>
      </w:r>
      <w:r>
        <w:t xml:space="preserve"> </w:t>
      </w:r>
      <w:r>
        <w:rPr>
          <w:iCs/>
          <w:i/>
        </w:rPr>
        <w:t xml:space="preserve">Valutazione dell’autore:</w:t>
      </w:r>
      <w:r>
        <w:t xml:space="preserve"> </w:t>
      </w:r>
      <w:r>
        <w:t xml:space="preserve">dopo il risultato negativo nell’ileo postoperatorio manca un’azienda che porti avanti lo sviluppo della sostanza. Nuovi dati sono attesi semmai da casi clinici relativi a usi del mercato grigio.</w:t>
      </w:r>
    </w:p>
    <w:bookmarkEnd w:id="1360"/>
    <w:bookmarkStart w:id="1361" w:name="conclusione-26"/>
    <w:p>
      <w:pPr>
        <w:pStyle w:val="Heading3"/>
      </w:pPr>
      <w:r>
        <w:t xml:space="preserve">Conclusione</w:t>
      </w:r>
    </w:p>
    <w:p>
      <w:pPr>
        <w:pStyle w:val="FirstParagraph"/>
      </w:pPr>
      <w:r>
        <w:t xml:space="preserve">L’ipamorelina è un agonista del recettore della grelina sviluppato in modo mirato che negli animali rilascia ormone della crescita senza una secrezione rilevante di ormoni dello stress. L’unico studio di efficacia pubblicato nell’uomo, su 117 pazienti dopo interventi intestinali, non ha trovato alcun beneficio significativo; uno studio successivo più ampio è rimasto inedito. Per gli impieghi pubblicizzati in internet (crescita muscolare, perdita di grasso, sonno, anti-aging) non esistono studi sull’uomo, e i prodotti del mercato grigio contengono, come dimostrato, anche molecole modificate.</w:t>
      </w:r>
    </w:p>
    <w:bookmarkEnd w:id="1361"/>
    <w:bookmarkEnd w:id="1362"/>
    <w:bookmarkStart w:id="1395" w:name="ghrp-2-pralmorelina"/>
    <w:p>
      <w:pPr>
        <w:pStyle w:val="Heading2"/>
      </w:pPr>
      <w:r>
        <w:t xml:space="preserve">GHRP-2 (pralmorelina)</w:t>
      </w:r>
    </w:p>
    <w:p>
      <w:pPr>
        <w:pStyle w:val="FirstParagraph"/>
      </w:pPr>
      <w:r>
        <w:t xml:space="preserve">Il GHRP-2 è un piccolo peptide artificiale di sei amminoacidi che stimola l’ipofisi a secernere ormone della crescita con più forza di quasi qualsiasi altro stimolo conosciuto. Questa potenza ne ha fatto in Giappone un medicinale autorizzato, non come terapia, ma come sostanza per test: con una singola iniezione si può verificare se un adulto ha un deficit di ormone della crescita. Sul mercato grigio lo stesso peptide viene venduto come «peptide per i muscoli e anti-aging». Non ci sono prove a sostegno.</w:t>
      </w:r>
    </w:p>
    <w:bookmarkStart w:id="1365" w:name="scheda-27"/>
    <w:p>
      <w:pPr>
        <w:pStyle w:val="Heading3"/>
      </w:pPr>
      <w:r>
        <w:t xml:space="preserve">Scheda</w:t>
      </w:r>
    </w:p>
    <w:p>
      <w:pPr>
        <w:numPr>
          <w:ilvl w:val="0"/>
          <w:numId w:val="1161"/>
        </w:numPr>
        <w:pStyle w:val="Compact"/>
      </w:pPr>
      <w:r>
        <w:rPr>
          <w:bCs/>
          <w:b/>
        </w:rPr>
        <w:t xml:space="preserve">Tipo e struttura:</w:t>
      </w:r>
      <w:r>
        <w:t xml:space="preserve"> </w:t>
      </w:r>
      <w:r>
        <w:t xml:space="preserve">esapeptide sintetico (D-Ala-D-2-Nal-Ala-Trp-D-Phe-Lys-NH2) con diversi amminoacidi non naturali; nomi di sviluppo KP-102 e GPA-748, denominazione comune internazionale pralmorelina</w:t>
      </w:r>
      <w:r>
        <w:rPr>
          <w:rStyle w:val="FootnoteReference"/>
        </w:rPr>
        <w:footnoteReference w:id="1363"/>
      </w:r>
      <w:r>
        <w:t xml:space="preserve">.</w:t>
      </w:r>
    </w:p>
    <w:p>
      <w:pPr>
        <w:numPr>
          <w:ilvl w:val="0"/>
          <w:numId w:val="1161"/>
        </w:numPr>
        <w:pStyle w:val="Compact"/>
      </w:pPr>
      <w:r>
        <w:rPr>
          <w:bCs/>
          <w:b/>
        </w:rPr>
        <w:t xml:space="preserve">Origine:</w:t>
      </w:r>
      <w:r>
        <w:t xml:space="preserve"> </w:t>
      </w:r>
      <w:r>
        <w:t xml:space="preserve">sviluppato negli anni Novanta dalla serie di peptidi che rilasciano GH avviata da Cyril Bowers (Tulane University, USA); diritti a Kaken (Giappone)</w:t>
      </w:r>
      <w:r>
        <w:rPr>
          <w:rStyle w:val="FootnoteReference"/>
        </w:rPr>
        <w:footnoteReference w:id="1364"/>
      </w:r>
      <w:r>
        <w:t xml:space="preserve">.</w:t>
      </w:r>
    </w:p>
    <w:p>
      <w:pPr>
        <w:numPr>
          <w:ilvl w:val="0"/>
          <w:numId w:val="1161"/>
        </w:numPr>
        <w:pStyle w:val="Compact"/>
      </w:pPr>
      <w:r>
        <w:rPr>
          <w:bCs/>
          <w:b/>
        </w:rPr>
        <w:t xml:space="preserve">Principio d’azione:</w:t>
      </w:r>
      <w:r>
        <w:t xml:space="preserve"> </w:t>
      </w:r>
      <w:r>
        <w:t xml:space="preserve">agonista del recettore della grelina (GHS-R1a) nell’ipofisi e nel diencefalo; rilascia ormone della crescita e, in misura minore, anche ACTH, cortisolo e prolattina; aumenta l’appetito.</w:t>
      </w:r>
    </w:p>
    <w:p>
      <w:pPr>
        <w:numPr>
          <w:ilvl w:val="0"/>
          <w:numId w:val="1161"/>
        </w:numPr>
        <w:pStyle w:val="Compact"/>
      </w:pPr>
      <w:r>
        <w:rPr>
          <w:bCs/>
          <w:b/>
        </w:rPr>
        <w:t xml:space="preserve">Autorizzazione UE:</w:t>
      </w:r>
      <w:r>
        <w:t xml:space="preserve"> </w:t>
      </w:r>
      <w:r>
        <w:t xml:space="preserve">no.</w:t>
      </w:r>
      <w:r>
        <w:t xml:space="preserve"> </w:t>
      </w:r>
      <w:r>
        <w:rPr>
          <w:bCs/>
          <w:b/>
        </w:rPr>
        <w:t xml:space="preserve">Autorizzazione USA:</w:t>
      </w:r>
      <w:r>
        <w:t xml:space="preserve"> </w:t>
      </w:r>
      <w:r>
        <w:t xml:space="preserve">no.</w:t>
      </w:r>
      <w:r>
        <w:t xml:space="preserve"> </w:t>
      </w:r>
      <w:r>
        <w:rPr>
          <w:bCs/>
          <w:b/>
        </w:rPr>
        <w:t xml:space="preserve">Giappone:</w:t>
      </w:r>
      <w:r>
        <w:t xml:space="preserve"> </w:t>
      </w:r>
      <w:r>
        <w:t xml:space="preserve">autorizzato come diagnostico per la funzione dell’ipofisi.</w:t>
      </w:r>
    </w:p>
    <w:p>
      <w:pPr>
        <w:numPr>
          <w:ilvl w:val="0"/>
          <w:numId w:val="1161"/>
        </w:numPr>
        <w:pStyle w:val="Compact"/>
      </w:pPr>
      <w:r>
        <w:rPr>
          <w:bCs/>
          <w:b/>
        </w:rPr>
        <w:t xml:space="preserve">WADA:</w:t>
      </w:r>
      <w:r>
        <w:t xml:space="preserve"> </w:t>
      </w:r>
      <w:r>
        <w:t xml:space="preserve">vietato, classe S2; il GHRP-2 (pralmorelina) è espressamente citato come peptide che rilascia l’ormone della crescita.</w:t>
      </w:r>
    </w:p>
    <w:p>
      <w:pPr>
        <w:numPr>
          <w:ilvl w:val="0"/>
          <w:numId w:val="1161"/>
        </w:numPr>
        <w:pStyle w:val="Compact"/>
      </w:pPr>
      <w:r>
        <w:rPr>
          <w:bCs/>
          <w:b/>
        </w:rPr>
        <w:t xml:space="preserve">Livello di evidenza: B</w:t>
      </w:r>
      <w:r>
        <w:t xml:space="preserve"> </w:t>
      </w:r>
      <w:r>
        <w:t xml:space="preserve">– numerosi piccoli studi randomizzati sulla fisiologia ormonale e uno studio di validazione come diagnostico; nessuno studio randomizzato su un beneficio terapeutico.</w:t>
      </w:r>
    </w:p>
    <w:bookmarkEnd w:id="1365"/>
    <w:bookmarkStart w:id="1368" w:name="come-dovrebbe-agire-27"/>
    <w:p>
      <w:pPr>
        <w:pStyle w:val="Heading3"/>
      </w:pPr>
      <w:r>
        <w:t xml:space="preserve">Come dovrebbe agire</w:t>
      </w:r>
    </w:p>
    <w:p>
      <w:pPr>
        <w:pStyle w:val="FirstParagraph"/>
      </w:pPr>
      <w:r>
        <w:t xml:space="preserve">Il GHRP-2 imita la grelina, l’ormone della fame prodotto dallo stomaco che regola anche la secrezione dell’ormone della crescita</w:t>
      </w:r>
      <w:r>
        <w:rPr>
          <w:rStyle w:val="FootnoteReference"/>
        </w:rPr>
        <w:footnoteReference w:id="1366"/>
      </w:r>
      <w:r>
        <w:t xml:space="preserve">. Storicamente le cose sono andate al contrario: prima sono arrivati i GHRP sintetici, poi è stato trovato il loro recettore, e solo dopo si è scoperta la grelina come sua chiave naturale.</w:t>
      </w:r>
    </w:p>
    <w:p>
      <w:pPr>
        <w:pStyle w:val="BodyText"/>
      </w:pPr>
      <w:r>
        <w:t xml:space="preserve">Il GHRP-2 agisce su due livelli: direttamente sull’ipofisi e indirettamente tramite il diencefalo, dove attenua il freno della somatostatina e sostiene il GHRH endogeno. Per l’effetto pieno ha quindi bisogno di un diencefalo intatto: nei ratti privi di ipofisi non ha avuto alcun effetto, nei ratti con connessione interrotta tra diencefalo e ipofisi solo un effetto attenuato</w:t>
      </w:r>
      <w:r>
        <w:rPr>
          <w:rStyle w:val="FootnoteReference"/>
        </w:rPr>
        <w:footnoteReference w:id="1367"/>
      </w:r>
      <w:r>
        <w:t xml:space="preserve">. Se si somministrano insieme GHRP-2 e GHRH, la secrezione è nettamente superiore alla somma dei singoli effetti.</w:t>
      </w:r>
    </w:p>
    <w:bookmarkEnd w:id="1368"/>
    <w:bookmarkStart w:id="1382" w:name="studi-sulluomo-27"/>
    <w:p>
      <w:pPr>
        <w:pStyle w:val="Heading3"/>
      </w:pPr>
      <w:r>
        <w:t xml:space="preserve">Studi sull’uomo</w:t>
      </w:r>
    </w:p>
    <w:p>
      <w:pPr>
        <w:pStyle w:val="FirstParagraph"/>
      </w:pPr>
      <w:r>
        <w:rPr>
          <w:bCs/>
          <w:b/>
        </w:rPr>
        <w:t xml:space="preserve">Dimensioni della letteratura (ricerca di ottobre 2026):</w:t>
      </w:r>
      <w:r>
        <w:t xml:space="preserve"> </w:t>
      </w:r>
      <w:r>
        <w:t xml:space="preserve">la ricerca automatizzata di questo libro ha trovato</w:t>
      </w:r>
      <w:r>
        <w:t xml:space="preserve"> </w:t>
      </w:r>
      <w:r>
        <w:rPr>
          <w:bCs/>
          <w:b/>
        </w:rPr>
        <w:t xml:space="preserve">55</w:t>
      </w:r>
      <w:r>
        <w:t xml:space="preserve"> </w:t>
      </w:r>
      <w:r>
        <w:t xml:space="preserve">studi sull’uomo in PubMed (</w:t>
      </w:r>
      <w:r>
        <w:rPr>
          <w:rStyle w:val="VerbatimChar"/>
        </w:rPr>
        <w:t xml:space="preserve">humanstudien_alle</w:t>
      </w:r>
      <w:r>
        <w:t xml:space="preserve">) e</w:t>
      </w:r>
      <w:r>
        <w:t xml:space="preserve"> </w:t>
      </w:r>
      <w:r>
        <w:rPr>
          <w:bCs/>
          <w:b/>
        </w:rPr>
        <w:t xml:space="preserve">nessuna</w:t>
      </w:r>
      <w:r>
        <w:t xml:space="preserve"> </w:t>
      </w:r>
      <w:r>
        <w:t xml:space="preserve">voce su ClinicalTrials.gov. Il numero elevato inganna: la maggior parte dei lavori (soprattutto di un gruppo di ricerca della Mayo Clinic) usa il GHRP-2 come strumento per studiare la regolazione della secrezione dell’ormone della crescita in donne e uomini, sotto l’effetto degli ormoni sessuali o in età avanzata. Non dicono nulla su un beneficio per la salute.</w:t>
      </w:r>
    </w:p>
    <w:bookmarkStart w:id="1373" w:name="Xbf311c64334d4c3bd06d3a30472488cb25949d3"/>
    <w:p>
      <w:pPr>
        <w:pStyle w:val="Heading4"/>
      </w:pPr>
      <w:r>
        <w:t xml:space="preserve">Diagnosi del deficit di ormone della crescita</w:t>
      </w:r>
    </w:p>
    <w:p>
      <w:pPr>
        <w:pStyle w:val="FirstParagraph"/>
      </w:pPr>
      <w:r>
        <w:t xml:space="preserve">L’impiego più importante è il test al GHRP-2. In uno studio di validazione, 77 persone sane e 58 pazienti con grave deficit di ormone della crescita accertato hanno ricevuto una singola dose endovenosa. Il picco di GH era in media di 84,6 µg/l nelle persone sane e di 1,36 µg/l nei pazienti. Il test era ben riproducibile e risentiva poco di età e sovrappeso; un valore soglia di 15 µg/l corrispondeva alla soglia abituale del test di ipoglicemia insulinica</w:t>
      </w:r>
      <w:r>
        <w:rPr>
          <w:rStyle w:val="FootnoteReference"/>
        </w:rPr>
        <w:footnoteReference w:id="1369"/>
      </w:r>
      <w:r>
        <w:t xml:space="preserve">. In un confronto su 71 persone con tumori ipofisari, il test al GHRP-2 ha raggiunto rispetto al test all’insulina una sensibilità dell’81,3% e una specificità del 94,5%</w:t>
      </w:r>
      <w:r>
        <w:rPr>
          <w:rStyle w:val="FootnoteReference"/>
        </w:rPr>
        <w:footnoteReference w:id="1370"/>
      </w:r>
      <w:r>
        <w:t xml:space="preserve">.</w:t>
      </w:r>
    </w:p>
    <w:p>
      <w:pPr>
        <w:pStyle w:val="BodyText"/>
      </w:pPr>
      <w:r>
        <w:t xml:space="preserve">Poiché il GHRP-2 rilascia anche ACTH, si è verificato se il test riconosca inoltre un’insufficienza dell’asse surrenalico. I risultati sono contrastanti: in uno studio con 47 persone ha raggiunto una sensibilità dell’89,7%</w:t>
      </w:r>
      <w:r>
        <w:rPr>
          <w:rStyle w:val="FootnoteReference"/>
        </w:rPr>
        <w:footnoteReference w:id="1371"/>
      </w:r>
      <w:r>
        <w:t xml:space="preserve">; in un’analisi più ampia di 254 persone non è risultato nel complesso abbastanza affidabile (sensibilità 64%, specificità 79%), e solo negli uomini senza tumore ormonalmente attivo ha dato buoni risultati</w:t>
      </w:r>
      <w:r>
        <w:rPr>
          <w:rStyle w:val="FootnoteReference"/>
        </w:rPr>
        <w:footnoteReference w:id="1372"/>
      </w:r>
      <w:r>
        <w:t xml:space="preserve">.</w:t>
      </w:r>
    </w:p>
    <w:bookmarkEnd w:id="1373"/>
    <w:bookmarkStart w:id="1378" w:name="tentativi-di-trattamento-nei-bambini"/>
    <w:p>
      <w:pPr>
        <w:pStyle w:val="Heading4"/>
      </w:pPr>
      <w:r>
        <w:t xml:space="preserve">Tentativi di trattamento nei bambini</w:t>
      </w:r>
    </w:p>
    <w:p>
      <w:pPr>
        <w:pStyle w:val="FirstParagraph"/>
      </w:pPr>
      <w:r>
        <w:t xml:space="preserve">Negli anni Novanta il GHRP-2 è stato sperimentato come terapia per bambini di bassa statura. In sei bambini con deficit di ormone della crescita la secrezione notturna di GH è aumentata in modo dose-dipendente, ma non l’IGF-1; la velocità di crescita era più alta durante il trattamento</w:t>
      </w:r>
      <w:r>
        <w:rPr>
          <w:rStyle w:val="FootnoteReference"/>
        </w:rPr>
        <w:footnoteReference w:id="1374"/>
      </w:r>
      <w:r>
        <w:t xml:space="preserve">. Come spray nasale il GHRP-2 ha aumentato in 15 bambini la velocità di crescita da 3,7 a 6,1 cm all’anno, di nuovo senza aumento dell’IGF-1</w:t>
      </w:r>
      <w:r>
        <w:rPr>
          <w:rStyle w:val="FootnoteReference"/>
        </w:rPr>
        <w:footnoteReference w:id="1375"/>
      </w:r>
      <w:r>
        <w:t xml:space="preserve">. Su dieci bambini che hanno ricevuto GHRP-2 in compresse per dodici mesi, sette hanno riferito un appetito nettamente maggiore nei primi mesi</w:t>
      </w:r>
      <w:r>
        <w:rPr>
          <w:rStyle w:val="FootnoteReference"/>
        </w:rPr>
        <w:footnoteReference w:id="1376"/>
      </w:r>
      <w:r>
        <w:t xml:space="preserve">. Lo sviluppo come terapia è stato interrotto negli Stati Uniti</w:t>
      </w:r>
      <w:r>
        <w:rPr>
          <w:rStyle w:val="FootnoteReference"/>
        </w:rPr>
        <w:footnoteReference w:id="1377"/>
      </w:r>
      <w:r>
        <w:t xml:space="preserve">.</w:t>
      </w:r>
    </w:p>
    <w:bookmarkEnd w:id="1378"/>
    <w:bookmarkStart w:id="1381" w:name="appetito-e-terapia-intensiva"/>
    <w:p>
      <w:pPr>
        <w:pStyle w:val="Heading4"/>
      </w:pPr>
      <w:r>
        <w:t xml:space="preserve">Appetito e terapia intensiva</w:t>
      </w:r>
    </w:p>
    <w:p>
      <w:pPr>
        <w:pStyle w:val="FirstParagraph"/>
      </w:pPr>
      <w:r>
        <w:t xml:space="preserve">In 19 adulti magri e in sovrappeso, un’infusione di GHRP-2 ha aumentato la quantità di cibo scelta liberamente, in modo dose-dipendente, del 10,2% e del 33,5% rispetto al placebo</w:t>
      </w:r>
      <w:r>
        <w:rPr>
          <w:rStyle w:val="FootnoteReference"/>
        </w:rPr>
        <w:footnoteReference w:id="1379"/>
      </w:r>
      <w:r>
        <w:t xml:space="preserve">. In 14 pazienti di terapia intensiva a lungo termine, un’infusione di cinque giorni di GHRP-2 insieme all’ormone di rilascio della tireotropina TRH ha riattivato l’asse del GH e quello tiroideo soppressi e ha spostato i marcatori metabolici in direzione anabolica</w:t>
      </w:r>
      <w:r>
        <w:rPr>
          <w:rStyle w:val="FootnoteReference"/>
        </w:rPr>
        <w:footnoteReference w:id="1380"/>
      </w:r>
      <w:r>
        <w:t xml:space="preserve">. Se ciò modifichi le probabilità di sopravvivenza non è mai stato verificato in uno studio sugli endpoint.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Diagnosi (Chihara 2007), PMID 17609397</w:t>
            </w:r>
          </w:p>
        </w:tc>
        <w:tc>
          <w:tcPr/>
          <w:p>
            <w:pPr>
              <w:pStyle w:val="Compact"/>
              <w:jc w:val="left"/>
            </w:pPr>
            <w:r>
              <w:t xml:space="preserve">77 persone sane, 58 pazienti con deficit di GH, validazione controllata</w:t>
            </w:r>
          </w:p>
        </w:tc>
        <w:tc>
          <w:tcPr/>
          <w:p>
            <w:pPr>
              <w:pStyle w:val="Compact"/>
              <w:jc w:val="left"/>
            </w:pPr>
            <w:r>
              <w:t xml:space="preserve">test singolo</w:t>
            </w:r>
          </w:p>
        </w:tc>
        <w:tc>
          <w:tcPr/>
          <w:p>
            <w:pPr>
              <w:pStyle w:val="Compact"/>
              <w:jc w:val="left"/>
            </w:pPr>
            <w:r>
              <w:t xml:space="preserve">picco di GH 84,6 vs. 1,36 µg/l; soglia 15 µg/l</w:t>
            </w:r>
          </w:p>
        </w:tc>
      </w:tr>
      <w:tr>
        <w:tc>
          <w:tcPr/>
          <w:p>
            <w:pPr>
              <w:pStyle w:val="Compact"/>
              <w:jc w:val="left"/>
            </w:pPr>
            <w:r>
              <w:t xml:space="preserve">Diagnosi (Kinoshita 2013), PMID 23079545</w:t>
            </w:r>
          </w:p>
        </w:tc>
        <w:tc>
          <w:tcPr/>
          <w:p>
            <w:pPr>
              <w:pStyle w:val="Compact"/>
              <w:jc w:val="left"/>
            </w:pPr>
            <w:r>
              <w:t xml:space="preserve">71 persone con tumori ipofisari, confronto con test all’insulina</w:t>
            </w:r>
          </w:p>
        </w:tc>
        <w:tc>
          <w:tcPr/>
          <w:p>
            <w:pPr>
              <w:pStyle w:val="Compact"/>
              <w:jc w:val="left"/>
            </w:pPr>
            <w:r>
              <w:t xml:space="preserve">test singolo</w:t>
            </w:r>
          </w:p>
        </w:tc>
        <w:tc>
          <w:tcPr/>
          <w:p>
            <w:pPr>
              <w:pStyle w:val="Compact"/>
              <w:jc w:val="left"/>
            </w:pPr>
            <w:r>
              <w:t xml:space="preserve">sensibilità 81,3%, specificità 94,5%</w:t>
            </w:r>
          </w:p>
        </w:tc>
      </w:tr>
      <w:tr>
        <w:tc>
          <w:tcPr/>
          <w:p>
            <w:pPr>
              <w:pStyle w:val="Compact"/>
              <w:jc w:val="left"/>
            </w:pPr>
            <w:r>
              <w:t xml:space="preserve">Bambini, spray nasale (Pihoker 1997), PMID 9390009</w:t>
            </w:r>
          </w:p>
        </w:tc>
        <w:tc>
          <w:tcPr/>
          <w:p>
            <w:pPr>
              <w:pStyle w:val="Compact"/>
              <w:jc w:val="left"/>
            </w:pPr>
            <w:r>
              <w:t xml:space="preserve">15 bambini di bassa statura, senza gruppo di controllo</w:t>
            </w:r>
          </w:p>
        </w:tc>
        <w:tc>
          <w:tcPr/>
          <w:p>
            <w:pPr>
              <w:pStyle w:val="Compact"/>
              <w:jc w:val="left"/>
            </w:pPr>
            <w:r>
              <w:t xml:space="preserve">6–24 mesi</w:t>
            </w:r>
          </w:p>
        </w:tc>
        <w:tc>
          <w:tcPr/>
          <w:p>
            <w:pPr>
              <w:pStyle w:val="Compact"/>
              <w:jc w:val="left"/>
            </w:pPr>
            <w:r>
              <w:t xml:space="preserve">crescita 3,7 → 6,1 cm/anno</w:t>
            </w:r>
          </w:p>
        </w:tc>
      </w:tr>
      <w:tr>
        <w:tc>
          <w:tcPr/>
          <w:p>
            <w:pPr>
              <w:pStyle w:val="Compact"/>
              <w:jc w:val="left"/>
            </w:pPr>
            <w:r>
              <w:t xml:space="preserve">Appetito (Laferrère 2006), PMID 16861611</w:t>
            </w:r>
          </w:p>
        </w:tc>
        <w:tc>
          <w:tcPr/>
          <w:p>
            <w:pPr>
              <w:pStyle w:val="Compact"/>
              <w:jc w:val="left"/>
            </w:pPr>
            <w:r>
              <w:t xml:space="preserve">19 adulti, RCT con disegno crossover contro placebo</w:t>
            </w:r>
          </w:p>
        </w:tc>
        <w:tc>
          <w:tcPr/>
          <w:p>
            <w:pPr>
              <w:pStyle w:val="Compact"/>
              <w:jc w:val="left"/>
            </w:pPr>
            <w:r>
              <w:t xml:space="preserve">3 infusioni singole</w:t>
            </w:r>
          </w:p>
        </w:tc>
        <w:tc>
          <w:tcPr/>
          <w:p>
            <w:pPr>
              <w:pStyle w:val="Compact"/>
              <w:jc w:val="left"/>
            </w:pPr>
            <w:r>
              <w:t xml:space="preserve">quantità di cibo +10,2% e +33,5%</w:t>
            </w:r>
          </w:p>
        </w:tc>
      </w:tr>
      <w:tr>
        <w:tc>
          <w:tcPr/>
          <w:p>
            <w:pPr>
              <w:pStyle w:val="Compact"/>
              <w:jc w:val="left"/>
            </w:pPr>
            <w:r>
              <w:t xml:space="preserve">Terapia intensiva (Van den Berghe 1999), PMID 10199772</w:t>
            </w:r>
          </w:p>
        </w:tc>
        <w:tc>
          <w:tcPr/>
          <w:p>
            <w:pPr>
              <w:pStyle w:val="Compact"/>
              <w:jc w:val="left"/>
            </w:pPr>
            <w:r>
              <w:t xml:space="preserve">14 pazienti di terapia intensiva a lungo termine, disegno crossover randomizzato</w:t>
            </w:r>
          </w:p>
        </w:tc>
        <w:tc>
          <w:tcPr/>
          <w:p>
            <w:pPr>
              <w:pStyle w:val="Compact"/>
              <w:jc w:val="left"/>
            </w:pPr>
            <w:r>
              <w:t xml:space="preserve">5 giorni</w:t>
            </w:r>
          </w:p>
        </w:tc>
        <w:tc>
          <w:tcPr/>
          <w:p>
            <w:pPr>
              <w:pStyle w:val="Compact"/>
              <w:jc w:val="left"/>
            </w:pPr>
            <w:r>
              <w:t xml:space="preserve">asse del GH e tiroideo riattivati</w:t>
            </w:r>
          </w:p>
        </w:tc>
      </w:tr>
    </w:tbl>
    <w:bookmarkEnd w:id="1381"/>
    <w:bookmarkEnd w:id="1382"/>
    <w:bookmarkStart w:id="1385" w:name="studi-su-animali-e-in-laboratorio-27"/>
    <w:p>
      <w:pPr>
        <w:pStyle w:val="Heading3"/>
      </w:pPr>
      <w:r>
        <w:t xml:space="preserve">Studi su animali e in laboratorio</w:t>
      </w:r>
    </w:p>
    <w:p>
      <w:pPr>
        <w:pStyle w:val="FirstParagraph"/>
      </w:pPr>
      <w:r>
        <w:t xml:space="preserve">In ratti svegli il GHRP-2 ha rilasciato più ormone della crescita del GHRH ed è risultato efficace anche nei cani, nei quali il GHRH falliva; nei ratti ha aumentato ACTH e corticosterone, ma non la prolattina, e ha accelerato la crescita nell’arco di tre settimane</w:t>
      </w:r>
      <w:r>
        <w:rPr>
          <w:rStyle w:val="FootnoteReference"/>
        </w:rPr>
        <w:footnoteReference w:id="1383"/>
      </w:r>
      <w:r>
        <w:t xml:space="preserve">. Nei maiali il GHRP-2 è risultato particolarmente potente in uno studio comparativo, ma, a differenza dell’ipamorelina, ha rilasciato anche ACTH e cortisolo</w:t>
      </w:r>
      <w:r>
        <w:rPr>
          <w:rStyle w:val="FootnoteReference"/>
        </w:rPr>
        <w:footnoteReference w:id="1384"/>
      </w:r>
      <w:r>
        <w:t xml:space="preserve">.</w:t>
      </w:r>
    </w:p>
    <w:bookmarkEnd w:id="1385"/>
    <w:bookmarkStart w:id="1390" w:name="rischi-ed-effetti-collaterali-27"/>
    <w:p>
      <w:pPr>
        <w:pStyle w:val="Heading3"/>
      </w:pPr>
      <w:r>
        <w:t xml:space="preserve">Rischi ed effetti collaterali</w:t>
      </w:r>
    </w:p>
    <w:p>
      <w:pPr>
        <w:pStyle w:val="FirstParagraph"/>
      </w:pPr>
      <w:r>
        <w:rPr>
          <w:bCs/>
          <w:b/>
        </w:rPr>
        <w:t xml:space="preserve">Documentati:</w:t>
      </w:r>
      <w:r>
        <w:t xml:space="preserve"> </w:t>
      </w:r>
      <w:r>
        <w:t xml:space="preserve">negli studi il GHRP-2 è stato ben tollerato a breve termine. Sono descritti ripetutamente un aumento dell’appetito</w:t>
      </w:r>
      <w:r>
        <w:rPr>
          <w:rStyle w:val="FootnoteReference"/>
        </w:rPr>
        <w:footnoteReference w:id="1386"/>
      </w:r>
      <w:r>
        <w:t xml:space="preserve"> </w:t>
      </w:r>
      <w:r>
        <w:t xml:space="preserve">e il rilascio di ACTH e cortisolo</w:t>
      </w:r>
      <w:r>
        <w:rPr>
          <w:rStyle w:val="FootnoteReference"/>
        </w:rPr>
        <w:footnoteReference w:id="1387"/>
      </w:r>
      <w:r>
        <w:t xml:space="preserve">. Una rassegna sui secretagoghi del GH cita inoltre un possibile aumento della glicemia dovuto a una ridotta sensibilità all’insulina e chiede dati a lungo termine su cancro e mortalità</w:t>
      </w:r>
      <w:r>
        <w:rPr>
          <w:rStyle w:val="FootnoteReference"/>
        </w:rPr>
        <w:footnoteReference w:id="1388"/>
      </w:r>
      <w:r>
        <w:t xml:space="preserve">.</w:t>
      </w:r>
    </w:p>
    <w:p>
      <w:pPr>
        <w:pStyle w:val="BodyText"/>
      </w:pPr>
      <w:r>
        <w:rPr>
          <w:bCs/>
          <w:b/>
        </w:rPr>
        <w:t xml:space="preserve">Sconosciuti:</w:t>
      </w:r>
      <w:r>
        <w:t xml:space="preserve"> </w:t>
      </w:r>
      <w:r>
        <w:t xml:space="preserve">non esistono dati sull’uso per mesi o anni negli adulti. Sulla questione se un aumento costante di ormone della crescita/IGF-1 accresca il rischio di cancro si veda l’introduzione di questo gruppo e la Parte IV.</w:t>
      </w:r>
    </w:p>
    <w:p>
      <w:pPr>
        <w:pStyle w:val="BodyText"/>
      </w:pPr>
      <w:r>
        <w:rPr>
          <w:bCs/>
          <w:b/>
        </w:rPr>
        <w:t xml:space="preserve">Mercato grigio:</w:t>
      </w:r>
      <w:r>
        <w:t xml:space="preserve"> </w:t>
      </w:r>
      <w:r>
        <w:t xml:space="preserve">in prodotti sequestrati è stato trovato «Gly-GHRP-2», cioè GHRP-2 con un amminoacido aggiuntivo non dichiarato</w:t>
      </w:r>
      <w:r>
        <w:rPr>
          <w:rStyle w:val="FootnoteReference"/>
        </w:rPr>
        <w:footnoteReference w:id="1389"/>
      </w:r>
      <w:r>
        <w:t xml:space="preserve">.</w:t>
      </w:r>
    </w:p>
    <w:bookmarkEnd w:id="1390"/>
    <w:bookmarkStart w:id="1392" w:name="quadro-normativo-27"/>
    <w:p>
      <w:pPr>
        <w:pStyle w:val="Heading3"/>
      </w:pPr>
      <w:r>
        <w:t xml:space="preserve">Quadro normativo</w:t>
      </w:r>
    </w:p>
    <w:p>
      <w:pPr>
        <w:pStyle w:val="FirstParagraph"/>
      </w:pPr>
      <w:r>
        <w:rPr>
          <w:iCs/>
          <w:i/>
        </w:rPr>
        <w:t xml:space="preserve">Aggiornato al 2026, da verificare.</w:t>
      </w:r>
    </w:p>
    <w:p>
      <w:pPr>
        <w:numPr>
          <w:ilvl w:val="0"/>
          <w:numId w:val="1162"/>
        </w:numPr>
        <w:pStyle w:val="Compact"/>
      </w:pPr>
      <w:r>
        <w:rPr>
          <w:bCs/>
          <w:b/>
        </w:rPr>
        <w:t xml:space="preserve">Giappone:</w:t>
      </w:r>
      <w:r>
        <w:t xml:space="preserve"> </w:t>
      </w:r>
      <w:r>
        <w:t xml:space="preserve">autorizzato come diagnostico; uso esclusivamente nell’ambito di test funzionali medici.</w:t>
      </w:r>
    </w:p>
    <w:p>
      <w:pPr>
        <w:numPr>
          <w:ilvl w:val="0"/>
          <w:numId w:val="1162"/>
        </w:numPr>
        <w:pStyle w:val="Compact"/>
      </w:pPr>
      <w:r>
        <w:rPr>
          <w:bCs/>
          <w:b/>
        </w:rPr>
        <w:t xml:space="preserve">UE, Germania, Austria:</w:t>
      </w:r>
      <w:r>
        <w:t xml:space="preserve"> </w:t>
      </w:r>
      <w:r>
        <w:t xml:space="preserve">nessuna autorizzazione; cessione per uso umano non consentita.</w:t>
      </w:r>
    </w:p>
    <w:p>
      <w:pPr>
        <w:numPr>
          <w:ilvl w:val="0"/>
          <w:numId w:val="1162"/>
        </w:numPr>
        <w:pStyle w:val="Compact"/>
      </w:pPr>
      <w:r>
        <w:rPr>
          <w:bCs/>
          <w:b/>
        </w:rPr>
        <w:t xml:space="preserve">USA:</w:t>
      </w:r>
      <w:r>
        <w:t xml:space="preserve"> </w:t>
      </w:r>
      <w:r>
        <w:t xml:space="preserve">nessuna autorizzazione.</w:t>
      </w:r>
    </w:p>
    <w:p>
      <w:pPr>
        <w:numPr>
          <w:ilvl w:val="0"/>
          <w:numId w:val="1162"/>
        </w:numPr>
        <w:pStyle w:val="Compact"/>
      </w:pPr>
      <w:r>
        <w:rPr>
          <w:bCs/>
          <w:b/>
        </w:rPr>
        <w:t xml:space="preserve">WADA:</w:t>
      </w:r>
      <w:r>
        <w:t xml:space="preserve"> </w:t>
      </w:r>
      <w:r>
        <w:t xml:space="preserve">vietato (S2). Il GHRP-2 e i suoi prodotti di degradazione sono rilevabili nelle urine fino a 47 ore dopo la somministrazione come spray nasale in un volontario</w:t>
      </w:r>
      <w:r>
        <w:rPr>
          <w:rStyle w:val="FootnoteReference"/>
        </w:rPr>
        <w:footnoteReference w:id="1391"/>
      </w:r>
      <w:r>
        <w:t xml:space="preserve">.</w:t>
      </w:r>
    </w:p>
    <w:bookmarkEnd w:id="1392"/>
    <w:bookmarkStart w:id="1393" w:name="studi-in-corso-e-prospettive-27"/>
    <w:p>
      <w:pPr>
        <w:pStyle w:val="Heading3"/>
      </w:pPr>
      <w:r>
        <w:t xml:space="preserve">Studi in corso e prospettive</w:t>
      </w:r>
    </w:p>
    <w:p>
      <w:pPr>
        <w:pStyle w:val="FirstParagraph"/>
      </w:pPr>
      <w:r>
        <w:t xml:space="preserve">Su ClinicalTrials.gov a ottobre 2026 non è registrato alcuno studio con GHRP-2 o pralmorelina.</w:t>
      </w:r>
      <w:r>
        <w:t xml:space="preserve"> </w:t>
      </w:r>
      <w:r>
        <w:rPr>
          <w:iCs/>
          <w:i/>
        </w:rPr>
        <w:t xml:space="preserve">Valutazione dell’autore:</w:t>
      </w:r>
      <w:r>
        <w:t xml:space="preserve"> </w:t>
      </w:r>
      <w:r>
        <w:t xml:space="preserve">il GHRP-2 resterà uno strumento della diagnostica in Giappone e della ricerca ormonale. In altri Paesi, come sostanza per test, compete con la macimorelina, disponibile in forma orale.</w:t>
      </w:r>
    </w:p>
    <w:bookmarkEnd w:id="1393"/>
    <w:bookmarkStart w:id="1394" w:name="conclusione-27"/>
    <w:p>
      <w:pPr>
        <w:pStyle w:val="Heading3"/>
      </w:pPr>
      <w:r>
        <w:t xml:space="preserve">Conclusione</w:t>
      </w:r>
    </w:p>
    <w:p>
      <w:pPr>
        <w:pStyle w:val="FirstParagraph"/>
      </w:pPr>
      <w:r>
        <w:t xml:space="preserve">Il GHRP-2 è uno dei più potenti stimoli conosciuti della secrezione di ormone della crescita ed è affermato in Giappone come diagnostico per il deficit di ormone della crescita. I tentativi di trattamento nei bambini hanno mostrato solo effetti modesti e non sono stati proseguiti. Per crescita muscolare, perdita di grasso o «anti-aging» nelle persone sane non esistono studi; sono documentati invece effetti secondari come fame intensa e un’attivazione degli ormoni dello stress.</w:t>
      </w:r>
    </w:p>
    <w:bookmarkEnd w:id="1394"/>
    <w:bookmarkEnd w:id="1395"/>
    <w:bookmarkStart w:id="1425" w:name="ghrp-6"/>
    <w:p>
      <w:pPr>
        <w:pStyle w:val="Heading2"/>
      </w:pPr>
      <w:r>
        <w:t xml:space="preserve">GHRP-6</w:t>
      </w:r>
    </w:p>
    <w:p>
      <w:pPr>
        <w:pStyle w:val="FirstParagraph"/>
      </w:pPr>
      <w:r>
        <w:t xml:space="preserve">Il GHRP-6 è il capostipite di tutti i peptidi che rilasciano l’ormone della crescita. Nel 1984 l’endocrinologo statunitense Cyril Bowers descrisse un esapeptide artificiale che rilascia in modo mirato ormone della crescita, 15 anni prima che si conoscesse la controparte naturale, la grelina. Nella ricerca il GHRP-6 è diventato lo strumento standard per testare l’asse dell’ormone della crescita. Negli ambienti del bodybuilding è invece considerato un economico potenziatore del GH con l’effetto secondario della «fame da lupi». Non è mai diventato un medicinale.</w:t>
      </w:r>
    </w:p>
    <w:bookmarkStart w:id="1397" w:name="scheda-28"/>
    <w:p>
      <w:pPr>
        <w:pStyle w:val="Heading3"/>
      </w:pPr>
      <w:r>
        <w:t xml:space="preserve">Scheda</w:t>
      </w:r>
    </w:p>
    <w:p>
      <w:pPr>
        <w:numPr>
          <w:ilvl w:val="0"/>
          <w:numId w:val="1163"/>
        </w:numPr>
        <w:pStyle w:val="Compact"/>
      </w:pPr>
      <w:r>
        <w:rPr>
          <w:bCs/>
          <w:b/>
        </w:rPr>
        <w:t xml:space="preserve">Tipo e struttura:</w:t>
      </w:r>
      <w:r>
        <w:t xml:space="preserve"> </w:t>
      </w:r>
      <w:r>
        <w:t xml:space="preserve">esapeptide sintetico His-D-Trp-Ala-Trp-D-Phe-Lys-NH2 con due D-amminoacidi non naturali</w:t>
      </w:r>
      <w:r>
        <w:rPr>
          <w:rStyle w:val="FootnoteReference"/>
        </w:rPr>
        <w:footnoteReference w:id="1396"/>
      </w:r>
      <w:r>
        <w:t xml:space="preserve">.</w:t>
      </w:r>
    </w:p>
    <w:p>
      <w:pPr>
        <w:numPr>
          <w:ilvl w:val="0"/>
          <w:numId w:val="1163"/>
        </w:numPr>
        <w:pStyle w:val="Compact"/>
      </w:pPr>
      <w:r>
        <w:rPr>
          <w:bCs/>
          <w:b/>
        </w:rPr>
        <w:t xml:space="preserve">Origine:</w:t>
      </w:r>
      <w:r>
        <w:t xml:space="preserve"> </w:t>
      </w:r>
      <w:r>
        <w:t xml:space="preserve">Tulane University (USA), inizio degli anni Ottanta.</w:t>
      </w:r>
    </w:p>
    <w:p>
      <w:pPr>
        <w:numPr>
          <w:ilvl w:val="0"/>
          <w:numId w:val="1163"/>
        </w:numPr>
        <w:pStyle w:val="Compact"/>
      </w:pPr>
      <w:r>
        <w:rPr>
          <w:bCs/>
          <w:b/>
        </w:rPr>
        <w:t xml:space="preserve">Principio d’azione:</w:t>
      </w:r>
      <w:r>
        <w:t xml:space="preserve"> </w:t>
      </w:r>
      <w:r>
        <w:t xml:space="preserve">agonista del recettore della grelina (GHS-R1a) nell’ipofisi e nel diencefalo; rilascia ormone della crescita e inoltre ACTH, cortisolo e prolattina; aumenta l’appetito.</w:t>
      </w:r>
    </w:p>
    <w:p>
      <w:pPr>
        <w:numPr>
          <w:ilvl w:val="0"/>
          <w:numId w:val="1163"/>
        </w:numPr>
        <w:pStyle w:val="Compact"/>
      </w:pPr>
      <w:r>
        <w:rPr>
          <w:bCs/>
          <w:b/>
        </w:rPr>
        <w:t xml:space="preserve">Autorizzazione UE:</w:t>
      </w:r>
      <w:r>
        <w:t xml:space="preserve"> </w:t>
      </w:r>
      <w:r>
        <w:t xml:space="preserve">no.</w:t>
      </w:r>
      <w:r>
        <w:t xml:space="preserve"> </w:t>
      </w:r>
      <w:r>
        <w:rPr>
          <w:bCs/>
          <w:b/>
        </w:rPr>
        <w:t xml:space="preserve">Autorizzazione USA:</w:t>
      </w:r>
      <w:r>
        <w:t xml:space="preserve"> </w:t>
      </w:r>
      <w:r>
        <w:t xml:space="preserve">no. Non è autorizzato come medicinale da nessun’altra parte (aggiornato al 2026).</w:t>
      </w:r>
    </w:p>
    <w:p>
      <w:pPr>
        <w:numPr>
          <w:ilvl w:val="0"/>
          <w:numId w:val="1163"/>
        </w:numPr>
        <w:pStyle w:val="Compact"/>
      </w:pPr>
      <w:r>
        <w:rPr>
          <w:bCs/>
          <w:b/>
        </w:rPr>
        <w:t xml:space="preserve">WADA:</w:t>
      </w:r>
      <w:r>
        <w:t xml:space="preserve"> </w:t>
      </w:r>
      <w:r>
        <w:t xml:space="preserve">vietato, classe S2; il GHRP-6 è espressamente citato come peptide che rilascia l’ormone della crescita.</w:t>
      </w:r>
    </w:p>
    <w:p>
      <w:pPr>
        <w:numPr>
          <w:ilvl w:val="0"/>
          <w:numId w:val="1163"/>
        </w:numPr>
        <w:pStyle w:val="Compact"/>
      </w:pPr>
      <w:r>
        <w:rPr>
          <w:bCs/>
          <w:b/>
        </w:rPr>
        <w:t xml:space="preserve">Livello di evidenza: C</w:t>
      </w:r>
      <w:r>
        <w:t xml:space="preserve"> </w:t>
      </w:r>
      <w:r>
        <w:t xml:space="preserve">– molti piccoli studi sulla fisiologia ormonale e sulla diagnostica, con 10-250 persone ciascuno, ma nemmeno uno studio controllato su un beneficio terapeutico.</w:t>
      </w:r>
    </w:p>
    <w:bookmarkEnd w:id="1397"/>
    <w:bookmarkStart w:id="1400" w:name="come-dovrebbe-agire-28"/>
    <w:p>
      <w:pPr>
        <w:pStyle w:val="Heading3"/>
      </w:pPr>
      <w:r>
        <w:t xml:space="preserve">Come dovrebbe agire</w:t>
      </w:r>
    </w:p>
    <w:p>
      <w:pPr>
        <w:pStyle w:val="FirstParagraph"/>
      </w:pPr>
      <w:r>
        <w:t xml:space="preserve">Nel 1984 Bowers e colleghi mostrarono che l’esapeptide rilascia ormone della crescita in pochi minuti in ratti, scimmie, agnelli e vitelli, senza influenzare altri ormoni ipofisari come LH, FSH o TSH; i ratti che lo ricevevano ripetutamente aumentavano di più di peso</w:t>
      </w:r>
      <w:r>
        <w:rPr>
          <w:rStyle w:val="FootnoteReference"/>
        </w:rPr>
        <w:footnoteReference w:id="1398"/>
      </w:r>
      <w:r>
        <w:t xml:space="preserve">. In seguito si scoprì che il GHRP-6 agisce sullo stesso recettore dell’ormone gastrico grelina</w:t>
      </w:r>
      <w:r>
        <w:rPr>
          <w:rStyle w:val="FootnoteReference"/>
        </w:rPr>
        <w:footnoteReference w:id="1399"/>
      </w:r>
      <w:r>
        <w:t xml:space="preserve">.</w:t>
      </w:r>
    </w:p>
    <w:p>
      <w:pPr>
        <w:pStyle w:val="BodyText"/>
      </w:pPr>
      <w:r>
        <w:t xml:space="preserve">Come il GHRP-2, il GHRP-6 agisce con più forza quando interviene anche il GHRH endogeno del diencefalo. Combinando i due, la secrezione di ormone della crescita è superiore alla somma dei singoli effetti. Proprio questa proprietà ha reso il GHRP-6 interessante come diagnostico. A differenza dell’ipamorelina, il GHRP-6 attiva anche l’asse degli ormoni dello stress (ACTH e cortisolo).</w:t>
      </w:r>
    </w:p>
    <w:bookmarkEnd w:id="1400"/>
    <w:bookmarkStart w:id="1411" w:name="studi-sulluomo-28"/>
    <w:p>
      <w:pPr>
        <w:pStyle w:val="Heading3"/>
      </w:pPr>
      <w:r>
        <w:t xml:space="preserve">Studi sull’uomo</w:t>
      </w:r>
    </w:p>
    <w:p>
      <w:pPr>
        <w:pStyle w:val="FirstParagraph"/>
      </w:pPr>
      <w:r>
        <w:rPr>
          <w:bCs/>
          <w:b/>
        </w:rPr>
        <w:t xml:space="preserve">Dimensioni della letteratura (ricerca di ottobre 2026):</w:t>
      </w:r>
      <w:r>
        <w:t xml:space="preserve"> </w:t>
      </w:r>
      <w:r>
        <w:t xml:space="preserve">la ricerca automatizzata di questo libro ha trovato</w:t>
      </w:r>
      <w:r>
        <w:t xml:space="preserve"> </w:t>
      </w:r>
      <w:r>
        <w:rPr>
          <w:bCs/>
          <w:b/>
        </w:rPr>
        <w:t xml:space="preserve">40</w:t>
      </w:r>
      <w:r>
        <w:t xml:space="preserve"> </w:t>
      </w:r>
      <w:r>
        <w:t xml:space="preserve">studi sull’uomo in PubMed (</w:t>
      </w:r>
      <w:r>
        <w:rPr>
          <w:rStyle w:val="VerbatimChar"/>
        </w:rPr>
        <w:t xml:space="preserve">humanstudien_alle</w:t>
      </w:r>
      <w:r>
        <w:t xml:space="preserve">) e</w:t>
      </w:r>
      <w:r>
        <w:t xml:space="preserve"> </w:t>
      </w:r>
      <w:r>
        <w:rPr>
          <w:bCs/>
          <w:b/>
        </w:rPr>
        <w:t xml:space="preserve">nessuna</w:t>
      </w:r>
      <w:r>
        <w:t xml:space="preserve"> </w:t>
      </w:r>
      <w:r>
        <w:t xml:space="preserve">voce su ClinicalTrials.gov. Quasi tutti i lavori usano il GHRP-6 come sostanza per test somministrata una sola volta, per studiare la regolazione ormonale in malattie come la sindrome di Cushing, l’ipertiroidismo, il sovrappeso o in età avanzata. Uno studio di questo elenco è stato condotto su cani.</w:t>
      </w:r>
    </w:p>
    <w:bookmarkStart w:id="1405" w:name="Xa8f2e5b92980299467b2c6585939965f5137da6"/>
    <w:p>
      <w:pPr>
        <w:pStyle w:val="Heading4"/>
      </w:pPr>
      <w:r>
        <w:t xml:space="preserve">Diagnosi del deficit di ormone della crescita</w:t>
      </w:r>
    </w:p>
    <w:p>
      <w:pPr>
        <w:pStyle w:val="FirstParagraph"/>
      </w:pPr>
      <w:r>
        <w:t xml:space="preserve">Lo studio più noto è apparso nel 2000 sulla rivista Lancet: 125 adulti con malattie dell’ipofisi e 125 persone sane hanno ricevuto GHRH più GHRP-6 come test combinato. Il picco medio di GH era di 59,2 µg/l nelle persone sane e di 4,1 µg/l nei pazienti; un valore soglia di 15 µg/l separava in modo affidabile i due gruppi. Non si sono verificati effetti collaterali, e età, sesso e grasso corporeo non hanno influenzato il risultato</w:t>
      </w:r>
      <w:r>
        <w:rPr>
          <w:rStyle w:val="FootnoteReference"/>
        </w:rPr>
        <w:footnoteReference w:id="1401"/>
      </w:r>
      <w:r>
        <w:t xml:space="preserve">. In uno studio più piccolo con 20 persone il test ha riconosciuto correttamente tutti i casi di deficit di ormone della crescita; come unico effetto collaterale è stata osservata una sensazione di calore (flush)</w:t>
      </w:r>
      <w:r>
        <w:rPr>
          <w:rStyle w:val="FootnoteReference"/>
        </w:rPr>
        <w:footnoteReference w:id="1402"/>
      </w:r>
      <w:r>
        <w:t xml:space="preserve">. Su 21 adulti nei quali in precedenza era stato accertato un deficit con test convenzionali, circa il 40% ha comunque risposto in modo marcato alla combinazione</w:t>
      </w:r>
      <w:r>
        <w:rPr>
          <w:rStyle w:val="FootnoteReference"/>
        </w:rPr>
        <w:footnoteReference w:id="1403"/>
      </w:r>
      <w:r>
        <w:t xml:space="preserve">, un indizio che test diversi rispondono a domande diverse.</w:t>
      </w:r>
    </w:p>
    <w:p>
      <w:pPr>
        <w:pStyle w:val="BodyText"/>
      </w:pPr>
      <w:r>
        <w:t xml:space="preserve">Come test per un’insufficienza dell’asse surrenalico il GHRP-6 si è rivelato invece di utilità limitata: in 49 pazienti ha raggiunto, rispetto al test all’insulina, una sensibilità del 71,0% e una specificità del 77,8%</w:t>
      </w:r>
      <w:r>
        <w:rPr>
          <w:rStyle w:val="FootnoteReference"/>
        </w:rPr>
        <w:footnoteReference w:id="1404"/>
      </w:r>
      <w:r>
        <w:t xml:space="preserve">.</w:t>
      </w:r>
    </w:p>
    <w:bookmarkEnd w:id="1405"/>
    <w:bookmarkStart w:id="1410" w:name="farmacologia-sonno-età"/>
    <w:p>
      <w:pPr>
        <w:pStyle w:val="Heading4"/>
      </w:pPr>
      <w:r>
        <w:t xml:space="preserve">Farmacologia, sonno, età</w:t>
      </w:r>
    </w:p>
    <w:p>
      <w:pPr>
        <w:numPr>
          <w:ilvl w:val="0"/>
          <w:numId w:val="1164"/>
        </w:numPr>
        <w:pStyle w:val="Compact"/>
      </w:pPr>
      <w:r>
        <w:rPr>
          <w:bCs/>
          <w:b/>
        </w:rPr>
        <w:t xml:space="preserve">Farmacocinetica:</w:t>
      </w:r>
      <w:r>
        <w:t xml:space="preserve"> </w:t>
      </w:r>
      <w:r>
        <w:t xml:space="preserve">in nove uomini sani l’emivita di eliminazione dopo somministrazione endovenosa era in media di 2,5 ore</w:t>
      </w:r>
      <w:r>
        <w:rPr>
          <w:rStyle w:val="FootnoteReference"/>
        </w:rPr>
        <w:footnoteReference w:id="1406"/>
      </w:r>
      <w:r>
        <w:t xml:space="preserve">.</w:t>
      </w:r>
    </w:p>
    <w:p>
      <w:pPr>
        <w:numPr>
          <w:ilvl w:val="0"/>
          <w:numId w:val="1164"/>
        </w:numPr>
        <w:pStyle w:val="Compact"/>
      </w:pPr>
      <w:r>
        <w:rPr>
          <w:bCs/>
          <w:b/>
        </w:rPr>
        <w:t xml:space="preserve">Sonno:</w:t>
      </w:r>
      <w:r>
        <w:t xml:space="preserve"> </w:t>
      </w:r>
      <w:r>
        <w:t xml:space="preserve">in uomini sani il GHRP-6 ha aumentato di notte ormone della crescita, ACTH e cortisolo e ha prolungato il sonno leggero (stadio 2), ma non il sonno profondo</w:t>
      </w:r>
      <w:r>
        <w:rPr>
          <w:rStyle w:val="FootnoteReference"/>
        </w:rPr>
        <w:footnoteReference w:id="1407"/>
      </w:r>
      <w:r>
        <w:t xml:space="preserve">.</w:t>
      </w:r>
    </w:p>
    <w:p>
      <w:pPr>
        <w:numPr>
          <w:ilvl w:val="0"/>
          <w:numId w:val="1164"/>
        </w:numPr>
        <w:pStyle w:val="Compact"/>
      </w:pPr>
      <w:r>
        <w:rPr>
          <w:bCs/>
          <w:b/>
        </w:rPr>
        <w:t xml:space="preserve">Età:</w:t>
      </w:r>
      <w:r>
        <w:t xml:space="preserve"> </w:t>
      </w:r>
      <w:r>
        <w:t xml:space="preserve">in nove adulti giovani e nove anziani, l’ipofisi in età avanzata ha risposto più debolmente al GHRH, ma non al GHRP-6</w:t>
      </w:r>
      <w:r>
        <w:rPr>
          <w:rStyle w:val="FootnoteReference"/>
        </w:rPr>
        <w:footnoteReference w:id="1408"/>
      </w:r>
      <w:r>
        <w:t xml:space="preserve">.</w:t>
      </w:r>
    </w:p>
    <w:p>
      <w:pPr>
        <w:numPr>
          <w:ilvl w:val="0"/>
          <w:numId w:val="1164"/>
        </w:numPr>
        <w:pStyle w:val="Compact"/>
      </w:pPr>
      <w:r>
        <w:rPr>
          <w:bCs/>
          <w:b/>
        </w:rPr>
        <w:t xml:space="preserve">Bambini:</w:t>
      </w:r>
      <w:r>
        <w:t xml:space="preserve"> </w:t>
      </w:r>
      <w:r>
        <w:t xml:space="preserve">in compresse il GHRP-6 ha provocato in bambini di bassa statura senza deficit ormonale un aumento del GH simile a quello dopo iniezione di GHRH</w:t>
      </w:r>
      <w:r>
        <w:rPr>
          <w:rStyle w:val="FootnoteReference"/>
        </w:rPr>
        <w:footnoteReference w:id="1409"/>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Diagnosi (Popovic 2000), PMID 11030292</w:t>
            </w:r>
          </w:p>
        </w:tc>
        <w:tc>
          <w:tcPr/>
          <w:p>
            <w:pPr>
              <w:pStyle w:val="Compact"/>
              <w:jc w:val="left"/>
            </w:pPr>
            <w:r>
              <w:t xml:space="preserve">125 pazienti, 125 persone sane; studio comparativo multicentrico</w:t>
            </w:r>
          </w:p>
        </w:tc>
        <w:tc>
          <w:tcPr/>
          <w:p>
            <w:pPr>
              <w:pStyle w:val="Compact"/>
              <w:jc w:val="left"/>
            </w:pPr>
            <w:r>
              <w:t xml:space="preserve">test singolo</w:t>
            </w:r>
          </w:p>
        </w:tc>
        <w:tc>
          <w:tcPr/>
          <w:p>
            <w:pPr>
              <w:pStyle w:val="Compact"/>
              <w:jc w:val="left"/>
            </w:pPr>
            <w:r>
              <w:t xml:space="preserve">picco di GH 59,2 vs. 4,1 µg/l; soglia 15 µg/l</w:t>
            </w:r>
          </w:p>
        </w:tc>
      </w:tr>
      <w:tr>
        <w:tc>
          <w:tcPr/>
          <w:p>
            <w:pPr>
              <w:pStyle w:val="Compact"/>
              <w:jc w:val="left"/>
            </w:pPr>
            <w:r>
              <w:t xml:space="preserve">Diagnosi (Petersenn 2002), PMID 11980622</w:t>
            </w:r>
          </w:p>
        </w:tc>
        <w:tc>
          <w:tcPr/>
          <w:p>
            <w:pPr>
              <w:pStyle w:val="Compact"/>
              <w:jc w:val="left"/>
            </w:pPr>
            <w:r>
              <w:t xml:space="preserve">20 persone, confronto con test all’insulina</w:t>
            </w:r>
          </w:p>
        </w:tc>
        <w:tc>
          <w:tcPr/>
          <w:p>
            <w:pPr>
              <w:pStyle w:val="Compact"/>
              <w:jc w:val="left"/>
            </w:pPr>
            <w:r>
              <w:t xml:space="preserve">test singoli</w:t>
            </w:r>
          </w:p>
        </w:tc>
        <w:tc>
          <w:tcPr/>
          <w:p>
            <w:pPr>
              <w:pStyle w:val="Compact"/>
              <w:jc w:val="left"/>
            </w:pPr>
            <w:r>
              <w:t xml:space="preserve">riconosciuti tutti i casi con deficit di GH</w:t>
            </w:r>
          </w:p>
        </w:tc>
      </w:tr>
      <w:tr>
        <w:tc>
          <w:tcPr/>
          <w:p>
            <w:pPr>
              <w:pStyle w:val="Compact"/>
              <w:jc w:val="left"/>
            </w:pPr>
            <w:r>
              <w:t xml:space="preserve">Test surrenalico (Alaioubi 2010), PMID 19946832</w:t>
            </w:r>
          </w:p>
        </w:tc>
        <w:tc>
          <w:tcPr/>
          <w:p>
            <w:pPr>
              <w:pStyle w:val="Compact"/>
              <w:jc w:val="left"/>
            </w:pPr>
            <w:r>
              <w:t xml:space="preserve">49 pazienti, 20 persone sane</w:t>
            </w:r>
          </w:p>
        </w:tc>
        <w:tc>
          <w:tcPr/>
          <w:p>
            <w:pPr>
              <w:pStyle w:val="Compact"/>
              <w:jc w:val="left"/>
            </w:pPr>
            <w:r>
              <w:t xml:space="preserve">test singolo</w:t>
            </w:r>
          </w:p>
        </w:tc>
        <w:tc>
          <w:tcPr/>
          <w:p>
            <w:pPr>
              <w:pStyle w:val="Compact"/>
              <w:jc w:val="left"/>
            </w:pPr>
            <w:r>
              <w:t xml:space="preserve">sensibilità 71,0%, specificità 77,8%</w:t>
            </w:r>
          </w:p>
        </w:tc>
      </w:tr>
      <w:tr>
        <w:tc>
          <w:tcPr/>
          <w:p>
            <w:pPr>
              <w:pStyle w:val="Compact"/>
              <w:jc w:val="left"/>
            </w:pPr>
            <w:r>
              <w:t xml:space="preserve">Farmacocinetica (Cabrales 2013), PMID 23099431</w:t>
            </w:r>
          </w:p>
        </w:tc>
        <w:tc>
          <w:tcPr/>
          <w:p>
            <w:pPr>
              <w:pStyle w:val="Compact"/>
              <w:jc w:val="left"/>
            </w:pPr>
            <w:r>
              <w:t xml:space="preserve">9 uomini sani, fase 1</w:t>
            </w:r>
          </w:p>
        </w:tc>
        <w:tc>
          <w:tcPr/>
          <w:p>
            <w:pPr>
              <w:pStyle w:val="Compact"/>
              <w:jc w:val="left"/>
            </w:pPr>
            <w:r>
              <w:t xml:space="preserve">dosi singole</w:t>
            </w:r>
          </w:p>
        </w:tc>
        <w:tc>
          <w:tcPr/>
          <w:p>
            <w:pPr>
              <w:pStyle w:val="Compact"/>
              <w:jc w:val="left"/>
            </w:pPr>
            <w:r>
              <w:t xml:space="preserve">emivita 2,5 h</w:t>
            </w:r>
          </w:p>
        </w:tc>
      </w:tr>
      <w:tr>
        <w:tc>
          <w:tcPr/>
          <w:p>
            <w:pPr>
              <w:pStyle w:val="Compact"/>
              <w:jc w:val="left"/>
            </w:pPr>
            <w:r>
              <w:t xml:space="preserve">Sonno (Frieboes 1995), PMID 7617137</w:t>
            </w:r>
          </w:p>
        </w:tc>
        <w:tc>
          <w:tcPr/>
          <w:p>
            <w:pPr>
              <w:pStyle w:val="Compact"/>
              <w:jc w:val="left"/>
            </w:pPr>
            <w:r>
              <w:t xml:space="preserve">uomini sani, confronto con placebo</w:t>
            </w:r>
          </w:p>
        </w:tc>
        <w:tc>
          <w:tcPr/>
          <w:p>
            <w:pPr>
              <w:pStyle w:val="Compact"/>
              <w:jc w:val="left"/>
            </w:pPr>
            <w:r>
              <w:t xml:space="preserve">1 notte</w:t>
            </w:r>
          </w:p>
        </w:tc>
        <w:tc>
          <w:tcPr/>
          <w:p>
            <w:pPr>
              <w:pStyle w:val="Compact"/>
              <w:jc w:val="left"/>
            </w:pPr>
            <w:r>
              <w:t xml:space="preserve">GH, ACTH, cortisolo ↑; sonno profondo invariato</w:t>
            </w:r>
          </w:p>
        </w:tc>
      </w:tr>
    </w:tbl>
    <w:bookmarkEnd w:id="1410"/>
    <w:bookmarkEnd w:id="1411"/>
    <w:bookmarkStart w:id="1415" w:name="studi-su-animali-e-in-laboratorio-28"/>
    <w:p>
      <w:pPr>
        <w:pStyle w:val="Heading3"/>
      </w:pPr>
      <w:r>
        <w:t xml:space="preserve">Studi su animali e in laboratorio</w:t>
      </w:r>
    </w:p>
    <w:p>
      <w:pPr>
        <w:pStyle w:val="FirstParagraph"/>
      </w:pPr>
      <w:r>
        <w:t xml:space="preserve">Gran parte della ricerca più recente riguarda la protezione degli organi:</w:t>
      </w:r>
    </w:p>
    <w:p>
      <w:pPr>
        <w:numPr>
          <w:ilvl w:val="0"/>
          <w:numId w:val="1165"/>
        </w:numPr>
        <w:pStyle w:val="Compact"/>
      </w:pPr>
      <w:r>
        <w:rPr>
          <w:bCs/>
          <w:b/>
        </w:rPr>
        <w:t xml:space="preserve">Cuore (ratti):</w:t>
      </w:r>
      <w:r>
        <w:t xml:space="preserve"> </w:t>
      </w:r>
      <w:r>
        <w:t xml:space="preserve">in ratti trattati con il chemioterapico cardiotossico doxorubicina, la somministrazione contemporanea di GHRP-6 ha impedito la dilatazione dei ventricoli e ha preservato la funzione di pompa</w:t>
      </w:r>
      <w:r>
        <w:rPr>
          <w:rStyle w:val="FootnoteReference"/>
        </w:rPr>
        <w:footnoteReference w:id="1412"/>
      </w:r>
      <w:r>
        <w:t xml:space="preserve">.</w:t>
      </w:r>
    </w:p>
    <w:p>
      <w:pPr>
        <w:numPr>
          <w:ilvl w:val="0"/>
          <w:numId w:val="1165"/>
        </w:numPr>
        <w:pStyle w:val="Compact"/>
      </w:pPr>
      <w:r>
        <w:rPr>
          <w:bCs/>
          <w:b/>
        </w:rPr>
        <w:t xml:space="preserve">Insufficienza multiorgano (ratti, colture cellulari):</w:t>
      </w:r>
      <w:r>
        <w:t xml:space="preserve"> </w:t>
      </w:r>
      <w:r>
        <w:t xml:space="preserve">dopo un’interruzione temporanea della perfusione epatica il GHRP-6 ha ridotto i danni a fegato e intestino; in colture cellulari ha accelerato la migrazione delle cellule intestinali</w:t>
      </w:r>
      <w:r>
        <w:rPr>
          <w:rStyle w:val="FootnoteReference"/>
        </w:rPr>
        <w:footnoteReference w:id="1413"/>
      </w:r>
      <w:r>
        <w:t xml:space="preserve">.</w:t>
      </w:r>
    </w:p>
    <w:p>
      <w:pPr>
        <w:numPr>
          <w:ilvl w:val="0"/>
          <w:numId w:val="1165"/>
        </w:numPr>
        <w:pStyle w:val="Compact"/>
      </w:pPr>
      <w:r>
        <w:rPr>
          <w:bCs/>
          <w:b/>
        </w:rPr>
        <w:t xml:space="preserve">Sistema nervoso (ratti, topi):</w:t>
      </w:r>
      <w:r>
        <w:t xml:space="preserve"> </w:t>
      </w:r>
      <w:r>
        <w:t xml:space="preserve">in un modello animale di sclerosi multipla solo la combinazione di GHRP-6 con il fattore di crescita EGF ha migliorato il decorso della malattia, non il GHRP-6 da solo</w:t>
      </w:r>
      <w:r>
        <w:rPr>
          <w:rStyle w:val="FootnoteReference"/>
        </w:rPr>
        <w:footnoteReference w:id="1414"/>
      </w:r>
      <w:r>
        <w:t xml:space="preserve">.</w:t>
      </w:r>
    </w:p>
    <w:p>
      <w:pPr>
        <w:pStyle w:val="FirstParagraph"/>
      </w:pPr>
      <w:r>
        <w:t xml:space="preserve">Nessuno di questi approcci ha finora portato a uno studio controllato pubblicato sull’uomo.</w:t>
      </w:r>
    </w:p>
    <w:bookmarkEnd w:id="1415"/>
    <w:bookmarkStart w:id="1420" w:name="rischi-ed-effetti-collaterali-28"/>
    <w:p>
      <w:pPr>
        <w:pStyle w:val="Heading3"/>
      </w:pPr>
      <w:r>
        <w:t xml:space="preserve">Rischi ed effetti collaterali</w:t>
      </w:r>
    </w:p>
    <w:p>
      <w:pPr>
        <w:pStyle w:val="FirstParagraph"/>
      </w:pPr>
      <w:r>
        <w:rPr>
          <w:bCs/>
          <w:b/>
        </w:rPr>
        <w:t xml:space="preserve">Documentati dagli studi a breve termine:</w:t>
      </w:r>
      <w:r>
        <w:t xml:space="preserve"> </w:t>
      </w:r>
      <w:r>
        <w:t xml:space="preserve">sensazione di calore (flush)</w:t>
      </w:r>
      <w:r>
        <w:rPr>
          <w:rStyle w:val="FootnoteReference"/>
        </w:rPr>
        <w:footnoteReference w:id="1416"/>
      </w:r>
      <w:r>
        <w:t xml:space="preserve">; aumento di ACTH, cortisolo e prolattina</w:t>
      </w:r>
      <w:r>
        <w:rPr>
          <w:rStyle w:val="FootnoteReference"/>
        </w:rPr>
        <w:footnoteReference w:id="1417"/>
      </w:r>
      <w:r>
        <w:t xml:space="preserve">; fame come noto effetto della grelina. Negli studi diagnostici con dosi singole non si sono verificati altri effetti collaterali rilevanti.</w:t>
      </w:r>
    </w:p>
    <w:p>
      <w:pPr>
        <w:pStyle w:val="BodyText"/>
      </w:pPr>
      <w:r>
        <w:rPr>
          <w:bCs/>
          <w:b/>
        </w:rPr>
        <w:t xml:space="preserve">Sconosciuti:</w:t>
      </w:r>
      <w:r>
        <w:t xml:space="preserve"> </w:t>
      </w:r>
      <w:r>
        <w:t xml:space="preserve">non esistono studi sull’uomo sull’uso ripetuto per settimane o mesi. Con un uso continuativo sono ipotizzabili le note conseguenze di livelli elevati di ormone della crescita e di una stimolazione ripetuta del cortisolo, per esempio un peggioramento della regolazione glicemica. Un caso clinico descrive un bodybuilder che per decenni aveva usato ormone della crescita e secretagoghi, tra cui una combinazione di sermorelina e GHRP-6, e aveva sviluppato un grosso osteofita alla colonna cervicale; un nesso causale non è dimostrato</w:t>
      </w:r>
      <w:r>
        <w:rPr>
          <w:rStyle w:val="FootnoteReference"/>
        </w:rPr>
        <w:footnoteReference w:id="1418"/>
      </w:r>
      <w:r>
        <w:t xml:space="preserve">. Sulla questione del cancro si veda l’introduzione di questo gruppo e la Parte IV.</w:t>
      </w:r>
    </w:p>
    <w:p>
      <w:pPr>
        <w:pStyle w:val="BodyText"/>
      </w:pPr>
      <w:r>
        <w:rPr>
          <w:bCs/>
          <w:b/>
        </w:rPr>
        <w:t xml:space="preserve">Mercato grigio:</w:t>
      </w:r>
      <w:r>
        <w:t xml:space="preserve"> </w:t>
      </w:r>
      <w:r>
        <w:t xml:space="preserve">in prodotti sequestrati è stato rilevato «Gly-GHRP-6», una variante non dichiarata con un amminoacido aggiuntivo</w:t>
      </w:r>
      <w:r>
        <w:rPr>
          <w:rStyle w:val="FootnoteReference"/>
        </w:rPr>
        <w:footnoteReference w:id="1419"/>
      </w:r>
      <w:r>
        <w:t xml:space="preserve">.</w:t>
      </w:r>
    </w:p>
    <w:bookmarkEnd w:id="1420"/>
    <w:bookmarkStart w:id="1422" w:name="quadro-normativo-28"/>
    <w:p>
      <w:pPr>
        <w:pStyle w:val="Heading3"/>
      </w:pPr>
      <w:r>
        <w:t xml:space="preserve">Quadro normativo</w:t>
      </w:r>
    </w:p>
    <w:p>
      <w:pPr>
        <w:pStyle w:val="FirstParagraph"/>
      </w:pPr>
      <w:r>
        <w:rPr>
          <w:iCs/>
          <w:i/>
        </w:rPr>
        <w:t xml:space="preserve">Aggiornato al 2026, da verificare.</w:t>
      </w:r>
    </w:p>
    <w:p>
      <w:pPr>
        <w:numPr>
          <w:ilvl w:val="0"/>
          <w:numId w:val="1166"/>
        </w:numPr>
        <w:pStyle w:val="Compact"/>
      </w:pPr>
      <w:r>
        <w:rPr>
          <w:bCs/>
          <w:b/>
        </w:rPr>
        <w:t xml:space="preserve">UE, Germania, Austria, USA:</w:t>
      </w:r>
      <w:r>
        <w:t xml:space="preserve"> </w:t>
      </w:r>
      <w:r>
        <w:t xml:space="preserve">nessuna autorizzazione come medicinale; la cessione per uso umano non è consentita. Nella ricerca il GHRP-6 viene impiegato nell’ambito di studi autorizzati.</w:t>
      </w:r>
    </w:p>
    <w:p>
      <w:pPr>
        <w:numPr>
          <w:ilvl w:val="0"/>
          <w:numId w:val="1166"/>
        </w:numPr>
        <w:pStyle w:val="Compact"/>
      </w:pPr>
      <w:r>
        <w:rPr>
          <w:bCs/>
          <w:b/>
        </w:rPr>
        <w:t xml:space="preserve">WADA:</w:t>
      </w:r>
      <w:r>
        <w:t xml:space="preserve"> </w:t>
      </w:r>
      <w:r>
        <w:t xml:space="preserve">vietato (S2). Il GHRP-6 viene escreto con le urine in gran parte immodificato ed è risultato rilevabile per 23 ore dopo la somministrazione come spray nasale in un volontario</w:t>
      </w:r>
      <w:r>
        <w:rPr>
          <w:rStyle w:val="FootnoteReference"/>
        </w:rPr>
        <w:footnoteReference w:id="1421"/>
      </w:r>
      <w:r>
        <w:t xml:space="preserve">.</w:t>
      </w:r>
    </w:p>
    <w:bookmarkEnd w:id="1422"/>
    <w:bookmarkStart w:id="1423" w:name="studi-in-corso-e-prospettive-28"/>
    <w:p>
      <w:pPr>
        <w:pStyle w:val="Heading3"/>
      </w:pPr>
      <w:r>
        <w:t xml:space="preserve">Studi in corso e prospettive</w:t>
      </w:r>
    </w:p>
    <w:p>
      <w:pPr>
        <w:pStyle w:val="FirstParagraph"/>
      </w:pPr>
      <w:r>
        <w:t xml:space="preserve">Su ClinicalTrials.gov a ottobre 2026 non è registrato alcuno studio con GHRP-6.</w:t>
      </w:r>
      <w:r>
        <w:t xml:space="preserve"> </w:t>
      </w:r>
      <w:r>
        <w:rPr>
          <w:iCs/>
          <w:i/>
        </w:rPr>
        <w:t xml:space="preserve">Valutazione dell’autore:</w:t>
      </w:r>
      <w:r>
        <w:t xml:space="preserve"> </w:t>
      </w:r>
      <w:r>
        <w:t xml:space="preserve">i lavori sugli animali relativi alla protezione degli organi sono l’unica linea di sviluppo riconoscibile; se ne nasceranno studi sull’uomo è incerto. Nella diagnostica il GHRP-6 è stato in gran parte sostituito da altri test.</w:t>
      </w:r>
    </w:p>
    <w:bookmarkEnd w:id="1423"/>
    <w:bookmarkStart w:id="1424" w:name="conclusione-28"/>
    <w:p>
      <w:pPr>
        <w:pStyle w:val="Heading3"/>
      </w:pPr>
      <w:r>
        <w:t xml:space="preserve">Conclusione</w:t>
      </w:r>
    </w:p>
    <w:p>
      <w:pPr>
        <w:pStyle w:val="FirstParagraph"/>
      </w:pPr>
      <w:r>
        <w:t xml:space="preserve">Il GHRP-6 è stato il primo peptide artificiale a rilasciare in modo mirato ormone della crescita e ha contribuito in modo decisivo alla scoperta del sistema della grelina. Nell’uomo è stato studiato quasi solo come sostanza per test somministrata una volta, tra l’altro in un grande studio pubblicato su Lancet sulla diagnosi del deficit di ormone della crescita. Non esiste un beneficio terapeutico dimostrato, e sull’uso ripetuto, come pubblicizzato sul mercato grigio, mancano del tutto i dati.</w:t>
      </w:r>
    </w:p>
    <w:bookmarkEnd w:id="1424"/>
    <w:bookmarkEnd w:id="1425"/>
    <w:bookmarkStart w:id="1458" w:name="exarelina"/>
    <w:p>
      <w:pPr>
        <w:pStyle w:val="Heading2"/>
      </w:pPr>
      <w:r>
        <w:t xml:space="preserve">Exarelina</w:t>
      </w:r>
    </w:p>
    <w:p>
      <w:pPr>
        <w:pStyle w:val="FirstParagraph"/>
      </w:pPr>
      <w:r>
        <w:t xml:space="preserve">L’exarelina è una stretta parente del GHRP-6 e uno dei più potenti secretagoghi artificiali dell’ormone della crescita in assoluto. Negli anni Novanta è stata studiata intensamente sull’uomo, soprattutto in Italia. In quel contesto è emerso qualcosa di inatteso: l’exarelina sembra agire direttamente sul cuore, indipendentemente dall’ormone della crescita. Un’autorizzazione non è comunque arrivata. Uno dei motivi risiedeva in una debolezza tipica di questa classe di sostanze: con l’uso continuativo l’effetto diminuisce.</w:t>
      </w:r>
    </w:p>
    <w:bookmarkStart w:id="1428" w:name="scheda-29"/>
    <w:p>
      <w:pPr>
        <w:pStyle w:val="Heading3"/>
      </w:pPr>
      <w:r>
        <w:t xml:space="preserve">Scheda</w:t>
      </w:r>
    </w:p>
    <w:p>
      <w:pPr>
        <w:numPr>
          <w:ilvl w:val="0"/>
          <w:numId w:val="1167"/>
        </w:numPr>
        <w:pStyle w:val="Compact"/>
      </w:pPr>
      <w:r>
        <w:rPr>
          <w:bCs/>
          <w:b/>
        </w:rPr>
        <w:t xml:space="preserve">Tipo e struttura:</w:t>
      </w:r>
      <w:r>
        <w:t xml:space="preserve"> </w:t>
      </w:r>
      <w:r>
        <w:t xml:space="preserve">esapeptide sintetico His-D-2-metil-Trp-Ala-Trp-D-Phe-Lys-NH2; si distingue dal GHRP-6 per un gruppo metile aggiuntivo sul secondo elemento</w:t>
      </w:r>
      <w:r>
        <w:rPr>
          <w:rStyle w:val="FootnoteReference"/>
        </w:rPr>
        <w:footnoteReference w:id="1426"/>
      </w:r>
      <w:r>
        <w:t xml:space="preserve">.</w:t>
      </w:r>
    </w:p>
    <w:p>
      <w:pPr>
        <w:numPr>
          <w:ilvl w:val="0"/>
          <w:numId w:val="1167"/>
        </w:numPr>
        <w:pStyle w:val="Compact"/>
      </w:pPr>
      <w:r>
        <w:rPr>
          <w:bCs/>
          <w:b/>
        </w:rPr>
        <w:t xml:space="preserve">Origine:</w:t>
      </w:r>
      <w:r>
        <w:t xml:space="preserve"> </w:t>
      </w:r>
      <w:r>
        <w:t xml:space="preserve">sviluppata all’inizio degli anni Novanta come variante del GHRP-6; gran parte della ricerca clinica proviene da centri universitari italiani.</w:t>
      </w:r>
    </w:p>
    <w:p>
      <w:pPr>
        <w:numPr>
          <w:ilvl w:val="0"/>
          <w:numId w:val="1167"/>
        </w:numPr>
        <w:pStyle w:val="Compact"/>
      </w:pPr>
      <w:r>
        <w:rPr>
          <w:bCs/>
          <w:b/>
        </w:rPr>
        <w:t xml:space="preserve">Principio d’azione:</w:t>
      </w:r>
      <w:r>
        <w:t xml:space="preserve"> </w:t>
      </w:r>
      <w:r>
        <w:t xml:space="preserve">agonista del recettore della grelina (GHS-R1a); rilascia ormone della crescita, ACTH, cortisolo e prolattina. Inoltre l’exarelina si lega al recettore CD36 nel tessuto cardiaco, tramite il quale si ipotizzano effetti cardiaci indipendenti dal GH</w:t>
      </w:r>
      <w:r>
        <w:rPr>
          <w:rStyle w:val="FootnoteReference"/>
        </w:rPr>
        <w:footnoteReference w:id="1427"/>
      </w:r>
      <w:r>
        <w:t xml:space="preserve">.</w:t>
      </w:r>
    </w:p>
    <w:p>
      <w:pPr>
        <w:numPr>
          <w:ilvl w:val="0"/>
          <w:numId w:val="1167"/>
        </w:numPr>
        <w:pStyle w:val="Compact"/>
      </w:pPr>
      <w:r>
        <w:rPr>
          <w:bCs/>
          <w:b/>
        </w:rPr>
        <w:t xml:space="preserve">Autorizzazione UE:</w:t>
      </w:r>
      <w:r>
        <w:t xml:space="preserve"> </w:t>
      </w:r>
      <w:r>
        <w:t xml:space="preserve">no.</w:t>
      </w:r>
      <w:r>
        <w:t xml:space="preserve"> </w:t>
      </w:r>
      <w:r>
        <w:rPr>
          <w:bCs/>
          <w:b/>
        </w:rPr>
        <w:t xml:space="preserve">Autorizzazione USA:</w:t>
      </w:r>
      <w:r>
        <w:t xml:space="preserve"> </w:t>
      </w:r>
      <w:r>
        <w:t xml:space="preserve">no.</w:t>
      </w:r>
    </w:p>
    <w:p>
      <w:pPr>
        <w:numPr>
          <w:ilvl w:val="0"/>
          <w:numId w:val="1167"/>
        </w:numPr>
        <w:pStyle w:val="Compact"/>
      </w:pPr>
      <w:r>
        <w:rPr>
          <w:bCs/>
          <w:b/>
        </w:rPr>
        <w:t xml:space="preserve">WADA:</w:t>
      </w:r>
      <w:r>
        <w:t xml:space="preserve"> </w:t>
      </w:r>
      <w:r>
        <w:t xml:space="preserve">vietata, classe S2; l’exarelina è espressamente citata come peptide che rilascia l’ormone della crescita.</w:t>
      </w:r>
    </w:p>
    <w:p>
      <w:pPr>
        <w:numPr>
          <w:ilvl w:val="0"/>
          <w:numId w:val="1167"/>
        </w:numPr>
        <w:pStyle w:val="Compact"/>
      </w:pPr>
      <w:r>
        <w:rPr>
          <w:bCs/>
          <w:b/>
        </w:rPr>
        <w:t xml:space="preserve">Livello di evidenza: C</w:t>
      </w:r>
      <w:r>
        <w:t xml:space="preserve"> </w:t>
      </w:r>
      <w:r>
        <w:t xml:space="preserve">– numerosi piccoli studi, molti dei quali randomizzati, ma quasi esclusivamente con somministrazioni singole e parametri ormonali o di fisiologia circolatoria; nessuno studio su un endpoint clinico.</w:t>
      </w:r>
    </w:p>
    <w:bookmarkEnd w:id="1428"/>
    <w:bookmarkStart w:id="1430" w:name="come-dovrebbe-agire-29"/>
    <w:p>
      <w:pPr>
        <w:pStyle w:val="Heading3"/>
      </w:pPr>
      <w:r>
        <w:t xml:space="preserve">Come dovrebbe agire</w:t>
      </w:r>
    </w:p>
    <w:p>
      <w:pPr>
        <w:pStyle w:val="FirstParagraph"/>
      </w:pPr>
      <w:r>
        <w:t xml:space="preserve">Come GHRP-6 e GHRP-2, l’exarelina imita l’ormone gastrico grelina e stimola così la secrezione dell’ormone della crescita. Il suo effetto dipende da una connessione intatta tra diencefalo e ipofisi: in bambini e adulti nei quali questa connessione era interrotta anatomicamente, la risposta del GH era assente o fortemente attenuata, mentre nel deficit idiopatico era marcata</w:t>
      </w:r>
      <w:r>
        <w:rPr>
          <w:rStyle w:val="FootnoteReference"/>
        </w:rPr>
        <w:footnoteReference w:id="1429"/>
      </w:r>
      <w:r>
        <w:t xml:space="preserve">.</w:t>
      </w:r>
    </w:p>
    <w:p>
      <w:pPr>
        <w:pStyle w:val="BodyText"/>
      </w:pPr>
      <w:r>
        <w:t xml:space="preserve">La seconda idea, autonoma, riguarda il cuore. I recettori della grelina e la molecola scavenger CD36 sono presenti anche nel muscolo cardiaco. L’exarelina potrebbe quindi aumentare direttamente la forza di pompa del cuore, un possibile approccio nell’insufficienza cardiaca, indipendente dall’ormone della crescita.</w:t>
      </w:r>
    </w:p>
    <w:bookmarkEnd w:id="1430"/>
    <w:bookmarkStart w:id="1444" w:name="studi-sulluomo-29"/>
    <w:p>
      <w:pPr>
        <w:pStyle w:val="Heading3"/>
      </w:pPr>
      <w:r>
        <w:t xml:space="preserve">Studi sull’uomo</w:t>
      </w:r>
    </w:p>
    <w:p>
      <w:pPr>
        <w:pStyle w:val="FirstParagraph"/>
      </w:pPr>
      <w:r>
        <w:rPr>
          <w:bCs/>
          <w:b/>
        </w:rPr>
        <w:t xml:space="preserve">Dimensioni della letteratura (ricerca di ottobre 2026):</w:t>
      </w:r>
      <w:r>
        <w:t xml:space="preserve"> </w:t>
      </w:r>
      <w:r>
        <w:t xml:space="preserve">la ricerca automatizzata di questo libro ha trovato</w:t>
      </w:r>
      <w:r>
        <w:t xml:space="preserve"> </w:t>
      </w:r>
      <w:r>
        <w:rPr>
          <w:bCs/>
          <w:b/>
        </w:rPr>
        <w:t xml:space="preserve">58</w:t>
      </w:r>
      <w:r>
        <w:t xml:space="preserve"> </w:t>
      </w:r>
      <w:r>
        <w:t xml:space="preserve">studi sull’uomo in PubMed (</w:t>
      </w:r>
      <w:r>
        <w:rPr>
          <w:rStyle w:val="VerbatimChar"/>
        </w:rPr>
        <w:t xml:space="preserve">humanstudien_alle</w:t>
      </w:r>
      <w:r>
        <w:t xml:space="preserve">) e</w:t>
      </w:r>
      <w:r>
        <w:t xml:space="preserve"> </w:t>
      </w:r>
      <w:r>
        <w:rPr>
          <w:bCs/>
          <w:b/>
        </w:rPr>
        <w:t xml:space="preserve">nessuna</w:t>
      </w:r>
      <w:r>
        <w:t xml:space="preserve"> </w:t>
      </w:r>
      <w:r>
        <w:t xml:space="preserve">voce su ClinicalTrials.gov. La maggior parte degli studi risale agli anni dal 1994 al 2004 ed esamina, con somministrazioni singole, come la risposta ormonale dipenda da età, sesso, alimentazione, farmaci o malattie. Alcune voci dell’elenco si occupano principalmente di grelina o GHRP-6 e usano l’exarelina solo come confronto.</w:t>
      </w:r>
    </w:p>
    <w:bookmarkStart w:id="1434" w:name="effetto-ormonale-e-dose"/>
    <w:p>
      <w:pPr>
        <w:pStyle w:val="Heading4"/>
      </w:pPr>
      <w:r>
        <w:t xml:space="preserve">Effetto ormonale e dose</w:t>
      </w:r>
    </w:p>
    <w:p>
      <w:pPr>
        <w:pStyle w:val="FirstParagraph"/>
      </w:pPr>
      <w:r>
        <w:t xml:space="preserve">In uno studio in doppio cieco e controllato con placebo su dodici uomini sani, l’ormone della crescita è aumentato in modo dose-dipendente dopo somministrazione endovenosa, con un picco dopo circa 30 minuti e ritorno al valore iniziale entro quattro ore</w:t>
      </w:r>
      <w:r>
        <w:rPr>
          <w:rStyle w:val="FootnoteReference"/>
        </w:rPr>
        <w:footnoteReference w:id="1431"/>
      </w:r>
      <w:r>
        <w:t xml:space="preserve">. L’exarelina ha rilasciato in modo dose-dipendente anche prolattina e cortisolo; in combinazione con il GHRH una bassa dose di exarelina è bastata per una massiccia secrezione di GH senza aumento del cortisolo</w:t>
      </w:r>
      <w:r>
        <w:rPr>
          <w:rStyle w:val="FootnoteReference"/>
        </w:rPr>
        <w:footnoteReference w:id="1432"/>
      </w:r>
      <w:r>
        <w:t xml:space="preserve">. L’attivazione dell’asse degli ormoni dello stress passa evidentemente per il diencefalo; in uno studio con 15 giovani uomini l’exarelina ha anche aumentato a breve termine l’appetito</w:t>
      </w:r>
      <w:r>
        <w:rPr>
          <w:rStyle w:val="FootnoteReference"/>
        </w:rPr>
        <w:footnoteReference w:id="1433"/>
      </w:r>
      <w:r>
        <w:t xml:space="preserve">.</w:t>
      </w:r>
    </w:p>
    <w:bookmarkEnd w:id="1434"/>
    <w:bookmarkStart w:id="1439" w:name="Xf625b82fbdea798a8f45e4908d706c3b43321ce"/>
    <w:p>
      <w:pPr>
        <w:pStyle w:val="Heading4"/>
      </w:pPr>
      <w:r>
        <w:t xml:space="preserve">Somministrazione prolungata: l’effetto diminuisce</w:t>
      </w:r>
    </w:p>
    <w:p>
      <w:pPr>
        <w:pStyle w:val="FirstParagraph"/>
      </w:pPr>
      <w:r>
        <w:t xml:space="preserve">Decisivo per una terapia è se l’effetto persiste con somministrazioni ripetute. In adulti che per 16 settimane si sono iniettati sotto la pelle exarelina due volte al giorno, la risposta del GH è diminuita nettamente e si è ripresa solo quattro settimane dopo la sospensione. IGF-1, grasso corporeo, massa muscolare e densità ossea non sono cambiati in modo significativo</w:t>
      </w:r>
      <w:r>
        <w:rPr>
          <w:rStyle w:val="FootnoteReference"/>
        </w:rPr>
        <w:footnoteReference w:id="1435"/>
      </w:r>
      <w:r>
        <w:t xml:space="preserve">. Nello stesso studio anche la risposta del cortisolo si è temporaneamente attenuata</w:t>
      </w:r>
      <w:r>
        <w:rPr>
          <w:rStyle w:val="FootnoteReference"/>
        </w:rPr>
        <w:footnoteReference w:id="1436"/>
      </w:r>
      <w:r>
        <w:t xml:space="preserve">.</w:t>
      </w:r>
    </w:p>
    <w:p>
      <w:pPr>
        <w:pStyle w:val="BodyText"/>
      </w:pPr>
      <w:r>
        <w:t xml:space="preserve">Nei bambini di bassa statura il quadro era un po’ più favorevole: con lo spray nasale la velocità di crescita di otto bambini è aumentata da 5,3 a 8,3 cm all’anno, e l’IGF-1 è aumentato</w:t>
      </w:r>
      <w:r>
        <w:rPr>
          <w:rStyle w:val="FootnoteReference"/>
        </w:rPr>
        <w:footnoteReference w:id="1437"/>
      </w:r>
      <w:r>
        <w:t xml:space="preserve">. Uno studio successivo con sette bambini ha mostrato che la risposta del GH dell’ipofisi si era già circa dimezzata dopo sette giorni, ma la crescita più rapida continuava comunque</w:t>
      </w:r>
      <w:r>
        <w:rPr>
          <w:rStyle w:val="FootnoteReference"/>
        </w:rPr>
        <w:footnoteReference w:id="1438"/>
      </w:r>
      <w:r>
        <w:t xml:space="preserve">.</w:t>
      </w:r>
    </w:p>
    <w:bookmarkEnd w:id="1439"/>
    <w:bookmarkStart w:id="1443" w:name="effetti-cardiaci"/>
    <w:p>
      <w:pPr>
        <w:pStyle w:val="Heading4"/>
      </w:pPr>
      <w:r>
        <w:t xml:space="preserve">Effetti cardiaci</w:t>
      </w:r>
    </w:p>
    <w:p>
      <w:pPr>
        <w:pStyle w:val="FirstParagraph"/>
      </w:pPr>
      <w:r>
        <w:t xml:space="preserve">Diversi piccoli studi di un gruppo di lavoro italiano hanno esaminato il cuore:</w:t>
      </w:r>
    </w:p>
    <w:p>
      <w:pPr>
        <w:numPr>
          <w:ilvl w:val="0"/>
          <w:numId w:val="1168"/>
        </w:numPr>
        <w:pStyle w:val="Compact"/>
      </w:pPr>
      <w:r>
        <w:t xml:space="preserve">In sette uomini con deficit di ormone della crescita e nove persone sane di controllo, la frazione di eiezione ventricolare sinistra (la quota di sangue che il ventricolo sinistro espelle a ogni battito) è aumentata in entrambi i gruppi dopo una singola somministrazione di exarelina, sebbene i pazienti secernessero pochissimo ormone della crescita. Gli autori ne deducono un effetto indipendente dal GH</w:t>
      </w:r>
      <w:r>
        <w:rPr>
          <w:rStyle w:val="FootnoteReference"/>
        </w:rPr>
        <w:footnoteReference w:id="1440"/>
      </w:r>
      <w:r>
        <w:t xml:space="preserve">.</w:t>
      </w:r>
    </w:p>
    <w:p>
      <w:pPr>
        <w:numPr>
          <w:ilvl w:val="0"/>
          <w:numId w:val="1168"/>
        </w:numPr>
        <w:pStyle w:val="Compact"/>
      </w:pPr>
      <w:r>
        <w:t xml:space="preserve">In pazienti con grave cardiomiopatia dilatativa questo effetto è invece mancato</w:t>
      </w:r>
      <w:r>
        <w:rPr>
          <w:rStyle w:val="FootnoteReference"/>
        </w:rPr>
        <w:footnoteReference w:id="1441"/>
      </w:r>
      <w:r>
        <w:t xml:space="preserve">.</w:t>
      </w:r>
    </w:p>
    <w:p>
      <w:pPr>
        <w:numPr>
          <w:ilvl w:val="0"/>
          <w:numId w:val="1168"/>
        </w:numPr>
        <w:pStyle w:val="Compact"/>
      </w:pPr>
      <w:r>
        <w:t xml:space="preserve">In 24 uomini con cardiopatia coronarica durante un intervento di bypass, l’exarelina ha aumentato frazione di eiezione e gittata cardiaca fino a 90 minuti, mentre GHRH, ormone della crescita e placebo non hanno avuto effetto</w:t>
      </w:r>
      <w:r>
        <w:rPr>
          <w:rStyle w:val="FootnoteReference"/>
        </w:rPr>
        <w:footnoteReference w:id="1442"/>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Ricerca della dose (Imbimbo 1994), PMID 7957536</w:t>
            </w:r>
          </w:p>
        </w:tc>
        <w:tc>
          <w:tcPr/>
          <w:p>
            <w:pPr>
              <w:pStyle w:val="Compact"/>
              <w:jc w:val="left"/>
            </w:pPr>
            <w:r>
              <w:t xml:space="preserve">12 uomini sani, doppio cieco, placebo, dosi crescenti</w:t>
            </w:r>
          </w:p>
        </w:tc>
        <w:tc>
          <w:tcPr/>
          <w:p>
            <w:pPr>
              <w:pStyle w:val="Compact"/>
              <w:jc w:val="left"/>
            </w:pPr>
            <w:r>
              <w:t xml:space="preserve">somministrazioni singole</w:t>
            </w:r>
          </w:p>
        </w:tc>
        <w:tc>
          <w:tcPr/>
          <w:p>
            <w:pPr>
              <w:pStyle w:val="Compact"/>
              <w:jc w:val="left"/>
            </w:pPr>
            <w:r>
              <w:t xml:space="preserve">picco di GH dopo circa 30 min, dose-dipendente</w:t>
            </w:r>
          </w:p>
        </w:tc>
      </w:tr>
      <w:tr>
        <w:tc>
          <w:tcPr/>
          <w:p>
            <w:pPr>
              <w:pStyle w:val="Compact"/>
              <w:jc w:val="left"/>
            </w:pPr>
            <w:r>
              <w:t xml:space="preserve">Somministrazione prolungata (Rahim 1998), PMID 9589671</w:t>
            </w:r>
          </w:p>
        </w:tc>
        <w:tc>
          <w:tcPr/>
          <w:p>
            <w:pPr>
              <w:pStyle w:val="Compact"/>
              <w:jc w:val="left"/>
            </w:pPr>
            <w:r>
              <w:t xml:space="preserve">adulti, senza gruppo di controllo</w:t>
            </w:r>
          </w:p>
        </w:tc>
        <w:tc>
          <w:tcPr/>
          <w:p>
            <w:pPr>
              <w:pStyle w:val="Compact"/>
              <w:jc w:val="left"/>
            </w:pPr>
            <w:r>
              <w:t xml:space="preserve">16 settimane</w:t>
            </w:r>
          </w:p>
        </w:tc>
        <w:tc>
          <w:tcPr/>
          <w:p>
            <w:pPr>
              <w:pStyle w:val="Compact"/>
              <w:jc w:val="left"/>
            </w:pPr>
            <w:r>
              <w:t xml:space="preserve">risposta del GH attenuata; IGF-1 e composizione corporea invariati</w:t>
            </w:r>
          </w:p>
        </w:tc>
      </w:tr>
      <w:tr>
        <w:tc>
          <w:tcPr/>
          <w:p>
            <w:pPr>
              <w:pStyle w:val="Compact"/>
              <w:jc w:val="left"/>
            </w:pPr>
            <w:r>
              <w:t xml:space="preserve">Bambini, spray nasale (Laron 1995), PMID 8548949</w:t>
            </w:r>
          </w:p>
        </w:tc>
        <w:tc>
          <w:tcPr/>
          <w:p>
            <w:pPr>
              <w:pStyle w:val="Compact"/>
              <w:jc w:val="left"/>
            </w:pPr>
            <w:r>
              <w:t xml:space="preserve">8 bambini di bassa statura, senza gruppo di controllo</w:t>
            </w:r>
          </w:p>
        </w:tc>
        <w:tc>
          <w:tcPr/>
          <w:p>
            <w:pPr>
              <w:pStyle w:val="Compact"/>
              <w:jc w:val="left"/>
            </w:pPr>
            <w:r>
              <w:t xml:space="preserve">fino a 8 mesi</w:t>
            </w:r>
          </w:p>
        </w:tc>
        <w:tc>
          <w:tcPr/>
          <w:p>
            <w:pPr>
              <w:pStyle w:val="Compact"/>
              <w:jc w:val="left"/>
            </w:pPr>
            <w:r>
              <w:t xml:space="preserve">crescita 5,3 → 8,3 cm/anno</w:t>
            </w:r>
          </w:p>
        </w:tc>
      </w:tr>
      <w:tr>
        <w:tc>
          <w:tcPr/>
          <w:p>
            <w:pPr>
              <w:pStyle w:val="Compact"/>
              <w:jc w:val="left"/>
            </w:pPr>
            <w:r>
              <w:t xml:space="preserve">Cuore, deficit di GH (Bisi 1999), PMID 10528131</w:t>
            </w:r>
          </w:p>
        </w:tc>
        <w:tc>
          <w:tcPr/>
          <w:p>
            <w:pPr>
              <w:pStyle w:val="Compact"/>
              <w:jc w:val="left"/>
            </w:pPr>
            <w:r>
              <w:t xml:space="preserve">7 uomini con deficit di GH, 9 persone sane</w:t>
            </w:r>
          </w:p>
        </w:tc>
        <w:tc>
          <w:tcPr/>
          <w:p>
            <w:pPr>
              <w:pStyle w:val="Compact"/>
              <w:jc w:val="left"/>
            </w:pPr>
            <w:r>
              <w:t xml:space="preserve">somministrazione singola</w:t>
            </w:r>
          </w:p>
        </w:tc>
        <w:tc>
          <w:tcPr/>
          <w:p>
            <w:pPr>
              <w:pStyle w:val="Compact"/>
              <w:jc w:val="left"/>
            </w:pPr>
            <w:r>
              <w:t xml:space="preserve">frazione di eiezione 50 → 57% e 63 → 70%</w:t>
            </w:r>
          </w:p>
        </w:tc>
      </w:tr>
      <w:tr>
        <w:tc>
          <w:tcPr/>
          <w:p>
            <w:pPr>
              <w:pStyle w:val="Compact"/>
              <w:jc w:val="left"/>
            </w:pPr>
            <w:r>
              <w:t xml:space="preserve">Cuore, intervento di bypass (Broglio 2002), PMID 12144941</w:t>
            </w:r>
          </w:p>
        </w:tc>
        <w:tc>
          <w:tcPr/>
          <w:p>
            <w:pPr>
              <w:pStyle w:val="Compact"/>
              <w:jc w:val="left"/>
            </w:pPr>
            <w:r>
              <w:t xml:space="preserve">24 uomini con cardiopatia coronarica, confronto con GHRH, GH, placebo</w:t>
            </w:r>
          </w:p>
        </w:tc>
        <w:tc>
          <w:tcPr/>
          <w:p>
            <w:pPr>
              <w:pStyle w:val="Compact"/>
              <w:jc w:val="left"/>
            </w:pPr>
            <w:r>
              <w:t xml:space="preserve">somministrazione singola</w:t>
            </w:r>
          </w:p>
        </w:tc>
        <w:tc>
          <w:tcPr/>
          <w:p>
            <w:pPr>
              <w:pStyle w:val="Compact"/>
              <w:jc w:val="left"/>
            </w:pPr>
            <w:r>
              <w:t xml:space="preserve">frazione di eiezione e gittata cardiaca ↑</w:t>
            </w:r>
          </w:p>
        </w:tc>
      </w:tr>
    </w:tbl>
    <w:bookmarkEnd w:id="1443"/>
    <w:bookmarkEnd w:id="1444"/>
    <w:bookmarkStart w:id="1448" w:name="studi-su-animali-e-in-laboratorio-29"/>
    <w:p>
      <w:pPr>
        <w:pStyle w:val="Heading3"/>
      </w:pPr>
      <w:r>
        <w:t xml:space="preserve">Studi su animali e in laboratorio</w:t>
      </w:r>
    </w:p>
    <w:p>
      <w:pPr>
        <w:numPr>
          <w:ilvl w:val="0"/>
          <w:numId w:val="1169"/>
        </w:numPr>
        <w:pStyle w:val="Compact"/>
      </w:pPr>
      <w:r>
        <w:rPr>
          <w:bCs/>
          <w:b/>
        </w:rPr>
        <w:t xml:space="preserve">Infarto (ratti, topi):</w:t>
      </w:r>
      <w:r>
        <w:t xml:space="preserve"> </w:t>
      </w:r>
      <w:r>
        <w:t xml:space="preserve">in ratti quattro settimane dopo un infarto indotto artificialmente, l’exarelina ha migliorato nell’arco di due settimane la gittata sistolica e ridotto la resistenza vascolare in modo simile all’ormone della crescita</w:t>
      </w:r>
      <w:r>
        <w:rPr>
          <w:rStyle w:val="FootnoteReference"/>
        </w:rPr>
        <w:footnoteReference w:id="1445"/>
      </w:r>
      <w:r>
        <w:t xml:space="preserve">. In topi dopo infarto ha preservato la funzione di pompa e ridotto la cicatrizzazione del muscolo cardiaco</w:t>
      </w:r>
      <w:r>
        <w:rPr>
          <w:rStyle w:val="FootnoteReference"/>
        </w:rPr>
        <w:footnoteReference w:id="1446"/>
      </w:r>
      <w:r>
        <w:t xml:space="preserve">.</w:t>
      </w:r>
    </w:p>
    <w:p>
      <w:pPr>
        <w:numPr>
          <w:ilvl w:val="0"/>
          <w:numId w:val="1169"/>
        </w:numPr>
        <w:pStyle w:val="Compact"/>
      </w:pPr>
      <w:r>
        <w:rPr>
          <w:bCs/>
          <w:b/>
        </w:rPr>
        <w:t xml:space="preserve">Meccanismo:</w:t>
      </w:r>
      <w:r>
        <w:t xml:space="preserve"> </w:t>
      </w:r>
      <w:r>
        <w:t xml:space="preserve">una rassegna descrive il CD36 come recettore cardiaco specifico per l’exarelina, che dovrebbe mediarne gli effetti protettivi</w:t>
      </w:r>
      <w:r>
        <w:rPr>
          <w:rStyle w:val="FootnoteReference"/>
        </w:rPr>
        <w:footnoteReference w:id="1447"/>
      </w:r>
      <w:r>
        <w:t xml:space="preserve">.</w:t>
      </w:r>
    </w:p>
    <w:bookmarkEnd w:id="1448"/>
    <w:bookmarkStart w:id="1453" w:name="rischi-ed-effetti-collaterali-29"/>
    <w:p>
      <w:pPr>
        <w:pStyle w:val="Heading3"/>
      </w:pPr>
      <w:r>
        <w:t xml:space="preserve">Rischi ed effetti collaterali</w:t>
      </w:r>
    </w:p>
    <w:p>
      <w:pPr>
        <w:pStyle w:val="FirstParagraph"/>
      </w:pPr>
      <w:r>
        <w:rPr>
          <w:bCs/>
          <w:b/>
        </w:rPr>
        <w:t xml:space="preserve">Documentati:</w:t>
      </w:r>
      <w:r>
        <w:t xml:space="preserve"> </w:t>
      </w:r>
      <w:r>
        <w:t xml:space="preserve">aumento di cortisolo, ACTH e prolattina</w:t>
      </w:r>
      <w:r>
        <w:rPr>
          <w:rStyle w:val="FootnoteReference"/>
        </w:rPr>
        <w:footnoteReference w:id="1449"/>
      </w:r>
      <w:r>
        <w:t xml:space="preserve">; aumento dell’appetito a breve termine</w:t>
      </w:r>
      <w:r>
        <w:rPr>
          <w:rStyle w:val="FootnoteReference"/>
        </w:rPr>
        <w:footnoteReference w:id="1450"/>
      </w:r>
      <w:r>
        <w:t xml:space="preserve">; calo dell’effetto con la somministrazione continuativa</w:t>
      </w:r>
      <w:r>
        <w:rPr>
          <w:rStyle w:val="FootnoteReference"/>
        </w:rPr>
        <w:footnoteReference w:id="1451"/>
      </w:r>
      <w:r>
        <w:t xml:space="preserve">. Nei piccoli studi non sono stati riportati effetti collaterali gravi; nei bambini gli autori non hanno rilevato effetti indesiderati</w:t>
      </w:r>
      <w:r>
        <w:rPr>
          <w:rStyle w:val="FootnoteReference"/>
        </w:rPr>
        <w:footnoteReference w:id="1452"/>
      </w:r>
      <w:r>
        <w:t xml:space="preserve">.</w:t>
      </w:r>
    </w:p>
    <w:p>
      <w:pPr>
        <w:pStyle w:val="BodyText"/>
      </w:pPr>
      <w:r>
        <w:rPr>
          <w:bCs/>
          <w:b/>
        </w:rPr>
        <w:t xml:space="preserve">Sconosciuti:</w:t>
      </w:r>
      <w:r>
        <w:t xml:space="preserve"> </w:t>
      </w:r>
      <w:r>
        <w:t xml:space="preserve">mancano dati a lungo termine sulla sicurezza, in particolare sul cuore. Che una sostanza aumenti in acuto la forza di pompa non dice nulla sul fatto che nell’insufficienza cardiaca sia utile o dannosa a lungo termine; lo si potrebbe chiarire solo con appositi studi a lungo termine con endpoint clinici, che non esistono. Sulla questione di un rischio di cancro con ormone della crescita costantemente elevato si veda l’introduzione di questo gruppo e la Parte IV.</w:t>
      </w:r>
    </w:p>
    <w:bookmarkEnd w:id="1453"/>
    <w:bookmarkStart w:id="1455" w:name="quadro-normativo-29"/>
    <w:p>
      <w:pPr>
        <w:pStyle w:val="Heading3"/>
      </w:pPr>
      <w:r>
        <w:t xml:space="preserve">Quadro normativo</w:t>
      </w:r>
    </w:p>
    <w:p>
      <w:pPr>
        <w:pStyle w:val="FirstParagraph"/>
      </w:pPr>
      <w:r>
        <w:rPr>
          <w:iCs/>
          <w:i/>
        </w:rPr>
        <w:t xml:space="preserve">Aggiornato al 2026, da verificare.</w:t>
      </w:r>
    </w:p>
    <w:p>
      <w:pPr>
        <w:numPr>
          <w:ilvl w:val="0"/>
          <w:numId w:val="1170"/>
        </w:numPr>
        <w:pStyle w:val="Compact"/>
      </w:pPr>
      <w:r>
        <w:rPr>
          <w:bCs/>
          <w:b/>
        </w:rPr>
        <w:t xml:space="preserve">UE, Germania, Austria, USA:</w:t>
      </w:r>
      <w:r>
        <w:t xml:space="preserve"> </w:t>
      </w:r>
      <w:r>
        <w:t xml:space="preserve">nessuna autorizzazione come medicinale; la cessione per uso umano non è consentita.</w:t>
      </w:r>
    </w:p>
    <w:p>
      <w:pPr>
        <w:numPr>
          <w:ilvl w:val="0"/>
          <w:numId w:val="1170"/>
        </w:numPr>
        <w:pStyle w:val="Compact"/>
      </w:pPr>
      <w:r>
        <w:rPr>
          <w:bCs/>
          <w:b/>
        </w:rPr>
        <w:t xml:space="preserve">WADA:</w:t>
      </w:r>
      <w:r>
        <w:t xml:space="preserve"> </w:t>
      </w:r>
      <w:r>
        <w:t xml:space="preserve">vietata (S2). L’exarelina viene ampiamente degradata nell’organismo; i prodotti di degradazione restano rilevabili nelle urine dopo la scomparsa della sostanza di partenza</w:t>
      </w:r>
      <w:r>
        <w:rPr>
          <w:rStyle w:val="FootnoteReference"/>
        </w:rPr>
        <w:footnoteReference w:id="1454"/>
      </w:r>
      <w:r>
        <w:t xml:space="preserve">.</w:t>
      </w:r>
    </w:p>
    <w:bookmarkEnd w:id="1455"/>
    <w:bookmarkStart w:id="1456" w:name="studi-in-corso-e-prospettive-29"/>
    <w:p>
      <w:pPr>
        <w:pStyle w:val="Heading3"/>
      </w:pPr>
      <w:r>
        <w:t xml:space="preserve">Studi in corso e prospettive</w:t>
      </w:r>
    </w:p>
    <w:p>
      <w:pPr>
        <w:pStyle w:val="FirstParagraph"/>
      </w:pPr>
      <w:r>
        <w:t xml:space="preserve">Su ClinicalTrials.gov a ottobre 2026 non è registrato alcuno studio con exarelina.</w:t>
      </w:r>
      <w:r>
        <w:t xml:space="preserve"> </w:t>
      </w:r>
      <w:r>
        <w:rPr>
          <w:iCs/>
          <w:i/>
        </w:rPr>
        <w:t xml:space="preserve">Valutazione dell’autore:</w:t>
      </w:r>
      <w:r>
        <w:t xml:space="preserve"> </w:t>
      </w:r>
      <w:r>
        <w:t xml:space="preserve">la ricerca sul cuore prosegue, ma solo nel modello animale. Uno sviluppo clinico presupporrebbe un’azienda che detenga i diritti e finanzi gli studi, e al momento non se ne vede alcuna.</w:t>
      </w:r>
    </w:p>
    <w:bookmarkEnd w:id="1456"/>
    <w:bookmarkStart w:id="1457" w:name="conclusione-29"/>
    <w:p>
      <w:pPr>
        <w:pStyle w:val="Heading3"/>
      </w:pPr>
      <w:r>
        <w:t xml:space="preserve">Conclusione</w:t>
      </w:r>
    </w:p>
    <w:p>
      <w:pPr>
        <w:pStyle w:val="FirstParagraph"/>
      </w:pPr>
      <w:r>
        <w:t xml:space="preserve">L’exarelina rilascia nell’uomo grandi quantità di ormone della crescita, ma anche ormoni dello stress e prolattina, e con la somministrazione continuativa l’effetto diminuisce nettamente; in uno studio di 16 settimane IGF-1 e composizione corporea non sono cambiati. Interessanti sono piccoli studi in cui una singola somministrazione ha aumentato la forza di pompa del cuore, apparentemente indipendentemente dall’ormone della crescita. Se ne deriverà mai un beneficio per le persone con malattie cardiache è del tutto aperto; per crescita muscolare o ringiovanimento non esistono prove.</w:t>
      </w:r>
    </w:p>
    <w:bookmarkEnd w:id="1457"/>
    <w:bookmarkEnd w:id="1458"/>
    <w:bookmarkStart w:id="1490" w:name="macimorelina"/>
    <w:p>
      <w:pPr>
        <w:pStyle w:val="Heading2"/>
      </w:pPr>
      <w:r>
        <w:t xml:space="preserve">Macimorelina</w:t>
      </w:r>
    </w:p>
    <w:p>
      <w:pPr>
        <w:pStyle w:val="FirstParagraph"/>
      </w:pPr>
      <w:r>
        <w:t xml:space="preserve">La macimorelina è il membro più sobrio di questo gruppo, e proprio per questo un buon controesempio rispetto ai peptidi del mercato grigio. Non viene usata per il trattamento, ma come test: una persona beve una soluzione contenente macimorelina, poi le viene prelevato il sangue più volte. Se l’ormone della crescita aumenta appena, ciò depone per un deficit di ormone della crescita. Per questo impiego la macimorelina è autorizzata negli Stati Uniti e nell’UE. È un esempio di come un mimetico della grelina, con studi comparativi rigorosi, possa diventare un vero medicinale.</w:t>
      </w:r>
    </w:p>
    <w:bookmarkStart w:id="1460" w:name="scheda-30"/>
    <w:p>
      <w:pPr>
        <w:pStyle w:val="Heading3"/>
      </w:pPr>
      <w:r>
        <w:t xml:space="preserve">Scheda</w:t>
      </w:r>
    </w:p>
    <w:p>
      <w:pPr>
        <w:numPr>
          <w:ilvl w:val="0"/>
          <w:numId w:val="1171"/>
        </w:numPr>
        <w:pStyle w:val="Compact"/>
      </w:pPr>
      <w:r>
        <w:rPr>
          <w:bCs/>
          <w:b/>
        </w:rPr>
        <w:t xml:space="preserve">Tipo e struttura:</w:t>
      </w:r>
      <w:r>
        <w:t xml:space="preserve"> </w:t>
      </w:r>
      <w:r>
        <w:t xml:space="preserve">piccola molecola simile a un peptide (peptidomimetico), attiva dopo l’ingestione</w:t>
      </w:r>
      <w:r>
        <w:rPr>
          <w:rStyle w:val="FootnoteReference"/>
        </w:rPr>
        <w:footnoteReference w:id="1459"/>
      </w:r>
      <w:r>
        <w:t xml:space="preserve">. Denominazioni precedenti: EP01572, ARD-07, AEZS-130.</w:t>
      </w:r>
    </w:p>
    <w:p>
      <w:pPr>
        <w:numPr>
          <w:ilvl w:val="0"/>
          <w:numId w:val="1171"/>
        </w:numPr>
        <w:pStyle w:val="Compact"/>
      </w:pPr>
      <w:r>
        <w:rPr>
          <w:bCs/>
          <w:b/>
        </w:rPr>
        <w:t xml:space="preserve">Origine:</w:t>
      </w:r>
      <w:r>
        <w:t xml:space="preserve"> </w:t>
      </w:r>
      <w:r>
        <w:t xml:space="preserve">sviluppata dalla ricerca sui secretagoghi dell’ormone della crescita attivi per via orale; autorizzata su domanda di Aeterna Zentaris.</w:t>
      </w:r>
    </w:p>
    <w:p>
      <w:pPr>
        <w:numPr>
          <w:ilvl w:val="0"/>
          <w:numId w:val="1171"/>
        </w:numPr>
        <w:pStyle w:val="Compact"/>
      </w:pPr>
      <w:r>
        <w:rPr>
          <w:bCs/>
          <w:b/>
        </w:rPr>
        <w:t xml:space="preserve">Principio d’azione:</w:t>
      </w:r>
      <w:r>
        <w:t xml:space="preserve"> </w:t>
      </w:r>
      <w:r>
        <w:t xml:space="preserve">agonista del recettore della grelina (GHS-R1a); provoca un’unica secrezione di ormone della crescita, la cui entità riflette la capacità funzionale dell’ipofisi.</w:t>
      </w:r>
    </w:p>
    <w:p>
      <w:pPr>
        <w:numPr>
          <w:ilvl w:val="0"/>
          <w:numId w:val="1171"/>
        </w:numPr>
        <w:pStyle w:val="Compact"/>
      </w:pPr>
      <w:r>
        <w:rPr>
          <w:bCs/>
          <w:b/>
        </w:rPr>
        <w:t xml:space="preserve">Autorizzazione USA:</w:t>
      </w:r>
      <w:r>
        <w:t xml:space="preserve"> </w:t>
      </w:r>
      <w:r>
        <w:t xml:space="preserve">sì (Macrilen, dal 2017) per la diagnosi del deficit di ormone della crescita negli adulti.</w:t>
      </w:r>
      <w:r>
        <w:t xml:space="preserve"> </w:t>
      </w:r>
      <w:r>
        <w:rPr>
          <w:bCs/>
          <w:b/>
        </w:rPr>
        <w:t xml:space="preserve">Autorizzazione UE:</w:t>
      </w:r>
      <w:r>
        <w:t xml:space="preserve"> </w:t>
      </w:r>
      <w:r>
        <w:t xml:space="preserve">sì (autorizzazione centralizzata nel 2019) per la stessa indicazione. Sulla disponibilità attuale nei singoli Paesi si veda più avanti.</w:t>
      </w:r>
    </w:p>
    <w:p>
      <w:pPr>
        <w:numPr>
          <w:ilvl w:val="0"/>
          <w:numId w:val="1171"/>
        </w:numPr>
        <w:pStyle w:val="Compact"/>
      </w:pPr>
      <w:r>
        <w:rPr>
          <w:bCs/>
          <w:b/>
        </w:rPr>
        <w:t xml:space="preserve">WADA:</w:t>
      </w:r>
      <w:r>
        <w:t xml:space="preserve"> </w:t>
      </w:r>
      <w:r>
        <w:t xml:space="preserve">vietata, classe S2 (secretagoghi dell’ormone della crescita; la macimorelina è espressamente citata).</w:t>
      </w:r>
    </w:p>
    <w:p>
      <w:pPr>
        <w:numPr>
          <w:ilvl w:val="0"/>
          <w:numId w:val="1171"/>
        </w:numPr>
        <w:pStyle w:val="Compact"/>
      </w:pPr>
      <w:r>
        <w:rPr>
          <w:bCs/>
          <w:b/>
        </w:rPr>
        <w:t xml:space="preserve">Livello di evidenza: A</w:t>
      </w:r>
      <w:r>
        <w:t xml:space="preserve"> </w:t>
      </w:r>
      <w:r>
        <w:t xml:space="preserve">– due studi di fase 3 sull’accuratezza diagnostica, autorizzazione negli USA e nell’UE. Limitazione: si tratta di un diagnostico, non di una terapia.</w:t>
      </w:r>
    </w:p>
    <w:bookmarkEnd w:id="1460"/>
    <w:bookmarkStart w:id="1461" w:name="come-dovrebbe-agire-30"/>
    <w:p>
      <w:pPr>
        <w:pStyle w:val="Heading3"/>
      </w:pPr>
      <w:r>
        <w:t xml:space="preserve">Come dovrebbe agire</w:t>
      </w:r>
    </w:p>
    <w:p>
      <w:pPr>
        <w:pStyle w:val="FirstParagraph"/>
      </w:pPr>
      <w:r>
        <w:t xml:space="preserve">La diagnosi di un deficit di ormone della crescita negli adulti è difficile. Un singolo valore ematico non basta, perché l’ormone della crescita viene secreto a impulsi. Serve un test di stimolazione: l’ipofisi viene stimolata in modo mirato e si misura quanto ormone della crescita rilascia.</w:t>
      </w:r>
    </w:p>
    <w:p>
      <w:pPr>
        <w:pStyle w:val="BodyText"/>
      </w:pPr>
      <w:r>
        <w:t xml:space="preserve">Il test di riferimento è il test di ipoglicemia insulinica (test di tolleranza all’insulina, ITT). In questo test la glicemia viene abbassata intenzionalmente in modo marcato con l’insulina: è sgradevole, richiede sorveglianza medica e non è consentito in caso di malattie cardiache o crisi convulsive. La macimorelina offre un’alternativa: attiva il recettore della grelina, che provoca direttamente la secrezione dell’ormone della crescita, senza abbassare la glicemia. Poiché viene ingerita, non serve nemmeno un’infusione.</w:t>
      </w:r>
    </w:p>
    <w:bookmarkEnd w:id="1461"/>
    <w:bookmarkStart w:id="1475" w:name="studi-sulluomo-30"/>
    <w:p>
      <w:pPr>
        <w:pStyle w:val="Heading3"/>
      </w:pPr>
      <w:r>
        <w:t xml:space="preserve">Studi sull’uomo</w:t>
      </w:r>
    </w:p>
    <w:p>
      <w:pPr>
        <w:pStyle w:val="FirstParagraph"/>
      </w:pPr>
      <w:r>
        <w:rPr>
          <w:bCs/>
          <w:b/>
        </w:rPr>
        <w:t xml:space="preserve">Dimensioni della letteratura (ricerca di ottobre 2026):</w:t>
      </w:r>
      <w:r>
        <w:t xml:space="preserve"> </w:t>
      </w:r>
      <w:r>
        <w:t xml:space="preserve">la ricerca automatizzata di questo libro ha trovato</w:t>
      </w:r>
      <w:r>
        <w:t xml:space="preserve"> </w:t>
      </w:r>
      <w:r>
        <w:rPr>
          <w:bCs/>
          <w:b/>
        </w:rPr>
        <w:t xml:space="preserve">4</w:t>
      </w:r>
      <w:r>
        <w:t xml:space="preserve"> </w:t>
      </w:r>
      <w:r>
        <w:t xml:space="preserve">studi sull’uomo in PubMed (</w:t>
      </w:r>
      <w:r>
        <w:rPr>
          <w:rStyle w:val="VerbatimChar"/>
        </w:rPr>
        <w:t xml:space="preserve">humanstudien_alle</w:t>
      </w:r>
      <w:r>
        <w:t xml:space="preserve">) e</w:t>
      </w:r>
      <w:r>
        <w:t xml:space="preserve"> </w:t>
      </w:r>
      <w:r>
        <w:rPr>
          <w:bCs/>
          <w:b/>
        </w:rPr>
        <w:t xml:space="preserve">6</w:t>
      </w:r>
      <w:r>
        <w:t xml:space="preserve"> </w:t>
      </w:r>
      <w:r>
        <w:t xml:space="preserve">voci su ClinicalTrials.gov. Una ricerca mirata supplementare ha individuato altri studi, tra cui il primo studio di fase 3, uno studio pediatrico, diversi lavori su persone sane e un’analisi dalla pratica clinica.</w:t>
      </w:r>
    </w:p>
    <w:bookmarkStart w:id="1464" w:name="prima-farmacologia"/>
    <w:p>
      <w:pPr>
        <w:pStyle w:val="Heading4"/>
      </w:pPr>
      <w:r>
        <w:t xml:space="preserve">Prima farmacologia</w:t>
      </w:r>
    </w:p>
    <w:p>
      <w:pPr>
        <w:pStyle w:val="FirstParagraph"/>
      </w:pPr>
      <w:r>
        <w:t xml:space="preserve">Già nel 2007 uno studio con 36 uomini sani ha mostrato che la sostanza (allora EP01572), dopo l’ingestione, passa nel sangue rapidamente e in modo dose-dipendente e rilascia molto ormone della crescita</w:t>
      </w:r>
      <w:r>
        <w:rPr>
          <w:rStyle w:val="FootnoteReference"/>
        </w:rPr>
        <w:footnoteReference w:id="1462"/>
      </w:r>
      <w:r>
        <w:t xml:space="preserve">. In uno studio randomizzato di fase 1 con 28 persone sane l’emivita era di 3,5 ore per le due dosi più basse; il picco di GH si verificava dopo 45-60 minuti. ACTH, cortisolo e prolattina sono aumentati temporaneamente</w:t>
      </w:r>
      <w:r>
        <w:rPr>
          <w:rStyle w:val="FootnoteReference"/>
        </w:rPr>
        <w:footnoteReference w:id="1463"/>
      </w:r>
      <w:r>
        <w:t xml:space="preserve">.</w:t>
      </w:r>
    </w:p>
    <w:bookmarkEnd w:id="1464"/>
    <w:bookmarkStart w:id="1468" w:name="gli-studi-registrativi-1"/>
    <w:p>
      <w:pPr>
        <w:pStyle w:val="Heading4"/>
      </w:pPr>
      <w:r>
        <w:t xml:space="preserve">Gli studi registrativi</w:t>
      </w:r>
    </w:p>
    <w:p>
      <w:pPr>
        <w:pStyle w:val="FirstParagraph"/>
      </w:pPr>
      <w:r>
        <w:rPr>
          <w:bCs/>
          <w:b/>
        </w:rPr>
        <w:t xml:space="preserve">Primo studio di fase 3:</w:t>
      </w:r>
      <w:r>
        <w:t xml:space="preserve"> </w:t>
      </w:r>
      <w:r>
        <w:t xml:space="preserve">in uno studio multicentrico in aperto la macimorelina è stata confrontata con il test combinato allora in uso con arginina e GHRH. Sono stati valutati 50 adulti con deficit di ormone della crescita e 48 persone sane. Il picco di GH era in media di 2,36 ng/ml nei pazienti e di 17,71 ng/ml nelle persone sane. Con un valore soglia di 2,7 ng/ml il test ha raggiunto una sensibilità dell’82% e una specificità del 92%. Come unico effetto collaterale grave correlato al farmaco è stato riportato un prolungamento asintomatico dell’intervallo QT all’ECG. Durante lo studio il preparato di GHRH (sermorelina) è stato ritirato dal mercato negli Stati Uniti, per cui una parte dei partecipanti è stata testata solo con macimorelina</w:t>
      </w:r>
      <w:r>
        <w:rPr>
          <w:rStyle w:val="FootnoteReference"/>
        </w:rPr>
        <w:footnoteReference w:id="1465"/>
      </w:r>
      <w:r>
        <w:t xml:space="preserve">.</w:t>
      </w:r>
    </w:p>
    <w:p>
      <w:pPr>
        <w:pStyle w:val="BodyText"/>
      </w:pPr>
      <w:r>
        <w:rPr>
          <w:bCs/>
          <w:b/>
        </w:rPr>
        <w:t xml:space="preserve">Secondo studio di fase 3 (base dell’autorizzazione):</w:t>
      </w:r>
      <w:r>
        <w:t xml:space="preserve"> </w:t>
      </w:r>
      <w:r>
        <w:t xml:space="preserve">in uno studio randomizzato crossover, adulti con probabilità alta, intermedia e bassa di deficit di ormone della crescita, nonché persone sane di confronto, hanno ricevuto sia il test alla macimorelina sia il test all’insulina. Il 99% dei test alla macimorelina, ma solo l’82% dei test all’insulina, era valutabile. Con i valori soglia di 2,8 ng/ml (macimorelina) e 5,1 ng/ml (ITT) la sensibilità era dell’87% e la specificità del 96%; ripetendo il test, il risultato era identico nel 97% dei casi. Non si sono verificati effetti collaterali gravi dovuti alla macimorelina. Un valore soglia unico di 5,1 ng/ml per entrambi i test ha dato in un’analisi a posteriori una sensibilità del 92% con una specificità del 96%</w:t>
      </w:r>
      <w:r>
        <w:rPr>
          <w:rStyle w:val="FootnoteReference"/>
        </w:rPr>
        <w:footnoteReference w:id="1466"/>
      </w:r>
      <w:r>
        <w:t xml:space="preserve">. Ulteriori analisi hanno mostrato che età, peso corporeo e sesso non influenzavano in modo sostanziale l’accuratezza del test</w:t>
      </w:r>
      <w:r>
        <w:rPr>
          <w:rStyle w:val="FootnoteReference"/>
        </w:rPr>
        <w:footnoteReference w:id="1467"/>
      </w:r>
      <w:r>
        <w:t xml:space="preserve">.</w:t>
      </w:r>
    </w:p>
    <w:bookmarkEnd w:id="1468"/>
    <w:bookmarkStart w:id="1470" w:name="esperienze-dalla-pratica-clinica"/>
    <w:p>
      <w:pPr>
        <w:pStyle w:val="Heading4"/>
      </w:pPr>
      <w:r>
        <w:t xml:space="preserve">Esperienze dalla pratica clinica</w:t>
      </w:r>
    </w:p>
    <w:p>
      <w:pPr>
        <w:pStyle w:val="FirstParagraph"/>
      </w:pPr>
      <w:r>
        <w:t xml:space="preserve">Un’analisi retrospettiva di 37 pazienti di una clinica ha rilevato che con il valore soglia di 2,8 ng/ml autorizzato negli Stati Uniti il 40,5%, con 5,1 ng/ml invece il 54,0%, veniva classificato come affetto da deficit di ormone della crescita. Le classificazioni discordanti riguardavano soprattutto persone con forte sovrappeso e bassa probabilità pre-test</w:t>
      </w:r>
      <w:r>
        <w:rPr>
          <w:rStyle w:val="FootnoteReference"/>
        </w:rPr>
        <w:footnoteReference w:id="1469"/>
      </w:r>
      <w:r>
        <w:t xml:space="preserve">. Ciò mostra che il valore soglia non è banale e che in caso di forte sovrappeso occorre cautela nell’interpretazione.</w:t>
      </w:r>
    </w:p>
    <w:bookmarkEnd w:id="1470"/>
    <w:bookmarkStart w:id="1474" w:name="bambini-e-altri-impieghi"/>
    <w:p>
      <w:pPr>
        <w:pStyle w:val="Heading4"/>
      </w:pPr>
      <w:r>
        <w:t xml:space="preserve">Bambini e altri impieghi</w:t>
      </w:r>
    </w:p>
    <w:p>
      <w:pPr>
        <w:numPr>
          <w:ilvl w:val="0"/>
          <w:numId w:val="1172"/>
        </w:numPr>
        <w:pStyle w:val="Compact"/>
      </w:pPr>
      <w:r>
        <w:rPr>
          <w:bCs/>
          <w:b/>
        </w:rPr>
        <w:t xml:space="preserve">Bambini:</w:t>
      </w:r>
      <w:r>
        <w:t xml:space="preserve"> </w:t>
      </w:r>
      <w:r>
        <w:t xml:space="preserve">uno studio di ricerca della dose in aperto con 24 bambini e adolescenti con sospetto deficit di ormone della crescita non ha rilevato effetti collaterali dovuti alla macimorelina</w:t>
      </w:r>
      <w:r>
        <w:rPr>
          <w:rStyle w:val="FootnoteReference"/>
        </w:rPr>
        <w:footnoteReference w:id="1471"/>
      </w:r>
      <w:r>
        <w:t xml:space="preserve">. Il successivo studio di fase 3 DETECT con 101 bambini</w:t>
      </w:r>
      <w:r>
        <w:rPr>
          <w:rStyle w:val="FootnoteReference"/>
        </w:rPr>
        <w:footnoteReference w:id="1472"/>
      </w:r>
      <w:r>
        <w:t xml:space="preserve"> </w:t>
      </w:r>
      <w:r>
        <w:t xml:space="preserve">si è concluso nel giugno 2024; i risultati non sono stati depositati nel registro e non ho trovato una pubblicazione in PubMed.</w:t>
      </w:r>
    </w:p>
    <w:p>
      <w:pPr>
        <w:numPr>
          <w:ilvl w:val="0"/>
          <w:numId w:val="1172"/>
        </w:numPr>
        <w:pStyle w:val="Compact"/>
      </w:pPr>
      <w:r>
        <w:rPr>
          <w:bCs/>
          <w:b/>
        </w:rPr>
        <w:t xml:space="preserve">Cachessia tumorale:</w:t>
      </w:r>
      <w:r>
        <w:t xml:space="preserve"> </w:t>
      </w:r>
      <w:r>
        <w:t xml:space="preserve">in uno studio pilota con 15 pazienti oncologici con perdita di peso patologica, la macimorelina è stata ben tollerata per una settimana; peso e qualità della vita sono migliorati numericamente, ma senza differenza significativa rispetto al placebo</w:t>
      </w:r>
      <w:r>
        <w:rPr>
          <w:rStyle w:val="FootnoteReference"/>
        </w:rPr>
        <w:footnoteReference w:id="1473"/>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Fase 3, studio 1 (Garcia 2013), PMID 23559086</w:t>
            </w:r>
          </w:p>
        </w:tc>
        <w:tc>
          <w:tcPr/>
          <w:p>
            <w:pPr>
              <w:pStyle w:val="Compact"/>
              <w:jc w:val="left"/>
            </w:pPr>
            <w:r>
              <w:t xml:space="preserve">50 adulti con deficit di GH, 48 persone sane; confronto con arginina+GHRH</w:t>
            </w:r>
          </w:p>
        </w:tc>
        <w:tc>
          <w:tcPr/>
          <w:p>
            <w:pPr>
              <w:pStyle w:val="Compact"/>
              <w:jc w:val="left"/>
            </w:pPr>
            <w:r>
              <w:t xml:space="preserve">test singolo</w:t>
            </w:r>
          </w:p>
        </w:tc>
        <w:tc>
          <w:tcPr/>
          <w:p>
            <w:pPr>
              <w:pStyle w:val="Compact"/>
              <w:jc w:val="left"/>
            </w:pPr>
            <w:r>
              <w:t xml:space="preserve">sensibilità 82%, specificità 92%</w:t>
            </w:r>
          </w:p>
        </w:tc>
      </w:tr>
      <w:tr>
        <w:tc>
          <w:tcPr/>
          <w:p>
            <w:pPr>
              <w:pStyle w:val="Compact"/>
              <w:jc w:val="left"/>
            </w:pPr>
            <w:r>
              <w:t xml:space="preserve">Fase 3, studio 2 (Garcia 2018), PMID 29860473</w:t>
            </w:r>
          </w:p>
        </w:tc>
        <w:tc>
          <w:tcPr/>
          <w:p>
            <w:pPr>
              <w:pStyle w:val="Compact"/>
              <w:jc w:val="left"/>
            </w:pPr>
            <w:r>
              <w:t xml:space="preserve">adulti con diversa probabilità pre-test e persone sane; studio crossover randomizzato contro ITT</w:t>
            </w:r>
          </w:p>
        </w:tc>
        <w:tc>
          <w:tcPr/>
          <w:p>
            <w:pPr>
              <w:pStyle w:val="Compact"/>
              <w:jc w:val="left"/>
            </w:pPr>
            <w:r>
              <w:t xml:space="preserve">test singoli</w:t>
            </w:r>
          </w:p>
        </w:tc>
        <w:tc>
          <w:tcPr/>
          <w:p>
            <w:pPr>
              <w:pStyle w:val="Compact"/>
              <w:jc w:val="left"/>
            </w:pPr>
            <w:r>
              <w:t xml:space="preserve">sensibilità 87%, specificità 96%; riproducibilità 97%</w:t>
            </w:r>
          </w:p>
        </w:tc>
      </w:tr>
      <w:tr>
        <w:tc>
          <w:tcPr/>
          <w:p>
            <w:pPr>
              <w:pStyle w:val="Compact"/>
              <w:jc w:val="left"/>
            </w:pPr>
            <w:r>
              <w:t xml:space="preserve">Studio QT (Lissy 2021), PMID 32961034</w:t>
            </w:r>
          </w:p>
        </w:tc>
        <w:tc>
          <w:tcPr/>
          <w:p>
            <w:pPr>
              <w:pStyle w:val="Compact"/>
              <w:jc w:val="left"/>
            </w:pPr>
            <w:r>
              <w:t xml:space="preserve">60 persone sane, randomizzato, placebo e moxifloxacina</w:t>
            </w:r>
          </w:p>
        </w:tc>
        <w:tc>
          <w:tcPr/>
          <w:p>
            <w:pPr>
              <w:pStyle w:val="Compact"/>
              <w:jc w:val="left"/>
            </w:pPr>
            <w:r>
              <w:t xml:space="preserve">dosi singole</w:t>
            </w:r>
          </w:p>
        </w:tc>
        <w:tc>
          <w:tcPr/>
          <w:p>
            <w:pPr>
              <w:pStyle w:val="Compact"/>
              <w:jc w:val="left"/>
            </w:pPr>
            <w:r>
              <w:t xml:space="preserve">prolungamento QT fino a 9,61 ms con dose eccessiva</w:t>
            </w:r>
          </w:p>
        </w:tc>
      </w:tr>
      <w:tr>
        <w:tc>
          <w:tcPr/>
          <w:p>
            <w:pPr>
              <w:pStyle w:val="Compact"/>
              <w:jc w:val="left"/>
            </w:pPr>
            <w:r>
              <w:t xml:space="preserve">Dati della pratica (Yadav 2026), PMID 41793495</w:t>
            </w:r>
          </w:p>
        </w:tc>
        <w:tc>
          <w:tcPr/>
          <w:p>
            <w:pPr>
              <w:pStyle w:val="Compact"/>
              <w:jc w:val="left"/>
            </w:pPr>
            <w:r>
              <w:t xml:space="preserve">37 persone, retrospettivo</w:t>
            </w:r>
          </w:p>
        </w:tc>
        <w:tc>
          <w:tcPr/>
          <w:p>
            <w:pPr>
              <w:pStyle w:val="Compact"/>
              <w:jc w:val="left"/>
            </w:pPr>
            <w:r>
              <w:t xml:space="preserve">test singolo</w:t>
            </w:r>
          </w:p>
        </w:tc>
        <w:tc>
          <w:tcPr/>
          <w:p>
            <w:pPr>
              <w:pStyle w:val="Compact"/>
              <w:jc w:val="left"/>
            </w:pPr>
            <w:r>
              <w:t xml:space="preserve">il valore soglia influenza la diagnosi, soprattutto in caso di obesità</w:t>
            </w:r>
          </w:p>
        </w:tc>
      </w:tr>
      <w:tr>
        <w:tc>
          <w:tcPr/>
          <w:p>
            <w:pPr>
              <w:pStyle w:val="Compact"/>
              <w:jc w:val="left"/>
            </w:pPr>
            <w:r>
              <w:t xml:space="preserve">Cachessia (Herodes 2023), PMID 36860137</w:t>
            </w:r>
          </w:p>
        </w:tc>
        <w:tc>
          <w:tcPr/>
          <w:p>
            <w:pPr>
              <w:pStyle w:val="Compact"/>
              <w:jc w:val="left"/>
            </w:pPr>
            <w:r>
              <w:t xml:space="preserve">15 pazienti oncologici, studio pilota RCT</w:t>
            </w:r>
          </w:p>
        </w:tc>
        <w:tc>
          <w:tcPr/>
          <w:p>
            <w:pPr>
              <w:pStyle w:val="Compact"/>
              <w:jc w:val="left"/>
            </w:pPr>
            <w:r>
              <w:t xml:space="preserve">1 settimana</w:t>
            </w:r>
          </w:p>
        </w:tc>
        <w:tc>
          <w:tcPr/>
          <w:p>
            <w:pPr>
              <w:pStyle w:val="Compact"/>
              <w:jc w:val="left"/>
            </w:pPr>
            <w:r>
              <w:t xml:space="preserve">ben tollerata, nessun effetto significativo</w:t>
            </w:r>
          </w:p>
        </w:tc>
      </w:tr>
    </w:tbl>
    <w:bookmarkEnd w:id="1474"/>
    <w:bookmarkEnd w:id="1475"/>
    <w:bookmarkStart w:id="1478" w:name="studi-su-animali-e-in-laboratorio-30"/>
    <w:p>
      <w:pPr>
        <w:pStyle w:val="Heading3"/>
      </w:pPr>
      <w:r>
        <w:t xml:space="preserve">Studi su animali e in laboratorio</w:t>
      </w:r>
    </w:p>
    <w:p>
      <w:pPr>
        <w:pStyle w:val="FirstParagraph"/>
      </w:pPr>
      <w:r>
        <w:t xml:space="preserve">In topi con epilessia difficile da trattare, la macimorelina ha ridotto numero e durata delle crisi durante le due settimane di trattamento, ma non ha modificato il decorso della malattia</w:t>
      </w:r>
      <w:r>
        <w:rPr>
          <w:rStyle w:val="FootnoteReference"/>
        </w:rPr>
        <w:footnoteReference w:id="1476"/>
      </w:r>
      <w:r>
        <w:t xml:space="preserve">. Studi strutturali mostrano come la macimorelina si leghi nel recettore della grelina</w:t>
      </w:r>
      <w:r>
        <w:rPr>
          <w:rStyle w:val="FootnoteReference"/>
        </w:rPr>
        <w:footnoteReference w:id="1477"/>
      </w:r>
      <w:r>
        <w:t xml:space="preserve">. Per l’impiego autorizzato questi lavori non sono rilevanti.</w:t>
      </w:r>
    </w:p>
    <w:bookmarkEnd w:id="1478"/>
    <w:bookmarkStart w:id="1483" w:name="rischi-ed-effetti-collaterali-30"/>
    <w:p>
      <w:pPr>
        <w:pStyle w:val="Heading3"/>
      </w:pPr>
      <w:r>
        <w:t xml:space="preserve">Rischi ed effetti collaterali</w:t>
      </w:r>
    </w:p>
    <w:p>
      <w:pPr>
        <w:pStyle w:val="FirstParagraph"/>
      </w:pPr>
      <w:r>
        <w:rPr>
          <w:bCs/>
          <w:b/>
        </w:rPr>
        <w:t xml:space="preserve">Documentati:</w:t>
      </w:r>
      <w:r>
        <w:t xml:space="preserve"> </w:t>
      </w:r>
      <w:r>
        <w:t xml:space="preserve">la macimorelina viene assunta una sola volta per test; gli effetti collaterali sono di conseguenza limitati. Nello studio registrativo non si sono verificati effetti collaterali gravi dovuti alla macimorelina</w:t>
      </w:r>
      <w:r>
        <w:rPr>
          <w:rStyle w:val="FootnoteReference"/>
        </w:rPr>
        <w:footnoteReference w:id="1479"/>
      </w:r>
      <w:r>
        <w:t xml:space="preserve">. ACTH, cortisolo e prolattina aumentano temporaneamente</w:t>
      </w:r>
      <w:r>
        <w:rPr>
          <w:rStyle w:val="FootnoteReference"/>
        </w:rPr>
        <w:footnoteReference w:id="1480"/>
      </w:r>
      <w:r>
        <w:t xml:space="preserve">.</w:t>
      </w:r>
    </w:p>
    <w:p>
      <w:pPr>
        <w:pStyle w:val="BodyText"/>
      </w:pPr>
      <w:r>
        <w:rPr>
          <w:bCs/>
          <w:b/>
        </w:rPr>
        <w:t xml:space="preserve">Prolungamento del QT:</w:t>
      </w:r>
      <w:r>
        <w:t xml:space="preserve"> </w:t>
      </w:r>
      <w:r>
        <w:t xml:space="preserve">in un approfondito studio ECG su 60 persone sane, una dose singola volutamente eccessiva (sopraterapeutica) ha prolungato l’intervallo QT, una misura della ripolarizzazione cardiaca, in media fino a 9,61 millisecondi; il limite superiore dell’intervallo di confidenza superava la soglia regolatoria di 10 millisecondi</w:t>
      </w:r>
      <w:r>
        <w:rPr>
          <w:rStyle w:val="FootnoteReference"/>
        </w:rPr>
        <w:footnoteReference w:id="1481"/>
      </w:r>
      <w:r>
        <w:t xml:space="preserve">. Per questo occorre cautela nelle persone che assumono altri farmaci che prolungano il QT. I dettagli su controindicazioni e interazioni sono stabiliti dal riassunto delle caratteristiche del prodotto; il test viene eseguito dal medico.</w:t>
      </w:r>
    </w:p>
    <w:p>
      <w:pPr>
        <w:pStyle w:val="BodyText"/>
      </w:pPr>
      <w:r>
        <w:rPr>
          <w:bCs/>
          <w:b/>
        </w:rPr>
        <w:t xml:space="preserve">Diagnosi errate:</w:t>
      </w:r>
      <w:r>
        <w:t xml:space="preserve"> </w:t>
      </w:r>
      <w:r>
        <w:t xml:space="preserve">come ogni test di stimolazione, anche il test alla macimorelina può fornire risultati falsi positivi e falsi negativi, soprattutto in caso di forte sovrappeso</w:t>
      </w:r>
      <w:r>
        <w:rPr>
          <w:rStyle w:val="FootnoteReference"/>
        </w:rPr>
        <w:footnoteReference w:id="1482"/>
      </w:r>
      <w:r>
        <w:t xml:space="preserve">.</w:t>
      </w:r>
    </w:p>
    <w:p>
      <w:pPr>
        <w:pStyle w:val="BodyText"/>
      </w:pPr>
      <w:r>
        <w:t xml:space="preserve">Con una somministrazione singola non c’è da attendersi un rischio di cancro; la discussione su un IGF-1 costantemente elevato (si veda l’introduzione di questo gruppo) non riguarda quindi la macimorelina.</w:t>
      </w:r>
    </w:p>
    <w:bookmarkEnd w:id="1483"/>
    <w:bookmarkStart w:id="1485" w:name="quadro-normativo-30"/>
    <w:p>
      <w:pPr>
        <w:pStyle w:val="Heading3"/>
      </w:pPr>
      <w:r>
        <w:t xml:space="preserve">Quadro normativo</w:t>
      </w:r>
    </w:p>
    <w:p>
      <w:pPr>
        <w:pStyle w:val="FirstParagraph"/>
      </w:pPr>
      <w:r>
        <w:rPr>
          <w:iCs/>
          <w:i/>
        </w:rPr>
        <w:t xml:space="preserve">Aggiornato al 2026, da verificare.</w:t>
      </w:r>
    </w:p>
    <w:p>
      <w:pPr>
        <w:numPr>
          <w:ilvl w:val="0"/>
          <w:numId w:val="1173"/>
        </w:numPr>
        <w:pStyle w:val="Compact"/>
      </w:pPr>
      <w:r>
        <w:rPr>
          <w:bCs/>
          <w:b/>
        </w:rPr>
        <w:t xml:space="preserve">UE:</w:t>
      </w:r>
      <w:r>
        <w:t xml:space="preserve"> </w:t>
      </w:r>
      <w:r>
        <w:t xml:space="preserve">autorizzazione centralizzata per la diagnosi del deficit di ormone della crescita negli adulti. Se il preparato sia effettivamente in commercio in Germania e Austria dipende dalle decisioni commerciali del titolare dell’autorizzazione e andrebbe verificato.</w:t>
      </w:r>
    </w:p>
    <w:p>
      <w:pPr>
        <w:numPr>
          <w:ilvl w:val="0"/>
          <w:numId w:val="1173"/>
        </w:numPr>
        <w:pStyle w:val="Compact"/>
      </w:pPr>
      <w:r>
        <w:rPr>
          <w:bCs/>
          <w:b/>
        </w:rPr>
        <w:t xml:space="preserve">USA:</w:t>
      </w:r>
      <w:r>
        <w:t xml:space="preserve"> </w:t>
      </w:r>
      <w:r>
        <w:t xml:space="preserve">autorizzata (Macrilen) per la stessa indicazione; i diritti di distribuzione sono cambiati negli ultimi anni.</w:t>
      </w:r>
    </w:p>
    <w:p>
      <w:pPr>
        <w:numPr>
          <w:ilvl w:val="0"/>
          <w:numId w:val="1173"/>
        </w:numPr>
        <w:pStyle w:val="Compact"/>
      </w:pPr>
      <w:r>
        <w:rPr>
          <w:bCs/>
          <w:b/>
        </w:rPr>
        <w:t xml:space="preserve">Impiego:</w:t>
      </w:r>
      <w:r>
        <w:t xml:space="preserve"> </w:t>
      </w:r>
      <w:r>
        <w:t xml:space="preserve">esclusivamente come test funzionale eseguito dal medico secondo il riassunto delle caratteristiche del prodotto; nessuna autorizzazione terapeutica.</w:t>
      </w:r>
    </w:p>
    <w:p>
      <w:pPr>
        <w:numPr>
          <w:ilvl w:val="0"/>
          <w:numId w:val="1173"/>
        </w:numPr>
        <w:pStyle w:val="Compact"/>
      </w:pPr>
      <w:r>
        <w:rPr>
          <w:bCs/>
          <w:b/>
        </w:rPr>
        <w:t xml:space="preserve">WADA:</w:t>
      </w:r>
      <w:r>
        <w:t xml:space="preserve"> </w:t>
      </w:r>
      <w:r>
        <w:t xml:space="preserve">vietata (S2). Per i controlli antidoping sono stati caratterizzati i prodotti di degradazione della macimorelina e di mimetici della grelina affini</w:t>
      </w:r>
      <w:r>
        <w:rPr>
          <w:rStyle w:val="FootnoteReference"/>
        </w:rPr>
        <w:footnoteReference w:id="1484"/>
      </w:r>
      <w:r>
        <w:t xml:space="preserve">.</w:t>
      </w:r>
    </w:p>
    <w:bookmarkEnd w:id="1485"/>
    <w:bookmarkStart w:id="1488" w:name="studi-in-corso-e-prospettive-30"/>
    <w:p>
      <w:pPr>
        <w:pStyle w:val="Heading3"/>
      </w:pPr>
      <w:r>
        <w:t xml:space="preserve">Studi in corso e prospettive</w:t>
      </w:r>
    </w:p>
    <w:p>
      <w:pPr>
        <w:pStyle w:val="FirstParagraph"/>
      </w:pPr>
      <w:r>
        <w:rPr>
          <w:iCs/>
          <w:i/>
        </w:rPr>
        <w:t xml:space="preserve">Assodato:</w:t>
      </w:r>
      <w:r>
        <w:t xml:space="preserve"> </w:t>
      </w:r>
      <w:r>
        <w:t xml:space="preserve">lo studio pediatrico DETECT</w:t>
      </w:r>
      <w:r>
        <w:rPr>
          <w:rStyle w:val="FootnoteReference"/>
        </w:rPr>
        <w:footnoteReference w:id="1486"/>
      </w:r>
      <w:r>
        <w:t xml:space="preserve"> </w:t>
      </w:r>
      <w:r>
        <w:t xml:space="preserve">è concluso; i risultati sono attesi. Un altro studio ha esaminato come la macimorelina influenzi l’ormone copeptina</w:t>
      </w:r>
      <w:r>
        <w:rPr>
          <w:rStyle w:val="FootnoteReference"/>
        </w:rPr>
        <w:footnoteReference w:id="1487"/>
      </w:r>
      <w:r>
        <w:t xml:space="preserve">.</w:t>
      </w:r>
      <w:r>
        <w:t xml:space="preserve"> </w:t>
      </w:r>
      <w:r>
        <w:rPr>
          <w:iCs/>
          <w:i/>
        </w:rPr>
        <w:t xml:space="preserve">Valutazione dell’autore:</w:t>
      </w:r>
      <w:r>
        <w:t xml:space="preserve"> </w:t>
      </w:r>
      <w:r>
        <w:t xml:space="preserve">un’estensione dell’autorizzazione ai bambini sarebbe il passo successivo logico, ma dipende dal risultato dello studio DETECT. Un impiego terapeutico, per esempio nella cachessia, non è prevedibile in base ai dati finora disponibili.</w:t>
      </w:r>
    </w:p>
    <w:bookmarkEnd w:id="1488"/>
    <w:bookmarkStart w:id="1489" w:name="conclusione-30"/>
    <w:p>
      <w:pPr>
        <w:pStyle w:val="Heading3"/>
      </w:pPr>
      <w:r>
        <w:t xml:space="preserve">Conclusione</w:t>
      </w:r>
    </w:p>
    <w:p>
      <w:pPr>
        <w:pStyle w:val="FirstParagraph"/>
      </w:pPr>
      <w:r>
        <w:t xml:space="preserve">La macimorelina è un diagnostico autorizzato negli Stati Uniti e nell’UE: un test bevuto una sola volta riconosce un deficit di ormone della crescita negli adulti con un’affidabilità simile al gravoso test all’insulina, con una sensibilità dell’87% e una specificità del 96% nello studio registrativo. L’effetto collaterale noto più importante è un lieve prolungamento dell’intervallo QT a dosi eccessive. Per un trattamento, per la crescita muscolare o per l’«anti-aging» la macimorelina non è né pensata né studiata.</w:t>
      </w:r>
    </w:p>
    <w:bookmarkEnd w:id="1489"/>
    <w:bookmarkEnd w:id="1490"/>
    <w:bookmarkStart w:id="1530" w:name="mecasermina-igf-1"/>
    <w:p>
      <w:pPr>
        <w:pStyle w:val="Heading2"/>
      </w:pPr>
      <w:r>
        <w:t xml:space="preserve">Mecasermina (IGF-1)</w:t>
      </w:r>
    </w:p>
    <w:p>
      <w:pPr>
        <w:pStyle w:val="FirstParagraph"/>
      </w:pPr>
      <w:r>
        <w:t xml:space="preserve">La mecasermina è IGF-1 umano prodotto con tecniche di ingegneria genetica, cioè il messaggero attraverso il quale l’ormone della crescita esercita gran parte del suo effetto. Come medicinale (Increlex) è autorizzata per un gruppo molto raro di bambini: bambini il cui organismo produce sì abbastanza ormone della crescita, ma non vi risponde e quindi produce pochissimo IGF-1. La mecasermina è dunque un raro esempio di peptide autorizzato di questo gruppo, e allo stesso tempo il principio attivo sul quale la questione dell’ipoglicemia e del rischio di cancro legato all’IGF-1 si pone nel modo più evidente.</w:t>
      </w:r>
    </w:p>
    <w:bookmarkStart w:id="1491" w:name="scheda-31"/>
    <w:p>
      <w:pPr>
        <w:pStyle w:val="Heading3"/>
      </w:pPr>
      <w:r>
        <w:t xml:space="preserve">Scheda</w:t>
      </w:r>
    </w:p>
    <w:p>
      <w:pPr>
        <w:numPr>
          <w:ilvl w:val="0"/>
          <w:numId w:val="1174"/>
        </w:numPr>
        <w:pStyle w:val="Compact"/>
      </w:pPr>
      <w:r>
        <w:rPr>
          <w:bCs/>
          <w:b/>
        </w:rPr>
        <w:t xml:space="preserve">Tipo e struttura:</w:t>
      </w:r>
      <w:r>
        <w:t xml:space="preserve"> </w:t>
      </w:r>
      <w:r>
        <w:t xml:space="preserve">IGF-1 umano ricombinante (prodotto con tecniche di ingegneria genetica in batteri) di 70 amminoacidi, identico all’ormone endogeno.</w:t>
      </w:r>
    </w:p>
    <w:p>
      <w:pPr>
        <w:numPr>
          <w:ilvl w:val="0"/>
          <w:numId w:val="1174"/>
        </w:numPr>
        <w:pStyle w:val="Compact"/>
      </w:pPr>
      <w:r>
        <w:rPr>
          <w:bCs/>
          <w:b/>
        </w:rPr>
        <w:t xml:space="preserve">Origine:</w:t>
      </w:r>
      <w:r>
        <w:t xml:space="preserve"> </w:t>
      </w:r>
      <w:r>
        <w:t xml:space="preserve">l’IGF-1 è stato descritto negli anni Settanta come «somatomedina»; la mecasermina è stata sviluppata da Tercica e commercializzata da Ipsen, oggi da un altro titolare dell’autorizzazione.</w:t>
      </w:r>
    </w:p>
    <w:p>
      <w:pPr>
        <w:numPr>
          <w:ilvl w:val="0"/>
          <w:numId w:val="1174"/>
        </w:numPr>
        <w:pStyle w:val="Compact"/>
      </w:pPr>
      <w:r>
        <w:rPr>
          <w:bCs/>
          <w:b/>
        </w:rPr>
        <w:t xml:space="preserve">Principio d’azione:</w:t>
      </w:r>
      <w:r>
        <w:t xml:space="preserve"> </w:t>
      </w:r>
      <w:r>
        <w:t xml:space="preserve">si lega al recettore dell’IGF-1 e sostituisce direttamente l’IGF-1 mancante; favorisce la crescita, ha effetto anabolico e, a dosi più alte, abbassa la glicemia in modo simile all’insulina.</w:t>
      </w:r>
    </w:p>
    <w:p>
      <w:pPr>
        <w:numPr>
          <w:ilvl w:val="0"/>
          <w:numId w:val="1174"/>
        </w:numPr>
        <w:pStyle w:val="Compact"/>
      </w:pPr>
      <w:r>
        <w:rPr>
          <w:bCs/>
          <w:b/>
        </w:rPr>
        <w:t xml:space="preserve">Autorizzazione UE:</w:t>
      </w:r>
      <w:r>
        <w:t xml:space="preserve"> </w:t>
      </w:r>
      <w:r>
        <w:t xml:space="preserve">sì (Increlex) per il trattamento a lungo termine dei disturbi della crescita in bambini e adolescenti con grave deficit primario di IGF-1.</w:t>
      </w:r>
      <w:r>
        <w:t xml:space="preserve"> </w:t>
      </w:r>
      <w:r>
        <w:rPr>
          <w:bCs/>
          <w:b/>
        </w:rPr>
        <w:t xml:space="preserve">Autorizzazione USA:</w:t>
      </w:r>
      <w:r>
        <w:t xml:space="preserve"> </w:t>
      </w:r>
      <w:r>
        <w:t xml:space="preserve">sì (Increlex), stessa indicazione.</w:t>
      </w:r>
    </w:p>
    <w:p>
      <w:pPr>
        <w:numPr>
          <w:ilvl w:val="0"/>
          <w:numId w:val="1174"/>
        </w:numPr>
        <w:pStyle w:val="Compact"/>
      </w:pPr>
      <w:r>
        <w:rPr>
          <w:bCs/>
          <w:b/>
        </w:rPr>
        <w:t xml:space="preserve">WADA:</w:t>
      </w:r>
      <w:r>
        <w:t xml:space="preserve"> </w:t>
      </w:r>
      <w:r>
        <w:t xml:space="preserve">vietata, classe S2 (IGF-1 e suoi analoghi come fattori di crescita).</w:t>
      </w:r>
    </w:p>
    <w:p>
      <w:pPr>
        <w:numPr>
          <w:ilvl w:val="0"/>
          <w:numId w:val="1174"/>
        </w:numPr>
        <w:pStyle w:val="Compact"/>
      </w:pPr>
      <w:r>
        <w:rPr>
          <w:bCs/>
          <w:b/>
        </w:rPr>
        <w:t xml:space="preserve">Livello di evidenza: A</w:t>
      </w:r>
      <w:r>
        <w:t xml:space="preserve"> </w:t>
      </w:r>
      <w:r>
        <w:t xml:space="preserve">– autorizzata nell’UE e negli USA. Limitazione: a causa della rarità della malattia, l’autorizzazione si basa su studi a lungo termine in aperto e su registri, non su grandi studi randomizzati. Esistono studi randomizzati su altri impieghi, per esempio la SLA (negativi).</w:t>
      </w:r>
    </w:p>
    <w:bookmarkEnd w:id="1491"/>
    <w:bookmarkStart w:id="1493" w:name="come-dovrebbe-agire-31"/>
    <w:p>
      <w:pPr>
        <w:pStyle w:val="Heading3"/>
      </w:pPr>
      <w:r>
        <w:t xml:space="preserve">Come dovrebbe agire</w:t>
      </w:r>
    </w:p>
    <w:p>
      <w:pPr>
        <w:pStyle w:val="FirstParagraph"/>
      </w:pPr>
      <w:r>
        <w:t xml:space="preserve">L’ormone della crescita prodotto dall’ipofisi agisce soprattutto sul fegato, che di conseguenza produce IGF-1. L’IGF-1 fa poi crescere le ossa in lunghezza e favorisce la costruzione di muscoli e altri tessuti. In alcuni bambini questa catena è interrotta: il loro recettore dell’ormone della crescita non funziona a causa di una mutazione genetica oppure la trasmissione del segnale è alterata. L’esempio classico è la sindrome di Laron. Questi bambini hanno molto ormone della crescita, ma pochissimo IGF-1, e le iniezioni di ormone della crescita non li aiutano. Senza trattamento da adulti raggiungono spesso solo 120-130 cm</w:t>
      </w:r>
      <w:r>
        <w:rPr>
          <w:rStyle w:val="FootnoteReference"/>
        </w:rPr>
        <w:footnoteReference w:id="1492"/>
      </w:r>
      <w:r>
        <w:t xml:space="preserve">.</w:t>
      </w:r>
    </w:p>
    <w:p>
      <w:pPr>
        <w:pStyle w:val="BodyText"/>
      </w:pPr>
      <w:r>
        <w:t xml:space="preserve">La mecasermina scavalca il passaggio difettoso e fornisce direttamente l’IGF-1. Poiché l’IGF-1 è simile all’insulina, può abbassare la glicemia: è l’effetto collaterale più importante.</w:t>
      </w:r>
    </w:p>
    <w:bookmarkEnd w:id="1493"/>
    <w:bookmarkStart w:id="1509" w:name="studi-sulluomo-31"/>
    <w:p>
      <w:pPr>
        <w:pStyle w:val="Heading3"/>
      </w:pPr>
      <w:r>
        <w:t xml:space="preserve">Studi sull’uomo</w:t>
      </w:r>
    </w:p>
    <w:p>
      <w:pPr>
        <w:pStyle w:val="FirstParagraph"/>
      </w:pPr>
      <w:r>
        <w:rPr>
          <w:bCs/>
          <w:b/>
        </w:rPr>
        <w:t xml:space="preserve">Dimensioni della letteratura (ricerca di ottobre 2026):</w:t>
      </w:r>
      <w:r>
        <w:t xml:space="preserve"> </w:t>
      </w:r>
      <w:r>
        <w:t xml:space="preserve">la ricerca automatizzata di questo libro ha trovato</w:t>
      </w:r>
      <w:r>
        <w:t xml:space="preserve"> </w:t>
      </w:r>
      <w:r>
        <w:rPr>
          <w:bCs/>
          <w:b/>
        </w:rPr>
        <w:t xml:space="preserve">21</w:t>
      </w:r>
      <w:r>
        <w:t xml:space="preserve"> </w:t>
      </w:r>
      <w:r>
        <w:t xml:space="preserve">studi sull’uomo in PubMed (</w:t>
      </w:r>
      <w:r>
        <w:rPr>
          <w:rStyle w:val="VerbatimChar"/>
        </w:rPr>
        <w:t xml:space="preserve">humanstudien_alle</w:t>
      </w:r>
      <w:r>
        <w:t xml:space="preserve">) e</w:t>
      </w:r>
      <w:r>
        <w:t xml:space="preserve"> </w:t>
      </w:r>
      <w:r>
        <w:rPr>
          <w:bCs/>
          <w:b/>
        </w:rPr>
        <w:t xml:space="preserve">37</w:t>
      </w:r>
      <w:r>
        <w:t xml:space="preserve"> </w:t>
      </w:r>
      <w:r>
        <w:t xml:space="preserve">voci su ClinicalTrials.gov; alcune di queste voci di registro riguardano altri temi e compaiono solo per via del termine di ricerca. A questi si aggiungono tre revisioni sistematiche. Una ricerca mirata supplementare ha individuato gli importanti studi a lungo termine e le analisi di registro relativi all’indicazione autorizzata.</w:t>
      </w:r>
    </w:p>
    <w:bookmarkStart w:id="1499" w:name="X7db38710d5c94e5206af78c35539db87391d49a"/>
    <w:p>
      <w:pPr>
        <w:pStyle w:val="Heading4"/>
      </w:pPr>
      <w:r>
        <w:t xml:space="preserve">Grave deficit primario di IGF-1 nei bambini</w:t>
      </w:r>
    </w:p>
    <w:p>
      <w:pPr>
        <w:pStyle w:val="FirstParagraph"/>
      </w:pPr>
      <w:r>
        <w:t xml:space="preserve">La base dell’autorizzazione è uno studio prevalentemente in aperto, durato fino a dodici anni, con 76 bambini con deficit di IGF-1 da resistenza all’ormone della crescita. La velocità di crescita è aumentata da una media di 2,8 cm all’anno prima del trattamento a 8,0 cm nel primo anno di trattamento; negli anni successivi è diminuita, ma è rimasta al di sopra del valore iniziale fino a otto anni. L’effetto collaterale più frequente è stato l’ipoglicemia (nel 49% dei bambini, osservata però anche prima dell’inizio della terapia), seguita da alterazioni del tessuto adiposo nel sito di iniezione (32%) e ingrossamento di tonsille e adenoidi (22%)</w:t>
      </w:r>
      <w:r>
        <w:rPr>
          <w:rStyle w:val="FootnoteReference"/>
        </w:rPr>
        <w:footnoteReference w:id="1494"/>
      </w:r>
      <w:r>
        <w:t xml:space="preserve">.</w:t>
      </w:r>
    </w:p>
    <w:p>
      <w:pPr>
        <w:pStyle w:val="BodyText"/>
      </w:pPr>
      <w:r>
        <w:t xml:space="preserve">Dal 2008 un registro europeo, oggi globale, raccoglie dati dalla pratica clinica</w:t>
      </w:r>
      <w:r>
        <w:rPr>
          <w:rStyle w:val="FootnoteReference"/>
        </w:rPr>
        <w:footnoteReference w:id="1495"/>
      </w:r>
      <w:r>
        <w:t xml:space="preserve">. In 138 bambini prepuberi non trattati in precedenza la statura è migliorata nel primo anno; i bambini con sindrome di Laron hanno risposto un po’ meglio, tra gli altri il 56% è stato considerato responder. Il 65,3% dei bambini ha avuto almeno un effetto indesiderato, il più frequente dei quali era l’ipoglicemia</w:t>
      </w:r>
      <w:r>
        <w:rPr>
          <w:rStyle w:val="FootnoteReference"/>
        </w:rPr>
        <w:footnoteReference w:id="1496"/>
      </w:r>
      <w:r>
        <w:t xml:space="preserve">. 102 bambini e adolescenti che avevano già raggiunto quasi la statura definitiva hanno guadagnato in media 0,9 deviazioni standard di statura, 1,4 se il trattamento era iniziato prima della pubertà. Quasi la metà di questi bambini trattati precocemente ha raggiunto una statura nell’intervallo normale, nella sindrome di Laron solo il 10,5%</w:t>
      </w:r>
      <w:r>
        <w:rPr>
          <w:rStyle w:val="FootnoteReference"/>
        </w:rPr>
        <w:footnoteReference w:id="1497"/>
      </w:r>
      <w:r>
        <w:t xml:space="preserve">. Le ipoglicemie gravi erano rare, con 0,01 eventi per paziente e anno di trattamento; erano a rischio soprattutto i bambini con sindrome di Laron o con precedenti ipoglicemie</w:t>
      </w:r>
      <w:r>
        <w:rPr>
          <w:rStyle w:val="FootnoteReference"/>
        </w:rPr>
        <w:footnoteReference w:id="1498"/>
      </w:r>
      <w:r>
        <w:t xml:space="preserve">.</w:t>
      </w:r>
    </w:p>
    <w:bookmarkEnd w:id="1499"/>
    <w:bookmarkStart w:id="1508" w:name="altri-impieghi-1"/>
    <w:p>
      <w:pPr>
        <w:pStyle w:val="Heading4"/>
      </w:pPr>
      <w:r>
        <w:t xml:space="preserve">Altri impieghi</w:t>
      </w:r>
    </w:p>
    <w:p>
      <w:pPr>
        <w:numPr>
          <w:ilvl w:val="0"/>
          <w:numId w:val="1175"/>
        </w:numPr>
        <w:pStyle w:val="Compact"/>
      </w:pPr>
      <w:r>
        <w:rPr>
          <w:bCs/>
          <w:b/>
        </w:rPr>
        <w:t xml:space="preserve">SLA:</w:t>
      </w:r>
      <w:r>
        <w:t xml:space="preserve"> </w:t>
      </w:r>
      <w:r>
        <w:t xml:space="preserve">in uno studio di fase 3 con 330 persone con sclerosi laterale amiotrofica, l’IGF-1 non ha prodotto in due anni alcuna differenza rispetto al placebo, né nella forza muscolare né nella sopravvivenza senza tracheotomia</w:t>
      </w:r>
      <w:r>
        <w:rPr>
          <w:rStyle w:val="FootnoteReference"/>
        </w:rPr>
        <w:footnoteReference w:id="1500"/>
      </w:r>
      <w:r>
        <w:t xml:space="preserve">.</w:t>
      </w:r>
    </w:p>
    <w:p>
      <w:pPr>
        <w:numPr>
          <w:ilvl w:val="0"/>
          <w:numId w:val="1175"/>
        </w:numPr>
        <w:pStyle w:val="Compact"/>
      </w:pPr>
      <w:r>
        <w:rPr>
          <w:bCs/>
          <w:b/>
        </w:rPr>
        <w:t xml:space="preserve">Distrofia muscolare di Duchenne:</w:t>
      </w:r>
      <w:r>
        <w:t xml:space="preserve"> </w:t>
      </w:r>
      <w:r>
        <w:t xml:space="preserve">in 17 ragazzi trattati rispetto a 21 controlli, i ragazzi sono cresciuti più rapidamente in sei mesi (6,5 vs. 3,3 cm all’anno), ma la distanza percorsa nel test del cammino di 6 minuti non è cambiata</w:t>
      </w:r>
      <w:r>
        <w:rPr>
          <w:rStyle w:val="FootnoteReference"/>
        </w:rPr>
        <w:footnoteReference w:id="1501"/>
      </w:r>
      <w:r>
        <w:t xml:space="preserve">.</w:t>
      </w:r>
    </w:p>
    <w:p>
      <w:pPr>
        <w:numPr>
          <w:ilvl w:val="0"/>
          <w:numId w:val="1175"/>
        </w:numPr>
        <w:pStyle w:val="Compact"/>
      </w:pPr>
      <w:r>
        <w:rPr>
          <w:bCs/>
          <w:b/>
        </w:rPr>
        <w:t xml:space="preserve">Sindrome di Rett:</w:t>
      </w:r>
      <w:r>
        <w:t xml:space="preserve"> </w:t>
      </w:r>
      <w:r>
        <w:t xml:space="preserve">una revisione sistematica descrive indizi di capacità sociali e cognitive preservate, ma risultati non uniformi, e chiede studi più ampi</w:t>
      </w:r>
      <w:r>
        <w:rPr>
          <w:rStyle w:val="FootnoteReference"/>
        </w:rPr>
        <w:footnoteReference w:id="1502"/>
      </w:r>
      <w:r>
        <w:t xml:space="preserve">.</w:t>
      </w:r>
    </w:p>
    <w:p>
      <w:pPr>
        <w:numPr>
          <w:ilvl w:val="0"/>
          <w:numId w:val="1175"/>
        </w:numPr>
        <w:pStyle w:val="Compact"/>
      </w:pPr>
      <w:r>
        <w:rPr>
          <w:bCs/>
          <w:b/>
        </w:rPr>
        <w:t xml:space="preserve">Neonati prematuri:</w:t>
      </w:r>
      <w:r>
        <w:t xml:space="preserve"> </w:t>
      </w:r>
      <w:r>
        <w:t xml:space="preserve">l’IGF-1 insieme alla sua proteina legante IGFBP-3 non ha prevenuto in 121 neonati estremamente prematuri la retinopatia del prematuro, ma ha ridotto la displasia broncopolmonare grave (21,3% vs. 44,9%). Eventi gravi fatali si sono verificati nel 19,7% dei bambini trattati e nell’11,7% dei controlli</w:t>
      </w:r>
      <w:r>
        <w:rPr>
          <w:rStyle w:val="FootnoteReference"/>
        </w:rPr>
        <w:footnoteReference w:id="1503"/>
      </w:r>
      <w:r>
        <w:t xml:space="preserve">. È in corso uno studio successivo sullo sviluppo polmonare</w:t>
      </w:r>
      <w:r>
        <w:rPr>
          <w:rStyle w:val="FootnoteReference"/>
        </w:rPr>
        <w:footnoteReference w:id="1504"/>
      </w:r>
      <w:r>
        <w:t xml:space="preserve">.</w:t>
      </w:r>
    </w:p>
    <w:p>
      <w:pPr>
        <w:numPr>
          <w:ilvl w:val="0"/>
          <w:numId w:val="1175"/>
        </w:numPr>
        <w:pStyle w:val="Compact"/>
      </w:pPr>
      <w:r>
        <w:rPr>
          <w:bCs/>
          <w:b/>
        </w:rPr>
        <w:t xml:space="preserve">Anoressia:</w:t>
      </w:r>
      <w:r>
        <w:t xml:space="preserve"> </w:t>
      </w:r>
      <w:r>
        <w:t xml:space="preserve">in 90 donne con anoressia nervosa, un trattamento di sei mesi con IGF-1, seguito da un farmaco per le ossa, ha aumentato la densità ossea della colonna vertebrale più del placebo</w:t>
      </w:r>
      <w:r>
        <w:rPr>
          <w:rStyle w:val="FootnoteReference"/>
        </w:rPr>
        <w:footnoteReference w:id="1505"/>
      </w:r>
      <w:r>
        <w:t xml:space="preserve">.</w:t>
      </w:r>
    </w:p>
    <w:p>
      <w:pPr>
        <w:numPr>
          <w:ilvl w:val="0"/>
          <w:numId w:val="1175"/>
        </w:numPr>
        <w:pStyle w:val="Compact"/>
      </w:pPr>
      <w:r>
        <w:rPr>
          <w:bCs/>
          <w:b/>
        </w:rPr>
        <w:t xml:space="preserve">Adulti con sindrome di Laron:</w:t>
      </w:r>
      <w:r>
        <w:t xml:space="preserve"> </w:t>
      </w:r>
      <w:r>
        <w:t xml:space="preserve">in dieci adulti, con otto settimane di IGF-1, la quota di grasso è diminuita e la massa magra è aumentata</w:t>
      </w:r>
      <w:r>
        <w:rPr>
          <w:rStyle w:val="FootnoteReference"/>
        </w:rPr>
        <w:footnoteReference w:id="1506"/>
      </w:r>
      <w:r>
        <w:t xml:space="preserve">.</w:t>
      </w:r>
    </w:p>
    <w:p>
      <w:pPr>
        <w:numPr>
          <w:ilvl w:val="0"/>
          <w:numId w:val="1175"/>
        </w:numPr>
        <w:pStyle w:val="Compact"/>
      </w:pPr>
      <w:r>
        <w:rPr>
          <w:bCs/>
          <w:b/>
        </w:rPr>
        <w:t xml:space="preserve">Sportive e sportivi:</w:t>
      </w:r>
      <w:r>
        <w:t xml:space="preserve"> </w:t>
      </w:r>
      <w:r>
        <w:t xml:space="preserve">in uno studio randomizzato in doppio cieco con 56 sportivi amatoriali per 28 giorni, con IGF-1/IGFBP-3 sono cambiati lipidi ematici e valori di insulina</w:t>
      </w:r>
      <w:r>
        <w:rPr>
          <w:rStyle w:val="FootnoteReference"/>
        </w:rPr>
        <w:footnoteReference w:id="1507"/>
      </w:r>
      <w:r>
        <w:t xml:space="preserve">. Questo studio non fornisce dati sulle prestazioni.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Studio a lungo termine (Chernausek 2007), PMID 17192294</w:t>
            </w:r>
          </w:p>
        </w:tc>
        <w:tc>
          <w:tcPr/>
          <w:p>
            <w:pPr>
              <w:pStyle w:val="Compact"/>
              <w:jc w:val="left"/>
            </w:pPr>
            <w:r>
              <w:t xml:space="preserve">76 bambini con resistenza al GH, prevalentemente in aperto</w:t>
            </w:r>
          </w:p>
        </w:tc>
        <w:tc>
          <w:tcPr/>
          <w:p>
            <w:pPr>
              <w:pStyle w:val="Compact"/>
              <w:jc w:val="left"/>
            </w:pPr>
            <w:r>
              <w:t xml:space="preserve">fino a 12 anni</w:t>
            </w:r>
          </w:p>
        </w:tc>
        <w:tc>
          <w:tcPr/>
          <w:p>
            <w:pPr>
              <w:pStyle w:val="Compact"/>
              <w:jc w:val="left"/>
            </w:pPr>
            <w:r>
              <w:t xml:space="preserve">crescita 2,8 → 8,0 cm/anno nel 1° anno; ipoglicemia nel 49%</w:t>
            </w:r>
          </w:p>
        </w:tc>
      </w:tr>
      <w:tr>
        <w:tc>
          <w:tcPr/>
          <w:p>
            <w:pPr>
              <w:pStyle w:val="Compact"/>
              <w:jc w:val="left"/>
            </w:pPr>
            <w:r>
              <w:t xml:space="preserve">Registro (Bang 2021), PMID 33434161</w:t>
            </w:r>
          </w:p>
        </w:tc>
        <w:tc>
          <w:tcPr/>
          <w:p>
            <w:pPr>
              <w:pStyle w:val="Compact"/>
              <w:jc w:val="left"/>
            </w:pPr>
            <w:r>
              <w:t xml:space="preserve">242 bambini, di cui 138 prepuberi non trattati; osservazionale</w:t>
            </w:r>
          </w:p>
        </w:tc>
        <w:tc>
          <w:tcPr/>
          <w:p>
            <w:pPr>
              <w:pStyle w:val="Compact"/>
              <w:jc w:val="left"/>
            </w:pPr>
            <w:r>
              <w:t xml:space="preserve">fino a 5 anni</w:t>
            </w:r>
          </w:p>
        </w:tc>
        <w:tc>
          <w:tcPr/>
          <w:p>
            <w:pPr>
              <w:pStyle w:val="Compact"/>
              <w:jc w:val="left"/>
            </w:pPr>
            <w:r>
              <w:t xml:space="preserve">aumento di statura; 65,3% con effetti collaterali</w:t>
            </w:r>
          </w:p>
        </w:tc>
      </w:tr>
      <w:tr>
        <w:tc>
          <w:tcPr/>
          <w:p>
            <w:pPr>
              <w:pStyle w:val="Compact"/>
              <w:jc w:val="left"/>
            </w:pPr>
            <w:r>
              <w:t xml:space="preserve">Registro statura finale (Ramon-Krauel 2026), PMID 40626687</w:t>
            </w:r>
          </w:p>
        </w:tc>
        <w:tc>
          <w:tcPr/>
          <w:p>
            <w:pPr>
              <w:pStyle w:val="Compact"/>
              <w:jc w:val="left"/>
            </w:pPr>
            <w:r>
              <w:t xml:space="preserve">102 adolescenti con statura finale quasi raggiunta</w:t>
            </w:r>
          </w:p>
        </w:tc>
        <w:tc>
          <w:tcPr/>
          <w:p>
            <w:pPr>
              <w:pStyle w:val="Compact"/>
              <w:jc w:val="left"/>
            </w:pPr>
            <w:r>
              <w:t xml:space="preserve">mediana 3,9 anni</w:t>
            </w:r>
          </w:p>
        </w:tc>
        <w:tc>
          <w:tcPr/>
          <w:p>
            <w:pPr>
              <w:pStyle w:val="Compact"/>
              <w:jc w:val="left"/>
            </w:pPr>
            <w:r>
              <w:t xml:space="preserve">+0,9 DS (trattati precocemente +1,4 DS)</w:t>
            </w:r>
          </w:p>
        </w:tc>
      </w:tr>
      <w:tr>
        <w:tc>
          <w:tcPr/>
          <w:p>
            <w:pPr>
              <w:pStyle w:val="Compact"/>
              <w:jc w:val="left"/>
            </w:pPr>
            <w:r>
              <w:t xml:space="preserve">SLA (Sorenson 2008), PMID 19029516</w:t>
            </w:r>
          </w:p>
        </w:tc>
        <w:tc>
          <w:tcPr/>
          <w:p>
            <w:pPr>
              <w:pStyle w:val="Compact"/>
              <w:jc w:val="left"/>
            </w:pPr>
            <w:r>
              <w:t xml:space="preserve">330 persone con SLA, RCT contro placebo</w:t>
            </w:r>
          </w:p>
        </w:tc>
        <w:tc>
          <w:tcPr/>
          <w:p>
            <w:pPr>
              <w:pStyle w:val="Compact"/>
              <w:jc w:val="left"/>
            </w:pPr>
            <w:r>
              <w:t xml:space="preserve">2 anni</w:t>
            </w:r>
          </w:p>
        </w:tc>
        <w:tc>
          <w:tcPr/>
          <w:p>
            <w:pPr>
              <w:pStyle w:val="Compact"/>
              <w:jc w:val="left"/>
            </w:pPr>
            <w:r>
              <w:t xml:space="preserve">nessun beneficio</w:t>
            </w:r>
          </w:p>
        </w:tc>
      </w:tr>
      <w:tr>
        <w:tc>
          <w:tcPr/>
          <w:p>
            <w:pPr>
              <w:pStyle w:val="Compact"/>
              <w:jc w:val="left"/>
            </w:pPr>
            <w:r>
              <w:t xml:space="preserve">Neonati prematuri (Ley 2019), PMID 30471715</w:t>
            </w:r>
          </w:p>
        </w:tc>
        <w:tc>
          <w:tcPr/>
          <w:p>
            <w:pPr>
              <w:pStyle w:val="Compact"/>
              <w:jc w:val="left"/>
            </w:pPr>
            <w:r>
              <w:t xml:space="preserve">121 neonati estremamente prematuri, RCT contro trattamento standard</w:t>
            </w:r>
          </w:p>
        </w:tc>
        <w:tc>
          <w:tcPr/>
          <w:p>
            <w:pPr>
              <w:pStyle w:val="Compact"/>
              <w:jc w:val="left"/>
            </w:pPr>
            <w:r>
              <w:t xml:space="preserve">fino alla 40ª settimana</w:t>
            </w:r>
          </w:p>
        </w:tc>
        <w:tc>
          <w:tcPr/>
          <w:p>
            <w:pPr>
              <w:pStyle w:val="Compact"/>
              <w:jc w:val="left"/>
            </w:pPr>
            <w:r>
              <w:t xml:space="preserve">nessun effetto sulla retina; meno BPD grave</w:t>
            </w:r>
          </w:p>
        </w:tc>
      </w:tr>
    </w:tbl>
    <w:bookmarkEnd w:id="1508"/>
    <w:bookmarkEnd w:id="1509"/>
    <w:bookmarkStart w:id="1512" w:name="studi-su-animali-e-in-laboratorio-31"/>
    <w:p>
      <w:pPr>
        <w:pStyle w:val="Heading3"/>
      </w:pPr>
      <w:r>
        <w:t xml:space="preserve">Studi su animali e in laboratorio</w:t>
      </w:r>
    </w:p>
    <w:p>
      <w:pPr>
        <w:pStyle w:val="FirstParagraph"/>
      </w:pPr>
      <w:r>
        <w:t xml:space="preserve">Gli effetti dell’IGF-1 su crescita, muscoli e metabolismo sono stati studiati in modo molto ampio in studi su animali e cellule e costituiscono la base della terapia. Per la questione della sicurezza sono importanti esperimenti su cellule con siero di persone con sindrome di Laron: le cellule trattate con questo siero povero di IGF-1 e poi esposte a stress ossidativo presentavano meno rotture del DNA, e le cellule danneggiate morivano più spesso</w:t>
      </w:r>
      <w:r>
        <w:rPr>
          <w:rStyle w:val="FootnoteReference"/>
        </w:rPr>
        <w:footnoteReference w:id="1510"/>
      </w:r>
      <w:r>
        <w:t xml:space="preserve">. Aggiungendo IGF-1 al siero, queste differenze scomparivano</w:t>
      </w:r>
      <w:r>
        <w:rPr>
          <w:rStyle w:val="FootnoteReference"/>
        </w:rPr>
        <w:footnoteReference w:id="1511"/>
      </w:r>
      <w:r>
        <w:t xml:space="preserve">. L’IGF-1 tende quindi a mantenere in vita anche le cellule danneggiate, un possibile meccanismo per un rischio di cancro.</w:t>
      </w:r>
    </w:p>
    <w:bookmarkEnd w:id="1512"/>
    <w:bookmarkStart w:id="1523" w:name="rischi-ed-effetti-collaterali-31"/>
    <w:p>
      <w:pPr>
        <w:pStyle w:val="Heading3"/>
      </w:pPr>
      <w:r>
        <w:t xml:space="preserve">Rischi ed effetti collaterali</w:t>
      </w:r>
    </w:p>
    <w:p>
      <w:pPr>
        <w:pStyle w:val="FirstParagraph"/>
      </w:pPr>
      <w:r>
        <w:rPr>
          <w:bCs/>
          <w:b/>
        </w:rPr>
        <w:t xml:space="preserve">Documentati:</w:t>
      </w:r>
    </w:p>
    <w:p>
      <w:pPr>
        <w:numPr>
          <w:ilvl w:val="0"/>
          <w:numId w:val="1176"/>
        </w:numPr>
        <w:pStyle w:val="Compact"/>
      </w:pPr>
      <w:r>
        <w:rPr>
          <w:bCs/>
          <w:b/>
        </w:rPr>
        <w:t xml:space="preserve">Ipoglicemia</w:t>
      </w:r>
      <w:r>
        <w:t xml:space="preserve"> </w:t>
      </w:r>
      <w:r>
        <w:t xml:space="preserve">– l’effetto collaterale più frequente e più importante, soprattutto nei bambini piccoli, nella sindrome di Laron e dopo precedenti ipoglicemie</w:t>
      </w:r>
      <w:r>
        <w:rPr>
          <w:rStyle w:val="FootnoteReference"/>
        </w:rPr>
        <w:footnoteReference w:id="1513"/>
      </w:r>
      <w:r>
        <w:t xml:space="preserve">. Il riassunto delle caratteristiche del prodotto prescrive quindi uno stretto legame temporale con i pasti; i dettagli sono stabiliti dal documento stesso.</w:t>
      </w:r>
    </w:p>
    <w:p>
      <w:pPr>
        <w:numPr>
          <w:ilvl w:val="0"/>
          <w:numId w:val="1176"/>
        </w:numPr>
        <w:pStyle w:val="Compact"/>
      </w:pPr>
      <w:r>
        <w:rPr>
          <w:bCs/>
          <w:b/>
        </w:rPr>
        <w:t xml:space="preserve">Ingrossamento di tonsille e adenoidi</w:t>
      </w:r>
      <w:r>
        <w:t xml:space="preserve"> </w:t>
      </w:r>
      <w:r>
        <w:t xml:space="preserve">(22%) e alterazioni del tessuto adiposo nel sito di iniezione (32%)</w:t>
      </w:r>
      <w:r>
        <w:rPr>
          <w:rStyle w:val="FootnoteReference"/>
        </w:rPr>
        <w:footnoteReference w:id="1514"/>
      </w:r>
      <w:r>
        <w:t xml:space="preserve">.</w:t>
      </w:r>
    </w:p>
    <w:p>
      <w:pPr>
        <w:numPr>
          <w:ilvl w:val="0"/>
          <w:numId w:val="1176"/>
        </w:numPr>
        <w:pStyle w:val="Compact"/>
      </w:pPr>
      <w:r>
        <w:t xml:space="preserve">Nello studio sui neonati prematuri, con IGF-1/IGFBP-3 si sono verificati numericamente più eventi gravi fatali che con il trattamento standard</w:t>
      </w:r>
      <w:r>
        <w:rPr>
          <w:rStyle w:val="FootnoteReference"/>
        </w:rPr>
        <w:footnoteReference w:id="1515"/>
      </w:r>
      <w:r>
        <w:t xml:space="preserve">; lo studio non era progettato per valutare questa differenza.</w:t>
      </w:r>
    </w:p>
    <w:p>
      <w:pPr>
        <w:pStyle w:val="FirstParagraph"/>
      </w:pPr>
      <w:r>
        <w:rPr>
          <w:bCs/>
          <w:b/>
        </w:rPr>
        <w:t xml:space="preserve">Rischio di cancro: che cosa è documentato e che cosa no:</w:t>
      </w:r>
    </w:p>
    <w:p>
      <w:pPr>
        <w:pStyle w:val="BodyText"/>
      </w:pPr>
      <w:r>
        <w:t xml:space="preserve">L’IGF-1 è un segnale di crescita e sopravvivenza per le cellule. Il timore che più IGF-1 aumenti il rischio di cancro è quindi biologicamente plausibile ed è sostenuto da diversi tipi di risultati:</w:t>
      </w:r>
    </w:p>
    <w:p>
      <w:pPr>
        <w:numPr>
          <w:ilvl w:val="0"/>
          <w:numId w:val="1177"/>
        </w:numPr>
        <w:pStyle w:val="Compact"/>
      </w:pPr>
      <w:r>
        <w:rPr>
          <w:iCs/>
          <w:i/>
        </w:rPr>
        <w:t xml:space="preserve">Studi osservazionali:</w:t>
      </w:r>
      <w:r>
        <w:t xml:space="preserve"> </w:t>
      </w:r>
      <w:r>
        <w:t xml:space="preserve">le persone con livelli ematici di IGF-1 più alti si ammalano un po’ più spesso di cancro alla prostata e di cancro al seno prima della menopausa</w:t>
      </w:r>
      <w:r>
        <w:rPr>
          <w:rStyle w:val="FootnoteReference"/>
        </w:rPr>
        <w:footnoteReference w:id="1516"/>
      </w:r>
      <w:r>
        <w:t xml:space="preserve">. Nella UK Biobank ogni aumento di 5 nmol/l era associato a un rischio di cancro al seno più alto dell’11%</w:t>
      </w:r>
      <w:r>
        <w:rPr>
          <w:rStyle w:val="FootnoteReference"/>
        </w:rPr>
        <w:footnoteReference w:id="1517"/>
      </w:r>
      <w:r>
        <w:t xml:space="preserve">; associazioni simili emergono per il cancro del colon-retto</w:t>
      </w:r>
      <w:r>
        <w:rPr>
          <w:rStyle w:val="FootnoteReference"/>
        </w:rPr>
        <w:footnoteReference w:id="1518"/>
      </w:r>
      <w:r>
        <w:t xml:space="preserve"> </w:t>
      </w:r>
      <w:r>
        <w:t xml:space="preserve">e il cancro alla prostata</w:t>
      </w:r>
      <w:r>
        <w:rPr>
          <w:rStyle w:val="FootnoteReference"/>
        </w:rPr>
        <w:footnoteReference w:id="1519"/>
      </w:r>
      <w:r>
        <w:t xml:space="preserve">.</w:t>
      </w:r>
    </w:p>
    <w:p>
      <w:pPr>
        <w:numPr>
          <w:ilvl w:val="0"/>
          <w:numId w:val="1177"/>
        </w:numPr>
        <w:pStyle w:val="Compact"/>
      </w:pPr>
      <w:r>
        <w:rPr>
          <w:iCs/>
          <w:i/>
        </w:rPr>
        <w:t xml:space="preserve">Analisi genetiche (randomizzazione mendeliana):</w:t>
      </w:r>
      <w:r>
        <w:t xml:space="preserve"> </w:t>
      </w:r>
      <w:r>
        <w:t xml:space="preserve">anche le persone con livelli di IGF-1 geneticamente più alti si ammalano un po’ più spesso di cancro al seno e del colon-retto, un indizio che l’associazione potrebbe essere causale</w:t>
      </w:r>
      <w:r>
        <w:rPr>
          <w:rStyle w:val="FootnoteReference"/>
        </w:rPr>
        <w:footnoteReference w:id="1520"/>
      </w:r>
      <w:r>
        <w:t xml:space="preserve">.</w:t>
      </w:r>
    </w:p>
    <w:p>
      <w:pPr>
        <w:numPr>
          <w:ilvl w:val="0"/>
          <w:numId w:val="1177"/>
        </w:numPr>
        <w:pStyle w:val="Compact"/>
      </w:pPr>
      <w:r>
        <w:rPr>
          <w:iCs/>
          <w:i/>
        </w:rPr>
        <w:t xml:space="preserve">Il quadro opposto:</w:t>
      </w:r>
      <w:r>
        <w:t xml:space="preserve"> </w:t>
      </w:r>
      <w:r>
        <w:t xml:space="preserve">in un gruppo ecuadoriano con sindrome di Laron, cioè con deficit di IGF-1 per tutta la vita, in 22 anni di osservazione si è verificato un solo caso di cancro, non fatale, contro il 17% nei parenti non affetti</w:t>
      </w:r>
      <w:r>
        <w:rPr>
          <w:rStyle w:val="FootnoteReference"/>
        </w:rPr>
        <w:footnoteReference w:id="1521"/>
      </w:r>
      <w:r>
        <w:t xml:space="preserve">.</w:t>
      </w:r>
    </w:p>
    <w:p>
      <w:pPr>
        <w:pStyle w:val="FirstParagraph"/>
      </w:pPr>
      <w:r>
        <w:t xml:space="preserve">Importante è l’ordine di grandezza: gli aumenti di rischio misurati con un IGF-1 naturalmente più alto sono moderati (a seconda del confronto e del tipo di cancro per lo più tra circa il 5 e il 65% in termini relativi). Per i bambini per i quali la mecasermina è autorizzata viene sostituito un ormone mancante, non innalzato oltre misura un livello normale. Tuttavia, dopo l’immissione in commercio sono stati segnalati casi di neoplasie benigne e maligne in bambini trattati; il riassunto delle caratteristiche del prodotto nell’UE e negli USA è stato quindi integrato con le relative avvertenze, e in presenza di un tumore attivo o sospetto la mecasermina non deve essere usata (aggiornato al 2026, per i dettagli si veda il riassunto delle caratteristiche del prodotto attuale). Se esista un nesso causale non è possibile chiarirlo da singole segnalazioni; il registro a lungo termine</w:t>
      </w:r>
      <w:r>
        <w:rPr>
          <w:rStyle w:val="FootnoteReference"/>
        </w:rPr>
        <w:footnoteReference w:id="1522"/>
      </w:r>
      <w:r>
        <w:t xml:space="preserve"> </w:t>
      </w:r>
      <w:r>
        <w:t xml:space="preserve">dovrebbe fornire dati in merito.</w:t>
      </w:r>
    </w:p>
    <w:p>
      <w:pPr>
        <w:pStyle w:val="BodyText"/>
      </w:pPr>
      <w:r>
        <w:t xml:space="preserve">Per gli adulti che usano IGF-1 senza un deficit per migliorare le prestazioni o per «ringiovanire», queste considerazioni vanno prese molto più sul serio: qui un livello normale verrebbe innalzato in modo permanente, esattamente la situazione che negli studi osservazionali è associata a un rischio più alto. Il tema viene trattato in dettaglio nella Parte IV.</w:t>
      </w:r>
    </w:p>
    <w:bookmarkEnd w:id="1523"/>
    <w:bookmarkStart w:id="1526" w:name="quadro-normativo-31"/>
    <w:p>
      <w:pPr>
        <w:pStyle w:val="Heading3"/>
      </w:pPr>
      <w:r>
        <w:t xml:space="preserve">Quadro normativo</w:t>
      </w:r>
    </w:p>
    <w:p>
      <w:pPr>
        <w:pStyle w:val="FirstParagraph"/>
      </w:pPr>
      <w:r>
        <w:rPr>
          <w:iCs/>
          <w:i/>
        </w:rPr>
        <w:t xml:space="preserve">Aggiornato al 2026, da verificare.</w:t>
      </w:r>
    </w:p>
    <w:p>
      <w:pPr>
        <w:numPr>
          <w:ilvl w:val="0"/>
          <w:numId w:val="1178"/>
        </w:numPr>
        <w:pStyle w:val="Compact"/>
      </w:pPr>
      <w:r>
        <w:rPr>
          <w:bCs/>
          <w:b/>
        </w:rPr>
        <w:t xml:space="preserve">UE, Germania, Austria:</w:t>
      </w:r>
      <w:r>
        <w:t xml:space="preserve"> </w:t>
      </w:r>
      <w:r>
        <w:t xml:space="preserve">autorizzata (Increlex) esclusivamente per bambini e adolescenti con grave deficit primario di IGF-1; soggetta a prescrizione, trattamento da parte di medici esperti in endocrinologia pediatrica secondo il riassunto delle caratteristiche del prodotto. L’autorizzazione UE è legata alla raccolta di dati nel registro a lungo termine</w:t>
      </w:r>
      <w:r>
        <w:rPr>
          <w:rStyle w:val="FootnoteReference"/>
        </w:rPr>
        <w:footnoteReference w:id="1524"/>
      </w:r>
      <w:r>
        <w:t xml:space="preserve">.</w:t>
      </w:r>
    </w:p>
    <w:p>
      <w:pPr>
        <w:numPr>
          <w:ilvl w:val="0"/>
          <w:numId w:val="1178"/>
        </w:numPr>
        <w:pStyle w:val="Compact"/>
      </w:pPr>
      <w:r>
        <w:rPr>
          <w:bCs/>
          <w:b/>
        </w:rPr>
        <w:t xml:space="preserve">USA:</w:t>
      </w:r>
      <w:r>
        <w:t xml:space="preserve"> </w:t>
      </w:r>
      <w:r>
        <w:t xml:space="preserve">autorizzata (Increlex) per la stessa indicazione.</w:t>
      </w:r>
    </w:p>
    <w:p>
      <w:pPr>
        <w:numPr>
          <w:ilvl w:val="0"/>
          <w:numId w:val="1178"/>
        </w:numPr>
        <w:pStyle w:val="Compact"/>
      </w:pPr>
      <w:r>
        <w:rPr>
          <w:bCs/>
          <w:b/>
        </w:rPr>
        <w:t xml:space="preserve">Altri impieghi</w:t>
      </w:r>
      <w:r>
        <w:t xml:space="preserve"> </w:t>
      </w:r>
      <w:r>
        <w:t xml:space="preserve">(adulti, sport, anti-aging) non sono autorizzati.</w:t>
      </w:r>
    </w:p>
    <w:p>
      <w:pPr>
        <w:numPr>
          <w:ilvl w:val="0"/>
          <w:numId w:val="1178"/>
        </w:numPr>
        <w:pStyle w:val="Compact"/>
      </w:pPr>
      <w:r>
        <w:rPr>
          <w:bCs/>
          <w:b/>
        </w:rPr>
        <w:t xml:space="preserve">WADA:</w:t>
      </w:r>
      <w:r>
        <w:t xml:space="preserve"> </w:t>
      </w:r>
      <w:r>
        <w:t xml:space="preserve">vietata (S2). Per rilevare l’abuso di IGF-1 si stanno sviluppando metodi basati su marcatori, simili al test per l’ormone della crescita</w:t>
      </w:r>
      <w:r>
        <w:rPr>
          <w:rStyle w:val="FootnoteReference"/>
        </w:rPr>
        <w:footnoteReference w:id="1525"/>
      </w:r>
      <w:r>
        <w:t xml:space="preserve">.</w:t>
      </w:r>
    </w:p>
    <w:bookmarkEnd w:id="1526"/>
    <w:bookmarkStart w:id="1528" w:name="studi-in-corso-e-prospettive-31"/>
    <w:p>
      <w:pPr>
        <w:pStyle w:val="Heading3"/>
      </w:pPr>
      <w:r>
        <w:t xml:space="preserve">Studi in corso e prospettive</w:t>
      </w:r>
    </w:p>
    <w:p>
      <w:pPr>
        <w:pStyle w:val="FirstParagraph"/>
      </w:pPr>
      <w:r>
        <w:rPr>
          <w:iCs/>
          <w:i/>
        </w:rPr>
        <w:t xml:space="preserve">Assodato:</w:t>
      </w:r>
      <w:r>
        <w:t xml:space="preserve"> </w:t>
      </w:r>
      <w:r>
        <w:t xml:space="preserve">il registro globale di Increlex</w:t>
      </w:r>
      <w:r>
        <w:rPr>
          <w:rStyle w:val="FootnoteReference"/>
        </w:rPr>
        <w:footnoteReference w:id="1527"/>
      </w:r>
      <w:r>
        <w:t xml:space="preserve"> </w:t>
      </w:r>
      <w:r>
        <w:t xml:space="preserve">prosegue, secondo la voce, fino alla fine del 2027. Uno studio di fase 2 con IGF-1/IGFBP-3 per la prevenzione della displasia broncopolmonare nei neonati estremamente prematuri (NCT03253263, 295 bambini) è attivo, ma non più in reclutamento.</w:t>
      </w:r>
      <w:r>
        <w:t xml:space="preserve"> </w:t>
      </w:r>
      <w:r>
        <w:rPr>
          <w:iCs/>
          <w:i/>
        </w:rPr>
        <w:t xml:space="preserve">Valutazione dell’autore:</w:t>
      </w:r>
      <w:r>
        <w:t xml:space="preserve"> </w:t>
      </w:r>
      <w:r>
        <w:t xml:space="preserve">nuove autorizzazioni per gli adulti non sono in vista; l’importanza della mecasermina resterà limitata ai rari disturbi della crescita ed eventualmente alla medicina dei neonati prematuri.</w:t>
      </w:r>
    </w:p>
    <w:bookmarkEnd w:id="1528"/>
    <w:bookmarkStart w:id="1529" w:name="conclusione-31"/>
    <w:p>
      <w:pPr>
        <w:pStyle w:val="Heading3"/>
      </w:pPr>
      <w:r>
        <w:t xml:space="preserve">Conclusione</w:t>
      </w:r>
    </w:p>
    <w:p>
      <w:pPr>
        <w:pStyle w:val="FirstParagraph"/>
      </w:pPr>
      <w:r>
        <w:t xml:space="preserve">La mecasermina sostituisce l’IGF-1 mancante nei bambini con grave deficit primario di IGF-1 e ne migliora nettamente la crescita, soprattutto se il trattamento inizia presto. L’effetto collaterale più frequente è l’ipoglicemia; dopo segnalazioni di neoplasie le avvertenze sono state rafforzate. In altri impieghi, per esempio nella SLA, l’IGF-1 non ha portato alcun beneficio. Per le persone sane un impiego non è né documentato né giustificabile, perché un IGF-1 costantemente elevato è associato, in grandi studi osservazionali e genetici, a un rischio di cancro leggermente più alto.</w:t>
      </w:r>
    </w:p>
    <w:bookmarkEnd w:id="1529"/>
    <w:bookmarkEnd w:id="1530"/>
    <w:bookmarkStart w:id="1560" w:name="igf-1-lr3"/>
    <w:p>
      <w:pPr>
        <w:pStyle w:val="Heading2"/>
      </w:pPr>
      <w:r>
        <w:t xml:space="preserve">IGF-1 LR3</w:t>
      </w:r>
    </w:p>
    <w:p>
      <w:pPr>
        <w:pStyle w:val="FirstParagraph"/>
      </w:pPr>
      <w:r>
        <w:t xml:space="preserve">L’IGF-1 LR3 (per esteso «Long-R3-IGF-I») non è un farmaco, ma un reagente di laboratorio. È stato sviluppato per far crescere meglio le colture cellulari nelle biotecnologie e viene impiegato negli esperimenti sugli animali. Il fatto che in internet venga venduto in flaconcini per iniezione è un esempio emblematico del mercato dei «research peptide»: una sostanza mai pensata per l’uomo, mai testata sull’uomo e le cui proprietà amplificano proprio i rischi che preoccupano nel caso dell’IGF-1 naturale.</w:t>
      </w:r>
    </w:p>
    <w:bookmarkStart w:id="1532" w:name="scheda-32"/>
    <w:p>
      <w:pPr>
        <w:pStyle w:val="Heading3"/>
      </w:pPr>
      <w:r>
        <w:t xml:space="preserve">Scheda</w:t>
      </w:r>
    </w:p>
    <w:p>
      <w:pPr>
        <w:numPr>
          <w:ilvl w:val="0"/>
          <w:numId w:val="1179"/>
        </w:numPr>
        <w:pStyle w:val="Compact"/>
      </w:pPr>
      <w:r>
        <w:rPr>
          <w:bCs/>
          <w:b/>
        </w:rPr>
        <w:t xml:space="preserve">Tipo e struttura:</w:t>
      </w:r>
      <w:r>
        <w:t xml:space="preserve"> </w:t>
      </w:r>
      <w:r>
        <w:t xml:space="preserve">IGF-1 umano modificato: in posizione 3 si trova l’amminoacido arginina («R3»), e all’inizio è stata aggiunta una catena di amminoacidi supplementare («Long»). Entrambe le modifiche riducono fortemente il legame con le proteine leganti l’IGF</w:t>
      </w:r>
      <w:r>
        <w:rPr>
          <w:rStyle w:val="FootnoteReference"/>
        </w:rPr>
        <w:footnoteReference w:id="1531"/>
      </w:r>
      <w:r>
        <w:t xml:space="preserve">.</w:t>
      </w:r>
    </w:p>
    <w:p>
      <w:pPr>
        <w:numPr>
          <w:ilvl w:val="0"/>
          <w:numId w:val="1179"/>
        </w:numPr>
        <w:pStyle w:val="Compact"/>
      </w:pPr>
      <w:r>
        <w:rPr>
          <w:bCs/>
          <w:b/>
        </w:rPr>
        <w:t xml:space="preserve">Origine:</w:t>
      </w:r>
      <w:r>
        <w:t xml:space="preserve"> </w:t>
      </w:r>
      <w:r>
        <w:t xml:space="preserve">descritto all’inizio degli anni Novanta come strumento di ricerca; oggi disponibile in commercio come additivo per terreni di coltura cellulare.</w:t>
      </w:r>
    </w:p>
    <w:p>
      <w:pPr>
        <w:numPr>
          <w:ilvl w:val="0"/>
          <w:numId w:val="1179"/>
        </w:numPr>
        <w:pStyle w:val="Compact"/>
      </w:pPr>
      <w:r>
        <w:rPr>
          <w:bCs/>
          <w:b/>
        </w:rPr>
        <w:t xml:space="preserve">Principio d’azione:</w:t>
      </w:r>
      <w:r>
        <w:t xml:space="preserve"> </w:t>
      </w:r>
      <w:r>
        <w:t xml:space="preserve">come l’IGF-1, si lega al recettore dell’IGF-1; poiché viene a malapena intercettato dalle proteine leganti, nel sangue si trova prevalentemente in forma libera e quindi direttamente attiva.</w:t>
      </w:r>
    </w:p>
    <w:p>
      <w:pPr>
        <w:numPr>
          <w:ilvl w:val="0"/>
          <w:numId w:val="1179"/>
        </w:numPr>
        <w:pStyle w:val="Compact"/>
      </w:pPr>
      <w:r>
        <w:rPr>
          <w:bCs/>
          <w:b/>
        </w:rPr>
        <w:t xml:space="preserve">Autorizzazione UE:</w:t>
      </w:r>
      <w:r>
        <w:t xml:space="preserve"> </w:t>
      </w:r>
      <w:r>
        <w:t xml:space="preserve">no.</w:t>
      </w:r>
      <w:r>
        <w:t xml:space="preserve"> </w:t>
      </w:r>
      <w:r>
        <w:rPr>
          <w:bCs/>
          <w:b/>
        </w:rPr>
        <w:t xml:space="preserve">Autorizzazione USA:</w:t>
      </w:r>
      <w:r>
        <w:t xml:space="preserve"> </w:t>
      </w:r>
      <w:r>
        <w:t xml:space="preserve">no. Non è autorizzato come medicinale da nessuna parte né è mai stata chiesta un’autorizzazione.</w:t>
      </w:r>
    </w:p>
    <w:p>
      <w:pPr>
        <w:numPr>
          <w:ilvl w:val="0"/>
          <w:numId w:val="1179"/>
        </w:numPr>
        <w:pStyle w:val="Compact"/>
      </w:pPr>
      <w:r>
        <w:rPr>
          <w:bCs/>
          <w:b/>
        </w:rPr>
        <w:t xml:space="preserve">WADA:</w:t>
      </w:r>
      <w:r>
        <w:t xml:space="preserve"> </w:t>
      </w:r>
      <w:r>
        <w:t xml:space="preserve">vietato, classe S2 (analoghi dell’IGF-1 come fattori di crescita).</w:t>
      </w:r>
    </w:p>
    <w:p>
      <w:pPr>
        <w:numPr>
          <w:ilvl w:val="0"/>
          <w:numId w:val="1179"/>
        </w:numPr>
        <w:pStyle w:val="Compact"/>
      </w:pPr>
      <w:r>
        <w:rPr>
          <w:bCs/>
          <w:b/>
        </w:rPr>
        <w:t xml:space="preserve">Livello di evidenza: D</w:t>
      </w:r>
      <w:r>
        <w:t xml:space="preserve"> </w:t>
      </w:r>
      <w:r>
        <w:t xml:space="preserve">– nemmeno uno studio sull’uomo; solo studi su animali e in laboratorio.</w:t>
      </w:r>
    </w:p>
    <w:bookmarkEnd w:id="1532"/>
    <w:bookmarkStart w:id="1536" w:name="come-dovrebbe-agire-32"/>
    <w:p>
      <w:pPr>
        <w:pStyle w:val="Heading3"/>
      </w:pPr>
      <w:r>
        <w:t xml:space="preserve">Come dovrebbe agire</w:t>
      </w:r>
    </w:p>
    <w:p>
      <w:pPr>
        <w:pStyle w:val="FirstParagraph"/>
      </w:pPr>
      <w:r>
        <w:t xml:space="preserve">Nel sangue quasi tutto l’IGF-1 è legato a proteine leganti, soprattutto all’IGFBP-3. Queste proteine agiscono come un tampone: prolungano la vita dell’IGF-1, ma lo tengono anche lontano dalle cellule e ne attenuano così l’effetto. In esperimenti su cellule l’IGFBP-3 ha inibito l’attivazione del recettore dell’IGF-1 da parte dell’IGF-1 e anche del Long-R3-IGF-I, intercettando i messaggeri</w:t>
      </w:r>
      <w:r>
        <w:rPr>
          <w:rStyle w:val="FootnoteReference"/>
        </w:rPr>
        <w:footnoteReference w:id="1533"/>
      </w:r>
      <w:r>
        <w:t xml:space="preserve">.</w:t>
      </w:r>
    </w:p>
    <w:p>
      <w:pPr>
        <w:pStyle w:val="BodyText"/>
      </w:pPr>
      <w:r>
        <w:t xml:space="preserve">L’LR3 è stato modificato in modo da sfuggire in gran parte a questo tampone. Nei ratti si trovava nel sangue prevalentemente come peptide libero e veniva eliminato dal sangue, negli animali non gravidi, circa dieci volte più velocemente dell’IGF-1: scompare quindi rapidamente nei tessuti</w:t>
      </w:r>
      <w:r>
        <w:rPr>
          <w:rStyle w:val="FootnoteReference"/>
        </w:rPr>
        <w:footnoteReference w:id="1534"/>
      </w:r>
      <w:r>
        <w:t xml:space="preserve">. Nei ratti diabetici era da 2,5 a 3 volte più efficace dell’IGF-1 nel ripristinare la crescita</w:t>
      </w:r>
      <w:r>
        <w:rPr>
          <w:rStyle w:val="FootnoteReference"/>
        </w:rPr>
        <w:footnoteReference w:id="1535"/>
      </w:r>
      <w:r>
        <w:t xml:space="preserve">. Sul mercato grigio se ne ricava l’aspettativa che l’LR3 costruisca nell’uomo più muscolo dell’IGF-1 naturale. Non ci sono prove a sostegno.</w:t>
      </w:r>
    </w:p>
    <w:bookmarkEnd w:id="1536"/>
    <w:bookmarkStart w:id="1540" w:name="studi-sulluomo-32"/>
    <w:p>
      <w:pPr>
        <w:pStyle w:val="Heading3"/>
      </w:pPr>
      <w:r>
        <w:t xml:space="preserve">Studi sull’uomo</w:t>
      </w:r>
    </w:p>
    <w:p>
      <w:pPr>
        <w:pStyle w:val="FirstParagraph"/>
      </w:pPr>
      <w:r>
        <w:rPr>
          <w:bCs/>
          <w:b/>
        </w:rPr>
        <w:t xml:space="preserve">Dimensioni della letteratura (ricerca di ottobre 2026):</w:t>
      </w:r>
      <w:r>
        <w:t xml:space="preserve"> </w:t>
      </w:r>
      <w:r>
        <w:t xml:space="preserve">la ricerca automatizzata di questo libro</w:t>
      </w:r>
      <w:r>
        <w:t xml:space="preserve"> </w:t>
      </w:r>
      <w:r>
        <w:rPr>
          <w:bCs/>
          <w:b/>
        </w:rPr>
        <w:t xml:space="preserve">non</w:t>
      </w:r>
      <w:r>
        <w:t xml:space="preserve"> </w:t>
      </w:r>
      <w:r>
        <w:t xml:space="preserve">ha trovato alcuno studio sull’uomo in PubMed (</w:t>
      </w:r>
      <w:r>
        <w:rPr>
          <w:rStyle w:val="VerbatimChar"/>
        </w:rPr>
        <w:t xml:space="preserve">humanstudien_alle</w:t>
      </w:r>
      <w:r>
        <w:t xml:space="preserve">: 0) e</w:t>
      </w:r>
      <w:r>
        <w:t xml:space="preserve"> </w:t>
      </w:r>
      <w:r>
        <w:rPr>
          <w:bCs/>
          <w:b/>
        </w:rPr>
        <w:t xml:space="preserve">nessuna</w:t>
      </w:r>
      <w:r>
        <w:t xml:space="preserve"> </w:t>
      </w:r>
      <w:r>
        <w:t xml:space="preserve">voce su ClinicalTrials.gov. Anche una ricerca mirata supplementare di studi pilota, casi clinici di intossicazione o effetti collaterali non ha individuato alcuna pubblicazione in cui delle persone abbiano ricevuto IGF-1 LR3.</w:t>
      </w:r>
    </w:p>
    <w:p>
      <w:pPr>
        <w:pStyle w:val="BodyText"/>
      </w:pPr>
      <w:r>
        <w:t xml:space="preserve">Sono stati trovati soltanto:</w:t>
      </w:r>
    </w:p>
    <w:p>
      <w:pPr>
        <w:numPr>
          <w:ilvl w:val="0"/>
          <w:numId w:val="1180"/>
        </w:numPr>
        <w:pStyle w:val="Compact"/>
      </w:pPr>
      <w:r>
        <w:rPr>
          <w:bCs/>
          <w:b/>
        </w:rPr>
        <w:t xml:space="preserve">Analisi del mercato grigio:</w:t>
      </w:r>
      <w:r>
        <w:t xml:space="preserve"> </w:t>
      </w:r>
      <w:r>
        <w:t xml:space="preserve">un laboratorio antidoping ha trovato in un flaconcino per iniezione del mercato nero Long-R3-IGF-I con un cosiddetto His-tag, un’appendice di sei unità di istidina usata per la purificazione nella produzione di proteine da laboratorio. Gli autori ritengono che si trattasse di un sottoprodotto della ricerca biochimica, non di un preparato fabbricato per iniezioni; l’effetto di questa variante nell’uomo è del tutto sconosciuto</w:t>
      </w:r>
      <w:r>
        <w:rPr>
          <w:rStyle w:val="FootnoteReference"/>
        </w:rPr>
        <w:footnoteReference w:id="1537"/>
      </w:r>
      <w:r>
        <w:t xml:space="preserve">. Un altro gruppo di lavoro ha trovato in prodotti del mercato nero numerosi indizi di forme peptidiche scadenti e ossidate</w:t>
      </w:r>
      <w:r>
        <w:rPr>
          <w:rStyle w:val="FootnoteReference"/>
        </w:rPr>
        <w:footnoteReference w:id="1538"/>
      </w:r>
      <w:r>
        <w:t xml:space="preserve">.</w:t>
      </w:r>
    </w:p>
    <w:p>
      <w:pPr>
        <w:numPr>
          <w:ilvl w:val="0"/>
          <w:numId w:val="1180"/>
        </w:numPr>
        <w:pStyle w:val="Compact"/>
      </w:pPr>
      <w:r>
        <w:rPr>
          <w:bCs/>
          <w:b/>
        </w:rPr>
        <w:t xml:space="preserve">Rassegne sul doping:</w:t>
      </w:r>
      <w:r>
        <w:t xml:space="preserve"> </w:t>
      </w:r>
      <w:r>
        <w:t xml:space="preserve">l’IGF-1 e i suoi analoghi vengono pubblicizzati in internet e sono disponibili da anni sul mercato nero</w:t>
      </w:r>
      <w:r>
        <w:rPr>
          <w:rStyle w:val="FootnoteReference"/>
        </w:rPr>
        <w:footnoteReference w:id="1539"/>
      </w:r>
      <w:r>
        <w:t xml:space="preserve">.</w:t>
      </w:r>
    </w:p>
    <w:bookmarkEnd w:id="1540"/>
    <w:bookmarkStart w:id="1548" w:name="studi-su-animali-e-in-laboratorio-32"/>
    <w:p>
      <w:pPr>
        <w:pStyle w:val="Heading3"/>
      </w:pPr>
      <w:r>
        <w:t xml:space="preserve">Studi su animali e in laboratorio</w:t>
      </w:r>
    </w:p>
    <w:p>
      <w:pPr>
        <w:pStyle w:val="FirstParagraph"/>
      </w:pPr>
      <w:r>
        <w:t xml:space="preserve">Quasi tutta la ricerca sull’LR3 proviene dalla biologia degli animali da reddito e dello sviluppo:</w:t>
      </w:r>
    </w:p>
    <w:p>
      <w:pPr>
        <w:numPr>
          <w:ilvl w:val="0"/>
          <w:numId w:val="1181"/>
        </w:numPr>
        <w:pStyle w:val="Compact"/>
      </w:pPr>
      <w:r>
        <w:rPr>
          <w:bCs/>
          <w:b/>
        </w:rPr>
        <w:t xml:space="preserve">Ratti:</w:t>
      </w:r>
      <w:r>
        <w:t xml:space="preserve"> </w:t>
      </w:r>
      <w:r>
        <w:t xml:space="preserve">rapida distribuzione nei tessuti, prevalentemente come peptide libero</w:t>
      </w:r>
      <w:r>
        <w:rPr>
          <w:rStyle w:val="FootnoteReference"/>
        </w:rPr>
        <w:footnoteReference w:id="1541"/>
      </w:r>
      <w:r>
        <w:t xml:space="preserve">; effetto sulla crescita più forte dell’IGF-1 in ratti diabetici, senza ridurre l’escrezione di glucosio nelle urine</w:t>
      </w:r>
      <w:r>
        <w:rPr>
          <w:rStyle w:val="FootnoteReference"/>
        </w:rPr>
        <w:footnoteReference w:id="1542"/>
      </w:r>
      <w:r>
        <w:t xml:space="preserve">.</w:t>
      </w:r>
    </w:p>
    <w:p>
      <w:pPr>
        <w:numPr>
          <w:ilvl w:val="0"/>
          <w:numId w:val="1181"/>
        </w:numPr>
        <w:pStyle w:val="Compact"/>
      </w:pPr>
      <w:r>
        <w:rPr>
          <w:bCs/>
          <w:b/>
        </w:rPr>
        <w:t xml:space="preserve">Maiali:</w:t>
      </w:r>
      <w:r>
        <w:t xml:space="preserve"> </w:t>
      </w:r>
      <w:r>
        <w:t xml:space="preserve">un’infusione di quattro giorni ha</w:t>
      </w:r>
      <w:r>
        <w:t xml:space="preserve"> </w:t>
      </w:r>
      <w:r>
        <w:rPr>
          <w:bCs/>
          <w:b/>
        </w:rPr>
        <w:t xml:space="preserve">ridotto</w:t>
      </w:r>
      <w:r>
        <w:t xml:space="preserve"> </w:t>
      </w:r>
      <w:r>
        <w:t xml:space="preserve">nei suini da ingrasso l’aumento di peso e l’assunzione di cibo e ha soppresso i livelli endogeni di ormone della crescita, IGF-1, IGFBP-3 e insulina</w:t>
      </w:r>
      <w:r>
        <w:rPr>
          <w:rStyle w:val="FootnoteReference"/>
        </w:rPr>
        <w:footnoteReference w:id="1543"/>
      </w:r>
      <w:r>
        <w:t xml:space="preserve">.</w:t>
      </w:r>
    </w:p>
    <w:p>
      <w:pPr>
        <w:numPr>
          <w:ilvl w:val="0"/>
          <w:numId w:val="1181"/>
        </w:numPr>
        <w:pStyle w:val="Compact"/>
      </w:pPr>
      <w:r>
        <w:rPr>
          <w:bCs/>
          <w:b/>
        </w:rPr>
        <w:t xml:space="preserve">Cavie:</w:t>
      </w:r>
      <w:r>
        <w:t xml:space="preserve"> </w:t>
      </w:r>
      <w:r>
        <w:t xml:space="preserve">organi come intestino, reni, milza e ghiandole surrenali sono diventati più pesanti, ma la crescita corporea complessiva non è aumentata</w:t>
      </w:r>
      <w:r>
        <w:rPr>
          <w:rStyle w:val="FootnoteReference"/>
        </w:rPr>
        <w:footnoteReference w:id="1544"/>
      </w:r>
      <w:r>
        <w:t xml:space="preserve">.</w:t>
      </w:r>
    </w:p>
    <w:p>
      <w:pPr>
        <w:numPr>
          <w:ilvl w:val="0"/>
          <w:numId w:val="1181"/>
        </w:numPr>
        <w:pStyle w:val="Compact"/>
      </w:pPr>
      <w:r>
        <w:rPr>
          <w:bCs/>
          <w:b/>
        </w:rPr>
        <w:t xml:space="preserve">Feti di pecora:</w:t>
      </w:r>
      <w:r>
        <w:t xml:space="preserve"> </w:t>
      </w:r>
      <w:r>
        <w:t xml:space="preserve">nei feti con crescita normale l’LR3 ha ridotto la secrezione di insulina; una breve infusione ha diminuito i livelli di insulina sotto carico di glucosio del 66%</w:t>
      </w:r>
      <w:r>
        <w:rPr>
          <w:rStyle w:val="FootnoteReference"/>
        </w:rPr>
        <w:footnoteReference w:id="1545"/>
      </w:r>
      <w:r>
        <w:t xml:space="preserve">. Nei feti con ritardo di crescita un trattamento di una settimana non ha migliorato la crescita</w:t>
      </w:r>
      <w:r>
        <w:rPr>
          <w:rStyle w:val="FootnoteReference"/>
        </w:rPr>
        <w:footnoteReference w:id="1546"/>
      </w:r>
      <w:r>
        <w:t xml:space="preserve">.</w:t>
      </w:r>
    </w:p>
    <w:p>
      <w:pPr>
        <w:numPr>
          <w:ilvl w:val="0"/>
          <w:numId w:val="1181"/>
        </w:numPr>
        <w:pStyle w:val="Compact"/>
      </w:pPr>
      <w:r>
        <w:rPr>
          <w:bCs/>
          <w:b/>
        </w:rPr>
        <w:t xml:space="preserve">Topi:</w:t>
      </w:r>
      <w:r>
        <w:t xml:space="preserve"> </w:t>
      </w:r>
      <w:r>
        <w:t xml:space="preserve">in un modello di Alzheimer l’LR3 come spray nasale ha modificato i depositi di amiloide, ma non ha impedito la perdita di memoria</w:t>
      </w:r>
      <w:r>
        <w:rPr>
          <w:rStyle w:val="FootnoteReference"/>
        </w:rPr>
        <w:footnoteReference w:id="1547"/>
      </w:r>
      <w:r>
        <w:t xml:space="preserve">.</w:t>
      </w:r>
    </w:p>
    <w:p>
      <w:pPr>
        <w:pStyle w:val="FirstParagraph"/>
      </w:pPr>
      <w:r>
        <w:t xml:space="preserve">I dati sugli animali sono contraddittori: a seconda della specie l’LR3 ha favorito la crescita, è stato inefficace o l’ha persino inibita. Un trasferimento all’uomo non è possibile.</w:t>
      </w:r>
    </w:p>
    <w:bookmarkEnd w:id="1548"/>
    <w:bookmarkStart w:id="1555" w:name="rischi-ed-effetti-collaterali-32"/>
    <w:p>
      <w:pPr>
        <w:pStyle w:val="Heading3"/>
      </w:pPr>
      <w:r>
        <w:t xml:space="preserve">Rischi ed effetti collaterali</w:t>
      </w:r>
    </w:p>
    <w:p>
      <w:pPr>
        <w:pStyle w:val="FirstParagraph"/>
      </w:pPr>
      <w:r>
        <w:t xml:space="preserve">Poiché non esistono studi sull’uomo, i rischi si possono dedurre solo dalla biologia e dalle esperienze con l’IGF-1 naturale (mecasermina). Queste deduzioni sono</w:t>
      </w:r>
      <w:r>
        <w:t xml:space="preserve"> </w:t>
      </w:r>
      <w:r>
        <w:rPr>
          <w:bCs/>
          <w:b/>
        </w:rPr>
        <w:t xml:space="preserve">teoriche</w:t>
      </w:r>
      <w:r>
        <w:t xml:space="preserve">, ma ben fondate:</w:t>
      </w:r>
    </w:p>
    <w:p>
      <w:pPr>
        <w:numPr>
          <w:ilvl w:val="0"/>
          <w:numId w:val="1182"/>
        </w:numPr>
        <w:pStyle w:val="Compact"/>
      </w:pPr>
      <w:r>
        <w:rPr>
          <w:bCs/>
          <w:b/>
        </w:rPr>
        <w:t xml:space="preserve">Ipoglicemia:</w:t>
      </w:r>
      <w:r>
        <w:t xml:space="preserve"> </w:t>
      </w:r>
      <w:r>
        <w:t xml:space="preserve">a dosi più alte l’IGF-1 agisce in modo simile all’insulina. Con la mecasermina autorizzata l’ipoglicemia è l’effetto collaterale più frequente, sebbene lì il tampone delle proteine leganti resti in gran parte intatto</w:t>
      </w:r>
      <w:r>
        <w:rPr>
          <w:rStyle w:val="FootnoteReference"/>
        </w:rPr>
        <w:footnoteReference w:id="1549"/>
      </w:r>
      <w:r>
        <w:t xml:space="preserve">. Un analogo che sfugge di proposito a questo tampone potrebbe agire in modo più forte e meno prevedibile. Nell’uomo ciò non è stato misurato. Negli esperimenti sugli animali i livelli di insulina sono talvolta diminuiti</w:t>
      </w:r>
      <w:r>
        <w:rPr>
          <w:rStyle w:val="FootnoteReference"/>
        </w:rPr>
        <w:footnoteReference w:id="1550"/>
      </w:r>
      <w:r>
        <w:t xml:space="preserve">, il che potrebbe alterare ulteriormente la regolazione della glicemia.</w:t>
      </w:r>
    </w:p>
    <w:p>
      <w:pPr>
        <w:numPr>
          <w:ilvl w:val="0"/>
          <w:numId w:val="1182"/>
        </w:numPr>
        <w:pStyle w:val="Compact"/>
      </w:pPr>
      <w:r>
        <w:rPr>
          <w:bCs/>
          <w:b/>
        </w:rPr>
        <w:t xml:space="preserve">Crescita di organi e tessuti:</w:t>
      </w:r>
      <w:r>
        <w:t xml:space="preserve"> </w:t>
      </w:r>
      <w:r>
        <w:t xml:space="preserve">nelle cavie gli organi interni si sono ingranditi</w:t>
      </w:r>
      <w:r>
        <w:rPr>
          <w:rStyle w:val="FootnoteReference"/>
        </w:rPr>
        <w:footnoteReference w:id="1551"/>
      </w:r>
      <w:r>
        <w:t xml:space="preserve">. Nell’uomo non è chiaro se accada qualcosa di simile.</w:t>
      </w:r>
    </w:p>
    <w:p>
      <w:pPr>
        <w:numPr>
          <w:ilvl w:val="0"/>
          <w:numId w:val="1182"/>
        </w:numPr>
        <w:pStyle w:val="Compact"/>
      </w:pPr>
      <w:r>
        <w:rPr>
          <w:bCs/>
          <w:b/>
        </w:rPr>
        <w:t xml:space="preserve">Teoria del cancro:</w:t>
      </w:r>
      <w:r>
        <w:t xml:space="preserve"> </w:t>
      </w:r>
      <w:r>
        <w:t xml:space="preserve">l’IGF-1 favorisce la divisione e la sopravvivenza cellulare. In grandi studi osservazionali e genetici livelli più alti di IGF-1 sono associati a un rischio leggermente più alto di cancro al seno e alla prostata</w:t>
      </w:r>
      <w:r>
        <w:rPr>
          <w:rStyle w:val="FootnoteReference"/>
        </w:rPr>
        <w:footnoteReference w:id="1552"/>
      </w:r>
      <w:r>
        <w:t xml:space="preserve">, e le persone con deficit congenito di IGF-1 si ammalano di cancro in modo vistosamente raro</w:t>
      </w:r>
      <w:r>
        <w:rPr>
          <w:rStyle w:val="FootnoteReference"/>
        </w:rPr>
        <w:footnoteReference w:id="1553"/>
      </w:r>
      <w:r>
        <w:t xml:space="preserve">. Un analogo che agisce sul recettore dell’IGF-1 in modo più forte e senza tampone amplifica proprio questa via di segnalazione. Se ciò aumenti in modo misurabile il rischio di cancro nell’uomo non è stato studiato, e data la mancanza di studi non lo sarà. Il timore si basa sulla plausibilità, non su casi clinici.</w:t>
      </w:r>
    </w:p>
    <w:p>
      <w:pPr>
        <w:numPr>
          <w:ilvl w:val="0"/>
          <w:numId w:val="1182"/>
        </w:numPr>
        <w:pStyle w:val="Compact"/>
      </w:pPr>
      <w:r>
        <w:rPr>
          <w:bCs/>
          <w:b/>
        </w:rPr>
        <w:t xml:space="preserve">Qualità del prodotto:</w:t>
      </w:r>
      <w:r>
        <w:t xml:space="preserve"> </w:t>
      </w:r>
      <w:r>
        <w:t xml:space="preserve">i preparati del mercato nero trovati contenevano varianti da laboratorio con appendice di purificazione e peptidi ossidati</w:t>
      </w:r>
      <w:r>
        <w:rPr>
          <w:rStyle w:val="FootnoteReference"/>
        </w:rPr>
        <w:footnoteReference w:id="1554"/>
      </w:r>
      <w:r>
        <w:t xml:space="preserve">. A ciò si aggiungono i rischi generali delle iniezioni non sterili. I reagenti per colture cellulari non sono soggetti ad alcun controllo sui medicinali.</w:t>
      </w:r>
    </w:p>
    <w:bookmarkEnd w:id="1555"/>
    <w:bookmarkStart w:id="1557" w:name="quadro-normativo-32"/>
    <w:p>
      <w:pPr>
        <w:pStyle w:val="Heading3"/>
      </w:pPr>
      <w:r>
        <w:t xml:space="preserve">Quadro normativo</w:t>
      </w:r>
    </w:p>
    <w:p>
      <w:pPr>
        <w:pStyle w:val="FirstParagraph"/>
      </w:pPr>
      <w:r>
        <w:rPr>
          <w:iCs/>
          <w:i/>
        </w:rPr>
        <w:t xml:space="preserve">Aggiornato al 2026, da verificare.</w:t>
      </w:r>
    </w:p>
    <w:p>
      <w:pPr>
        <w:numPr>
          <w:ilvl w:val="0"/>
          <w:numId w:val="1183"/>
        </w:numPr>
        <w:pStyle w:val="Compact"/>
      </w:pPr>
      <w:r>
        <w:rPr>
          <w:bCs/>
          <w:b/>
        </w:rPr>
        <w:t xml:space="preserve">UE, Germania, Austria:</w:t>
      </w:r>
      <w:r>
        <w:t xml:space="preserve"> </w:t>
      </w:r>
      <w:r>
        <w:t xml:space="preserve">non è un medicinale, nessuna autorizzazione, né richiesta. Come reagente di laboratorio può essere venduto per la ricerca; la cessione per uso umano non è consentita dalle leggi sui medicinali.</w:t>
      </w:r>
    </w:p>
    <w:p>
      <w:pPr>
        <w:numPr>
          <w:ilvl w:val="0"/>
          <w:numId w:val="1183"/>
        </w:numPr>
        <w:pStyle w:val="Compact"/>
      </w:pPr>
      <w:r>
        <w:rPr>
          <w:bCs/>
          <w:b/>
        </w:rPr>
        <w:t xml:space="preserve">USA:</w:t>
      </w:r>
      <w:r>
        <w:t xml:space="preserve"> </w:t>
      </w:r>
      <w:r>
        <w:t xml:space="preserve">nessuna autorizzazione; distribuzione solo come sostanza chimica per la ricerca.</w:t>
      </w:r>
    </w:p>
    <w:p>
      <w:pPr>
        <w:numPr>
          <w:ilvl w:val="0"/>
          <w:numId w:val="1183"/>
        </w:numPr>
        <w:pStyle w:val="Compact"/>
      </w:pPr>
      <w:r>
        <w:rPr>
          <w:bCs/>
          <w:b/>
        </w:rPr>
        <w:t xml:space="preserve">WADA:</w:t>
      </w:r>
      <w:r>
        <w:t xml:space="preserve"> </w:t>
      </w:r>
      <w:r>
        <w:t xml:space="preserve">vietato (S2). È stato sviluppato un metodo di rilevamento nel sangue per l’LR3 e gli analoghi dell’IGF-1 affini; nei ratti l’LR3 immodificato scompariva già dopo circa 4 ore, mentre i prodotti di degradazione erano rilevabili fino a 16 ore</w:t>
      </w:r>
      <w:r>
        <w:rPr>
          <w:rStyle w:val="FootnoteReference"/>
        </w:rPr>
        <w:footnoteReference w:id="1556"/>
      </w:r>
      <w:r>
        <w:t xml:space="preserve">.</w:t>
      </w:r>
    </w:p>
    <w:bookmarkEnd w:id="1557"/>
    <w:bookmarkStart w:id="1558" w:name="studi-in-corso-e-prospettive-32"/>
    <w:p>
      <w:pPr>
        <w:pStyle w:val="Heading3"/>
      </w:pPr>
      <w:r>
        <w:t xml:space="preserve">Studi in corso e prospettive</w:t>
      </w:r>
    </w:p>
    <w:p>
      <w:pPr>
        <w:pStyle w:val="FirstParagraph"/>
      </w:pPr>
      <w:r>
        <w:t xml:space="preserve">Su ClinicalTrials.gov a ottobre 2026 non è registrato alcuno studio con IGF-1 LR3.</w:t>
      </w:r>
      <w:r>
        <w:t xml:space="preserve"> </w:t>
      </w:r>
      <w:r>
        <w:rPr>
          <w:iCs/>
          <w:i/>
        </w:rPr>
        <w:t xml:space="preserve">Valutazione dell’autore:</w:t>
      </w:r>
      <w:r>
        <w:t xml:space="preserve"> </w:t>
      </w:r>
      <w:r>
        <w:t xml:space="preserve">non c’è da attendersi uno sviluppo come medicinale. L’LR3 resta uno strumento per le colture cellulari e la ricerca sugli animali.</w:t>
      </w:r>
    </w:p>
    <w:bookmarkEnd w:id="1558"/>
    <w:bookmarkStart w:id="1559" w:name="conclusione-32"/>
    <w:p>
      <w:pPr>
        <w:pStyle w:val="Heading3"/>
      </w:pPr>
      <w:r>
        <w:t xml:space="preserve">Conclusione</w:t>
      </w:r>
    </w:p>
    <w:p>
      <w:pPr>
        <w:pStyle w:val="FirstParagraph"/>
      </w:pPr>
      <w:r>
        <w:t xml:space="preserve">L’IGF-1 LR3 è un reagente di laboratorio mai studiato sull’uomo. Negli esperimenti sugli animali, a seconda della specie, ha favorito la crescita, è stato inefficace o l’ha persino inibita. La sua caratteristica particolare, il mancato legame con le proteine leganti che fanno da tampone, fa prevedere un rischio più alto di ipoglicemia e una segnalazione di crescita amplificata. I prodotti del mercato nero contenevano, come dimostrato, varianti da laboratorio mai pensate per le iniezioni.</w:t>
      </w:r>
    </w:p>
    <w:bookmarkEnd w:id="1559"/>
    <w:bookmarkEnd w:id="1560"/>
    <w:bookmarkStart w:id="1602" w:name="ibutamoren-mk-677"/>
    <w:p>
      <w:pPr>
        <w:pStyle w:val="Heading2"/>
      </w:pPr>
      <w:r>
        <w:t xml:space="preserve">Ibutamoren (MK-677)</w:t>
      </w:r>
    </w:p>
    <w:p>
      <w:pPr>
        <w:pStyle w:val="FirstParagraph"/>
      </w:pPr>
      <w:r>
        <w:rPr>
          <w:iCs/>
          <w:i/>
        </w:rPr>
        <w:t xml:space="preserve">Capitolo di confronto:</w:t>
      </w:r>
      <w:r>
        <w:t xml:space="preserve"> </w:t>
      </w:r>
      <w:r>
        <w:t xml:space="preserve">l’ibutamoren non è un peptide. È una piccola molecola sintetica che si ingerisce come compressa o liquido, ed è proprio per questo che compare in questo libro: come termine di confronto. Agisce sullo stesso recettore di ipamorelina, GHRP-2 o exarelina, cioè sul recettore della grelina, e innalza ormone della crescita e IGF-1 per mesi. L’ibutamoren è stato sperimentato negli anni Novanta e Duemila dall’azienda farmaceutica Merck in diversi studi randomizzati di una certa ampiezza. Questi studi mostrano con buona precisione che cosa produca una stimolazione continua dell’asse dell’ormone della crescita nelle persone anziane, e dove si trovino i rischi. Sul mercato grigio l’ibutamoren viene oggi venduto per lo più come «integratore simile ai SARM».</w:t>
      </w:r>
    </w:p>
    <w:bookmarkStart w:id="1562" w:name="scheda-33"/>
    <w:p>
      <w:pPr>
        <w:pStyle w:val="Heading3"/>
      </w:pPr>
      <w:r>
        <w:t xml:space="preserve">Scheda</w:t>
      </w:r>
    </w:p>
    <w:p>
      <w:pPr>
        <w:numPr>
          <w:ilvl w:val="0"/>
          <w:numId w:val="1184"/>
        </w:numPr>
        <w:pStyle w:val="Compact"/>
      </w:pPr>
      <w:r>
        <w:rPr>
          <w:bCs/>
          <w:b/>
        </w:rPr>
        <w:t xml:space="preserve">Tipo e struttura:</w:t>
      </w:r>
      <w:r>
        <w:t xml:space="preserve"> </w:t>
      </w:r>
      <w:r>
        <w:t xml:space="preserve">piccola molecola sintetica, non un peptide («non-peptide agonist»; Liu 2021, PMID 34737341); attiva per via orale. Nomi di sviluppo MK-677 o MK-0677, oggi in sviluppo come LUM-201</w:t>
      </w:r>
      <w:r>
        <w:rPr>
          <w:rStyle w:val="FootnoteReference"/>
        </w:rPr>
        <w:footnoteReference w:id="1561"/>
      </w:r>
      <w:r>
        <w:t xml:space="preserve">.</w:t>
      </w:r>
    </w:p>
    <w:p>
      <w:pPr>
        <w:numPr>
          <w:ilvl w:val="0"/>
          <w:numId w:val="1184"/>
        </w:numPr>
        <w:pStyle w:val="Compact"/>
      </w:pPr>
      <w:r>
        <w:rPr>
          <w:bCs/>
          <w:b/>
        </w:rPr>
        <w:t xml:space="preserve">Origine:</w:t>
      </w:r>
      <w:r>
        <w:t xml:space="preserve"> </w:t>
      </w:r>
      <w:r>
        <w:t xml:space="preserve">sviluppato da Merck (USA) negli anni Novanta come «peptidomimetico» dei peptidi che rilasciano l’ormone della crescita.</w:t>
      </w:r>
    </w:p>
    <w:p>
      <w:pPr>
        <w:numPr>
          <w:ilvl w:val="0"/>
          <w:numId w:val="1184"/>
        </w:numPr>
        <w:pStyle w:val="Compact"/>
      </w:pPr>
      <w:r>
        <w:rPr>
          <w:bCs/>
          <w:b/>
        </w:rPr>
        <w:t xml:space="preserve">Principio d’azione:</w:t>
      </w:r>
      <w:r>
        <w:t xml:space="preserve"> </w:t>
      </w:r>
      <w:r>
        <w:t xml:space="preserve">agonista del recettore della grelina (GHS-R1a); amplifica gli impulsi di GH esistenti e innalza in modo permanente l’IGF-1; aumenta l’appetito.</w:t>
      </w:r>
    </w:p>
    <w:p>
      <w:pPr>
        <w:numPr>
          <w:ilvl w:val="0"/>
          <w:numId w:val="1184"/>
        </w:numPr>
        <w:pStyle w:val="Compact"/>
      </w:pPr>
      <w:r>
        <w:rPr>
          <w:bCs/>
          <w:b/>
        </w:rPr>
        <w:t xml:space="preserve">Autorizzazione UE:</w:t>
      </w:r>
      <w:r>
        <w:t xml:space="preserve"> </w:t>
      </w:r>
      <w:r>
        <w:t xml:space="preserve">no.</w:t>
      </w:r>
      <w:r>
        <w:t xml:space="preserve"> </w:t>
      </w:r>
      <w:r>
        <w:rPr>
          <w:bCs/>
          <w:b/>
        </w:rPr>
        <w:t xml:space="preserve">Autorizzazione USA:</w:t>
      </w:r>
      <w:r>
        <w:t xml:space="preserve"> </w:t>
      </w:r>
      <w:r>
        <w:t xml:space="preserve">no.</w:t>
      </w:r>
    </w:p>
    <w:p>
      <w:pPr>
        <w:numPr>
          <w:ilvl w:val="0"/>
          <w:numId w:val="1184"/>
        </w:numPr>
        <w:pStyle w:val="Compact"/>
      </w:pPr>
      <w:r>
        <w:rPr>
          <w:bCs/>
          <w:b/>
        </w:rPr>
        <w:t xml:space="preserve">WADA:</w:t>
      </w:r>
      <w:r>
        <w:t xml:space="preserve"> </w:t>
      </w:r>
      <w:r>
        <w:t xml:space="preserve">vietato, classe S2 (secretagoghi dell’ormone della crescita; l’ibutamoren è espressamente citato).</w:t>
      </w:r>
    </w:p>
    <w:p>
      <w:pPr>
        <w:numPr>
          <w:ilvl w:val="0"/>
          <w:numId w:val="1184"/>
        </w:numPr>
        <w:pStyle w:val="Compact"/>
      </w:pPr>
      <w:r>
        <w:rPr>
          <w:bCs/>
          <w:b/>
        </w:rPr>
        <w:t xml:space="preserve">Livello di evidenza: B</w:t>
      </w:r>
      <w:r>
        <w:t xml:space="preserve"> </w:t>
      </w:r>
      <w:r>
        <w:t xml:space="preserve">– diversi studi randomizzati e controllati con placebo con fino a 563 partecipanti, ma nessuna autorizzazione e nessuno studio con risultato clinico principale positivo.</w:t>
      </w:r>
    </w:p>
    <w:bookmarkEnd w:id="1562"/>
    <w:bookmarkStart w:id="1564" w:name="come-dovrebbe-agire-33"/>
    <w:p>
      <w:pPr>
        <w:pStyle w:val="Heading3"/>
      </w:pPr>
      <w:r>
        <w:t xml:space="preserve">Come dovrebbe agire</w:t>
      </w:r>
    </w:p>
    <w:p>
      <w:pPr>
        <w:pStyle w:val="FirstParagraph"/>
      </w:pPr>
      <w:r>
        <w:t xml:space="preserve">L’ibutamoren imita la grelina. A differenza dei peptidi del gruppo, non viene distrutto nello stomaco e agisce abbastanza a lungo da amplificare, con un’assunzione giornaliera, la secrezione di ormone della crescita 24 ore su 24. In persone anziane sane ha quasi raddoppiato in uno studio la concentrazione media di ormone della crescita nelle 24 ore; il numero degli impulsi di GH è rimasto invariato, la loro ampiezza è aumentata. Dopo quattro settimane l’IGF-1 ha raggiunto valori come quelli dei giovani adulti</w:t>
      </w:r>
      <w:r>
        <w:rPr>
          <w:rStyle w:val="FootnoteReference"/>
        </w:rPr>
        <w:footnoteReference w:id="1563"/>
      </w:r>
      <w:r>
        <w:t xml:space="preserve">.</w:t>
      </w:r>
    </w:p>
    <w:p>
      <w:pPr>
        <w:pStyle w:val="BodyText"/>
      </w:pPr>
      <w:r>
        <w:t xml:space="preserve">La speranza di Merck era di compensare così il declino dell’asse dell’ormone della crescita in età avanzata chiamato «somatopausa»: perdita muscolare (sarcopenia), fragilità, perdita ossea e recupero lento dopo lesioni.</w:t>
      </w:r>
    </w:p>
    <w:bookmarkEnd w:id="1564"/>
    <w:bookmarkStart w:id="1579" w:name="studi-sulluomo-33"/>
    <w:p>
      <w:pPr>
        <w:pStyle w:val="Heading3"/>
      </w:pPr>
      <w:r>
        <w:t xml:space="preserve">Studi sull’uomo</w:t>
      </w:r>
    </w:p>
    <w:p>
      <w:pPr>
        <w:pStyle w:val="FirstParagraph"/>
      </w:pPr>
      <w:r>
        <w:rPr>
          <w:bCs/>
          <w:b/>
        </w:rPr>
        <w:t xml:space="preserve">Dimensioni della letteratura (ricerca di ottobre 2026):</w:t>
      </w:r>
      <w:r>
        <w:t xml:space="preserve"> </w:t>
      </w:r>
      <w:r>
        <w:t xml:space="preserve">la ricerca automatizzata di questo libro ha trovato</w:t>
      </w:r>
      <w:r>
        <w:t xml:space="preserve"> </w:t>
      </w:r>
      <w:r>
        <w:rPr>
          <w:bCs/>
          <w:b/>
        </w:rPr>
        <w:t xml:space="preserve">19</w:t>
      </w:r>
      <w:r>
        <w:t xml:space="preserve"> </w:t>
      </w:r>
      <w:r>
        <w:t xml:space="preserve">studi sull’uomo in PubMed (</w:t>
      </w:r>
      <w:r>
        <w:rPr>
          <w:rStyle w:val="VerbatimChar"/>
        </w:rPr>
        <w:t xml:space="preserve">humanstudien_alle</w:t>
      </w:r>
      <w:r>
        <w:t xml:space="preserve">) e</w:t>
      </w:r>
      <w:r>
        <w:t xml:space="preserve"> </w:t>
      </w:r>
      <w:r>
        <w:rPr>
          <w:bCs/>
          <w:b/>
        </w:rPr>
        <w:t xml:space="preserve">8</w:t>
      </w:r>
      <w:r>
        <w:t xml:space="preserve"> </w:t>
      </w:r>
      <w:r>
        <w:t xml:space="preserve">voci su ClinicalTrials.gov.</w:t>
      </w:r>
    </w:p>
    <w:bookmarkStart w:id="1566" w:name="adulti-anziani-sani"/>
    <w:p>
      <w:pPr>
        <w:pStyle w:val="Heading4"/>
      </w:pPr>
      <w:r>
        <w:t xml:space="preserve">Adulti anziani sani</w:t>
      </w:r>
    </w:p>
    <w:p>
      <w:pPr>
        <w:pStyle w:val="FirstParagraph"/>
      </w:pPr>
      <w:r>
        <w:t xml:space="preserve">Lo studio più importante è durato due anni: 65 donne e uomini sani tra 60 e 81 anni hanno ricevuto ogni giorno ibutamoren o placebo. Ormone della crescita e IGF-1 sono saliti a valori da giovani adulti. La massa magra è aumentata di 1,1 kg con ibutamoren ed è diminuita di 0,5 kg con placebo. Il grasso addominale non è cambiato, il peso corporeo è aumentato di 2,7 kg (placebo: 0,8 kg), e il grasso di braccia e gambe è aumentato di più. L’aumento della massa magra</w:t>
      </w:r>
      <w:r>
        <w:t xml:space="preserve"> </w:t>
      </w:r>
      <w:r>
        <w:rPr>
          <w:bCs/>
          <w:b/>
        </w:rPr>
        <w:t xml:space="preserve">non</w:t>
      </w:r>
      <w:r>
        <w:t xml:space="preserve"> </w:t>
      </w:r>
      <w:r>
        <w:t xml:space="preserve">si è tradotto in più forza o in una migliore funzionalità; gli autori ammettono che lo studio era troppo piccolo per valutarlo. La glicemia a digiuno è aumentata in media di 0,3 mmol/l (5 mg/dl), la sensibilità all’insulina è diminuita. Gli effetti collaterali più frequenti sono stati un aumento iniziale dell’appetito, lievi edemi alle gambe e dolori muscolari</w:t>
      </w:r>
      <w:r>
        <w:rPr>
          <w:rStyle w:val="FootnoteReference"/>
        </w:rPr>
        <w:footnoteReference w:id="1565"/>
      </w:r>
      <w:r>
        <w:t xml:space="preserve">.</w:t>
      </w:r>
    </w:p>
    <w:bookmarkEnd w:id="1566"/>
    <w:bookmarkStart w:id="1569" w:name="frattura-dellanca"/>
    <w:p>
      <w:pPr>
        <w:pStyle w:val="Heading4"/>
      </w:pPr>
      <w:r>
        <w:t xml:space="preserve">Frattura dell’anca</w:t>
      </w:r>
    </w:p>
    <w:p>
      <w:pPr>
        <w:pStyle w:val="FirstParagraph"/>
      </w:pPr>
      <w:r>
        <w:t xml:space="preserve">Due studi hanno verificato se l’ibutamoren aiuti le persone anziane a rimettersi in piedi dopo una frattura dell’anca:</w:t>
      </w:r>
    </w:p>
    <w:p>
      <w:pPr>
        <w:numPr>
          <w:ilvl w:val="0"/>
          <w:numId w:val="1185"/>
        </w:numPr>
        <w:pStyle w:val="Compact"/>
      </w:pPr>
      <w:r>
        <w:t xml:space="preserve">Nel primo studio, con 161 pazienti di 13 centri, l’IGF-1 è aumentato dell’84% (placebo: 17%). Nei test funzionali sono emerse in parte tendenze favorevoli, ma nessuna differenza statisticamente significativa</w:t>
      </w:r>
      <w:r>
        <w:rPr>
          <w:rStyle w:val="FootnoteReference"/>
        </w:rPr>
        <w:footnoteReference w:id="1567"/>
      </w:r>
      <w:r>
        <w:t xml:space="preserve">.</w:t>
      </w:r>
    </w:p>
    <w:p>
      <w:pPr>
        <w:numPr>
          <w:ilvl w:val="0"/>
          <w:numId w:val="1185"/>
        </w:numPr>
        <w:pStyle w:val="Compact"/>
      </w:pPr>
      <w:r>
        <w:t xml:space="preserve">Il secondo studio, con 123 pazienti, è stato</w:t>
      </w:r>
      <w:r>
        <w:t xml:space="preserve"> </w:t>
      </w:r>
      <w:r>
        <w:rPr>
          <w:bCs/>
          <w:b/>
        </w:rPr>
        <w:t xml:space="preserve">interrotto anticipatamente perché in un numero limitato di persone trattate si è verificata un’insufficienza cardiaca (scompenso cardiaco)</w:t>
      </w:r>
      <w:r>
        <w:t xml:space="preserve">. La velocità del cammino era leggermente migliorata, la maggior parte delle altre misure funzionali no; gli autori hanno giudicato sfavorevole il profilo di sicurezza in questo gruppo di pazienti</w:t>
      </w:r>
      <w:r>
        <w:rPr>
          <w:rStyle w:val="FootnoteReference"/>
        </w:rPr>
        <w:footnoteReference w:id="1568"/>
      </w:r>
      <w:r>
        <w:t xml:space="preserve">.</w:t>
      </w:r>
    </w:p>
    <w:p>
      <w:pPr>
        <w:pStyle w:val="FirstParagraph"/>
      </w:pPr>
      <w:r>
        <w:t xml:space="preserve">Un’altra voce di Merck sulla sarcopenia dopo frattura dell’anca (NCT00128115, 83 persone) risulta interrotta, senza indicazione di motivi o risultati.</w:t>
      </w:r>
    </w:p>
    <w:bookmarkEnd w:id="1569"/>
    <w:bookmarkStart w:id="1571" w:name="malattia-di-alzheimer"/>
    <w:p>
      <w:pPr>
        <w:pStyle w:val="Heading4"/>
      </w:pPr>
      <w:r>
        <w:t xml:space="preserve">Malattia di Alzheimer</w:t>
      </w:r>
    </w:p>
    <w:p>
      <w:pPr>
        <w:pStyle w:val="FirstParagraph"/>
      </w:pPr>
      <w:r>
        <w:t xml:space="preserve">In un grande studio, 563 persone con demenza di Alzheimer da lieve a moderata hanno ricevuto per un anno ibutamoren o placebo. L’IGF-1 è aumentato del 60,1% dopo sei settimane e del 72,9% dopo dodici mesi. Su nessuna delle quattro scale per capacità cognitive, autonomia nella vita quotidiana e impressione complessiva il decorso differiva dal placebo</w:t>
      </w:r>
      <w:r>
        <w:rPr>
          <w:rStyle w:val="FootnoteReference"/>
        </w:rPr>
        <w:footnoteReference w:id="1570"/>
      </w:r>
      <w:r>
        <w:t xml:space="preserve">.</w:t>
      </w:r>
    </w:p>
    <w:bookmarkEnd w:id="1571"/>
    <w:bookmarkStart w:id="1578" w:name="altri-studi-1"/>
    <w:p>
      <w:pPr>
        <w:pStyle w:val="Heading4"/>
      </w:pPr>
      <w:r>
        <w:t xml:space="preserve">Altri studi</w:t>
      </w:r>
    </w:p>
    <w:p>
      <w:pPr>
        <w:numPr>
          <w:ilvl w:val="0"/>
          <w:numId w:val="1186"/>
        </w:numPr>
        <w:pStyle w:val="Compact"/>
      </w:pPr>
      <w:r>
        <w:rPr>
          <w:bCs/>
          <w:b/>
        </w:rPr>
        <w:t xml:space="preserve">Uomini in sovrappeso:</w:t>
      </w:r>
      <w:r>
        <w:t xml:space="preserve"> </w:t>
      </w:r>
      <w:r>
        <w:t xml:space="preserve">in 24 uomini, nell’arco di otto settimane, la massa magra è aumentata, mentre il grasso totale e quello addominale non sono cambiati; nel test da carico di glucosio la regolazione glicemica è peggiorata</w:t>
      </w:r>
      <w:r>
        <w:rPr>
          <w:rStyle w:val="FootnoteReference"/>
        </w:rPr>
        <w:footnoteReference w:id="1572"/>
      </w:r>
      <w:r>
        <w:t xml:space="preserve">.</w:t>
      </w:r>
    </w:p>
    <w:p>
      <w:pPr>
        <w:numPr>
          <w:ilvl w:val="0"/>
          <w:numId w:val="1186"/>
        </w:numPr>
        <w:pStyle w:val="Compact"/>
      </w:pPr>
      <w:r>
        <w:rPr>
          <w:bCs/>
          <w:b/>
        </w:rPr>
        <w:t xml:space="preserve">Osteoporosi:</w:t>
      </w:r>
      <w:r>
        <w:t xml:space="preserve"> </w:t>
      </w:r>
      <w:r>
        <w:t xml:space="preserve">in 292 donne dopo la menopausa, l’ibutamoren insieme al farmaco per le ossa alendronato ha aumentato la densità ossea più dell’alendronato da solo solo a livello del collo del femore, non alla colonna vertebrale o all’anca nel complesso</w:t>
      </w:r>
      <w:r>
        <w:rPr>
          <w:rStyle w:val="FootnoteReference"/>
        </w:rPr>
        <w:footnoteReference w:id="1573"/>
      </w:r>
      <w:r>
        <w:t xml:space="preserve">.</w:t>
      </w:r>
    </w:p>
    <w:p>
      <w:pPr>
        <w:numPr>
          <w:ilvl w:val="0"/>
          <w:numId w:val="1186"/>
        </w:numPr>
        <w:pStyle w:val="Compact"/>
      </w:pPr>
      <w:r>
        <w:rPr>
          <w:bCs/>
          <w:b/>
        </w:rPr>
        <w:t xml:space="preserve">Sonno:</w:t>
      </w:r>
      <w:r>
        <w:t xml:space="preserve"> </w:t>
      </w:r>
      <w:r>
        <w:t xml:space="preserve">in piccoli studi con otto persone giovani e sei anziane si sono allungati rispettivamente il sonno profondo e il sonno REM</w:t>
      </w:r>
      <w:r>
        <w:rPr>
          <w:rStyle w:val="FootnoteReference"/>
        </w:rPr>
        <w:footnoteReference w:id="1574"/>
      </w:r>
      <w:r>
        <w:t xml:space="preserve">.</w:t>
      </w:r>
    </w:p>
    <w:p>
      <w:pPr>
        <w:numPr>
          <w:ilvl w:val="0"/>
          <w:numId w:val="1186"/>
        </w:numPr>
        <w:pStyle w:val="Compact"/>
      </w:pPr>
      <w:r>
        <w:rPr>
          <w:bCs/>
          <w:b/>
        </w:rPr>
        <w:t xml:space="preserve">Dialisi:</w:t>
      </w:r>
      <w:r>
        <w:t xml:space="preserve"> </w:t>
      </w:r>
      <w:r>
        <w:t xml:space="preserve">in 22 pazienti in dialisi l’IGF-1 è aumentato del 65% in più rispetto al placebo, senza effetti collaterali gravi</w:t>
      </w:r>
      <w:r>
        <w:rPr>
          <w:rStyle w:val="FootnoteReference"/>
        </w:rPr>
        <w:footnoteReference w:id="1575"/>
      </w:r>
      <w:r>
        <w:t xml:space="preserve">.</w:t>
      </w:r>
    </w:p>
    <w:p>
      <w:pPr>
        <w:numPr>
          <w:ilvl w:val="0"/>
          <w:numId w:val="1186"/>
        </w:numPr>
        <w:pStyle w:val="Compact"/>
      </w:pPr>
      <w:r>
        <w:rPr>
          <w:bCs/>
          <w:b/>
        </w:rPr>
        <w:t xml:space="preserve">Bambini con deficit di ormone della crescita:</w:t>
      </w:r>
      <w:r>
        <w:t xml:space="preserve"> </w:t>
      </w:r>
      <w:r>
        <w:t xml:space="preserve">già nel 2001 l’ibutamoren ha aumentato in 18 bambini ormone della crescita e IGF-1</w:t>
      </w:r>
      <w:r>
        <w:rPr>
          <w:rStyle w:val="FootnoteReference"/>
        </w:rPr>
        <w:footnoteReference w:id="1576"/>
      </w:r>
      <w:r>
        <w:t xml:space="preserve">. Con il nome LUM-201 ha provocato in uno studio con 68 bambini risposte del GH più alte rispetto ai consueti test di stimolazione</w:t>
      </w:r>
      <w:r>
        <w:rPr>
          <w:rStyle w:val="FootnoteReference"/>
        </w:rPr>
        <w:footnoteReference w:id="1577"/>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Anziani sani (Nass 2008), PMID 18981485</w:t>
            </w:r>
          </w:p>
        </w:tc>
        <w:tc>
          <w:tcPr/>
          <w:p>
            <w:pPr>
              <w:pStyle w:val="Compact"/>
              <w:jc w:val="left"/>
            </w:pPr>
            <w:r>
              <w:t xml:space="preserve">65 persone 60–81 anni, RCT contro placebo</w:t>
            </w:r>
          </w:p>
        </w:tc>
        <w:tc>
          <w:tcPr/>
          <w:p>
            <w:pPr>
              <w:pStyle w:val="Compact"/>
              <w:jc w:val="left"/>
            </w:pPr>
            <w:r>
              <w:t xml:space="preserve">2 anni</w:t>
            </w:r>
          </w:p>
        </w:tc>
        <w:tc>
          <w:tcPr/>
          <w:p>
            <w:pPr>
              <w:pStyle w:val="Compact"/>
              <w:jc w:val="left"/>
            </w:pPr>
            <w:r>
              <w:t xml:space="preserve">massa magra +1,1 vs. −0,5 kg; forza e funzionalità invariate; glicemia a digiuno ↑</w:t>
            </w:r>
          </w:p>
        </w:tc>
      </w:tr>
      <w:tr>
        <w:tc>
          <w:tcPr/>
          <w:p>
            <w:pPr>
              <w:pStyle w:val="Compact"/>
              <w:jc w:val="left"/>
            </w:pPr>
            <w:r>
              <w:t xml:space="preserve">Frattura dell’anca 1 (Bach 2004), PMID 15066065</w:t>
            </w:r>
          </w:p>
        </w:tc>
        <w:tc>
          <w:tcPr/>
          <w:p>
            <w:pPr>
              <w:pStyle w:val="Compact"/>
              <w:jc w:val="left"/>
            </w:pPr>
            <w:r>
              <w:t xml:space="preserve">161 anziani dopo frattura dell’anca, RCT</w:t>
            </w:r>
          </w:p>
        </w:tc>
        <w:tc>
          <w:tcPr/>
          <w:p>
            <w:pPr>
              <w:pStyle w:val="Compact"/>
              <w:jc w:val="left"/>
            </w:pPr>
            <w:r>
              <w:t xml:space="preserve">6 mesi</w:t>
            </w:r>
          </w:p>
        </w:tc>
        <w:tc>
          <w:tcPr/>
          <w:p>
            <w:pPr>
              <w:pStyle w:val="Compact"/>
              <w:jc w:val="left"/>
            </w:pPr>
            <w:r>
              <w:t xml:space="preserve">IGF-1 +84%; funzionalità non significativamente migliore</w:t>
            </w:r>
          </w:p>
        </w:tc>
      </w:tr>
      <w:tr>
        <w:tc>
          <w:tcPr/>
          <w:p>
            <w:pPr>
              <w:pStyle w:val="Compact"/>
              <w:jc w:val="left"/>
            </w:pPr>
            <w:r>
              <w:t xml:space="preserve">Frattura dell’anca 2 (Adunsky 2011), PMID 21067829</w:t>
            </w:r>
          </w:p>
        </w:tc>
        <w:tc>
          <w:tcPr/>
          <w:p>
            <w:pPr>
              <w:pStyle w:val="Compact"/>
              <w:jc w:val="left"/>
            </w:pPr>
            <w:r>
              <w:t xml:space="preserve">123 anziani dopo frattura dell’anca, RCT</w:t>
            </w:r>
          </w:p>
        </w:tc>
        <w:tc>
          <w:tcPr/>
          <w:p>
            <w:pPr>
              <w:pStyle w:val="Compact"/>
              <w:jc w:val="left"/>
            </w:pPr>
            <w:r>
              <w:t xml:space="preserve">previste 24 settimane</w:t>
            </w:r>
          </w:p>
        </w:tc>
        <w:tc>
          <w:tcPr/>
          <w:p>
            <w:pPr>
              <w:pStyle w:val="Compact"/>
              <w:jc w:val="left"/>
            </w:pPr>
            <w:r>
              <w:t xml:space="preserve">interruzione per segnale di insufficienza cardiaca</w:t>
            </w:r>
          </w:p>
        </w:tc>
      </w:tr>
      <w:tr>
        <w:tc>
          <w:tcPr/>
          <w:p>
            <w:pPr>
              <w:pStyle w:val="Compact"/>
              <w:jc w:val="left"/>
            </w:pPr>
            <w:r>
              <w:t xml:space="preserve">Alzheimer (Sevigny 2008), PMID 19015485</w:t>
            </w:r>
          </w:p>
        </w:tc>
        <w:tc>
          <w:tcPr/>
          <w:p>
            <w:pPr>
              <w:pStyle w:val="Compact"/>
              <w:jc w:val="left"/>
            </w:pPr>
            <w:r>
              <w:t xml:space="preserve">563 persone con Alzheimer, RCT</w:t>
            </w:r>
          </w:p>
        </w:tc>
        <w:tc>
          <w:tcPr/>
          <w:p>
            <w:pPr>
              <w:pStyle w:val="Compact"/>
              <w:jc w:val="left"/>
            </w:pPr>
            <w:r>
              <w:t xml:space="preserve">12 mesi</w:t>
            </w:r>
          </w:p>
        </w:tc>
        <w:tc>
          <w:tcPr/>
          <w:p>
            <w:pPr>
              <w:pStyle w:val="Compact"/>
              <w:jc w:val="left"/>
            </w:pPr>
            <w:r>
              <w:t xml:space="preserve">IGF-1 +72,9%; nessun effetto sul decorso della malattia</w:t>
            </w:r>
          </w:p>
        </w:tc>
      </w:tr>
      <w:tr>
        <w:tc>
          <w:tcPr/>
          <w:p>
            <w:pPr>
              <w:pStyle w:val="Compact"/>
              <w:jc w:val="left"/>
            </w:pPr>
            <w:r>
              <w:t xml:space="preserve">Osteoporosi (Murphy 2001), PMID 11238495</w:t>
            </w:r>
          </w:p>
        </w:tc>
        <w:tc>
          <w:tcPr/>
          <w:p>
            <w:pPr>
              <w:pStyle w:val="Compact"/>
              <w:jc w:val="left"/>
            </w:pPr>
            <w:r>
              <w:t xml:space="preserve">292 donne, RCT con alendronato</w:t>
            </w:r>
          </w:p>
        </w:tc>
        <w:tc>
          <w:tcPr/>
          <w:p>
            <w:pPr>
              <w:pStyle w:val="Compact"/>
              <w:jc w:val="left"/>
            </w:pPr>
            <w:r>
              <w:t xml:space="preserve">12–18 mesi</w:t>
            </w:r>
          </w:p>
        </w:tc>
        <w:tc>
          <w:tcPr/>
          <w:p>
            <w:pPr>
              <w:pStyle w:val="Compact"/>
              <w:jc w:val="left"/>
            </w:pPr>
            <w:r>
              <w:t xml:space="preserve">solo densità ossea del collo del femore un po’ più alta</w:t>
            </w:r>
          </w:p>
        </w:tc>
      </w:tr>
    </w:tbl>
    <w:bookmarkEnd w:id="1578"/>
    <w:bookmarkEnd w:id="1579"/>
    <w:bookmarkStart w:id="1582" w:name="studi-su-animali-e-in-laboratorio-33"/>
    <w:p>
      <w:pPr>
        <w:pStyle w:val="Heading3"/>
      </w:pPr>
      <w:r>
        <w:t xml:space="preserve">Studi su animali e in laboratorio</w:t>
      </w:r>
    </w:p>
    <w:p>
      <w:pPr>
        <w:pStyle w:val="FirstParagraph"/>
      </w:pPr>
      <w:r>
        <w:t xml:space="preserve">In topi con un modello di Alzheimer l’ibutamoren ha ridotto i depositi di amiloide e la perdita di neuroni nel cervello</w:t>
      </w:r>
      <w:r>
        <w:rPr>
          <w:rStyle w:val="FootnoteReference"/>
        </w:rPr>
        <w:footnoteReference w:id="1580"/>
      </w:r>
      <w:r>
        <w:t xml:space="preserve">, un risultato che nel grande studio sull’Alzheimer nell’uomo non si è tradotto in un beneficio clinico. La struttura del recettore della grelina con ibutamoren legato è stata chiarita nel 2021</w:t>
      </w:r>
      <w:r>
        <w:rPr>
          <w:rStyle w:val="FootnoteReference"/>
        </w:rPr>
        <w:footnoteReference w:id="1581"/>
      </w:r>
      <w:r>
        <w:t xml:space="preserve">.</w:t>
      </w:r>
    </w:p>
    <w:bookmarkEnd w:id="1582"/>
    <w:bookmarkStart w:id="1593" w:name="rischi-ed-effetti-collaterali-33"/>
    <w:p>
      <w:pPr>
        <w:pStyle w:val="Heading3"/>
      </w:pPr>
      <w:r>
        <w:t xml:space="preserve">Rischi ed effetti collaterali</w:t>
      </w:r>
    </w:p>
    <w:p>
      <w:pPr>
        <w:pStyle w:val="FirstParagraph"/>
      </w:pPr>
      <w:r>
        <w:rPr>
          <w:bCs/>
          <w:b/>
        </w:rPr>
        <w:t xml:space="preserve">Documentati da studi randomizzati:</w:t>
      </w:r>
    </w:p>
    <w:p>
      <w:pPr>
        <w:numPr>
          <w:ilvl w:val="0"/>
          <w:numId w:val="1187"/>
        </w:numPr>
        <w:pStyle w:val="Compact"/>
      </w:pPr>
      <w:r>
        <w:rPr>
          <w:bCs/>
          <w:b/>
        </w:rPr>
        <w:t xml:space="preserve">Segnale di insufficienza cardiaca:</w:t>
      </w:r>
      <w:r>
        <w:t xml:space="preserve"> </w:t>
      </w:r>
      <w:r>
        <w:t xml:space="preserve">interruzione di uno studio su persone anziane dopo frattura dell’anca a causa di casi di scompenso cardiaco</w:t>
      </w:r>
      <w:r>
        <w:rPr>
          <w:rStyle w:val="FootnoteReference"/>
        </w:rPr>
        <w:footnoteReference w:id="1583"/>
      </w:r>
      <w:r>
        <w:t xml:space="preserve">. Il riassunto non indica quanti casi siano stati. La ritenzione idrica è tra gli effetti noti di livelli elevati di ormone della crescita e affatica un cuore già compromesso.</w:t>
      </w:r>
    </w:p>
    <w:p>
      <w:pPr>
        <w:numPr>
          <w:ilvl w:val="0"/>
          <w:numId w:val="1187"/>
        </w:numPr>
        <w:pStyle w:val="Compact"/>
      </w:pPr>
      <w:r>
        <w:rPr>
          <w:bCs/>
          <w:b/>
        </w:rPr>
        <w:t xml:space="preserve">Glicemia:</w:t>
      </w:r>
      <w:r>
        <w:t xml:space="preserve"> </w:t>
      </w:r>
      <w:r>
        <w:t xml:space="preserve">aumento della glicemia a digiuno e ridotta sensibilità all’insulina</w:t>
      </w:r>
      <w:r>
        <w:rPr>
          <w:rStyle w:val="FootnoteReference"/>
        </w:rPr>
        <w:footnoteReference w:id="1584"/>
      </w:r>
      <w:r>
        <w:t xml:space="preserve">; peggioramento della tolleranza al glucosio negli uomini in sovrappeso</w:t>
      </w:r>
      <w:r>
        <w:rPr>
          <w:rStyle w:val="FootnoteReference"/>
        </w:rPr>
        <w:footnoteReference w:id="1585"/>
      </w:r>
      <w:r>
        <w:t xml:space="preserve">.</w:t>
      </w:r>
    </w:p>
    <w:p>
      <w:pPr>
        <w:numPr>
          <w:ilvl w:val="0"/>
          <w:numId w:val="1187"/>
        </w:numPr>
        <w:pStyle w:val="Compact"/>
      </w:pPr>
      <w:r>
        <w:rPr>
          <w:bCs/>
          <w:b/>
        </w:rPr>
        <w:t xml:space="preserve">Aumento di peso e appetito:</w:t>
      </w:r>
      <w:r>
        <w:t xml:space="preserve"> </w:t>
      </w:r>
      <w:r>
        <w:t xml:space="preserve">più peso corporeo, più grasso su braccia e gambe, aumento della fame</w:t>
      </w:r>
      <w:r>
        <w:rPr>
          <w:rStyle w:val="FootnoteReference"/>
        </w:rPr>
        <w:footnoteReference w:id="1586"/>
      </w:r>
      <w:r>
        <w:t xml:space="preserve">.</w:t>
      </w:r>
    </w:p>
    <w:p>
      <w:pPr>
        <w:numPr>
          <w:ilvl w:val="0"/>
          <w:numId w:val="1187"/>
        </w:numPr>
        <w:pStyle w:val="Compact"/>
      </w:pPr>
      <w:r>
        <w:rPr>
          <w:bCs/>
          <w:b/>
        </w:rPr>
        <w:t xml:space="preserve">Ritenzione idrica e dolori muscolari</w:t>
      </w:r>
      <w:r>
        <w:rPr>
          <w:rStyle w:val="FootnoteReference"/>
        </w:rPr>
        <w:footnoteReference w:id="1587"/>
      </w:r>
      <w:r>
        <w:t xml:space="preserve">.</w:t>
      </w:r>
    </w:p>
    <w:p>
      <w:pPr>
        <w:pStyle w:val="FirstParagraph"/>
      </w:pPr>
      <w:r>
        <w:rPr>
          <w:bCs/>
          <w:b/>
        </w:rPr>
        <w:t xml:space="preserve">Casi clinici dall’uso del mercato grigio:</w:t>
      </w:r>
      <w:r>
        <w:t xml:space="preserve"> </w:t>
      </w:r>
      <w:r>
        <w:t xml:space="preserve">un uomo poco più che trentenne ha sviluppato, dopo due mesi di assunzione di MK-677, un aumento degli enzimi epatici che si è normalizzato dopo la sospensione</w:t>
      </w:r>
      <w:r>
        <w:rPr>
          <w:rStyle w:val="FootnoteReference"/>
        </w:rPr>
        <w:footnoteReference w:id="1588"/>
      </w:r>
      <w:r>
        <w:t xml:space="preserve">. Un quarantenne ha sviluppato un aumento del seno e un deficit di testosterone; i suoi integratori per il fitness contenevano, oltre a MK-677, anche un SARM, cardarine e ormoni non dichiarati</w:t>
      </w:r>
      <w:r>
        <w:rPr>
          <w:rStyle w:val="FootnoteReference"/>
        </w:rPr>
        <w:footnoteReference w:id="1589"/>
      </w:r>
      <w:r>
        <w:t xml:space="preserve">.</w:t>
      </w:r>
    </w:p>
    <w:p>
      <w:pPr>
        <w:pStyle w:val="BodyText"/>
      </w:pPr>
      <w:r>
        <w:rPr>
          <w:bCs/>
          <w:b/>
        </w:rPr>
        <w:t xml:space="preserve">Cancro:</w:t>
      </w:r>
      <w:r>
        <w:t xml:space="preserve"> </w:t>
      </w:r>
      <w:r>
        <w:t xml:space="preserve">l’ibutamoren innalza l’IGF-1 per mesi o anni al livello dei giovani adulti. Negli studi non è stato riportato alcun segnale di cancro, ma non erano né abbastanza grandi né abbastanza lunghi per rilevarlo. Una rassegna sui secretagoghi del GH chiede espressamente dati a lungo termine su cancro e mortalità</w:t>
      </w:r>
      <w:r>
        <w:rPr>
          <w:rStyle w:val="FootnoteReference"/>
        </w:rPr>
        <w:footnoteReference w:id="1590"/>
      </w:r>
      <w:r>
        <w:t xml:space="preserve">. Per il quadro generale dei dati si veda l’introduzione di questo gruppo e la Parte IV.</w:t>
      </w:r>
    </w:p>
    <w:p>
      <w:pPr>
        <w:pStyle w:val="BodyText"/>
      </w:pPr>
      <w:r>
        <w:rPr>
          <w:bCs/>
          <w:b/>
        </w:rPr>
        <w:t xml:space="preserve">Qualità del mercato grigio:</w:t>
      </w:r>
      <w:r>
        <w:t xml:space="preserve"> </w:t>
      </w:r>
      <w:r>
        <w:t xml:space="preserve">in un’analisi statunitense di 44 prodotti venduti in internet come SARM, il 39% conteneva al loro posto o in aggiunta altre sostanze non autorizzate, tra cui l’ibutamoren; solo il 41% conteneva la quantità dichiarata di principio attivo</w:t>
      </w:r>
      <w:r>
        <w:rPr>
          <w:rStyle w:val="FootnoteReference"/>
        </w:rPr>
        <w:footnoteReference w:id="1591"/>
      </w:r>
      <w:r>
        <w:t xml:space="preserve">. Una sorveglianza europea del mercato con 324 campioni da 13 Paesi ha trovato l’ibutamoren come principio attivo più frequente tra i preparati per la crescita muscolare esaminati; il 24% dei prodotti era presentato come integratore alimentare</w:t>
      </w:r>
      <w:r>
        <w:rPr>
          <w:rStyle w:val="FootnoteReference"/>
        </w:rPr>
        <w:footnoteReference w:id="1592"/>
      </w:r>
      <w:r>
        <w:t xml:space="preserve">.</w:t>
      </w:r>
    </w:p>
    <w:bookmarkEnd w:id="1593"/>
    <w:bookmarkStart w:id="1595" w:name="quadro-normativo-33"/>
    <w:p>
      <w:pPr>
        <w:pStyle w:val="Heading3"/>
      </w:pPr>
      <w:r>
        <w:t xml:space="preserve">Quadro normativo</w:t>
      </w:r>
    </w:p>
    <w:p>
      <w:pPr>
        <w:pStyle w:val="FirstParagraph"/>
      </w:pPr>
      <w:r>
        <w:rPr>
          <w:iCs/>
          <w:i/>
        </w:rPr>
        <w:t xml:space="preserve">Aggiornato al 2026, da verificare.</w:t>
      </w:r>
    </w:p>
    <w:p>
      <w:pPr>
        <w:numPr>
          <w:ilvl w:val="0"/>
          <w:numId w:val="1188"/>
        </w:numPr>
        <w:pStyle w:val="Compact"/>
      </w:pPr>
      <w:r>
        <w:rPr>
          <w:bCs/>
          <w:b/>
        </w:rPr>
        <w:t xml:space="preserve">UE, Germania, Austria:</w:t>
      </w:r>
      <w:r>
        <w:t xml:space="preserve"> </w:t>
      </w:r>
      <w:r>
        <w:t xml:space="preserve">nessuna autorizzazione. L’ibutamoren è un principio attivo non autorizzato; come integratore alimentare non è commercializzabile. Chi lo offre per uso umano viola la normativa sui medicinali.</w:t>
      </w:r>
    </w:p>
    <w:p>
      <w:pPr>
        <w:numPr>
          <w:ilvl w:val="0"/>
          <w:numId w:val="1188"/>
        </w:numPr>
        <w:pStyle w:val="Compact"/>
      </w:pPr>
      <w:r>
        <w:rPr>
          <w:bCs/>
          <w:b/>
        </w:rPr>
        <w:t xml:space="preserve">USA:</w:t>
      </w:r>
      <w:r>
        <w:t xml:space="preserve"> </w:t>
      </w:r>
      <w:r>
        <w:t xml:space="preserve">nessuna autorizzazione; viene comunque venduto come «research chemical» o in integratori.</w:t>
      </w:r>
    </w:p>
    <w:p>
      <w:pPr>
        <w:numPr>
          <w:ilvl w:val="0"/>
          <w:numId w:val="1188"/>
        </w:numPr>
        <w:pStyle w:val="Compact"/>
      </w:pPr>
      <w:r>
        <w:rPr>
          <w:bCs/>
          <w:b/>
        </w:rPr>
        <w:t xml:space="preserve">WADA:</w:t>
      </w:r>
      <w:r>
        <w:t xml:space="preserve"> </w:t>
      </w:r>
      <w:r>
        <w:t xml:space="preserve">vietato (S2). Viene controllato anche negli sport equestri, per esempio tramite analisi del pelo</w:t>
      </w:r>
      <w:r>
        <w:rPr>
          <w:rStyle w:val="FootnoteReference"/>
        </w:rPr>
        <w:footnoteReference w:id="1594"/>
      </w:r>
      <w:r>
        <w:t xml:space="preserve">.</w:t>
      </w:r>
    </w:p>
    <w:bookmarkEnd w:id="1595"/>
    <w:bookmarkStart w:id="1600" w:name="studi-in-corso-e-prospettive-33"/>
    <w:p>
      <w:pPr>
        <w:pStyle w:val="Heading3"/>
      </w:pPr>
      <w:r>
        <w:t xml:space="preserve">Studi in corso e prospettive</w:t>
      </w:r>
    </w:p>
    <w:p>
      <w:pPr>
        <w:pStyle w:val="FirstParagraph"/>
      </w:pPr>
      <w:r>
        <w:rPr>
          <w:iCs/>
          <w:i/>
        </w:rPr>
        <w:t xml:space="preserve">Assodato:</w:t>
      </w:r>
      <w:r>
        <w:t xml:space="preserve"> </w:t>
      </w:r>
      <w:r>
        <w:t xml:space="preserve">con il nome LUM-201 l’ibutamoren viene sviluppato come compressa per bambini con deficit di ormone della crescita. Uno studio di fase 2 con 104 bambini</w:t>
      </w:r>
      <w:r>
        <w:rPr>
          <w:rStyle w:val="FootnoteReference"/>
        </w:rPr>
        <w:footnoteReference w:id="1596"/>
      </w:r>
      <w:r>
        <w:t xml:space="preserve"> </w:t>
      </w:r>
      <w:r>
        <w:t xml:space="preserve">è concluso; uno studio di fase 3 con 150 bambini previsti è in reclutamento dal 2026</w:t>
      </w:r>
      <w:r>
        <w:rPr>
          <w:rStyle w:val="FootnoteReference"/>
        </w:rPr>
        <w:footnoteReference w:id="1597"/>
      </w:r>
      <w:r>
        <w:t xml:space="preserve">, uno studio di sicurezza a lungo termine è in programma</w:t>
      </w:r>
      <w:r>
        <w:rPr>
          <w:rStyle w:val="FootnoteReference"/>
        </w:rPr>
        <w:footnoteReference w:id="1598"/>
      </w:r>
      <w:r>
        <w:t xml:space="preserve">. Un altro studio di fase 2 dovrebbe esaminare dal 2027 il LUM-201 in aggiunta alla semaglutide in persone anziane con obesità, per limitare la perdita muscolare durante il dimagrimento</w:t>
      </w:r>
      <w:r>
        <w:rPr>
          <w:rStyle w:val="FootnoteReference"/>
        </w:rPr>
        <w:footnoteReference w:id="1599"/>
      </w:r>
      <w:r>
        <w:t xml:space="preserve">.</w:t>
      </w:r>
    </w:p>
    <w:p>
      <w:pPr>
        <w:pStyle w:val="BodyText"/>
      </w:pPr>
      <w:r>
        <w:rPr>
          <w:iCs/>
          <w:i/>
        </w:rPr>
        <w:t xml:space="preserve">Valutazione dell’autore:</w:t>
      </w:r>
      <w:r>
        <w:t xml:space="preserve"> </w:t>
      </w:r>
      <w:r>
        <w:t xml:space="preserve">un’autorizzazione per i bambini è ipotizzabile al più presto dopo la conclusione dello studio di fase 3, quindi non prima della fine degli anni 2020. Un’autorizzazione per gli adulti anziani non è in vista, dopo il segnale di insufficienza cardiaca e la mancanza di miglioramenti funzionali.</w:t>
      </w:r>
    </w:p>
    <w:bookmarkEnd w:id="1600"/>
    <w:bookmarkStart w:id="1601" w:name="conclusione-33"/>
    <w:p>
      <w:pPr>
        <w:pStyle w:val="Heading3"/>
      </w:pPr>
      <w:r>
        <w:t xml:space="preserve">Conclusione</w:t>
      </w:r>
    </w:p>
    <w:p>
      <w:pPr>
        <w:pStyle w:val="FirstParagraph"/>
      </w:pPr>
      <w:r>
        <w:t xml:space="preserve">L’ibutamoren è il farmaco attivo per via orale più approfonditamente studiato tra quelli che stimolano in modo continuo l’asse dell’ormone della crescita. Gli studi mostrano lo schema di fondo dell’intero gruppo: IGF-1 e massa magra aumentano, ma forza, funzionalità e decorso delle malattie (in età avanzata, dopo frattura dell’anca e nell’Alzheimer) non sono migliorati. In compenso sono aumentati glicemia e peso, e uno studio su persone anziane è stato interrotto a causa di insufficienza cardiaca. I prodotti del mercato grigio con «MK-677» sono spesso etichettati in modo errato.</w:t>
      </w:r>
    </w:p>
    <w:bookmarkEnd w:id="1601"/>
    <w:bookmarkEnd w:id="1602"/>
    <w:bookmarkEnd w:id="1603"/>
    <w:bookmarkStart w:id="1958" w:name="parte-ii-d-cervello-sonno-e-longevità"/>
    <w:p>
      <w:pPr>
        <w:pStyle w:val="Heading1"/>
      </w:pPr>
      <w:r>
        <w:t xml:space="preserve">Parte II · D – Cervello, sonno e longevità</w:t>
      </w:r>
    </w:p>
    <w:p>
      <w:pPr>
        <w:pStyle w:val="FirstParagraph"/>
      </w:pPr>
      <w:r>
        <w:t xml:space="preserve">Pochi gruppi di peptidi vengono pubblicizzati in internet in modo così promettente come questo: rimedi per più concentrazione e memoria («nootropi»), per un sonno più profondo, per telomeri più lunghi e «mitocondri più giovani». I dodici principi attivi di questa sezione hanno in comune il fatto di mirare al cervello, all’invecchiamento cellulare o al metabolismo energetico, e il fatto che qui il divario tra promesse e prove sia particolarmente grande.</w:t>
      </w:r>
    </w:p>
    <w:bookmarkStart w:id="1604" w:name="che-cosa-accomuna-questi-peptidi-1"/>
    <w:p>
      <w:pPr>
        <w:pStyle w:val="Heading3"/>
      </w:pPr>
      <w:r>
        <w:t xml:space="preserve">Che cosa accomuna questi peptidi</w:t>
      </w:r>
    </w:p>
    <w:p>
      <w:pPr>
        <w:pStyle w:val="FirstParagraph"/>
      </w:pPr>
      <w:r>
        <w:t xml:space="preserve">Il gruppo si può suddividere a grandi linee in tre famiglie:</w:t>
      </w:r>
    </w:p>
    <w:p>
      <w:pPr>
        <w:numPr>
          <w:ilvl w:val="0"/>
          <w:numId w:val="1189"/>
        </w:numPr>
        <w:pStyle w:val="Compact"/>
      </w:pPr>
      <w:r>
        <w:rPr>
          <w:bCs/>
          <w:b/>
        </w:rPr>
        <w:t xml:space="preserve">Neuropeptidi russi e «bioregolatori»:</w:t>
      </w:r>
      <w:r>
        <w:t xml:space="preserve"> </w:t>
      </w:r>
      <w:r>
        <w:t xml:space="preserve">Semax, Selank, DSIP, Epitalon e Pinealon provengono dalla ricerca sovietica e russa. Il Cerebrolysin, una miscela di peptidi da cervello di maiale, viene dall’Austria, ma è usato soprattutto in Europa orientale e in Asia.</w:t>
      </w:r>
    </w:p>
    <w:p>
      <w:pPr>
        <w:numPr>
          <w:ilvl w:val="0"/>
          <w:numId w:val="1189"/>
        </w:numPr>
        <w:pStyle w:val="Compact"/>
      </w:pPr>
      <w:r>
        <w:rPr>
          <w:bCs/>
          <w:b/>
        </w:rPr>
        <w:t xml:space="preserve">Peptidi mitocondriali:</w:t>
      </w:r>
      <w:r>
        <w:t xml:space="preserve"> </w:t>
      </w:r>
      <w:r>
        <w:t xml:space="preserve">MOTS-c e umanina sono sostanze di segnalazione endogene codificate nel genoma dei mitocondri. L’SS-31 (elamipretide) è un peptide artificiale che si lega in modo mirato alla membrana mitocondriale.</w:t>
      </w:r>
    </w:p>
    <w:p>
      <w:pPr>
        <w:numPr>
          <w:ilvl w:val="0"/>
          <w:numId w:val="1189"/>
        </w:numPr>
        <w:pStyle w:val="Compact"/>
      </w:pPr>
      <w:r>
        <w:rPr>
          <w:bCs/>
          <w:b/>
        </w:rPr>
        <w:t xml:space="preserve">Molecole «anti-aging» sperimentali:</w:t>
      </w:r>
      <w:r>
        <w:t xml:space="preserve"> </w:t>
      </w:r>
      <w:r>
        <w:t xml:space="preserve">Dihexa (un derivato dell’angiotensina IV) e FOXO4-DRI (un senolitico che dovrebbe eliminare le cellule invecchiate) non sono mai stati studiati sull’uomo. Il glutatione, infine, è un tripeptide endogeno venduto come integratore alimentare e per infusione.</w:t>
      </w:r>
    </w:p>
    <w:bookmarkEnd w:id="1604"/>
    <w:bookmarkStart w:id="1605" w:name="il-mondo-dei-nootropi-e-della-longevità"/>
    <w:p>
      <w:pPr>
        <w:pStyle w:val="Heading3"/>
      </w:pPr>
      <w:r>
        <w:t xml:space="preserve">Il mondo dei nootropi e della longevità</w:t>
      </w:r>
    </w:p>
    <w:p>
      <w:pPr>
        <w:pStyle w:val="FirstParagraph"/>
      </w:pPr>
      <w:r>
        <w:t xml:space="preserve">Chi cerca queste sostanze in internet finisce presto in forum, presso influencer e «cliniche della longevità». Tipici sono tre errori di ragionamento che incontrerai più volte nei capitoli seguenti:</w:t>
      </w:r>
    </w:p>
    <w:p>
      <w:pPr>
        <w:numPr>
          <w:ilvl w:val="0"/>
          <w:numId w:val="1190"/>
        </w:numPr>
        <w:pStyle w:val="Compact"/>
      </w:pPr>
      <w:r>
        <w:rPr>
          <w:bCs/>
          <w:b/>
        </w:rPr>
        <w:t xml:space="preserve">Dall’animale all’uomo:</w:t>
      </w:r>
      <w:r>
        <w:t xml:space="preserve"> </w:t>
      </w:r>
      <w:r>
        <w:t xml:space="preserve">che un peptide migliori nei topi la memoria o la durata della vita dice poco sul fatto che agisca nell’uomo. Nella ricerca sull’ictus e sull’Alzheimer centinaia di principi attivi efficaci negli animali hanno fallito nell’uomo.</w:t>
      </w:r>
    </w:p>
    <w:p>
      <w:pPr>
        <w:numPr>
          <w:ilvl w:val="0"/>
          <w:numId w:val="1190"/>
        </w:numPr>
        <w:pStyle w:val="Compact"/>
      </w:pPr>
      <w:r>
        <w:rPr>
          <w:bCs/>
          <w:b/>
        </w:rPr>
        <w:t xml:space="preserve">Dal livello all’iniezione:</w:t>
      </w:r>
      <w:r>
        <w:t xml:space="preserve"> </w:t>
      </w:r>
      <w:r>
        <w:t xml:space="preserve">che le persone con bassi livelli di MOTS-c o umanina si ammalino più spesso non dimostra che somministrarli renda sani.</w:t>
      </w:r>
    </w:p>
    <w:p>
      <w:pPr>
        <w:numPr>
          <w:ilvl w:val="0"/>
          <w:numId w:val="1190"/>
        </w:numPr>
        <w:pStyle w:val="Compact"/>
      </w:pPr>
      <w:r>
        <w:rPr>
          <w:bCs/>
          <w:b/>
        </w:rPr>
        <w:t xml:space="preserve">Dal meccanismo al beneficio:</w:t>
      </w:r>
      <w:r>
        <w:t xml:space="preserve"> </w:t>
      </w:r>
      <w:r>
        <w:t xml:space="preserve">un meccanismo coerente («protegge i mitocondri», «allunga i telomeri») non è efficacia. L’SS-31 ne è l’esempio migliore: è stato sperimentato in diversi grandi studi e ha mancato gli obiettivi principali nell’infarto, nell’insufficienza cardiaca e nella miopatia mitocondriale.</w:t>
      </w:r>
    </w:p>
    <w:p>
      <w:pPr>
        <w:pStyle w:val="FirstParagraph"/>
      </w:pPr>
      <w:r>
        <w:t xml:space="preserve">A ciò si aggiunge che quasi tutte queste sostanze vengono vendute sul mercato grigio come «research peptide», senza controllo di qualità (si vedano la Parte I e la Parte IV).</w:t>
      </w:r>
    </w:p>
    <w:bookmarkEnd w:id="1605"/>
    <w:bookmarkStart w:id="1606" w:name="X23323f55f91eb0630d0d6f194f5a79ccc1853b2"/>
    <w:p>
      <w:pPr>
        <w:pStyle w:val="Heading3"/>
      </w:pPr>
      <w:r>
        <w:t xml:space="preserve">La ricerca russa sui peptidi e lo stato delle pubblicazioni</w:t>
      </w:r>
    </w:p>
    <w:p>
      <w:pPr>
        <w:pStyle w:val="FirstParagraph"/>
      </w:pPr>
      <w:r>
        <w:t xml:space="preserve">Gran parte della letteratura su Semax, Selank, DSIP, Epitalon e Pinealon proviene da pochi istituti di Mosca e San Pietroburgo. Non è un motivo per respingere in blocco questa ricerca, ma è un motivo di cautela:</w:t>
      </w:r>
    </w:p>
    <w:p>
      <w:pPr>
        <w:numPr>
          <w:ilvl w:val="0"/>
          <w:numId w:val="1191"/>
        </w:numPr>
        <w:pStyle w:val="Compact"/>
      </w:pPr>
      <w:r>
        <w:rPr>
          <w:bCs/>
          <w:b/>
        </w:rPr>
        <w:t xml:space="preserve">Autorizzazione senza standard internazionali:</w:t>
      </w:r>
      <w:r>
        <w:t xml:space="preserve"> </w:t>
      </w:r>
      <w:r>
        <w:t xml:space="preserve">alcuni peptidi sono registrati in Russia come medicinali senza che siano stati pubblicati grandi studi in cieco e preregistrati, come quelli richiesti nell’UE o negli USA.</w:t>
      </w:r>
    </w:p>
    <w:p>
      <w:pPr>
        <w:numPr>
          <w:ilvl w:val="0"/>
          <w:numId w:val="1191"/>
        </w:numPr>
        <w:pStyle w:val="Compact"/>
      </w:pPr>
      <w:r>
        <w:rPr>
          <w:bCs/>
          <w:b/>
        </w:rPr>
        <w:t xml:space="preserve">Studi piccoli e non controllati:</w:t>
      </w:r>
      <w:r>
        <w:t xml:space="preserve"> </w:t>
      </w:r>
      <w:r>
        <w:t xml:space="preserve">molti lavori clinici non hanno un gruppo placebo né un’assegnazione casuale, oppure non riportano numeri nel riassunto.</w:t>
      </w:r>
    </w:p>
    <w:p>
      <w:pPr>
        <w:numPr>
          <w:ilvl w:val="0"/>
          <w:numId w:val="1191"/>
        </w:numPr>
        <w:pStyle w:val="Compact"/>
      </w:pPr>
      <w:r>
        <w:rPr>
          <w:bCs/>
          <w:b/>
        </w:rPr>
        <w:t xml:space="preserve">Lingua e accesso:</w:t>
      </w:r>
      <w:r>
        <w:t xml:space="preserve"> </w:t>
      </w:r>
      <w:r>
        <w:t xml:space="preserve">molti lavori escono solo in russo, spesso in riviste in cui gli stessi gruppi di autori pubblicano frequentemente.</w:t>
      </w:r>
    </w:p>
    <w:p>
      <w:pPr>
        <w:numPr>
          <w:ilvl w:val="0"/>
          <w:numId w:val="1191"/>
        </w:numPr>
        <w:pStyle w:val="Compact"/>
      </w:pPr>
      <w:r>
        <w:rPr>
          <w:bCs/>
          <w:b/>
        </w:rPr>
        <w:t xml:space="preserve">Mancanza di replicazione:</w:t>
      </w:r>
      <w:r>
        <w:t xml:space="preserve"> </w:t>
      </w:r>
      <w:r>
        <w:t xml:space="preserve">gruppi indipendenti al di fuori della Russia hanno raramente verificato i risultati, e quando lo hanno fatto spesso con esiti deludenti, come nel caso del DSIP.</w:t>
      </w:r>
    </w:p>
    <w:p>
      <w:pPr>
        <w:numPr>
          <w:ilvl w:val="0"/>
          <w:numId w:val="1191"/>
        </w:numPr>
        <w:pStyle w:val="Compact"/>
      </w:pPr>
      <w:r>
        <w:rPr>
          <w:bCs/>
          <w:b/>
        </w:rPr>
        <w:t xml:space="preserve">Nessuna voce di registro:</w:t>
      </w:r>
      <w:r>
        <w:t xml:space="preserve"> </w:t>
      </w:r>
      <w:r>
        <w:t xml:space="preserve">per Semax, Selank, DSIP e Pinealon non si trova su ClinicalTrials.gov nemmeno uno studio.</w:t>
      </w:r>
    </w:p>
    <w:bookmarkEnd w:id="1606"/>
    <w:bookmarkStart w:id="1607" w:name="panoramica-2"/>
    <w:p>
      <w:pPr>
        <w:pStyle w:val="Heading3"/>
      </w:pPr>
      <w:r>
        <w:t xml:space="preserve">Panoramica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Peptide</w:t>
            </w:r>
          </w:p>
        </w:tc>
        <w:tc>
          <w:tcPr/>
          <w:p>
            <w:pPr>
              <w:pStyle w:val="Compact"/>
              <w:jc w:val="left"/>
            </w:pPr>
            <w:r>
              <w:t xml:space="preserve">Evidenza</w:t>
            </w:r>
          </w:p>
        </w:tc>
        <w:tc>
          <w:tcPr/>
          <w:p>
            <w:pPr>
              <w:pStyle w:val="Compact"/>
              <w:jc w:val="left"/>
            </w:pPr>
            <w:r>
              <w:t xml:space="preserve">Autorizzazione</w:t>
            </w:r>
          </w:p>
        </w:tc>
        <w:tc>
          <w:tcPr/>
          <w:p>
            <w:pPr>
              <w:pStyle w:val="Compact"/>
              <w:jc w:val="left"/>
            </w:pPr>
            <w:r>
              <w:t xml:space="preserve">In breve</w:t>
            </w:r>
          </w:p>
        </w:tc>
      </w:tr>
      <w:tr>
        <w:tc>
          <w:tcPr/>
          <w:p>
            <w:pPr>
              <w:pStyle w:val="Compact"/>
              <w:jc w:val="left"/>
            </w:pPr>
            <w:r>
              <w:t xml:space="preserve">Semax</w:t>
            </w:r>
          </w:p>
        </w:tc>
        <w:tc>
          <w:tcPr/>
          <w:p>
            <w:pPr>
              <w:pStyle w:val="Compact"/>
              <w:jc w:val="left"/>
            </w:pPr>
            <w:r>
              <w:t xml:space="preserve">C</w:t>
            </w:r>
          </w:p>
        </w:tc>
        <w:tc>
          <w:tcPr/>
          <w:p>
            <w:pPr>
              <w:pStyle w:val="Compact"/>
              <w:jc w:val="left"/>
            </w:pPr>
            <w:r>
              <w:t xml:space="preserve">solo Russia</w:t>
            </w:r>
          </w:p>
        </w:tc>
        <w:tc>
          <w:tcPr/>
          <w:p>
            <w:pPr>
              <w:pStyle w:val="Compact"/>
              <w:jc w:val="left"/>
            </w:pPr>
            <w:r>
              <w:t xml:space="preserve">frammento di ACTH; piccoli studi sull’ictus</w:t>
            </w:r>
          </w:p>
        </w:tc>
      </w:tr>
      <w:tr>
        <w:tc>
          <w:tcPr/>
          <w:p>
            <w:pPr>
              <w:pStyle w:val="Compact"/>
              <w:jc w:val="left"/>
            </w:pPr>
            <w:r>
              <w:t xml:space="preserve">Selank</w:t>
            </w:r>
          </w:p>
        </w:tc>
        <w:tc>
          <w:tcPr/>
          <w:p>
            <w:pPr>
              <w:pStyle w:val="Compact"/>
              <w:jc w:val="left"/>
            </w:pPr>
            <w:r>
              <w:t xml:space="preserve">C</w:t>
            </w:r>
          </w:p>
        </w:tc>
        <w:tc>
          <w:tcPr/>
          <w:p>
            <w:pPr>
              <w:pStyle w:val="Compact"/>
              <w:jc w:val="left"/>
            </w:pPr>
            <w:r>
              <w:t xml:space="preserve">solo Russia</w:t>
            </w:r>
          </w:p>
        </w:tc>
        <w:tc>
          <w:tcPr/>
          <w:p>
            <w:pPr>
              <w:pStyle w:val="Compact"/>
              <w:jc w:val="left"/>
            </w:pPr>
            <w:r>
              <w:t xml:space="preserve">ansiolitico; nessuno studio con placebo</w:t>
            </w:r>
          </w:p>
        </w:tc>
      </w:tr>
      <w:tr>
        <w:tc>
          <w:tcPr/>
          <w:p>
            <w:pPr>
              <w:pStyle w:val="Compact"/>
              <w:jc w:val="left"/>
            </w:pPr>
            <w:r>
              <w:t xml:space="preserve">Cerebrolysin</w:t>
            </w:r>
          </w:p>
        </w:tc>
        <w:tc>
          <w:tcPr/>
          <w:p>
            <w:pPr>
              <w:pStyle w:val="Compact"/>
              <w:jc w:val="left"/>
            </w:pPr>
            <w:r>
              <w:t xml:space="preserve">B</w:t>
            </w:r>
          </w:p>
        </w:tc>
        <w:tc>
          <w:tcPr/>
          <w:p>
            <w:pPr>
              <w:pStyle w:val="Compact"/>
              <w:jc w:val="left"/>
            </w:pPr>
            <w:r>
              <w:t xml:space="preserve">nazionale, tra l’altro Austria</w:t>
            </w:r>
          </w:p>
        </w:tc>
        <w:tc>
          <w:tcPr/>
          <w:p>
            <w:pPr>
              <w:pStyle w:val="Compact"/>
              <w:jc w:val="left"/>
            </w:pPr>
            <w:r>
              <w:t xml:space="preserve">molti RCT, Cochrane prudente</w:t>
            </w:r>
          </w:p>
        </w:tc>
      </w:tr>
      <w:tr>
        <w:tc>
          <w:tcPr/>
          <w:p>
            <w:pPr>
              <w:pStyle w:val="Compact"/>
              <w:jc w:val="left"/>
            </w:pPr>
            <w:r>
              <w:t xml:space="preserve">Dihexa</w:t>
            </w:r>
          </w:p>
        </w:tc>
        <w:tc>
          <w:tcPr/>
          <w:p>
            <w:pPr>
              <w:pStyle w:val="Compact"/>
              <w:jc w:val="left"/>
            </w:pPr>
            <w:r>
              <w:t xml:space="preserve">D</w:t>
            </w:r>
          </w:p>
        </w:tc>
        <w:tc>
          <w:tcPr/>
          <w:p>
            <w:pPr>
              <w:pStyle w:val="Compact"/>
              <w:jc w:val="left"/>
            </w:pPr>
            <w:r>
              <w:t xml:space="preserve">no</w:t>
            </w:r>
          </w:p>
        </w:tc>
        <w:tc>
          <w:tcPr/>
          <w:p>
            <w:pPr>
              <w:pStyle w:val="Compact"/>
              <w:jc w:val="left"/>
            </w:pPr>
            <w:r>
              <w:t xml:space="preserve">solo dati sugli animali; questione cancro aperta</w:t>
            </w:r>
          </w:p>
        </w:tc>
      </w:tr>
      <w:tr>
        <w:tc>
          <w:tcPr/>
          <w:p>
            <w:pPr>
              <w:pStyle w:val="Compact"/>
              <w:jc w:val="left"/>
            </w:pPr>
            <w:r>
              <w:t xml:space="preserve">DSIP</w:t>
            </w:r>
          </w:p>
        </w:tc>
        <w:tc>
          <w:tcPr/>
          <w:p>
            <w:pPr>
              <w:pStyle w:val="Compact"/>
              <w:jc w:val="left"/>
            </w:pPr>
            <w:r>
              <w:t xml:space="preserve">C</w:t>
            </w:r>
          </w:p>
        </w:tc>
        <w:tc>
          <w:tcPr/>
          <w:p>
            <w:pPr>
              <w:pStyle w:val="Compact"/>
              <w:jc w:val="left"/>
            </w:pPr>
            <w:r>
              <w:t xml:space="preserve">no</w:t>
            </w:r>
          </w:p>
        </w:tc>
        <w:tc>
          <w:tcPr/>
          <w:p>
            <w:pPr>
              <w:pStyle w:val="Compact"/>
              <w:jc w:val="left"/>
            </w:pPr>
            <w:r>
              <w:t xml:space="preserve">«peptide del sonno» senza beneficio confermato</w:t>
            </w:r>
          </w:p>
        </w:tc>
      </w:tr>
      <w:tr>
        <w:tc>
          <w:tcPr/>
          <w:p>
            <w:pPr>
              <w:pStyle w:val="Compact"/>
              <w:jc w:val="left"/>
            </w:pPr>
            <w:r>
              <w:t xml:space="preserve">Epitalon</w:t>
            </w:r>
          </w:p>
        </w:tc>
        <w:tc>
          <w:tcPr/>
          <w:p>
            <w:pPr>
              <w:pStyle w:val="Compact"/>
              <w:jc w:val="left"/>
            </w:pPr>
            <w:r>
              <w:t xml:space="preserve">C</w:t>
            </w:r>
          </w:p>
        </w:tc>
        <w:tc>
          <w:tcPr/>
          <w:p>
            <w:pPr>
              <w:pStyle w:val="Compact"/>
              <w:jc w:val="left"/>
            </w:pPr>
            <w:r>
              <w:t xml:space="preserve">no</w:t>
            </w:r>
          </w:p>
        </w:tc>
        <w:tc>
          <w:tcPr/>
          <w:p>
            <w:pPr>
              <w:pStyle w:val="Compact"/>
              <w:jc w:val="left"/>
            </w:pPr>
            <w:r>
              <w:t xml:space="preserve">promessa sui telomeri solo in laboratorio</w:t>
            </w:r>
          </w:p>
        </w:tc>
      </w:tr>
      <w:tr>
        <w:tc>
          <w:tcPr/>
          <w:p>
            <w:pPr>
              <w:pStyle w:val="Compact"/>
              <w:jc w:val="left"/>
            </w:pPr>
            <w:r>
              <w:t xml:space="preserve">Pinealon</w:t>
            </w:r>
          </w:p>
        </w:tc>
        <w:tc>
          <w:tcPr/>
          <w:p>
            <w:pPr>
              <w:pStyle w:val="Compact"/>
              <w:jc w:val="left"/>
            </w:pPr>
            <w:r>
              <w:t xml:space="preserve">C</w:t>
            </w:r>
          </w:p>
        </w:tc>
        <w:tc>
          <w:tcPr/>
          <w:p>
            <w:pPr>
              <w:pStyle w:val="Compact"/>
              <w:jc w:val="left"/>
            </w:pPr>
            <w:r>
              <w:t xml:space="preserve">no</w:t>
            </w:r>
          </w:p>
        </w:tc>
        <w:tc>
          <w:tcPr/>
          <w:p>
            <w:pPr>
              <w:pStyle w:val="Compact"/>
              <w:jc w:val="left"/>
            </w:pPr>
            <w:r>
              <w:t xml:space="preserve">piccole osservazioni russe</w:t>
            </w:r>
          </w:p>
        </w:tc>
      </w:tr>
      <w:tr>
        <w:tc>
          <w:tcPr/>
          <w:p>
            <w:pPr>
              <w:pStyle w:val="Compact"/>
              <w:jc w:val="left"/>
            </w:pPr>
            <w:r>
              <w:t xml:space="preserve">MOTS-c</w:t>
            </w:r>
          </w:p>
        </w:tc>
        <w:tc>
          <w:tcPr/>
          <w:p>
            <w:pPr>
              <w:pStyle w:val="Compact"/>
              <w:jc w:val="left"/>
            </w:pPr>
            <w:r>
              <w:t xml:space="preserve">D</w:t>
            </w:r>
          </w:p>
        </w:tc>
        <w:tc>
          <w:tcPr/>
          <w:p>
            <w:pPr>
              <w:pStyle w:val="Compact"/>
              <w:jc w:val="left"/>
            </w:pPr>
            <w:r>
              <w:t xml:space="preserve">no</w:t>
            </w:r>
          </w:p>
        </w:tc>
        <w:tc>
          <w:tcPr/>
          <w:p>
            <w:pPr>
              <w:pStyle w:val="Compact"/>
              <w:jc w:val="left"/>
            </w:pPr>
            <w:r>
              <w:t xml:space="preserve">topi sì, nell’uomo solo livelli</w:t>
            </w:r>
          </w:p>
        </w:tc>
      </w:tr>
      <w:tr>
        <w:tc>
          <w:tcPr/>
          <w:p>
            <w:pPr>
              <w:pStyle w:val="Compact"/>
              <w:jc w:val="left"/>
            </w:pPr>
            <w:r>
              <w:t xml:space="preserve">Umanina</w:t>
            </w:r>
          </w:p>
        </w:tc>
        <w:tc>
          <w:tcPr/>
          <w:p>
            <w:pPr>
              <w:pStyle w:val="Compact"/>
              <w:jc w:val="left"/>
            </w:pPr>
            <w:r>
              <w:t xml:space="preserve">D</w:t>
            </w:r>
          </w:p>
        </w:tc>
        <w:tc>
          <w:tcPr/>
          <w:p>
            <w:pPr>
              <w:pStyle w:val="Compact"/>
              <w:jc w:val="left"/>
            </w:pPr>
            <w:r>
              <w:t xml:space="preserve">no</w:t>
            </w:r>
          </w:p>
        </w:tc>
        <w:tc>
          <w:tcPr/>
          <w:p>
            <w:pPr>
              <w:pStyle w:val="Compact"/>
              <w:jc w:val="left"/>
            </w:pPr>
            <w:r>
              <w:t xml:space="preserve">biomarcatore; negli animali favorisce i tumori</w:t>
            </w:r>
          </w:p>
        </w:tc>
      </w:tr>
      <w:tr>
        <w:tc>
          <w:tcPr/>
          <w:p>
            <w:pPr>
              <w:pStyle w:val="Compact"/>
              <w:jc w:val="left"/>
            </w:pPr>
            <w:r>
              <w:t xml:space="preserve">SS-31 (elamipretide)</w:t>
            </w:r>
          </w:p>
        </w:tc>
        <w:tc>
          <w:tcPr/>
          <w:p>
            <w:pPr>
              <w:pStyle w:val="Compact"/>
              <w:jc w:val="left"/>
            </w:pPr>
            <w:r>
              <w:t xml:space="preserve">B</w:t>
            </w:r>
          </w:p>
        </w:tc>
        <w:tc>
          <w:tcPr/>
          <w:p>
            <w:pPr>
              <w:pStyle w:val="Compact"/>
              <w:jc w:val="left"/>
            </w:pPr>
            <w:r>
              <w:t xml:space="preserve">USA (sindrome di Barth)</w:t>
            </w:r>
          </w:p>
        </w:tc>
        <w:tc>
          <w:tcPr/>
          <w:p>
            <w:pPr>
              <w:pStyle w:val="Compact"/>
              <w:jc w:val="left"/>
            </w:pPr>
            <w:r>
              <w:t xml:space="preserve">grandi studi per lo più negativi</w:t>
            </w:r>
          </w:p>
        </w:tc>
      </w:tr>
      <w:tr>
        <w:tc>
          <w:tcPr/>
          <w:p>
            <w:pPr>
              <w:pStyle w:val="Compact"/>
              <w:jc w:val="left"/>
            </w:pPr>
            <w:r>
              <w:t xml:space="preserve">FOXO4-DRI</w:t>
            </w:r>
          </w:p>
        </w:tc>
        <w:tc>
          <w:tcPr/>
          <w:p>
            <w:pPr>
              <w:pStyle w:val="Compact"/>
              <w:jc w:val="left"/>
            </w:pPr>
            <w:r>
              <w:t xml:space="preserve">D</w:t>
            </w:r>
          </w:p>
        </w:tc>
        <w:tc>
          <w:tcPr/>
          <w:p>
            <w:pPr>
              <w:pStyle w:val="Compact"/>
              <w:jc w:val="left"/>
            </w:pPr>
            <w:r>
              <w:t xml:space="preserve">no</w:t>
            </w:r>
          </w:p>
        </w:tc>
        <w:tc>
          <w:tcPr/>
          <w:p>
            <w:pPr>
              <w:pStyle w:val="Compact"/>
              <w:jc w:val="left"/>
            </w:pPr>
            <w:r>
              <w:t xml:space="preserve">senolitico, solo dati sugli animali</w:t>
            </w:r>
          </w:p>
        </w:tc>
      </w:tr>
      <w:tr>
        <w:tc>
          <w:tcPr/>
          <w:p>
            <w:pPr>
              <w:pStyle w:val="Compact"/>
              <w:jc w:val="left"/>
            </w:pPr>
            <w:r>
              <w:t xml:space="preserve">Glutatione</w:t>
            </w:r>
          </w:p>
        </w:tc>
        <w:tc>
          <w:tcPr/>
          <w:p>
            <w:pPr>
              <w:pStyle w:val="Compact"/>
              <w:jc w:val="left"/>
            </w:pPr>
            <w:r>
              <w:t xml:space="preserve">B</w:t>
            </w:r>
          </w:p>
        </w:tc>
        <w:tc>
          <w:tcPr/>
          <w:p>
            <w:pPr>
              <w:pStyle w:val="Compact"/>
              <w:jc w:val="left"/>
            </w:pPr>
            <w:r>
              <w:t xml:space="preserve">integratore alimentare</w:t>
            </w:r>
          </w:p>
        </w:tc>
        <w:tc>
          <w:tcPr/>
          <w:p>
            <w:pPr>
              <w:pStyle w:val="Compact"/>
              <w:jc w:val="left"/>
            </w:pPr>
            <w:r>
              <w:t xml:space="preserve">infusioni per schiarire la pelle rischiose</w:t>
            </w:r>
          </w:p>
        </w:tc>
      </w:tr>
    </w:tbl>
    <w:bookmarkEnd w:id="1607"/>
    <w:bookmarkStart w:id="1608" w:name="indicazioni-per-la-lettura-3"/>
    <w:p>
      <w:pPr>
        <w:pStyle w:val="Heading3"/>
      </w:pPr>
      <w:r>
        <w:t xml:space="preserve">Indicazioni per la lettura</w:t>
      </w:r>
    </w:p>
    <w:p>
      <w:pPr>
        <w:pStyle w:val="FirstParagraph"/>
      </w:pPr>
      <w:r>
        <w:t xml:space="preserve">I capitoli seguono la struttura uniforme di questo libro. In ogni capitolo presta particolare attenzione alla sezione «Studi sull’uomo» e, al suo interno, alle dimensioni della letteratura: per nove dei dodici peptidi non esiste alcuno studio in cui delle persone abbiano ricevuto il principio attivo, oppure esistono solo indagini molto piccole e metodologicamente deboli. Quadro normativo e status FDA sono cambiati più volte nel 2026; le informazioni corrispondono alla situazione di ottobre 2026 e andrebbero verificate.</w:t>
      </w:r>
    </w:p>
    <w:bookmarkEnd w:id="1608"/>
    <w:bookmarkStart w:id="1637" w:name="semax"/>
    <w:p>
      <w:pPr>
        <w:pStyle w:val="Heading2"/>
      </w:pPr>
      <w:r>
        <w:t xml:space="preserve">Semax</w:t>
      </w:r>
    </w:p>
    <w:bookmarkStart w:id="1609" w:name="scheda-34"/>
    <w:p>
      <w:pPr>
        <w:pStyle w:val="Heading3"/>
      </w:pPr>
      <w:r>
        <w:t xml:space="preserve">Scheda</w:t>
      </w:r>
    </w:p>
    <w:p>
      <w:pPr>
        <w:numPr>
          <w:ilvl w:val="0"/>
          <w:numId w:val="1192"/>
        </w:numPr>
        <w:pStyle w:val="Compact"/>
      </w:pPr>
      <w:r>
        <w:rPr>
          <w:bCs/>
          <w:b/>
        </w:rPr>
        <w:t xml:space="preserve">Tipo e struttura:</w:t>
      </w:r>
      <w:r>
        <w:t xml:space="preserve"> </w:t>
      </w:r>
      <w:r>
        <w:t xml:space="preserve">eptapeptide sintetico (sette amminoacidi: Met-Glu-His-Phe-Pro-Gly-Pro). Le prime quattro unità corrispondono a un frammento dell’ormone dello stress ACTH (ormone adrenocorticotropo, segmento 4–7), cui è aggiunto il tripeptide Pro-Gly-Pro, che dovrebbe rallentarne la degradazione.</w:t>
      </w:r>
    </w:p>
    <w:p>
      <w:pPr>
        <w:numPr>
          <w:ilvl w:val="0"/>
          <w:numId w:val="1192"/>
        </w:numPr>
        <w:pStyle w:val="Compact"/>
      </w:pPr>
      <w:r>
        <w:rPr>
          <w:bCs/>
          <w:b/>
        </w:rPr>
        <w:t xml:space="preserve">Origine:</w:t>
      </w:r>
      <w:r>
        <w:t xml:space="preserve"> </w:t>
      </w:r>
      <w:r>
        <w:t xml:space="preserve">sviluppato a partire dagli anni Ottanta presso l’Istituto di genetica molecolare dell’Accademia russa delle scienze a Mosca.</w:t>
      </w:r>
    </w:p>
    <w:p>
      <w:pPr>
        <w:numPr>
          <w:ilvl w:val="0"/>
          <w:numId w:val="1192"/>
        </w:numPr>
        <w:pStyle w:val="Compact"/>
      </w:pPr>
      <w:r>
        <w:rPr>
          <w:bCs/>
          <w:b/>
        </w:rPr>
        <w:t xml:space="preserve">Principio d’azione:</w:t>
      </w:r>
      <w:r>
        <w:t xml:space="preserve"> </w:t>
      </w:r>
      <w:r>
        <w:t xml:space="preserve">dovrebbe stimolare la produzione di fattori di crescita nervosa (soprattutto BDNF) e proteggere i neuroni in caso di carenza di ossigeno; a differenza dell’ACTH non stimola il surrene a secernere cortisolo. Viene somministrato come gocce nasali.</w:t>
      </w:r>
    </w:p>
    <w:p>
      <w:pPr>
        <w:numPr>
          <w:ilvl w:val="0"/>
          <w:numId w:val="1192"/>
        </w:numPr>
        <w:pStyle w:val="Compact"/>
      </w:pPr>
      <w:r>
        <w:rPr>
          <w:bCs/>
          <w:b/>
        </w:rPr>
        <w:t xml:space="preserve">Autorizzazione UE:</w:t>
      </w:r>
      <w:r>
        <w:t xml:space="preserve"> </w:t>
      </w:r>
      <w:r>
        <w:t xml:space="preserve">no.</w:t>
      </w:r>
    </w:p>
    <w:p>
      <w:pPr>
        <w:numPr>
          <w:ilvl w:val="0"/>
          <w:numId w:val="1192"/>
        </w:numPr>
        <w:pStyle w:val="Compact"/>
      </w:pPr>
      <w:r>
        <w:rPr>
          <w:bCs/>
          <w:b/>
        </w:rPr>
        <w:t xml:space="preserve">Autorizzazione USA:</w:t>
      </w:r>
      <w:r>
        <w:t xml:space="preserve"> </w:t>
      </w:r>
      <w:r>
        <w:t xml:space="preserve">no. Dal 2023 il Semax figurava nell’elenco FDA delle sostanze con possibili rischi per la sicurezza nelle preparazioni galeniche («categoria 2»), ne è stato cancellato nell’aprile 2026 e nel luglio 2026 il comitato consultivo PCAC ne ha raccomandato, di stretta misura, l’inserimento nell’elenco delle sostanze ammesse per le preparazioni magistrali. Non si tratta di un’autorizzazione come medicinale.</w:t>
      </w:r>
    </w:p>
    <w:p>
      <w:pPr>
        <w:numPr>
          <w:ilvl w:val="0"/>
          <w:numId w:val="1192"/>
        </w:numPr>
        <w:pStyle w:val="Compact"/>
      </w:pPr>
      <w:r>
        <w:rPr>
          <w:bCs/>
          <w:b/>
        </w:rPr>
        <w:t xml:space="preserve">Russia e alcuni Paesi vicini:</w:t>
      </w:r>
      <w:r>
        <w:t xml:space="preserve"> </w:t>
      </w:r>
      <w:r>
        <w:t xml:space="preserve">registrato come medicinale (gocce nasali; soluzione allo 0,1% come nootropo, soluzione all’1% per l’ictus).</w:t>
      </w:r>
    </w:p>
    <w:p>
      <w:pPr>
        <w:numPr>
          <w:ilvl w:val="0"/>
          <w:numId w:val="1192"/>
        </w:numPr>
        <w:pStyle w:val="Compact"/>
      </w:pPr>
      <w:r>
        <w:rPr>
          <w:bCs/>
          <w:b/>
        </w:rPr>
        <w:t xml:space="preserve">WADA:</w:t>
      </w:r>
      <w:r>
        <w:t xml:space="preserve"> </w:t>
      </w:r>
      <w:r>
        <w:t xml:space="preserve">non elencato per nome. Poiché il Semax è autorizzato in Russia, non rientra chiaramente nella categoria generale S0 per le sostanze non autorizzate.</w:t>
      </w:r>
    </w:p>
    <w:p>
      <w:pPr>
        <w:numPr>
          <w:ilvl w:val="0"/>
          <w:numId w:val="1192"/>
        </w:numPr>
        <w:pStyle w:val="Compact"/>
      </w:pPr>
      <w:r>
        <w:rPr>
          <w:bCs/>
          <w:b/>
        </w:rPr>
        <w:t xml:space="preserve">Livello di evidenza:</w:t>
      </w:r>
      <w:r>
        <w:t xml:space="preserve"> </w:t>
      </w:r>
      <w:r>
        <w:rPr>
          <w:bCs/>
          <w:b/>
        </w:rPr>
        <w:t xml:space="preserve">C</w:t>
      </w:r>
      <w:r>
        <w:t xml:space="preserve"> </w:t>
      </w:r>
      <w:r>
        <w:t xml:space="preserve">– pochi piccoli studi, per lo più non randomizzati, da centri russi.</w:t>
      </w:r>
    </w:p>
    <w:bookmarkEnd w:id="1609"/>
    <w:bookmarkStart w:id="1612" w:name="come-dovrebbe-agire-34"/>
    <w:p>
      <w:pPr>
        <w:pStyle w:val="Heading3"/>
      </w:pPr>
      <w:r>
        <w:t xml:space="preserve">Come dovrebbe agire</w:t>
      </w:r>
    </w:p>
    <w:p>
      <w:pPr>
        <w:pStyle w:val="FirstParagraph"/>
      </w:pPr>
      <w:r>
        <w:t xml:space="preserve">L’ACTH è un ormone dell’ipofisi che stimola il surrene a produrre cortisolo. Già negli anni Settanta si notò che brevi frammenti di questo ormone, privi dell’effetto sul surrene, influenzano negli animali attenzione e apprendimento. Tali frammenti vengono però degradati nell’organismo in pochi minuti. Gli sviluppatori del Semax hanno quindi allungato il frammento ACTH(4–7) con la sequenza Pro-Gly-Pro, più stabile nei confronti degli enzimi che scindono le proteine.</w:t>
      </w:r>
    </w:p>
    <w:p>
      <w:pPr>
        <w:pStyle w:val="BodyText"/>
      </w:pPr>
      <w:r>
        <w:t xml:space="preserve">Per il meccanismo d’azione gli sviluppatori si basano soprattutto su dati animali:</w:t>
      </w:r>
    </w:p>
    <w:p>
      <w:pPr>
        <w:numPr>
          <w:ilvl w:val="0"/>
          <w:numId w:val="1193"/>
        </w:numPr>
        <w:pStyle w:val="Compact"/>
      </w:pPr>
      <w:r>
        <w:rPr>
          <w:bCs/>
          <w:b/>
        </w:rPr>
        <w:t xml:space="preserve">Fattori di crescita nervosa:</w:t>
      </w:r>
      <w:r>
        <w:t xml:space="preserve"> </w:t>
      </w:r>
      <w:r>
        <w:t xml:space="preserve">nei ratti sono stati trovati siti di legame specifici per il Semax marcato nel prosencefalo basale; dopo somministrazione nasale, entro tre ore è aumentato lì il contenuto di BDNF (Brain-Derived Neurotrophic Factor), una proteina che favorisce la capacità di adattamento delle connessioni nervose. Nel cervelletto ciò non è avvenuto</w:t>
      </w:r>
      <w:r>
        <w:rPr>
          <w:rStyle w:val="FootnoteReference"/>
        </w:rPr>
        <w:footnoteReference w:id="1610"/>
      </w:r>
      <w:r>
        <w:t xml:space="preserve">.</w:t>
      </w:r>
    </w:p>
    <w:p>
      <w:pPr>
        <w:numPr>
          <w:ilvl w:val="0"/>
          <w:numId w:val="1193"/>
        </w:numPr>
        <w:pStyle w:val="Compact"/>
      </w:pPr>
      <w:r>
        <w:rPr>
          <w:bCs/>
          <w:b/>
        </w:rPr>
        <w:t xml:space="preserve">Attività genica dopo ictus:</w:t>
      </w:r>
      <w:r>
        <w:t xml:space="preserve"> </w:t>
      </w:r>
      <w:r>
        <w:t xml:space="preserve">in un modello di ictus nel ratto il Semax ha modificato l’attività di numerosi geni, soprattutto di quelli del sistema immunitario e della formazione dei vasi sanguigni</w:t>
      </w:r>
      <w:r>
        <w:rPr>
          <w:rStyle w:val="FootnoteReference"/>
        </w:rPr>
        <w:footnoteReference w:id="1611"/>
      </w:r>
      <w:r>
        <w:t xml:space="preserve">.</w:t>
      </w:r>
    </w:p>
    <w:p>
      <w:pPr>
        <w:pStyle w:val="FirstParagraph"/>
      </w:pPr>
      <w:r>
        <w:t xml:space="preserve">Un recettore specifico per il Semax non è stato identificato. Se gli aumenti di BDNF misurati nei ratti si verifichino in forma paragonabile nell’uomo e se siano sufficienti per un beneficio resta aperto.</w:t>
      </w:r>
    </w:p>
    <w:bookmarkEnd w:id="1612"/>
    <w:bookmarkStart w:id="1624" w:name="studi-sulluomo-34"/>
    <w:p>
      <w:pPr>
        <w:pStyle w:val="Heading3"/>
      </w:pPr>
      <w:r>
        <w:t xml:space="preserve">Studi sull’uomo</w:t>
      </w:r>
    </w:p>
    <w:p>
      <w:pPr>
        <w:pStyle w:val="FirstParagraph"/>
      </w:pPr>
      <w:r>
        <w:rPr>
          <w:bCs/>
          <w:b/>
        </w:rPr>
        <w:t xml:space="preserve">Dimensioni della letteratura:</w:t>
      </w:r>
      <w:r>
        <w:t xml:space="preserve"> </w:t>
      </w:r>
      <w:r>
        <w:t xml:space="preserve">la ricerca automatizzata in PubMed (ottobre 2026) ha dato solo 4 pubblicazioni classificate come studi sull’uomo; complessivamente PubMed elenca circa 210 lavori con «Semax» nel titolo o nell’abstract, in grandissima parte studi su animali e in laboratorio. Su ClinicalTrials.gov non è registrato nemmeno uno studio. Una ricerca mirata supplementare ha individuato alcuni altri piccoli lavori clinici. Praticamente tutti provengono da istituzioni russe, molti dall’ambiente degli sviluppatori, e sono stati pubblicati solo in russo con un riassunto in inglese.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Gusev 1997, PMID 11517472</w:t>
            </w:r>
          </w:p>
        </w:tc>
        <w:tc>
          <w:tcPr/>
          <w:p>
            <w:pPr>
              <w:pStyle w:val="Compact"/>
              <w:jc w:val="left"/>
            </w:pPr>
            <w:r>
              <w:t xml:space="preserve">30 persone con ictus ischemico acuto, confronto con 80 persone in terapia standard, non randomizzato</w:t>
            </w:r>
          </w:p>
        </w:tc>
        <w:tc>
          <w:tcPr/>
          <w:p>
            <w:pPr>
              <w:pStyle w:val="Compact"/>
              <w:jc w:val="left"/>
            </w:pPr>
            <w:r>
              <w:t xml:space="preserve">5–10 giorni di trattamento</w:t>
            </w:r>
          </w:p>
        </w:tc>
        <w:tc>
          <w:tcPr/>
          <w:p>
            <w:pPr>
              <w:pStyle w:val="Compact"/>
              <w:jc w:val="left"/>
            </w:pPr>
            <w:r>
              <w:t xml:space="preserve">«una certa influenza» sulla velocità di recupero dei deficit neurologici, nessuna dimensione dell’effetto nell’abstract</w:t>
            </w:r>
          </w:p>
        </w:tc>
      </w:tr>
      <w:tr>
        <w:tc>
          <w:tcPr/>
          <w:p>
            <w:pPr>
              <w:pStyle w:val="Compact"/>
              <w:jc w:val="left"/>
            </w:pPr>
            <w:r>
              <w:t xml:space="preserve">Gusev 2005, PMID 15792140</w:t>
            </w:r>
          </w:p>
        </w:tc>
        <w:tc>
          <w:tcPr/>
          <w:p>
            <w:pPr>
              <w:pStyle w:val="Compact"/>
              <w:jc w:val="left"/>
            </w:pPr>
            <w:r>
              <w:t xml:space="preserve">187 persone con disturbo cronico della circolazione cerebrale</w:t>
            </w:r>
          </w:p>
        </w:tc>
        <w:tc>
          <w:tcPr/>
          <w:p>
            <w:pPr>
              <w:pStyle w:val="Compact"/>
              <w:jc w:val="left"/>
            </w:pPr>
            <w:r>
              <w:t xml:space="preserve">non indicata</w:t>
            </w:r>
          </w:p>
        </w:tc>
        <w:tc>
          <w:tcPr/>
          <w:p>
            <w:pPr>
              <w:pStyle w:val="Compact"/>
              <w:jc w:val="left"/>
            </w:pPr>
            <w:r>
              <w:t xml:space="preserve">secondo gli autori miglioramento clinico e meno ictus; disegno e numeri non presenti nell’abstract</w:t>
            </w:r>
          </w:p>
        </w:tc>
      </w:tr>
      <w:tr>
        <w:tc>
          <w:tcPr/>
          <w:p>
            <w:pPr>
              <w:pStyle w:val="Compact"/>
              <w:jc w:val="left"/>
            </w:pPr>
            <w:r>
              <w:t xml:space="preserve">Gusev 2018, PMID 29798983</w:t>
            </w:r>
          </w:p>
        </w:tc>
        <w:tc>
          <w:tcPr/>
          <w:p>
            <w:pPr>
              <w:pStyle w:val="Compact"/>
              <w:jc w:val="left"/>
            </w:pPr>
            <w:r>
              <w:t xml:space="preserve">110 persone dopo ictus, riabilitazione precoce o tardiva, ciascuna con o senza Semax</w:t>
            </w:r>
          </w:p>
        </w:tc>
        <w:tc>
          <w:tcPr/>
          <w:p>
            <w:pPr>
              <w:pStyle w:val="Compact"/>
              <w:jc w:val="left"/>
            </w:pPr>
            <w:r>
              <w:t xml:space="preserve">circa 5 mesi</w:t>
            </w:r>
          </w:p>
        </w:tc>
        <w:tc>
          <w:tcPr/>
          <w:p>
            <w:pPr>
              <w:pStyle w:val="Compact"/>
              <w:jc w:val="left"/>
            </w:pPr>
            <w:r>
              <w:t xml:space="preserve">livello di BDNF nel sangue più alto, miglioramento più rapido nell’indice di Barthel</w:t>
            </w:r>
          </w:p>
        </w:tc>
      </w:tr>
      <w:tr>
        <w:tc>
          <w:tcPr/>
          <w:p>
            <w:pPr>
              <w:pStyle w:val="Compact"/>
              <w:jc w:val="left"/>
            </w:pPr>
            <w:r>
              <w:t xml:space="preserve">Serdiuk 2007, PMID 18379501</w:t>
            </w:r>
          </w:p>
        </w:tc>
        <w:tc>
          <w:tcPr/>
          <w:p>
            <w:pPr>
              <w:pStyle w:val="Compact"/>
              <w:jc w:val="left"/>
            </w:pPr>
            <w:r>
              <w:t xml:space="preserve">27 persone con malattia del motoneurone (p. es. SLA), in aperto</w:t>
            </w:r>
          </w:p>
        </w:tc>
        <w:tc>
          <w:tcPr/>
          <w:p>
            <w:pPr>
              <w:pStyle w:val="Compact"/>
              <w:jc w:val="left"/>
            </w:pPr>
            <w:r>
              <w:t xml:space="preserve">48 giorni</w:t>
            </w:r>
          </w:p>
        </w:tc>
        <w:tc>
          <w:tcPr/>
          <w:p>
            <w:pPr>
              <w:pStyle w:val="Compact"/>
              <w:jc w:val="left"/>
            </w:pPr>
            <w:r>
              <w:t xml:space="preserve">nessuna influenza sul decorso della malattia e sui reperti muscolari; punteggi di qualità della vita migliori</w:t>
            </w:r>
          </w:p>
        </w:tc>
      </w:tr>
      <w:tr>
        <w:tc>
          <w:tcPr/>
          <w:p>
            <w:pPr>
              <w:pStyle w:val="Compact"/>
              <w:jc w:val="left"/>
            </w:pPr>
            <w:r>
              <w:t xml:space="preserve">Polunin 2000, PMID 10741256</w:t>
            </w:r>
          </w:p>
        </w:tc>
        <w:tc>
          <w:tcPr/>
          <w:p>
            <w:pPr>
              <w:pStyle w:val="Compact"/>
              <w:jc w:val="left"/>
            </w:pPr>
            <w:r>
              <w:t xml:space="preserve">persone con malattie del nervo ottico, tre gruppi incl. controllo</w:t>
            </w:r>
          </w:p>
        </w:tc>
        <w:tc>
          <w:tcPr/>
          <w:p>
            <w:pPr>
              <w:pStyle w:val="Compact"/>
              <w:jc w:val="left"/>
            </w:pPr>
            <w:r>
              <w:t xml:space="preserve">non indicata</w:t>
            </w:r>
          </w:p>
        </w:tc>
        <w:tc>
          <w:tcPr/>
          <w:p>
            <w:pPr>
              <w:pStyle w:val="Compact"/>
              <w:jc w:val="left"/>
            </w:pPr>
            <w:r>
              <w:t xml:space="preserve">secondo gli autori migliori acuità visiva e campo visivo; nessun numero nell’abstract</w:t>
            </w:r>
          </w:p>
        </w:tc>
      </w:tr>
      <w:tr>
        <w:tc>
          <w:tcPr/>
          <w:p>
            <w:pPr>
              <w:pStyle w:val="Compact"/>
              <w:jc w:val="left"/>
            </w:pPr>
            <w:r>
              <w:t xml:space="preserve">Lebedeva 2018, PMID 30225715</w:t>
            </w:r>
          </w:p>
        </w:tc>
        <w:tc>
          <w:tcPr/>
          <w:p>
            <w:pPr>
              <w:pStyle w:val="Compact"/>
              <w:jc w:val="left"/>
            </w:pPr>
            <w:r>
              <w:t xml:space="preserve">24 persone sane, Semax (14) o placebo (10)</w:t>
            </w:r>
          </w:p>
        </w:tc>
        <w:tc>
          <w:tcPr/>
          <w:p>
            <w:pPr>
              <w:pStyle w:val="Compact"/>
              <w:jc w:val="left"/>
            </w:pPr>
            <w:r>
              <w:t xml:space="preserve">somministrazione singola, misurazione dopo 20 minuti</w:t>
            </w:r>
          </w:p>
        </w:tc>
        <w:tc>
          <w:tcPr/>
          <w:p>
            <w:pPr>
              <w:pStyle w:val="Compact"/>
              <w:jc w:val="left"/>
            </w:pPr>
            <w:r>
              <w:t xml:space="preserve">attività delle reti a riposo modificata alla risonanza magnetica funzionale</w:t>
            </w:r>
          </w:p>
        </w:tc>
      </w:tr>
    </w:tbl>
    <w:bookmarkStart w:id="1616" w:name="ictus"/>
    <w:p>
      <w:pPr>
        <w:pStyle w:val="Heading4"/>
      </w:pPr>
      <w:r>
        <w:t xml:space="preserve">Ictus</w:t>
      </w:r>
    </w:p>
    <w:p>
      <w:pPr>
        <w:pStyle w:val="FirstParagraph"/>
      </w:pPr>
      <w:r>
        <w:t xml:space="preserve">L’ictus è il principale campo d’impiego per il quale il Semax è registrato in Russia. La base è esile. Nel primo studio clinico, 30 persone con ictus acuto hanno ricevuto Semax in aggiunta al trattamento standard; come confronto sono servite 80 persone che ricevevano solo il trattamento standard. I gruppi non sono stati assegnati per sorteggio. Gli autori riferiscono «una certa influenza» sulla regressione dei deficit, soprattutto delle paralisi</w:t>
      </w:r>
      <w:r>
        <w:rPr>
          <w:rStyle w:val="FootnoteReference"/>
        </w:rPr>
        <w:footnoteReference w:id="1613"/>
      </w:r>
      <w:r>
        <w:t xml:space="preserve">. Un lavoro successivo dello stesso gruppo ha esaminato i messaggeri dell’infiammazione nel sangue ed era espressamente un’analisi retrospettiva</w:t>
      </w:r>
      <w:r>
        <w:rPr>
          <w:rStyle w:val="FootnoteReference"/>
        </w:rPr>
        <w:footnoteReference w:id="1614"/>
      </w:r>
      <w:r>
        <w:t xml:space="preserve">.</w:t>
      </w:r>
    </w:p>
    <w:p>
      <w:pPr>
        <w:pStyle w:val="BodyText"/>
      </w:pPr>
      <w:r>
        <w:t xml:space="preserve">Lo studio finora più grande, con 110 persone dopo un ictus, ha confrontato riabilitazione precoce e tardiva, ciascuna con o senza Semax. Con il Semax il livello di BDNF nel plasma è aumentato ed è rimasto elevato durante l’osservazione; l’indice di Barthel, una misura dell’autonomia nella vita quotidiana, è migliorato più rapidamente</w:t>
      </w:r>
      <w:r>
        <w:rPr>
          <w:rStyle w:val="FootnoteReference"/>
        </w:rPr>
        <w:footnoteReference w:id="1615"/>
      </w:r>
      <w:r>
        <w:t xml:space="preserve">. L’abstract non menziona né un’assegnazione casuale né un mascheramento, e le differenze tra i gruppi non sono riportate come dimensione dell’effetto. Per dimostrare un beneficio non basta.</w:t>
      </w:r>
    </w:p>
    <w:p>
      <w:pPr>
        <w:pStyle w:val="BodyText"/>
      </w:pPr>
      <w:r>
        <w:t xml:space="preserve">Per confronto: nell’ictus, quasi tutti gli altri principi attivi che dovevano «proteggere i neuroni» hanno finora fallito in grandi studi internazionali in cieco. Per il Semax uno studio del genere non esiste.</w:t>
      </w:r>
    </w:p>
    <w:bookmarkEnd w:id="1616"/>
    <w:bookmarkStart w:id="1621" w:name="altri-impieghi-2"/>
    <w:p>
      <w:pPr>
        <w:pStyle w:val="Heading4"/>
      </w:pPr>
      <w:r>
        <w:t xml:space="preserve">Altri impieghi</w:t>
      </w:r>
    </w:p>
    <w:p>
      <w:pPr>
        <w:numPr>
          <w:ilvl w:val="0"/>
          <w:numId w:val="1194"/>
        </w:numPr>
        <w:pStyle w:val="Compact"/>
      </w:pPr>
      <w:r>
        <w:rPr>
          <w:bCs/>
          <w:b/>
        </w:rPr>
        <w:t xml:space="preserve">Malattie del motoneurone:</w:t>
      </w:r>
      <w:r>
        <w:t xml:space="preserve"> </w:t>
      </w:r>
      <w:r>
        <w:t xml:space="preserve">in uno studio in aperto con 27 persone, il Semax non ha modificato né il decorso del danno nervoso all’elettromiogramma né le scale di valutazione cliniche. I punteggi di qualità della vita sono migliorati, soprattutto umore e motivazione, con il massimo al decimo giorno</w:t>
      </w:r>
      <w:r>
        <w:rPr>
          <w:rStyle w:val="FootnoteReference"/>
        </w:rPr>
        <w:footnoteReference w:id="1617"/>
      </w:r>
      <w:r>
        <w:t xml:space="preserve">. Senza un gruppo placebo non si può escludere un effetto aspettativa.</w:t>
      </w:r>
    </w:p>
    <w:p>
      <w:pPr>
        <w:numPr>
          <w:ilvl w:val="0"/>
          <w:numId w:val="1194"/>
        </w:numPr>
        <w:pStyle w:val="Compact"/>
      </w:pPr>
      <w:r>
        <w:rPr>
          <w:bCs/>
          <w:b/>
        </w:rPr>
        <w:t xml:space="preserve">Malattie del nervo ottico:</w:t>
      </w:r>
      <w:r>
        <w:t xml:space="preserve"> </w:t>
      </w:r>
      <w:r>
        <w:t xml:space="preserve">uno studio controllato riferisce migliori funzioni visive con trattamento aggiuntivo con Semax, senza numeri nell’abstract</w:t>
      </w:r>
      <w:r>
        <w:rPr>
          <w:rStyle w:val="FootnoteReference"/>
        </w:rPr>
        <w:footnoteReference w:id="1618"/>
      </w:r>
      <w:r>
        <w:t xml:space="preserve">.</w:t>
      </w:r>
    </w:p>
    <w:p>
      <w:pPr>
        <w:numPr>
          <w:ilvl w:val="0"/>
          <w:numId w:val="1194"/>
        </w:numPr>
        <w:pStyle w:val="Compact"/>
      </w:pPr>
      <w:r>
        <w:rPr>
          <w:bCs/>
          <w:b/>
        </w:rPr>
        <w:t xml:space="preserve">Esiti di carenza di ossigeno:</w:t>
      </w:r>
      <w:r>
        <w:t xml:space="preserve"> </w:t>
      </w:r>
      <w:r>
        <w:t xml:space="preserve">in 73 persone con danno cerebrale da carenza di ossigeno gli autori descrivono un effetto sui disturbi della memoria. In alcune, dopo la somministrazione, all’EEG sono comparsi episodi di attività di tipo epilettico; gli autori consigliano quindi di effettuare la prima somministrazione sotto controllo EEG</w:t>
      </w:r>
      <w:r>
        <w:rPr>
          <w:rStyle w:val="FootnoteReference"/>
        </w:rPr>
        <w:footnoteReference w:id="1619"/>
      </w:r>
      <w:r>
        <w:t xml:space="preserve">.</w:t>
      </w:r>
    </w:p>
    <w:p>
      <w:pPr>
        <w:numPr>
          <w:ilvl w:val="0"/>
          <w:numId w:val="1194"/>
        </w:numPr>
        <w:pStyle w:val="Compact"/>
      </w:pPr>
      <w:r>
        <w:rPr>
          <w:bCs/>
          <w:b/>
        </w:rPr>
        <w:t xml:space="preserve">Ulcera gastrica:</w:t>
      </w:r>
      <w:r>
        <w:t xml:space="preserve"> </w:t>
      </w:r>
      <w:r>
        <w:t xml:space="preserve">in un lavoro su ulcere gastriche resistenti alla terapia, dopo 14 giorni è guarito l’89,5% delle ulcere con Semax in aggiunta alla terapia standard contro il 30,8% nel gruppo di controllo</w:t>
      </w:r>
      <w:r>
        <w:rPr>
          <w:rStyle w:val="FootnoteReference"/>
        </w:rPr>
        <w:footnoteReference w:id="1620"/>
      </w:r>
      <w:r>
        <w:t xml:space="preserve">. L’abstract non indica dimensione dei gruppi né modalità di assegnazione; gli stessi autori chiedono ulteriori studi.</w:t>
      </w:r>
    </w:p>
    <w:bookmarkEnd w:id="1621"/>
    <w:bookmarkStart w:id="1623" w:name="persone-sane-e-nootropo"/>
    <w:p>
      <w:pPr>
        <w:pStyle w:val="Heading4"/>
      </w:pPr>
      <w:r>
        <w:t xml:space="preserve">Persone sane e «nootropo»</w:t>
      </w:r>
    </w:p>
    <w:p>
      <w:pPr>
        <w:pStyle w:val="FirstParagraph"/>
      </w:pPr>
      <w:r>
        <w:t xml:space="preserve">In internet il Semax viene offerto soprattutto come rimedio per aumentare concentrazione e memoria nelle persone sane. Mancano studi solidi in merito. Una rassegna degli sviluppatori degli anni Novanta riferisce che il Semax migliorerebbe memoria e attenzione di uomini sani «in condizioni estreme», ma nell’abstract non riporta dati di studio</w:t>
      </w:r>
      <w:r>
        <w:rPr>
          <w:rStyle w:val="FootnoteReference"/>
        </w:rPr>
        <w:footnoteReference w:id="1622"/>
      </w:r>
      <w:r>
        <w:t xml:space="preserve">. Due piccoli studi di imaging su persone sane hanno mostrato, dopo una singola somministrazione, schemi di attività modificati alla risonanza magnetica funzionale (Lebedeva 2018, PMID 30225715; Panikratova 2020, PMID 32342318, 52 persone sane con Semax, Selank o placebo). Un’attività cerebrale modificata nello scanner non è però una prova di prestazioni migliori nella vita quotidiana.</w:t>
      </w:r>
    </w:p>
    <w:bookmarkEnd w:id="1623"/>
    <w:bookmarkEnd w:id="1624"/>
    <w:bookmarkStart w:id="1629" w:name="studi-su-animali-e-in-laboratorio-34"/>
    <w:p>
      <w:pPr>
        <w:pStyle w:val="Heading3"/>
      </w:pPr>
      <w:r>
        <w:t xml:space="preserve">Studi su animali e in laboratorio</w:t>
      </w:r>
    </w:p>
    <w:p>
      <w:pPr>
        <w:pStyle w:val="FirstParagraph"/>
      </w:pPr>
      <w:r>
        <w:t xml:space="preserve">La letteratura preclinica è ampia e proviene anch’essa prevalentemente da Mosca:</w:t>
      </w:r>
    </w:p>
    <w:p>
      <w:pPr>
        <w:numPr>
          <w:ilvl w:val="0"/>
          <w:numId w:val="1195"/>
        </w:numPr>
        <w:pStyle w:val="Compact"/>
      </w:pPr>
      <w:r>
        <w:t xml:space="preserve">In ratti con ictus indotto artificialmente il Semax ha modificato l’attività di geni del sistema immunitario e vascolare</w:t>
      </w:r>
      <w:r>
        <w:rPr>
          <w:rStyle w:val="FootnoteReference"/>
        </w:rPr>
        <w:footnoteReference w:id="1625"/>
      </w:r>
      <w:r>
        <w:t xml:space="preserve">.</w:t>
      </w:r>
    </w:p>
    <w:p>
      <w:pPr>
        <w:numPr>
          <w:ilvl w:val="0"/>
          <w:numId w:val="1195"/>
        </w:numPr>
        <w:pStyle w:val="Compact"/>
      </w:pPr>
      <w:r>
        <w:t xml:space="preserve">In ratti il cui sistema dopaminergico era stato danneggiato con la neurotossina MPTP, il Semax ha ridotto disturbi motori e d’ansia</w:t>
      </w:r>
      <w:r>
        <w:rPr>
          <w:rStyle w:val="FootnoteReference"/>
        </w:rPr>
        <w:footnoteReference w:id="1626"/>
      </w:r>
      <w:r>
        <w:t xml:space="preserve">.</w:t>
      </w:r>
    </w:p>
    <w:p>
      <w:pPr>
        <w:numPr>
          <w:ilvl w:val="0"/>
          <w:numId w:val="1195"/>
        </w:numPr>
        <w:pStyle w:val="Compact"/>
      </w:pPr>
      <w:r>
        <w:t xml:space="preserve">In topi geneticamente modificati con depositi simili a quelli dell’Alzheimer, il Semax e un suo derivato hanno migliorato il comportamento nei test di memoria e ridotto il numero dei depositi di amiloide</w:t>
      </w:r>
      <w:r>
        <w:rPr>
          <w:rStyle w:val="FootnoteReference"/>
        </w:rPr>
        <w:footnoteReference w:id="1627"/>
      </w:r>
      <w:r>
        <w:t xml:space="preserve">.</w:t>
      </w:r>
    </w:p>
    <w:p>
      <w:pPr>
        <w:numPr>
          <w:ilvl w:val="0"/>
          <w:numId w:val="1195"/>
        </w:numPr>
        <w:pStyle w:val="Compact"/>
      </w:pPr>
      <w:r>
        <w:t xml:space="preserve">In esperimenti di laboratorio il Semax lega ioni rame, il che ha attenuato la formazione di radicali dell’ossigeno dannosi da parte di complessi amiloide-rame</w:t>
      </w:r>
      <w:r>
        <w:rPr>
          <w:rStyle w:val="FootnoteReference"/>
        </w:rPr>
        <w:footnoteReference w:id="1628"/>
      </w:r>
      <w:r>
        <w:t xml:space="preserve">.</w:t>
      </w:r>
    </w:p>
    <w:p>
      <w:pPr>
        <w:pStyle w:val="FirstParagraph"/>
      </w:pPr>
      <w:r>
        <w:t xml:space="preserve">Questi risultati sono reperti su animali e di laboratorio. Molti principi attivi che proteggevano in tali modelli hanno poi fallito nell’uomo.</w:t>
      </w:r>
    </w:p>
    <w:bookmarkEnd w:id="1629"/>
    <w:bookmarkStart w:id="1633" w:name="rischi-ed-effetti-collaterali-34"/>
    <w:p>
      <w:pPr>
        <w:pStyle w:val="Heading3"/>
      </w:pPr>
      <w:r>
        <w:t xml:space="preserve">Rischi ed effetti collaterali</w:t>
      </w:r>
    </w:p>
    <w:p>
      <w:pPr>
        <w:pStyle w:val="FirstParagraph"/>
      </w:pPr>
      <w:r>
        <w:rPr>
          <w:bCs/>
          <w:b/>
        </w:rPr>
        <w:t xml:space="preserve">Documentati:</w:t>
      </w:r>
      <w:r>
        <w:t xml:space="preserve"> </w:t>
      </w:r>
      <w:r>
        <w:t xml:space="preserve">non esistono dati di sicurezza raccolti sistematicamente in studi più ampi. I lavori russi descrivono il Semax come ben tollerato, in parte espressamente anche nelle persone anziane</w:t>
      </w:r>
      <w:r>
        <w:rPr>
          <w:rStyle w:val="FootnoteReference"/>
        </w:rPr>
        <w:footnoteReference w:id="1630"/>
      </w:r>
      <w:r>
        <w:t xml:space="preserve">. Un segnale da prendere sul serio è l’osservazione di alterazioni EEG di tipo epilettico dopo la somministrazione in singole persone con cervello già danneggiato</w:t>
      </w:r>
      <w:r>
        <w:rPr>
          <w:rStyle w:val="FootnoteReference"/>
        </w:rPr>
        <w:footnoteReference w:id="1631"/>
      </w:r>
      <w:r>
        <w:t xml:space="preserve">.</w:t>
      </w:r>
    </w:p>
    <w:p>
      <w:pPr>
        <w:pStyle w:val="BodyText"/>
      </w:pPr>
      <w:r>
        <w:rPr>
          <w:bCs/>
          <w:b/>
        </w:rPr>
        <w:t xml:space="preserve">Teorici:</w:t>
      </w:r>
      <w:r>
        <w:t xml:space="preserve"> </w:t>
      </w:r>
      <w:r>
        <w:t xml:space="preserve">il Semax dovrebbe influenzare fattori di crescita e geni immunitari; le conseguenze a lungo termine di tali interventi non sono state studiate. Mancano dati per gravidanza, allattamento, bambini, epilessia e malattie psichiatriche.</w:t>
      </w:r>
    </w:p>
    <w:p>
      <w:pPr>
        <w:pStyle w:val="BodyText"/>
      </w:pPr>
      <w:r>
        <w:rPr>
          <w:bCs/>
          <w:b/>
        </w:rPr>
        <w:t xml:space="preserve">Mercato grigio:</w:t>
      </w:r>
      <w:r>
        <w:t xml:space="preserve"> </w:t>
      </w:r>
      <w:r>
        <w:t xml:space="preserve">al di fuori della Russia il Semax viene venduto per lo più come «research peptide» o come soluzione nasale miscelata in proprio. Contenuto, purezza e sterilità di tali prodotti non sono verificati. Un laboratorio di controllo dei medicinali ha identificato Semax e Selank nel 2017 e nel 2018 in preparati sconosciuti sequestrati e, con una ricerca online, ha rilevato che tali «peptidi nootropi» vengono offerti liberamente come polvere per iniezione o come spray nasale</w:t>
      </w:r>
      <w:r>
        <w:rPr>
          <w:rStyle w:val="FootnoteReference"/>
        </w:rPr>
        <w:footnoteReference w:id="1632"/>
      </w:r>
      <w:r>
        <w:t xml:space="preserve">. Maggiori dettagli nella Parte I e nella Parte IV.</w:t>
      </w:r>
    </w:p>
    <w:bookmarkEnd w:id="1633"/>
    <w:bookmarkStart w:id="1634" w:name="quadro-normativo-34"/>
    <w:p>
      <w:pPr>
        <w:pStyle w:val="Heading3"/>
      </w:pPr>
      <w:r>
        <w:t xml:space="preserve">Quadro normativo</w:t>
      </w:r>
    </w:p>
    <w:p>
      <w:pPr>
        <w:numPr>
          <w:ilvl w:val="0"/>
          <w:numId w:val="1196"/>
        </w:numPr>
        <w:pStyle w:val="Compact"/>
      </w:pPr>
      <w:r>
        <w:rPr>
          <w:bCs/>
          <w:b/>
        </w:rPr>
        <w:t xml:space="preserve">UE / Austria / Germania:</w:t>
      </w:r>
      <w:r>
        <w:t xml:space="preserve"> </w:t>
      </w:r>
      <w:r>
        <w:t xml:space="preserve">il Semax non è autorizzato. In quanto sostanza con effetto previsto sulle funzioni corporee è considerato un medicinale; vendita e pubblicità senza autorizzazione non sono consentite. L’importazione dalla Russia come medicinale è soggetta alle regole per le importazioni individuali.</w:t>
      </w:r>
    </w:p>
    <w:p>
      <w:pPr>
        <w:numPr>
          <w:ilvl w:val="0"/>
          <w:numId w:val="1196"/>
        </w:numPr>
        <w:pStyle w:val="Compact"/>
      </w:pPr>
      <w:r>
        <w:rPr>
          <w:bCs/>
          <w:b/>
        </w:rPr>
        <w:t xml:space="preserve">USA:</w:t>
      </w:r>
      <w:r>
        <w:t xml:space="preserve"> </w:t>
      </w:r>
      <w:r>
        <w:t xml:space="preserve">non autorizzato. Nell’aprile 2026 la FDA ha cancellato il Semax dal suo elenco di «categoria 2»; nel luglio 2026 il comitato consultivo PCAC ha votato con 8 voti contro 5 a favore dell’inserimento del Semax nell’elenco delle sostanze che le farmacie possono usare per le preparazioni magistrali. Gli esperti della FDA lo avevano sconsigliato; la decisione dell’autorità era ancora in sospeso alla chiusura redazionale (aggiornato a ottobre 2026, da verificare).</w:t>
      </w:r>
    </w:p>
    <w:p>
      <w:pPr>
        <w:numPr>
          <w:ilvl w:val="0"/>
          <w:numId w:val="1196"/>
        </w:numPr>
        <w:pStyle w:val="Compact"/>
      </w:pPr>
      <w:r>
        <w:rPr>
          <w:bCs/>
          <w:b/>
        </w:rPr>
        <w:t xml:space="preserve">Russia:</w:t>
      </w:r>
      <w:r>
        <w:t xml:space="preserve"> </w:t>
      </w:r>
      <w:r>
        <w:t xml:space="preserve">registrato come medicinale e disponibile in farmacia.</w:t>
      </w:r>
    </w:p>
    <w:p>
      <w:pPr>
        <w:numPr>
          <w:ilvl w:val="0"/>
          <w:numId w:val="1196"/>
        </w:numPr>
        <w:pStyle w:val="Compact"/>
      </w:pPr>
      <w:r>
        <w:rPr>
          <w:bCs/>
          <w:b/>
        </w:rPr>
        <w:t xml:space="preserve">Sport:</w:t>
      </w:r>
      <w:r>
        <w:t xml:space="preserve"> </w:t>
      </w:r>
      <w:r>
        <w:t xml:space="preserve">non elencato per nome nella lista WADA (aggiornato al 2026, da verificare).</w:t>
      </w:r>
    </w:p>
    <w:bookmarkEnd w:id="1634"/>
    <w:bookmarkStart w:id="1635" w:name="studi-in-corso-e-prospettive-34"/>
    <w:p>
      <w:pPr>
        <w:pStyle w:val="Heading3"/>
      </w:pPr>
      <w:r>
        <w:t xml:space="preserve">Studi in corso e prospettive</w:t>
      </w:r>
    </w:p>
    <w:p>
      <w:pPr>
        <w:pStyle w:val="FirstParagraph"/>
      </w:pPr>
      <w:r>
        <w:rPr>
          <w:bCs/>
          <w:b/>
        </w:rPr>
        <w:t xml:space="preserve">Assodato:</w:t>
      </w:r>
      <w:r>
        <w:t xml:space="preserve"> </w:t>
      </w:r>
      <w:r>
        <w:t xml:space="preserve">su ClinicalTrials.gov non è registrato alcuno studio con Semax (ricerca di ottobre 2026). La ricerca in Russia continua a concentrarsi su modelli animali, per esempio sull’attività genica dopo ictus e su modelli di Alzheimer.</w:t>
      </w:r>
    </w:p>
    <w:p>
      <w:pPr>
        <w:pStyle w:val="BodyText"/>
      </w:pPr>
      <w:r>
        <w:rPr>
          <w:bCs/>
          <w:b/>
        </w:rPr>
        <w:t xml:space="preserve">Valutazione:</w:t>
      </w:r>
      <w:r>
        <w:t xml:space="preserve"> </w:t>
      </w:r>
      <w:r>
        <w:t xml:space="preserve">senza uno studio sufficientemente ampio, in cieco e registrato a livello internazionale, difficilmente il Semax otterrà un’autorizzazione al di fuori della Russia. La discussione negli Stati Uniti riguarda le preparazioni magistrali in farmacia, non una prova di efficacia.</w:t>
      </w:r>
    </w:p>
    <w:bookmarkEnd w:id="1635"/>
    <w:bookmarkStart w:id="1636" w:name="conclusione-34"/>
    <w:p>
      <w:pPr>
        <w:pStyle w:val="Heading3"/>
      </w:pPr>
      <w:r>
        <w:t xml:space="preserve">Conclusione</w:t>
      </w:r>
    </w:p>
    <w:p>
      <w:pPr>
        <w:pStyle w:val="FirstParagraph"/>
      </w:pPr>
      <w:r>
        <w:t xml:space="preserve">Il Semax è un peptide derivato da un frammento di ACTH, usato in Russia da decenni, che nei ratti ha aumentato i fattori di crescita nervosa. Gli studi sull’uomo sono piccoli, per lo più non randomizzati e provengono quasi esclusivamente dall’ambiente degli sviluppatori; nell’ictus riferiscono un recupero più rapido e livelli di BDNF più alti, senza dimensioni dell’effetto di livello internazionale. Per il miglioramento delle prestazioni nelle persone sane non esistono dati significativi. I dati non bastano per valutare un beneficio o la sicurezza a lungo termine.</w:t>
      </w:r>
    </w:p>
    <w:bookmarkEnd w:id="1636"/>
    <w:bookmarkEnd w:id="1637"/>
    <w:bookmarkStart w:id="1660" w:name="selank"/>
    <w:p>
      <w:pPr>
        <w:pStyle w:val="Heading2"/>
      </w:pPr>
      <w:r>
        <w:t xml:space="preserve">Selank</w:t>
      </w:r>
    </w:p>
    <w:bookmarkStart w:id="1638" w:name="scheda-35"/>
    <w:p>
      <w:pPr>
        <w:pStyle w:val="Heading3"/>
      </w:pPr>
      <w:r>
        <w:t xml:space="preserve">Scheda</w:t>
      </w:r>
    </w:p>
    <w:p>
      <w:pPr>
        <w:numPr>
          <w:ilvl w:val="0"/>
          <w:numId w:val="1197"/>
        </w:numPr>
        <w:pStyle w:val="Compact"/>
      </w:pPr>
      <w:r>
        <w:rPr>
          <w:bCs/>
          <w:b/>
        </w:rPr>
        <w:t xml:space="preserve">Tipo e struttura:</w:t>
      </w:r>
      <w:r>
        <w:t xml:space="preserve"> </w:t>
      </w:r>
      <w:r>
        <w:t xml:space="preserve">eptapeptide sintetico (Thr-Lys-Pro-Arg-Pro-Gly-Pro). I primi quattro amminoacidi corrispondono alla tuftsina, un peptide endogeno che si stacca da un frammento di anticorpo e stimola le cellule immunitarie; come nel Semax, è aggiunta la sequenza stabilizzante Pro-Gly-Pro.</w:t>
      </w:r>
    </w:p>
    <w:p>
      <w:pPr>
        <w:numPr>
          <w:ilvl w:val="0"/>
          <w:numId w:val="1197"/>
        </w:numPr>
        <w:pStyle w:val="Compact"/>
      </w:pPr>
      <w:r>
        <w:rPr>
          <w:bCs/>
          <w:b/>
        </w:rPr>
        <w:t xml:space="preserve">Origine:</w:t>
      </w:r>
      <w:r>
        <w:t xml:space="preserve"> </w:t>
      </w:r>
      <w:r>
        <w:t xml:space="preserve">sviluppato a Mosca presso l’Istituto di genetica molecolare e l’Istituto di farmacologia Zakusov.</w:t>
      </w:r>
    </w:p>
    <w:p>
      <w:pPr>
        <w:numPr>
          <w:ilvl w:val="0"/>
          <w:numId w:val="1197"/>
        </w:numPr>
        <w:pStyle w:val="Compact"/>
      </w:pPr>
      <w:r>
        <w:rPr>
          <w:bCs/>
          <w:b/>
        </w:rPr>
        <w:t xml:space="preserve">Principio d’azione:</w:t>
      </w:r>
      <w:r>
        <w:t xml:space="preserve"> </w:t>
      </w:r>
      <w:r>
        <w:t xml:space="preserve">dovrebbe avere effetto ansiolitico senza provocare sonnolenza o dipendenza come le benzodiazepine. Si discutono un’inibizione della degradazione delle encefaline endogene (messaggeri che attenuano dolore e stress), effetti sul sistema GABA e sui messaggeri immunitari. Viene somministrato come gocce nasali.</w:t>
      </w:r>
    </w:p>
    <w:p>
      <w:pPr>
        <w:numPr>
          <w:ilvl w:val="0"/>
          <w:numId w:val="1197"/>
        </w:numPr>
        <w:pStyle w:val="Compact"/>
      </w:pPr>
      <w:r>
        <w:rPr>
          <w:bCs/>
          <w:b/>
        </w:rPr>
        <w:t xml:space="preserve">Autorizzazione UE:</w:t>
      </w:r>
      <w:r>
        <w:t xml:space="preserve"> </w:t>
      </w:r>
      <w:r>
        <w:t xml:space="preserve">no.</w:t>
      </w:r>
    </w:p>
    <w:p>
      <w:pPr>
        <w:numPr>
          <w:ilvl w:val="0"/>
          <w:numId w:val="1197"/>
        </w:numPr>
        <w:pStyle w:val="Compact"/>
      </w:pPr>
      <w:r>
        <w:rPr>
          <w:bCs/>
          <w:b/>
        </w:rPr>
        <w:t xml:space="preserve">Autorizzazione USA:</w:t>
      </w:r>
      <w:r>
        <w:t xml:space="preserve"> </w:t>
      </w:r>
      <w:r>
        <w:t xml:space="preserve">no. Nel 2023 il Selank figurava nell’elenco FDA di «categoria 2» per le preparazioni magistrali; lo stato attuale è documentato in modo non univoco (aggiornato a ottobre 2026, da verificare).</w:t>
      </w:r>
    </w:p>
    <w:p>
      <w:pPr>
        <w:numPr>
          <w:ilvl w:val="0"/>
          <w:numId w:val="1197"/>
        </w:numPr>
        <w:pStyle w:val="Compact"/>
      </w:pPr>
      <w:r>
        <w:rPr>
          <w:bCs/>
          <w:b/>
        </w:rPr>
        <w:t xml:space="preserve">Russia:</w:t>
      </w:r>
      <w:r>
        <w:t xml:space="preserve"> </w:t>
      </w:r>
      <w:r>
        <w:t xml:space="preserve">registrato come medicinale (ansiolitico).</w:t>
      </w:r>
    </w:p>
    <w:p>
      <w:pPr>
        <w:numPr>
          <w:ilvl w:val="0"/>
          <w:numId w:val="1197"/>
        </w:numPr>
        <w:pStyle w:val="Compact"/>
      </w:pPr>
      <w:r>
        <w:rPr>
          <w:bCs/>
          <w:b/>
        </w:rPr>
        <w:t xml:space="preserve">WADA:</w:t>
      </w:r>
      <w:r>
        <w:t xml:space="preserve"> </w:t>
      </w:r>
      <w:r>
        <w:t xml:space="preserve">non elencato per nome.</w:t>
      </w:r>
    </w:p>
    <w:p>
      <w:pPr>
        <w:numPr>
          <w:ilvl w:val="0"/>
          <w:numId w:val="1197"/>
        </w:numPr>
        <w:pStyle w:val="Compact"/>
      </w:pPr>
      <w:r>
        <w:rPr>
          <w:bCs/>
          <w:b/>
        </w:rPr>
        <w:t xml:space="preserve">Livello di evidenza:</w:t>
      </w:r>
      <w:r>
        <w:t xml:space="preserve"> </w:t>
      </w:r>
      <w:r>
        <w:rPr>
          <w:bCs/>
          <w:b/>
        </w:rPr>
        <w:t xml:space="preserve">C</w:t>
      </w:r>
      <w:r>
        <w:t xml:space="preserve"> </w:t>
      </w:r>
      <w:r>
        <w:t xml:space="preserve">– tre piccoli studi comparativi russi, senza controllo con placebo e senza registrazione.</w:t>
      </w:r>
    </w:p>
    <w:bookmarkEnd w:id="1638"/>
    <w:bookmarkStart w:id="1642" w:name="come-dovrebbe-agire-35"/>
    <w:p>
      <w:pPr>
        <w:pStyle w:val="Heading3"/>
      </w:pPr>
      <w:r>
        <w:t xml:space="preserve">Come dovrebbe agire</w:t>
      </w:r>
    </w:p>
    <w:p>
      <w:pPr>
        <w:pStyle w:val="FirstParagraph"/>
      </w:pPr>
      <w:r>
        <w:t xml:space="preserve">La tuftsina è un breve peptide che attiva i fagociti del sistema immunitario. Negli esperimenti sugli animali è emerso che sue varianti influenzano anche il comportamento. Il Selank è una di queste varianti, che grazie al Pro-Gly-Pro aggiunto dovrebbe restare più a lungo nell’organismo.</w:t>
      </w:r>
    </w:p>
    <w:p>
      <w:pPr>
        <w:pStyle w:val="BodyText"/>
      </w:pPr>
      <w:r>
        <w:t xml:space="preserve">Per il meccanismo esistono diverse ipotesi, basate su dati di laboratorio e animali:</w:t>
      </w:r>
    </w:p>
    <w:p>
      <w:pPr>
        <w:numPr>
          <w:ilvl w:val="0"/>
          <w:numId w:val="1198"/>
        </w:numPr>
        <w:pStyle w:val="Compact"/>
      </w:pPr>
      <w:r>
        <w:rPr>
          <w:bCs/>
          <w:b/>
        </w:rPr>
        <w:t xml:space="preserve">Encefaline:</w:t>
      </w:r>
      <w:r>
        <w:t xml:space="preserve"> </w:t>
      </w:r>
      <w:r>
        <w:t xml:space="preserve">nel siero, in provetta, il Selank ha inibito enzimi che degradano le encefaline. I ricercatori hanno inoltre trovato nelle persone con disturbo d’ansia generalizzato un’emivita ridotta delle encefaline nel sangue e ne hanno dedotto che il Selank potrebbe agire per questa via</w:t>
      </w:r>
      <w:r>
        <w:rPr>
          <w:rStyle w:val="FootnoteReference"/>
        </w:rPr>
        <w:footnoteReference w:id="1639"/>
      </w:r>
      <w:r>
        <w:t xml:space="preserve">.</w:t>
      </w:r>
    </w:p>
    <w:p>
      <w:pPr>
        <w:numPr>
          <w:ilvl w:val="0"/>
          <w:numId w:val="1198"/>
        </w:numPr>
        <w:pStyle w:val="Compact"/>
      </w:pPr>
      <w:r>
        <w:rPr>
          <w:bCs/>
          <w:b/>
        </w:rPr>
        <w:t xml:space="preserve">Sistema GABA:</w:t>
      </w:r>
      <w:r>
        <w:t xml:space="preserve"> </w:t>
      </w:r>
      <w:r>
        <w:t xml:space="preserve">nei ratti, un’ora dopo la somministrazione, il Selank ha modificato nella corteccia cerebrale l’attività di 45 su 84 geni esaminati della trasmissione nervosa, in modo simile al messaggero GABA stesso. Gli autori ipotizzano un’influenza sul sistema GABA, su cui agiscono anche le benzodiazepine</w:t>
      </w:r>
      <w:r>
        <w:rPr>
          <w:rStyle w:val="FootnoteReference"/>
        </w:rPr>
        <w:footnoteReference w:id="1640"/>
      </w:r>
      <w:r>
        <w:t xml:space="preserve">.</w:t>
      </w:r>
    </w:p>
    <w:p>
      <w:pPr>
        <w:numPr>
          <w:ilvl w:val="0"/>
          <w:numId w:val="1198"/>
        </w:numPr>
        <w:pStyle w:val="Compact"/>
      </w:pPr>
      <w:r>
        <w:rPr>
          <w:bCs/>
          <w:b/>
        </w:rPr>
        <w:t xml:space="preserve">Sistema immunitario:</w:t>
      </w:r>
      <w:r>
        <w:t xml:space="preserve"> </w:t>
      </w:r>
      <w:r>
        <w:t xml:space="preserve">in ratti e topi il Selank ha influenzato geni dell’infiammazione; in colture cellulari e nei topi ha mostrato effetti contro i virus dell’influenza</w:t>
      </w:r>
      <w:r>
        <w:rPr>
          <w:rStyle w:val="FootnoteReference"/>
        </w:rPr>
        <w:footnoteReference w:id="1641"/>
      </w:r>
      <w:r>
        <w:t xml:space="preserve">.</w:t>
      </w:r>
    </w:p>
    <w:p>
      <w:pPr>
        <w:pStyle w:val="FirstParagraph"/>
      </w:pPr>
      <w:r>
        <w:t xml:space="preserve">Quanto Selank arrivi davvero al cervello nell’uomo dopo somministrazione nasale non è stato pubblicato.</w:t>
      </w:r>
    </w:p>
    <w:bookmarkEnd w:id="1642"/>
    <w:bookmarkStart w:id="1650" w:name="studi-sulluomo-35"/>
    <w:p>
      <w:pPr>
        <w:pStyle w:val="Heading3"/>
      </w:pPr>
      <w:r>
        <w:t xml:space="preserve">Studi sull’uomo</w:t>
      </w:r>
    </w:p>
    <w:p>
      <w:pPr>
        <w:pStyle w:val="FirstParagraph"/>
      </w:pPr>
      <w:r>
        <w:rPr>
          <w:bCs/>
          <w:b/>
        </w:rPr>
        <w:t xml:space="preserve">Dimensioni della letteratura:</w:t>
      </w:r>
      <w:r>
        <w:t xml:space="preserve"> </w:t>
      </w:r>
      <w:r>
        <w:t xml:space="preserve">la ricerca automatizzata in PubMed (ottobre 2026) ha dato 3 pubblicazioni classificate come studi sull’uomo; complessivamente PubMed elenca circa 70 lavori con «Selank» nel titolo o nell’abstract, quasi tutti esperimenti su animali. La ricerca su ClinicalTrials.gov ha dato 2 risultati, che a un esame più attento riguardano entrambi altre procedure (stimolazione cerebrale) e nessuno studio sul Selank. Non esiste quindi alcuno studio clinico registrato con Selank.</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Zozulia 2008, PMID 18454096</w:t>
            </w:r>
          </w:p>
        </w:tc>
        <w:tc>
          <w:tcPr/>
          <w:p>
            <w:pPr>
              <w:pStyle w:val="Compact"/>
              <w:jc w:val="left"/>
            </w:pPr>
            <w:r>
              <w:t xml:space="preserve">62 persone con disturbo d’ansia generalizzato o nevrastenia; Selank (30) contro medazepam (32)</w:t>
            </w:r>
          </w:p>
        </w:tc>
        <w:tc>
          <w:tcPr/>
          <w:p>
            <w:pPr>
              <w:pStyle w:val="Compact"/>
              <w:jc w:val="left"/>
            </w:pPr>
            <w:r>
              <w:t xml:space="preserve">non nell’abstract</w:t>
            </w:r>
          </w:p>
        </w:tc>
        <w:tc>
          <w:tcPr/>
          <w:p>
            <w:pPr>
              <w:pStyle w:val="Compact"/>
              <w:jc w:val="left"/>
            </w:pPr>
            <w:r>
              <w:t xml:space="preserve">effetto ansiolitico simile dei due farmaci; con Selank in più effetto «stimolante»</w:t>
            </w:r>
          </w:p>
        </w:tc>
      </w:tr>
      <w:tr>
        <w:tc>
          <w:tcPr/>
          <w:p>
            <w:pPr>
              <w:pStyle w:val="Compact"/>
              <w:jc w:val="left"/>
            </w:pPr>
            <w:r>
              <w:t xml:space="preserve">Medvedev 2014, PMID 25176261</w:t>
            </w:r>
          </w:p>
        </w:tc>
        <w:tc>
          <w:tcPr/>
          <w:p>
            <w:pPr>
              <w:pStyle w:val="Compact"/>
              <w:jc w:val="left"/>
            </w:pPr>
            <w:r>
              <w:t xml:space="preserve">60 persone con disturbi d’ansia e somatoformi; Selank contro fenazepam</w:t>
            </w:r>
          </w:p>
        </w:tc>
        <w:tc>
          <w:tcPr/>
          <w:p>
            <w:pPr>
              <w:pStyle w:val="Compact"/>
              <w:jc w:val="left"/>
            </w:pPr>
            <w:r>
              <w:t xml:space="preserve">non nell’abstract</w:t>
            </w:r>
          </w:p>
        </w:tc>
        <w:tc>
          <w:tcPr/>
          <w:p>
            <w:pPr>
              <w:pStyle w:val="Compact"/>
              <w:jc w:val="left"/>
            </w:pPr>
            <w:r>
              <w:t xml:space="preserve">secondo gli autori marcato effetto ansiolitico, persistente una settimana dopo la sospensione</w:t>
            </w:r>
          </w:p>
        </w:tc>
      </w:tr>
      <w:tr>
        <w:tc>
          <w:tcPr/>
          <w:p>
            <w:pPr>
              <w:pStyle w:val="Compact"/>
              <w:jc w:val="left"/>
            </w:pPr>
            <w:r>
              <w:t xml:space="preserve">Medvedev 2015, PMID 26356395</w:t>
            </w:r>
          </w:p>
        </w:tc>
        <w:tc>
          <w:tcPr/>
          <w:p>
            <w:pPr>
              <w:pStyle w:val="Compact"/>
              <w:jc w:val="left"/>
            </w:pPr>
            <w:r>
              <w:t xml:space="preserve">70 persone; fenazepam da solo (30) contro fenazepam più Selank (40)</w:t>
            </w:r>
          </w:p>
        </w:tc>
        <w:tc>
          <w:tcPr/>
          <w:p>
            <w:pPr>
              <w:pStyle w:val="Compact"/>
              <w:jc w:val="left"/>
            </w:pPr>
            <w:r>
              <w:t xml:space="preserve">non nell’abstract</w:t>
            </w:r>
          </w:p>
        </w:tc>
        <w:tc>
          <w:tcPr/>
          <w:p>
            <w:pPr>
              <w:pStyle w:val="Compact"/>
              <w:jc w:val="left"/>
            </w:pPr>
            <w:r>
              <w:t xml:space="preserve">insorgenza dell’effetto più rapida e meno effetti collaterali del fenazepam nel gruppo combinato</w:t>
            </w:r>
          </w:p>
        </w:tc>
      </w:tr>
      <w:tr>
        <w:tc>
          <w:tcPr/>
          <w:p>
            <w:pPr>
              <w:pStyle w:val="Compact"/>
              <w:jc w:val="left"/>
            </w:pPr>
            <w:r>
              <w:t xml:space="preserve">Uchakina 2008, PMID 18577961</w:t>
            </w:r>
          </w:p>
        </w:tc>
        <w:tc>
          <w:tcPr/>
          <w:p>
            <w:pPr>
              <w:pStyle w:val="Compact"/>
              <w:jc w:val="left"/>
            </w:pPr>
            <w:r>
              <w:t xml:space="preserve">persone con disturbo d’ansia o nevrastenia</w:t>
            </w:r>
          </w:p>
        </w:tc>
        <w:tc>
          <w:tcPr/>
          <w:p>
            <w:pPr>
              <w:pStyle w:val="Compact"/>
              <w:jc w:val="left"/>
            </w:pPr>
            <w:r>
              <w:t xml:space="preserve">14 giorni</w:t>
            </w:r>
          </w:p>
        </w:tc>
        <w:tc>
          <w:tcPr/>
          <w:p>
            <w:pPr>
              <w:pStyle w:val="Compact"/>
              <w:jc w:val="left"/>
            </w:pPr>
            <w:r>
              <w:t xml:space="preserve">spostamenti nell’equilibrio dei messaggeri immunitari nel sangue</w:t>
            </w:r>
          </w:p>
        </w:tc>
      </w:tr>
      <w:tr>
        <w:tc>
          <w:tcPr/>
          <w:p>
            <w:pPr>
              <w:pStyle w:val="Compact"/>
              <w:jc w:val="left"/>
            </w:pPr>
            <w:r>
              <w:t xml:space="preserve">Panikratova 2020, PMID 32342318</w:t>
            </w:r>
          </w:p>
        </w:tc>
        <w:tc>
          <w:tcPr/>
          <w:p>
            <w:pPr>
              <w:pStyle w:val="Compact"/>
              <w:jc w:val="left"/>
            </w:pPr>
            <w:r>
              <w:t xml:space="preserve">52 persone sane; Selank, Semax o placebo, somministrazione singola</w:t>
            </w:r>
          </w:p>
        </w:tc>
        <w:tc>
          <w:tcPr/>
          <w:p>
            <w:pPr>
              <w:pStyle w:val="Compact"/>
              <w:jc w:val="left"/>
            </w:pPr>
            <w:r>
              <w:t xml:space="preserve">20 minuti</w:t>
            </w:r>
          </w:p>
        </w:tc>
        <w:tc>
          <w:tcPr/>
          <w:p>
            <w:pPr>
              <w:pStyle w:val="Compact"/>
              <w:jc w:val="left"/>
            </w:pPr>
            <w:r>
              <w:t xml:space="preserve">connessioni funzionali dell’amigdala modificate alla risonanza magnetica</w:t>
            </w:r>
          </w:p>
        </w:tc>
      </w:tr>
    </w:tbl>
    <w:bookmarkStart w:id="1646" w:name="disturbi-dansia"/>
    <w:p>
      <w:pPr>
        <w:pStyle w:val="Heading4"/>
      </w:pPr>
      <w:r>
        <w:t xml:space="preserve">Disturbi d’ansia</w:t>
      </w:r>
    </w:p>
    <w:p>
      <w:pPr>
        <w:pStyle w:val="FirstParagraph"/>
      </w:pPr>
      <w:r>
        <w:t xml:space="preserve">Tutti e tre gli studi clinici hanno confrontato il Selank con benzodiazepine: il medazepam o il fenazepam, diffuso in Russia. Nel primo studio, con 62 persone, l’effetto ansiolitico di Selank e medazepam sulle scale dei questionari (Hamilton, Zung, CGI) era simile; il Selank avrebbe inoltre agito contro l’esaurimento. I ricercatori hanno misurato anche l’emivita del messaggero leu-encefalina nel sangue, che è aumentata con il Selank</w:t>
      </w:r>
      <w:r>
        <w:rPr>
          <w:rStyle w:val="FootnoteReference"/>
        </w:rPr>
        <w:footnoteReference w:id="1643"/>
      </w:r>
      <w:r>
        <w:t xml:space="preserve">. In un secondo studio con 60 persone viene descritto un marcato effetto ansiolitico e un lieve effetto favorevole sulla memoria, persistente per una settimana oltre la fine del trattamento</w:t>
      </w:r>
      <w:r>
        <w:rPr>
          <w:rStyle w:val="FootnoteReference"/>
        </w:rPr>
        <w:footnoteReference w:id="1644"/>
      </w:r>
      <w:r>
        <w:t xml:space="preserve">.</w:t>
      </w:r>
    </w:p>
    <w:p>
      <w:pPr>
        <w:pStyle w:val="BodyText"/>
      </w:pPr>
      <w:r>
        <w:t xml:space="preserve">Il terzo studio ha esaminato il Selank come aggiunta: 40 persone hanno ricevuto fenazepam più Selank, 30 solo fenazepam. Nel gruppo combinato, secondo gli autori, l’effetto è insorto prima, e gli effetti collaterali tipici delle benzodiazepine, come disturbi dell’attenzione e della memoria, stanchezza e disturbi sessuali, sono stati più rari, anche dopo la sospensione del tranquillante</w:t>
      </w:r>
      <w:r>
        <w:rPr>
          <w:rStyle w:val="FootnoteReference"/>
        </w:rPr>
        <w:footnoteReference w:id="1645"/>
      </w:r>
      <w:r>
        <w:t xml:space="preserve">.</w:t>
      </w:r>
    </w:p>
    <w:p>
      <w:pPr>
        <w:pStyle w:val="BodyText"/>
      </w:pPr>
      <w:r>
        <w:t xml:space="preserve">Questi risultati sembrano incoraggianti, ma hanno limiti evidenti:</w:t>
      </w:r>
    </w:p>
    <w:p>
      <w:pPr>
        <w:numPr>
          <w:ilvl w:val="0"/>
          <w:numId w:val="1199"/>
        </w:numPr>
        <w:pStyle w:val="Compact"/>
      </w:pPr>
      <w:r>
        <w:rPr>
          <w:bCs/>
          <w:b/>
        </w:rPr>
        <w:t xml:space="preserve">Nessun placebo:</w:t>
      </w:r>
      <w:r>
        <w:t xml:space="preserve"> </w:t>
      </w:r>
      <w:r>
        <w:t xml:space="preserve">nei disturbi d’ansia i sintomi migliorano spesso in modo considerevole anche con farmaci fittizi. Senza un gruppo placebo non si può dire quale quota sia dovuta al Selank.</w:t>
      </w:r>
    </w:p>
    <w:p>
      <w:pPr>
        <w:numPr>
          <w:ilvl w:val="0"/>
          <w:numId w:val="1199"/>
        </w:numPr>
        <w:pStyle w:val="Compact"/>
      </w:pPr>
      <w:r>
        <w:rPr>
          <w:bCs/>
          <w:b/>
        </w:rPr>
        <w:t xml:space="preserve">«Efficacia simile» non è una prova:</w:t>
      </w:r>
      <w:r>
        <w:t xml:space="preserve"> </w:t>
      </w:r>
      <w:r>
        <w:t xml:space="preserve">una dimostrazione di equivalenza richiede margini stabiliti in anticipo e un numero sufficiente di partecipanti. Nessuna delle due cose è riconoscibile negli abstract.</w:t>
      </w:r>
    </w:p>
    <w:p>
      <w:pPr>
        <w:numPr>
          <w:ilvl w:val="0"/>
          <w:numId w:val="1199"/>
        </w:numPr>
        <w:pStyle w:val="Compact"/>
      </w:pPr>
      <w:r>
        <w:rPr>
          <w:bCs/>
          <w:b/>
        </w:rPr>
        <w:t xml:space="preserve">Osservazione breve, gruppi piccoli, nessuna registrazione:</w:t>
      </w:r>
      <w:r>
        <w:t xml:space="preserve"> </w:t>
      </w:r>
      <w:r>
        <w:t xml:space="preserve">tutti gli studi provengono da centri russi, non sono stati preregistrati in un registro pubblico e sono stati pubblicati in riviste specialistiche in lingua russa.</w:t>
      </w:r>
    </w:p>
    <w:bookmarkEnd w:id="1646"/>
    <w:bookmarkStart w:id="1649" w:name="sistema-immunitario-e-persone-sane"/>
    <w:p>
      <w:pPr>
        <w:pStyle w:val="Heading4"/>
      </w:pPr>
      <w:r>
        <w:t xml:space="preserve">Sistema immunitario e persone sane</w:t>
      </w:r>
    </w:p>
    <w:p>
      <w:pPr>
        <w:pStyle w:val="FirstParagraph"/>
      </w:pPr>
      <w:r>
        <w:t xml:space="preserve">Un lavoro descrive, in persone con stati d’ansia ed esaurimento, dopo 14 giorni di Selank variazioni dei messaggeri immunitari (equilibrio Th1/Th2) nel sangue; in provetta il Selank ha soppresso la produzione del messaggero infiammatorio IL-6 nelle cellule del sangue di persone con depressione</w:t>
      </w:r>
      <w:r>
        <w:rPr>
          <w:rStyle w:val="FootnoteReference"/>
        </w:rPr>
        <w:footnoteReference w:id="1647"/>
      </w:r>
      <w:r>
        <w:t xml:space="preserve">. Se ciò sia clinicamente rilevante non è stato studiato. Nelle persone sane un piccolo studio di imaging ha mostrato, dopo una singola somministrazione, connessioni modificate tra l’amigdala, una regione cerebrale importante per l’ansia, e parti del lobo temporale</w:t>
      </w:r>
      <w:r>
        <w:rPr>
          <w:rStyle w:val="FootnoteReference"/>
        </w:rPr>
        <w:footnoteReference w:id="1648"/>
      </w:r>
      <w:r>
        <w:t xml:space="preserve">. Studi su concentrazione o prestazioni nelle persone sane, la promessa principale in internet, non esistono.</w:t>
      </w:r>
    </w:p>
    <w:bookmarkEnd w:id="1649"/>
    <w:bookmarkEnd w:id="1650"/>
    <w:bookmarkStart w:id="1654" w:name="studi-su-animali-e-in-laboratorio-35"/>
    <w:p>
      <w:pPr>
        <w:pStyle w:val="Heading3"/>
      </w:pPr>
      <w:r>
        <w:t xml:space="preserve">Studi su animali e in laboratorio</w:t>
      </w:r>
    </w:p>
    <w:p>
      <w:pPr>
        <w:numPr>
          <w:ilvl w:val="0"/>
          <w:numId w:val="1200"/>
        </w:numPr>
        <w:pStyle w:val="Compact"/>
      </w:pPr>
      <w:r>
        <w:t xml:space="preserve">In ratti con 30 settimane di consumo di alcol, il Selank ha impedito disturbi della memoria e dell’attenzione durante l’astinenza e ha influenzato il contenuto di BDNF nell’ippocampo e nel lobo frontale</w:t>
      </w:r>
      <w:r>
        <w:rPr>
          <w:rStyle w:val="FootnoteReference"/>
        </w:rPr>
        <w:footnoteReference w:id="1651"/>
      </w:r>
      <w:r>
        <w:t xml:space="preserve">.</w:t>
      </w:r>
    </w:p>
    <w:p>
      <w:pPr>
        <w:numPr>
          <w:ilvl w:val="0"/>
          <w:numId w:val="1200"/>
        </w:numPr>
        <w:pStyle w:val="Compact"/>
      </w:pPr>
      <w:r>
        <w:t xml:space="preserve">Nei ratti il Selank ha modificato l’attività di numerosi geni del sistema GABA</w:t>
      </w:r>
      <w:r>
        <w:rPr>
          <w:rStyle w:val="FootnoteReference"/>
        </w:rPr>
        <w:footnoteReference w:id="1652"/>
      </w:r>
      <w:r>
        <w:t xml:space="preserve">.</w:t>
      </w:r>
    </w:p>
    <w:p>
      <w:pPr>
        <w:numPr>
          <w:ilvl w:val="0"/>
          <w:numId w:val="1200"/>
        </w:numPr>
        <w:pStyle w:val="Compact"/>
      </w:pPr>
      <w:r>
        <w:t xml:space="preserve">In colture cellulari e nei topi il Selank ha inibito i virus dell’influenza, con il massimo effetto quando somministrato prima dell’infezione</w:t>
      </w:r>
      <w:r>
        <w:rPr>
          <w:rStyle w:val="FootnoteReference"/>
        </w:rPr>
        <w:footnoteReference w:id="1653"/>
      </w:r>
      <w:r>
        <w:t xml:space="preserve">.</w:t>
      </w:r>
    </w:p>
    <w:p>
      <w:pPr>
        <w:numPr>
          <w:ilvl w:val="0"/>
          <w:numId w:val="1200"/>
        </w:numPr>
        <w:pStyle w:val="Compact"/>
      </w:pPr>
      <w:r>
        <w:t xml:space="preserve">In altri lavori degli stessi gruppi di ricerca vengono descritti effetti nello stress, nell’astinenza da morfina e da alcol e in modelli di Parkinson nei roditori.</w:t>
      </w:r>
    </w:p>
    <w:p>
      <w:pPr>
        <w:pStyle w:val="FirstParagraph"/>
      </w:pPr>
      <w:r>
        <w:t xml:space="preserve">Questi risultati sono reperti su animali e di laboratorio e provengono in gran parte da una ristretta cerchia di gruppi di ricerca.</w:t>
      </w:r>
    </w:p>
    <w:bookmarkEnd w:id="1654"/>
    <w:bookmarkStart w:id="1656" w:name="rischi-ed-effetti-collaterali-35"/>
    <w:p>
      <w:pPr>
        <w:pStyle w:val="Heading3"/>
      </w:pPr>
      <w:r>
        <w:t xml:space="preserve">Rischi ed effetti collaterali</w:t>
      </w:r>
    </w:p>
    <w:p>
      <w:pPr>
        <w:pStyle w:val="FirstParagraph"/>
      </w:pPr>
      <w:r>
        <w:rPr>
          <w:bCs/>
          <w:b/>
        </w:rPr>
        <w:t xml:space="preserve">Documentati:</w:t>
      </w:r>
      <w:r>
        <w:t xml:space="preserve"> </w:t>
      </w:r>
      <w:r>
        <w:t xml:space="preserve">nei piccoli studi russi il Selank viene descritto come ben tollerato; gli abstract non riportano tassi di effetti collaterali rilevati sistematicamente. Mancano dati a lungo termine e dati su dipendenza o sintomi da sospensione.</w:t>
      </w:r>
    </w:p>
    <w:p>
      <w:pPr>
        <w:pStyle w:val="BodyText"/>
      </w:pPr>
      <w:r>
        <w:rPr>
          <w:bCs/>
          <w:b/>
        </w:rPr>
        <w:t xml:space="preserve">Teorici:</w:t>
      </w:r>
      <w:r>
        <w:t xml:space="preserve"> </w:t>
      </w:r>
      <w:r>
        <w:t xml:space="preserve">il Selank dovrebbe agire sul sistema immunitario, sulle encefaline e sul sistema GABA. Le interazioni con tranquillanti, alcol o antidepressivi non sono state studiate; lo studio russo di combinazione mostra comunque che il Selank viene usato insieme alle benzodiazepine. Per gravidanza, allattamento e bambini non ci sono dati.</w:t>
      </w:r>
    </w:p>
    <w:p>
      <w:pPr>
        <w:pStyle w:val="BodyText"/>
      </w:pPr>
      <w:r>
        <w:rPr>
          <w:bCs/>
          <w:b/>
        </w:rPr>
        <w:t xml:space="preserve">Mercato grigio:</w:t>
      </w:r>
      <w:r>
        <w:t xml:space="preserve"> </w:t>
      </w:r>
      <w:r>
        <w:t xml:space="preserve">al di fuori della Russia il Selank viene venduto come «research peptide» in polvere per iniezione o come spray nasale. Un laboratorio di controllo belga ha trovato il Selank in preparati sconosciuti sequestrati</w:t>
      </w:r>
      <w:r>
        <w:rPr>
          <w:rStyle w:val="FootnoteReference"/>
        </w:rPr>
        <w:footnoteReference w:id="1655"/>
      </w:r>
      <w:r>
        <w:t xml:space="preserve">. L’iniezione non è una via di somministrazione testata negli studi; purezza e contenuto di tali prodotti non sono verificati.</w:t>
      </w:r>
    </w:p>
    <w:p>
      <w:pPr>
        <w:pStyle w:val="BodyText"/>
      </w:pPr>
      <w:r>
        <w:rPr>
          <w:bCs/>
          <w:b/>
        </w:rPr>
        <w:t xml:space="preserve">Importante:</w:t>
      </w:r>
      <w:r>
        <w:t xml:space="preserve"> </w:t>
      </w:r>
      <w:r>
        <w:t xml:space="preserve">i disturbi d’ansia sono ben trattabili, con la psicoterapia e con farmaci autorizzati la cui efficacia è dimostrata in grandi studi controllati con placebo. Un peptide del mercato grigio non ne è un sostituto.</w:t>
      </w:r>
    </w:p>
    <w:bookmarkEnd w:id="1656"/>
    <w:bookmarkStart w:id="1657" w:name="quadro-normativo-35"/>
    <w:p>
      <w:pPr>
        <w:pStyle w:val="Heading3"/>
      </w:pPr>
      <w:r>
        <w:t xml:space="preserve">Quadro normativo</w:t>
      </w:r>
    </w:p>
    <w:p>
      <w:pPr>
        <w:numPr>
          <w:ilvl w:val="0"/>
          <w:numId w:val="1201"/>
        </w:numPr>
        <w:pStyle w:val="Compact"/>
      </w:pPr>
      <w:r>
        <w:rPr>
          <w:bCs/>
          <w:b/>
        </w:rPr>
        <w:t xml:space="preserve">UE / Austria / Germania:</w:t>
      </w:r>
      <w:r>
        <w:t xml:space="preserve"> </w:t>
      </w:r>
      <w:r>
        <w:t xml:space="preserve">non autorizzato; in quanto sostanza con effetto farmacologico il Selank è considerato un medicinale, e l’immissione in commercio senza autorizzazione non è consentita.</w:t>
      </w:r>
    </w:p>
    <w:p>
      <w:pPr>
        <w:numPr>
          <w:ilvl w:val="0"/>
          <w:numId w:val="1201"/>
        </w:numPr>
        <w:pStyle w:val="Compact"/>
      </w:pPr>
      <w:r>
        <w:rPr>
          <w:bCs/>
          <w:b/>
        </w:rPr>
        <w:t xml:space="preserve">USA:</w:t>
      </w:r>
      <w:r>
        <w:t xml:space="preserve"> </w:t>
      </w:r>
      <w:r>
        <w:t xml:space="preserve">non autorizzato. Nel 2023 il Selank è stato inserito nella «categoria 2» della FDA per le sostanze per preparazioni magistrali con problemi di sicurezza; in seguito, secondo alcune fonti, la candidatura è stata ritirata. Il Selank non era tra i peptidi valutati dal comitato consultivo PCAC nel luglio 2026. Secondo le conoscenze attuali non esiste un’autorizzazione per le preparazioni magistrali in farmacia (aggiornato a ottobre 2026, da verificare).</w:t>
      </w:r>
    </w:p>
    <w:p>
      <w:pPr>
        <w:numPr>
          <w:ilvl w:val="0"/>
          <w:numId w:val="1201"/>
        </w:numPr>
        <w:pStyle w:val="Compact"/>
      </w:pPr>
      <w:r>
        <w:rPr>
          <w:bCs/>
          <w:b/>
        </w:rPr>
        <w:t xml:space="preserve">Russia:</w:t>
      </w:r>
      <w:r>
        <w:t xml:space="preserve"> </w:t>
      </w:r>
      <w:r>
        <w:t xml:space="preserve">registrato come medicinale.</w:t>
      </w:r>
    </w:p>
    <w:p>
      <w:pPr>
        <w:numPr>
          <w:ilvl w:val="0"/>
          <w:numId w:val="1201"/>
        </w:numPr>
        <w:pStyle w:val="Compact"/>
      </w:pPr>
      <w:r>
        <w:rPr>
          <w:bCs/>
          <w:b/>
        </w:rPr>
        <w:t xml:space="preserve">Sport:</w:t>
      </w:r>
      <w:r>
        <w:t xml:space="preserve"> </w:t>
      </w:r>
      <w:r>
        <w:t xml:space="preserve">non elencato per nome nella lista WADA (aggiornato al 2026, da verificare).</w:t>
      </w:r>
    </w:p>
    <w:bookmarkEnd w:id="1657"/>
    <w:bookmarkStart w:id="1658" w:name="studi-in-corso-e-prospettive-35"/>
    <w:p>
      <w:pPr>
        <w:pStyle w:val="Heading3"/>
      </w:pPr>
      <w:r>
        <w:t xml:space="preserve">Studi in corso e prospettive</w:t>
      </w:r>
    </w:p>
    <w:p>
      <w:pPr>
        <w:pStyle w:val="FirstParagraph"/>
      </w:pPr>
      <w:r>
        <w:rPr>
          <w:bCs/>
          <w:b/>
        </w:rPr>
        <w:t xml:space="preserve">Assodato:</w:t>
      </w:r>
      <w:r>
        <w:t xml:space="preserve"> </w:t>
      </w:r>
      <w:r>
        <w:t xml:space="preserve">su ClinicalTrials.gov non è registrato alcuno studio con Selank (ricerca di ottobre 2026).</w:t>
      </w:r>
    </w:p>
    <w:p>
      <w:pPr>
        <w:pStyle w:val="BodyText"/>
      </w:pPr>
      <w:r>
        <w:rPr>
          <w:bCs/>
          <w:b/>
        </w:rPr>
        <w:t xml:space="preserve">Valutazione:</w:t>
      </w:r>
      <w:r>
        <w:t xml:space="preserve"> </w:t>
      </w:r>
      <w:r>
        <w:t xml:space="preserve">il Selank è un esempio di peptide entrato nell’assistenza sanitaria in Russia senza soddisfare i requisiti di studio vigenti nell’UE o negli USA. Un’autorizzazione al di fuori della Russia presupporrebbe almeno uno studio controllato con placebo più ampio nei disturbi d’ansia; non ve ne sono indizi.</w:t>
      </w:r>
    </w:p>
    <w:bookmarkEnd w:id="1658"/>
    <w:bookmarkStart w:id="1659" w:name="conclusione-35"/>
    <w:p>
      <w:pPr>
        <w:pStyle w:val="Heading3"/>
      </w:pPr>
      <w:r>
        <w:t xml:space="preserve">Conclusione</w:t>
      </w:r>
    </w:p>
    <w:p>
      <w:pPr>
        <w:pStyle w:val="FirstParagraph"/>
      </w:pPr>
      <w:r>
        <w:t xml:space="preserve">Il Selank è un peptide derivato dalla tuftsina, registrato in Russia come ansiolitico. Tre piccoli studi russi descrivono un effetto ansiolitico simile a quello delle benzodiazepine, ma nessuno di essi aveva un gruppo placebo o era stato preregistrato. Le ipotesi sul meccanismo relative a encefaline, GABA e sistema immunitario si basano su dati di laboratorio e animali. I dati non bastano per valutare efficacia e sicurezza secondo gli standard attuali.</w:t>
      </w:r>
    </w:p>
    <w:bookmarkEnd w:id="1659"/>
    <w:bookmarkEnd w:id="1660"/>
    <w:bookmarkStart w:id="1713" w:name="cerebrolysin"/>
    <w:p>
      <w:pPr>
        <w:pStyle w:val="Heading2"/>
      </w:pPr>
      <w:r>
        <w:t xml:space="preserve">Cerebrolysin</w:t>
      </w:r>
    </w:p>
    <w:bookmarkStart w:id="1661" w:name="scheda-36"/>
    <w:p>
      <w:pPr>
        <w:pStyle w:val="Heading3"/>
      </w:pPr>
      <w:r>
        <w:t xml:space="preserve">Scheda</w:t>
      </w:r>
    </w:p>
    <w:p>
      <w:pPr>
        <w:numPr>
          <w:ilvl w:val="0"/>
          <w:numId w:val="1202"/>
        </w:numPr>
        <w:pStyle w:val="Compact"/>
      </w:pPr>
      <w:r>
        <w:rPr>
          <w:bCs/>
          <w:b/>
        </w:rPr>
        <w:t xml:space="preserve">Tipo e struttura:</w:t>
      </w:r>
      <w:r>
        <w:t xml:space="preserve"> </w:t>
      </w:r>
      <w:r>
        <w:t xml:space="preserve">non un singolo peptide, ma una miscela di peptidi corti e amminoacidi liberi. Si ottiene mediante scissione enzimatica di proteine purificate da cervello di maiale. La composizione esatta non è descritta completamente; il produttore standardizza il preparato tramite il processo di fabbricazione e test biologici.</w:t>
      </w:r>
    </w:p>
    <w:p>
      <w:pPr>
        <w:numPr>
          <w:ilvl w:val="0"/>
          <w:numId w:val="1202"/>
        </w:numPr>
        <w:pStyle w:val="Compact"/>
      </w:pPr>
      <w:r>
        <w:rPr>
          <w:bCs/>
          <w:b/>
        </w:rPr>
        <w:t xml:space="preserve">Origine:</w:t>
      </w:r>
      <w:r>
        <w:t xml:space="preserve"> </w:t>
      </w:r>
      <w:r>
        <w:t xml:space="preserve">prodotto da decenni da un’azienda austriaca (oggi EVER Neuro Pharma, Unterach am Attersee).</w:t>
      </w:r>
    </w:p>
    <w:p>
      <w:pPr>
        <w:numPr>
          <w:ilvl w:val="0"/>
          <w:numId w:val="1202"/>
        </w:numPr>
        <w:pStyle w:val="Compact"/>
      </w:pPr>
      <w:r>
        <w:rPr>
          <w:bCs/>
          <w:b/>
        </w:rPr>
        <w:t xml:space="preserve">Principio d’azione:</w:t>
      </w:r>
      <w:r>
        <w:t xml:space="preserve"> </w:t>
      </w:r>
      <w:r>
        <w:t xml:space="preserve">dovrebbe imitare gli effetti dei fattori di crescita nervosa endogeni, proteggendo i neuroni (neuroprotezione) e favorendo i processi di riparazione e rimodellamento (neurorigenerazione). Viene somministrato per infusione o iniezione endovenosa, per lo più in cicli di 10-21 giorni.</w:t>
      </w:r>
    </w:p>
    <w:p>
      <w:pPr>
        <w:numPr>
          <w:ilvl w:val="0"/>
          <w:numId w:val="1202"/>
        </w:numPr>
        <w:pStyle w:val="Compact"/>
      </w:pPr>
      <w:r>
        <w:rPr>
          <w:bCs/>
          <w:b/>
        </w:rPr>
        <w:t xml:space="preserve">Autorizzazione UE:</w:t>
      </w:r>
      <w:r>
        <w:t xml:space="preserve"> </w:t>
      </w:r>
      <w:r>
        <w:t xml:space="preserve">nessuna autorizzazione centralizzata UE. Autorizzato a livello nazionale in Austria e in una serie di altri Stati, soprattutto dell’Europa centrale e orientale (a seconda del Paese per ictus, trauma cranico e demenza). In Germania, per quanto ci risulta, non è in commercio.</w:t>
      </w:r>
    </w:p>
    <w:p>
      <w:pPr>
        <w:numPr>
          <w:ilvl w:val="0"/>
          <w:numId w:val="1202"/>
        </w:numPr>
        <w:pStyle w:val="Compact"/>
      </w:pPr>
      <w:r>
        <w:rPr>
          <w:bCs/>
          <w:b/>
        </w:rPr>
        <w:t xml:space="preserve">Autorizzazione USA:</w:t>
      </w:r>
      <w:r>
        <w:t xml:space="preserve"> </w:t>
      </w:r>
      <w:r>
        <w:t xml:space="preserve">no.</w:t>
      </w:r>
    </w:p>
    <w:p>
      <w:pPr>
        <w:numPr>
          <w:ilvl w:val="0"/>
          <w:numId w:val="1202"/>
        </w:numPr>
        <w:pStyle w:val="Compact"/>
      </w:pPr>
      <w:r>
        <w:rPr>
          <w:bCs/>
          <w:b/>
        </w:rPr>
        <w:t xml:space="preserve">Altri Paesi:</w:t>
      </w:r>
      <w:r>
        <w:t xml:space="preserve"> </w:t>
      </w:r>
      <w:r>
        <w:t xml:space="preserve">ampiamente usato in Russia, in altri Stati successori dell’Unione Sovietica, in Cina e in altri Paesi asiatici.</w:t>
      </w:r>
    </w:p>
    <w:p>
      <w:pPr>
        <w:numPr>
          <w:ilvl w:val="0"/>
          <w:numId w:val="1202"/>
        </w:numPr>
        <w:pStyle w:val="Compact"/>
      </w:pPr>
      <w:r>
        <w:rPr>
          <w:bCs/>
          <w:b/>
        </w:rPr>
        <w:t xml:space="preserve">WADA:</w:t>
      </w:r>
      <w:r>
        <w:t xml:space="preserve"> </w:t>
      </w:r>
      <w:r>
        <w:t xml:space="preserve">non elencato.</w:t>
      </w:r>
    </w:p>
    <w:p>
      <w:pPr>
        <w:numPr>
          <w:ilvl w:val="0"/>
          <w:numId w:val="1202"/>
        </w:numPr>
        <w:pStyle w:val="Compact"/>
      </w:pPr>
      <w:r>
        <w:rPr>
          <w:bCs/>
          <w:b/>
        </w:rPr>
        <w:t xml:space="preserve">Livello di evidenza:</w:t>
      </w:r>
      <w:r>
        <w:t xml:space="preserve"> </w:t>
      </w:r>
      <w:r>
        <w:rPr>
          <w:bCs/>
          <w:b/>
        </w:rPr>
        <w:t xml:space="preserve">B</w:t>
      </w:r>
      <w:r>
        <w:t xml:space="preserve"> </w:t>
      </w:r>
      <w:r>
        <w:t xml:space="preserve">– numerosi studi randomizzati e controllati con placebo, tra cui uno grande con oltre 1.000 partecipanti; i risultati sono però non uniformi, e le due grandi revisioni Cochrane indipendenti giungono a valutazioni prudenti.</w:t>
      </w:r>
    </w:p>
    <w:bookmarkEnd w:id="1661"/>
    <w:bookmarkStart w:id="1662" w:name="come-dovrebbe-agire-36"/>
    <w:p>
      <w:pPr>
        <w:pStyle w:val="Heading3"/>
      </w:pPr>
      <w:r>
        <w:t xml:space="preserve">Come dovrebbe agire</w:t>
      </w:r>
    </w:p>
    <w:p>
      <w:pPr>
        <w:pStyle w:val="FirstParagraph"/>
      </w:pPr>
      <w:r>
        <w:t xml:space="preserve">I fattori di crescita nervosa come BDNF, NGF o CNTF sono proteine che mantengono in vita i neuroni, stimolano la crescita di nuove connessioni e favoriscono la formazione di nuovi neuroni in determinate regioni cerebrali. Come farmaci sono problematici: sono grandi, attraversano a malapena la barriera ematoencefalica e agiscono in molti punti contemporaneamente.</w:t>
      </w:r>
    </w:p>
    <w:p>
      <w:pPr>
        <w:pStyle w:val="BodyText"/>
      </w:pPr>
      <w:r>
        <w:t xml:space="preserve">Il Cerebrolysin segue un approccio diverso. Dalle proteine del cervello di maiale, tramite una scissione controllata, si ottiene una miscela di piccoli frammenti. Il produttore e i ricercatori a esso legati ritengono che alcuni di questi frammenti provochino segnali simili a quelli dei fattori di crescita endogeni. Si parla quindi di un principio attivo «multimodale», cioè che dovrebbe influenzare molte vie contemporaneamente.</w:t>
      </w:r>
    </w:p>
    <w:p>
      <w:pPr>
        <w:pStyle w:val="BodyText"/>
      </w:pPr>
      <w:r>
        <w:t xml:space="preserve">Per lettrici e lettori ciò significa due cose: in primo luogo, il meccanismo è dedotto soprattutto da esperimenti su animali e cellule. In secondo luogo, con una miscela è difficile dire quale componente sia responsabile di che cosa e quanta parte arrivi effettivamente al cervello.</w:t>
      </w:r>
    </w:p>
    <w:bookmarkEnd w:id="1662"/>
    <w:bookmarkStart w:id="1698" w:name="studi-sulluomo-36"/>
    <w:p>
      <w:pPr>
        <w:pStyle w:val="Heading3"/>
      </w:pPr>
      <w:r>
        <w:t xml:space="preserve">Studi sull’uomo</w:t>
      </w:r>
    </w:p>
    <w:p>
      <w:pPr>
        <w:pStyle w:val="FirstParagraph"/>
      </w:pPr>
      <w:r>
        <w:rPr>
          <w:bCs/>
          <w:b/>
        </w:rPr>
        <w:t xml:space="preserve">Dimensioni della letteratura:</w:t>
      </w:r>
      <w:r>
        <w:t xml:space="preserve"> </w:t>
      </w:r>
      <w:r>
        <w:t xml:space="preserve">la ricerca automatizzata in PubMed (ottobre 2026) ha dato 88 pubblicazioni classificate come studi sull’uomo, più 15 meta-analisi e revisioni sistematiche (tra cui otto versioni di revisioni Cochrane). Su ClinicalTrials.gov erano registrati 43 studi, per lo più sull’ictus, alcuni su trauma cranico, demenza, emorragia cerebrale, delirium e, durante la pandemia, sulla perdita dell’olfatto dopo COVID-19. Gran parte degli studi è stata finanziata o sostenuta dal produttore; molti lavori più piccoli provengono da Russia, Romania, Cina e Iran.</w:t>
      </w:r>
    </w:p>
    <w:p>
      <w:pPr>
        <w:pStyle w:val="BodyText"/>
      </w:pPr>
      <w:r>
        <w:t xml:space="preserve">Una parola sulla statistica usata in molti studi sul Cerebrolysin: invece di un unico endpoint principale, spesso esaminano una combinazione di più scale con un cosiddetto stimatore di Mann-Whitney (MW). Questo indica la probabilità che una persona scelta a caso dal gruppo Cerebrolysin ottenga un risultato migliore di una del gruppo placebo. Un MW di 0,50 significa nessuna differenza; valori intorno a 0,56 sono considerati un vantaggio piccolo, intorno a 0,64 medio e da 0,71 grande. Questo metodo è ammissibile, ma rende i risultati più difficili da confrontare con altri studi sull’ictus, che per lo più indicano la quota di persone senza disabilità permanente.</w:t>
      </w:r>
    </w:p>
    <w:bookmarkStart w:id="1669" w:name="ictus-ischemico-acuto"/>
    <w:p>
      <w:pPr>
        <w:pStyle w:val="Heading4"/>
      </w:pPr>
      <w:r>
        <w:t xml:space="preserve">Ictus ischemico acuto</w:t>
      </w:r>
    </w:p>
    <w:p>
      <w:pPr>
        <w:pStyle w:val="FirstParagraph"/>
      </w:pPr>
      <w:r>
        <w:t xml:space="preserve">Nell’ictus ischemico un coagulo occlude un vaso cerebrale. I trattamenti consolidati sono la dissoluzione del coagulo con farmaci (trombolisi) e la sua rimozione con un catetere (trombectomia). I farmaci aggiuntivi «neuroprotettivi» dovrebbero proteggere il tessuto circostante, un approccio con cui in tutto il mondo decine di principi attivi hanno fallito in grandi studi.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Ladurner 2005, PMID 15583955</w:t>
            </w:r>
          </w:p>
        </w:tc>
        <w:tc>
          <w:tcPr/>
          <w:p>
            <w:pPr>
              <w:pStyle w:val="Compact"/>
              <w:jc w:val="left"/>
            </w:pPr>
            <w:r>
              <w:t xml:space="preserve">146 persone, RCT contro placebo, inizio entro 24 h</w:t>
            </w:r>
          </w:p>
        </w:tc>
        <w:tc>
          <w:tcPr/>
          <w:p>
            <w:pPr>
              <w:pStyle w:val="Compact"/>
              <w:jc w:val="left"/>
            </w:pPr>
            <w:r>
              <w:t xml:space="preserve">90 giorni</w:t>
            </w:r>
          </w:p>
        </w:tc>
        <w:tc>
          <w:tcPr/>
          <w:p>
            <w:pPr>
              <w:pStyle w:val="Compact"/>
              <w:jc w:val="left"/>
            </w:pPr>
            <w:r>
              <w:t xml:space="preserve">nessun miglioramento su scala neurologica, indice di Barthel e impressione complessiva; un test cognitivo migliore</w:t>
            </w:r>
          </w:p>
        </w:tc>
      </w:tr>
      <w:tr>
        <w:tc>
          <w:tcPr/>
          <w:p>
            <w:pPr>
              <w:pStyle w:val="Compact"/>
              <w:jc w:val="left"/>
            </w:pPr>
            <w:r>
              <w:t xml:space="preserve">CASTA (Heiss 2012), PMID 22282884</w:t>
            </w:r>
          </w:p>
        </w:tc>
        <w:tc>
          <w:tcPr/>
          <w:p>
            <w:pPr>
              <w:pStyle w:val="Compact"/>
              <w:jc w:val="left"/>
            </w:pPr>
            <w:r>
              <w:t xml:space="preserve">1.070 persone in Asia, doppio cieco contro placebo, inizio entro 12 h</w:t>
            </w:r>
          </w:p>
        </w:tc>
        <w:tc>
          <w:tcPr/>
          <w:p>
            <w:pPr>
              <w:pStyle w:val="Compact"/>
              <w:jc w:val="left"/>
            </w:pPr>
            <w:r>
              <w:t xml:space="preserve">90 giorni</w:t>
            </w:r>
          </w:p>
        </w:tc>
        <w:tc>
          <w:tcPr/>
          <w:p>
            <w:pPr>
              <w:pStyle w:val="Compact"/>
              <w:jc w:val="left"/>
            </w:pPr>
            <w:r>
              <w:t xml:space="preserve">endpoint principale neutro; sottogruppo a posteriori di casi gravi con tendenza a favore del Cerebrolysin</w:t>
            </w:r>
          </w:p>
        </w:tc>
      </w:tr>
      <w:tr>
        <w:tc>
          <w:tcPr/>
          <w:p>
            <w:pPr>
              <w:pStyle w:val="Compact"/>
              <w:jc w:val="left"/>
            </w:pPr>
            <w:r>
              <w:t xml:space="preserve">Lang 2013, PMID 23009193</w:t>
            </w:r>
          </w:p>
        </w:tc>
        <w:tc>
          <w:tcPr/>
          <w:p>
            <w:pPr>
              <w:pStyle w:val="Compact"/>
              <w:jc w:val="left"/>
            </w:pPr>
            <w:r>
              <w:t xml:space="preserve">119 persone, in aggiunta alla trombolisi, doppio cieco</w:t>
            </w:r>
          </w:p>
        </w:tc>
        <w:tc>
          <w:tcPr/>
          <w:p>
            <w:pPr>
              <w:pStyle w:val="Compact"/>
              <w:jc w:val="left"/>
            </w:pPr>
            <w:r>
              <w:t xml:space="preserve">90 giorni</w:t>
            </w:r>
          </w:p>
        </w:tc>
        <w:tc>
          <w:tcPr/>
          <w:p>
            <w:pPr>
              <w:pStyle w:val="Compact"/>
              <w:jc w:val="left"/>
            </w:pPr>
            <w:r>
              <w:t xml:space="preserve">interrotto dopo analisi intermedia senza beneficio sull’endpoint principale; miglioramento precoce sulla NIHSS più frequente</w:t>
            </w:r>
          </w:p>
        </w:tc>
      </w:tr>
      <w:tr>
        <w:tc>
          <w:tcPr/>
          <w:p>
            <w:pPr>
              <w:pStyle w:val="Compact"/>
              <w:jc w:val="left"/>
            </w:pPr>
            <w:r>
              <w:t xml:space="preserve">CARS (Muresanu 2016), PMID 26564102</w:t>
            </w:r>
          </w:p>
        </w:tc>
        <w:tc>
          <w:tcPr/>
          <w:p>
            <w:pPr>
              <w:pStyle w:val="Compact"/>
              <w:jc w:val="left"/>
            </w:pPr>
            <w:r>
              <w:t xml:space="preserve">persone in riabilitazione precoce, doppio cieco contro placebo</w:t>
            </w:r>
          </w:p>
        </w:tc>
        <w:tc>
          <w:tcPr/>
          <w:p>
            <w:pPr>
              <w:pStyle w:val="Compact"/>
              <w:jc w:val="left"/>
            </w:pPr>
            <w:r>
              <w:t xml:space="preserve">90 giorni</w:t>
            </w:r>
          </w:p>
        </w:tc>
        <w:tc>
          <w:tcPr/>
          <w:p>
            <w:pPr>
              <w:pStyle w:val="Compact"/>
              <w:jc w:val="left"/>
            </w:pPr>
            <w:r>
              <w:t xml:space="preserve">funzione del braccio (ARAT) nettamente migliore: MW 0,71</w:t>
            </w:r>
          </w:p>
        </w:tc>
      </w:tr>
      <w:tr>
        <w:tc>
          <w:tcPr/>
          <w:p>
            <w:pPr>
              <w:pStyle w:val="Compact"/>
              <w:jc w:val="left"/>
            </w:pPr>
            <w:r>
              <w:t xml:space="preserve">Gharagozli 2017, PMID 29075343</w:t>
            </w:r>
          </w:p>
        </w:tc>
        <w:tc>
          <w:tcPr/>
          <w:p>
            <w:pPr>
              <w:pStyle w:val="Compact"/>
              <w:jc w:val="left"/>
            </w:pPr>
            <w:r>
              <w:t xml:space="preserve">100 persone, doppio cieco contro placebo</w:t>
            </w:r>
          </w:p>
        </w:tc>
        <w:tc>
          <w:tcPr/>
          <w:p>
            <w:pPr>
              <w:pStyle w:val="Compact"/>
              <w:jc w:val="left"/>
            </w:pPr>
            <w:r>
              <w:t xml:space="preserve">30 giorni</w:t>
            </w:r>
          </w:p>
        </w:tc>
        <w:tc>
          <w:tcPr/>
          <w:p>
            <w:pPr>
              <w:pStyle w:val="Compact"/>
              <w:jc w:val="left"/>
            </w:pPr>
            <w:r>
              <w:t xml:space="preserve">NIHSS migliore: MW 0,66</w:t>
            </w:r>
          </w:p>
        </w:tc>
      </w:tr>
      <w:tr>
        <w:tc>
          <w:tcPr/>
          <w:p>
            <w:pPr>
              <w:pStyle w:val="Compact"/>
              <w:jc w:val="left"/>
            </w:pPr>
            <w:r>
              <w:t xml:space="preserve">CEREHETIS (Khasanova 2023), PMID 36973684</w:t>
            </w:r>
          </w:p>
        </w:tc>
        <w:tc>
          <w:tcPr/>
          <w:p>
            <w:pPr>
              <w:pStyle w:val="Compact"/>
              <w:jc w:val="left"/>
            </w:pPr>
            <w:r>
              <w:t xml:space="preserve">341 persone con trombolisi, randomizzato in aperto</w:t>
            </w:r>
          </w:p>
        </w:tc>
        <w:tc>
          <w:tcPr/>
          <w:p>
            <w:pPr>
              <w:pStyle w:val="Compact"/>
              <w:jc w:val="left"/>
            </w:pPr>
            <w:r>
              <w:t xml:space="preserve">90 giorni</w:t>
            </w:r>
          </w:p>
        </w:tc>
        <w:tc>
          <w:tcPr/>
          <w:p>
            <w:pPr>
              <w:pStyle w:val="Compact"/>
              <w:jc w:val="left"/>
            </w:pPr>
            <w:r>
              <w:t xml:space="preserve">meno emorragie sintomatiche (OR 0,248); nessuna differenza nella mRS a 90 giorni</w:t>
            </w:r>
          </w:p>
        </w:tc>
      </w:tr>
    </w:tbl>
    <w:p>
      <w:pPr>
        <w:pStyle w:val="BodyText"/>
      </w:pPr>
      <w:r>
        <w:rPr>
          <w:bCs/>
          <w:b/>
        </w:rPr>
        <w:t xml:space="preserve">CASTA, lo studio più grande.</w:t>
      </w:r>
      <w:r>
        <w:t xml:space="preserve"> </w:t>
      </w:r>
      <w:r>
        <w:t xml:space="preserve">Lo studio</w:t>
      </w:r>
      <w:r>
        <w:t xml:space="preserve"> </w:t>
      </w:r>
      <w:r>
        <w:rPr>
          <w:iCs/>
          <w:i/>
        </w:rPr>
        <w:t xml:space="preserve">Cerebrolysin Acute Stroke Treatment in Asia</w:t>
      </w:r>
      <w:r>
        <w:t xml:space="preserve"> </w:t>
      </w:r>
      <w:r>
        <w:t xml:space="preserve">è stato pubblicato in anticipo con il protocollo di studio</w:t>
      </w:r>
      <w:r>
        <w:rPr>
          <w:rStyle w:val="FootnoteReference"/>
        </w:rPr>
        <w:footnoteReference w:id="1663"/>
      </w:r>
      <w:r>
        <w:t xml:space="preserve"> </w:t>
      </w:r>
      <w:r>
        <w:t xml:space="preserve">ed è registrato su ClinicalTrials.gov</w:t>
      </w:r>
      <w:r>
        <w:rPr>
          <w:rStyle w:val="FootnoteReference"/>
        </w:rPr>
        <w:footnoteReference w:id="1664"/>
      </w:r>
      <w:r>
        <w:t xml:space="preserve">. 1.070 persone con ictus acuto hanno ricevuto entro dodici ore, per dieci giorni, Cerebrolysin o soluzione fisiologica, in entrambi i casi in aggiunta all’aspirina. L’endpoint principale stabilito in anticipo, una combinazione di scala di Rankin modificata (mRS, grado di disabilità), indice di Barthel (autonomia nella vita quotidiana) e NIHSS (gravità dei deficit neurologici) a 90 giorni,</w:t>
      </w:r>
      <w:r>
        <w:t xml:space="preserve"> </w:t>
      </w:r>
      <w:r>
        <w:rPr>
          <w:bCs/>
          <w:b/>
        </w:rPr>
        <w:t xml:space="preserve">non ha mostrato alcuna differenza</w:t>
      </w:r>
      <w:r>
        <w:t xml:space="preserve">. In un’analisi a posteriori dei casi più gravi (NIHSS superiore a 12) la mortalità a 90 giorni era del 10,5% con Cerebrolysin contro il 20,2% con placebo</w:t>
      </w:r>
      <w:r>
        <w:rPr>
          <w:rStyle w:val="FootnoteReference"/>
        </w:rPr>
        <w:footnoteReference w:id="1665"/>
      </w:r>
      <w:r>
        <w:t xml:space="preserve">. Gli stessi autori scrivono che questo risultato dovrebbe essere confermato in un altro studio. Un tale grande studio di conferma, condotto specificamente negli ictus gravi, non è stato pubblicato fino a oggi.</w:t>
      </w:r>
    </w:p>
    <w:p>
      <w:pPr>
        <w:pStyle w:val="BodyText"/>
      </w:pPr>
      <w:r>
        <w:rPr>
          <w:bCs/>
          <w:b/>
        </w:rPr>
        <w:t xml:space="preserve">Insieme alla trombolisi.</w:t>
      </w:r>
      <w:r>
        <w:t xml:space="preserve"> </w:t>
      </w:r>
      <w:r>
        <w:t xml:space="preserve">In uno studio con 119 persone il Cerebrolysin è stato iniziato un’ora dopo la trombolisi. Dopo la terza analisi intermedia non è emerso alcun vantaggio sull’endpoint principale (mRS a 90 giorni) e lo studio è stato concluso. Nei primi 30 giorni, con Cerebrolysin, più persone sono migliorate nettamente sulla NIHSS</w:t>
      </w:r>
      <w:r>
        <w:rPr>
          <w:rStyle w:val="FootnoteReference"/>
        </w:rPr>
        <w:footnoteReference w:id="1666"/>
      </w:r>
      <w:r>
        <w:t xml:space="preserve">. Questo schema, miglioramenti precoci sulle scale neurologiche ma nessuna differenza chiara nella disabilità dopo tre mesi, si ritrova in diversi studi. Lo studio CEREHETIS ha trovato in 341 persone meno emorragie sintomatiche dopo la trombolisi, ma anch’esso nessuna differenza nella mRS a 90 giorni; era in aperto, cioè non in cieco</w:t>
      </w:r>
      <w:r>
        <w:rPr>
          <w:rStyle w:val="FootnoteReference"/>
        </w:rPr>
        <w:footnoteReference w:id="1667"/>
      </w:r>
      <w:r>
        <w:t xml:space="preserve">.</w:t>
      </w:r>
    </w:p>
    <w:p>
      <w:pPr>
        <w:pStyle w:val="BodyText"/>
      </w:pPr>
      <w:r>
        <w:rPr>
          <w:bCs/>
          <w:b/>
        </w:rPr>
        <w:t xml:space="preserve">Trombectomia.</w:t>
      </w:r>
      <w:r>
        <w:t xml:space="preserve"> </w:t>
      </w:r>
      <w:r>
        <w:t xml:space="preserve">Uno studio ha confrontato 50 persone che dopo il trattamento con catetere hanno ricevuto Cerebrolysin con 50 persone trattate in precedenza (controlli storici). A 90 giorni il 68% contro il 44% era funzionalmente indipendente (mRS 0–2), e le emorragie cerebrali secondarie sono state più rare</w:t>
      </w:r>
      <w:r>
        <w:rPr>
          <w:rStyle w:val="FootnoteReference"/>
        </w:rPr>
        <w:footnoteReference w:id="1668"/>
      </w:r>
      <w:r>
        <w:t xml:space="preserve">. Senza randomizzazione e con un confronto con pazienti precedenti si tratta però solo di un indizio; gli stessi autori chiedono studi randomizzati.</w:t>
      </w:r>
    </w:p>
    <w:bookmarkEnd w:id="1669"/>
    <w:bookmarkStart w:id="1676" w:name="X118f702edf1e607680a732cf1b205562b52c0a6"/>
    <w:p>
      <w:pPr>
        <w:pStyle w:val="Heading4"/>
      </w:pPr>
      <w:r>
        <w:t xml:space="preserve">Riabilitazione dopo ictus: CARS e studi successivi</w:t>
      </w:r>
    </w:p>
    <w:p>
      <w:pPr>
        <w:pStyle w:val="FirstParagraph"/>
      </w:pPr>
      <w:r>
        <w:t xml:space="preserve">Un secondo approccio non interviene nelle prime ore, ma nella riabilitazione precoce: il Cerebrolysin dovrebbe rendere il cervello «più capace di apprendere» mentre contemporaneamente si svolge la fisioterapia.</w:t>
      </w:r>
    </w:p>
    <w:p>
      <w:pPr>
        <w:pStyle w:val="BodyText"/>
      </w:pPr>
      <w:r>
        <w:t xml:space="preserve">Lo</w:t>
      </w:r>
      <w:r>
        <w:t xml:space="preserve"> </w:t>
      </w:r>
      <w:r>
        <w:rPr>
          <w:bCs/>
          <w:b/>
        </w:rPr>
        <w:t xml:space="preserve">studio CARS</w:t>
      </w:r>
      <w:r>
        <w:t xml:space="preserve"> </w:t>
      </w:r>
      <w:r>
        <w:t xml:space="preserve">(</w:t>
      </w:r>
      <w:r>
        <w:rPr>
          <w:iCs/>
          <w:i/>
        </w:rPr>
        <w:t xml:space="preserve">Cerebrolysin and Recovery After Stroke</w:t>
      </w:r>
      <w:r>
        <w:t xml:space="preserve">) ha trattato persone da 24 a 72 ore dopo l’ictus per 21 giorni con Cerebrolysin o placebo, in aggiunta a un programma riabilitativo standardizzato. Sull’endpoint principale, l’Action Research Arm Test (ARAT) per la funzione del braccio a 90 giorni, è emerso un grande vantaggio (MW 0,71; intervallo di confidenza al 95% 0,63–0,79); su dodici scale complessive un vantaggio da piccolo a medio (MW 0,62)</w:t>
      </w:r>
      <w:r>
        <w:rPr>
          <w:rStyle w:val="FootnoteReference"/>
        </w:rPr>
        <w:footnoteReference w:id="1670"/>
      </w:r>
      <w:r>
        <w:t xml:space="preserve">. Gli autori definiscono espressamente lo studio come esplorativo e con una casistica relativamente piccola. Un’analisi congiunta pianificata in anticipo con lo studio CARS-2, di identica impostazione (complessivamente 442 persone), ha dato per l’ARAT un MW di 0,62</w:t>
      </w:r>
      <w:r>
        <w:rPr>
          <w:rStyle w:val="FootnoteReference"/>
        </w:rPr>
        <w:footnoteReference w:id="1671"/>
      </w:r>
      <w:r>
        <w:t xml:space="preserve">.</w:t>
      </w:r>
    </w:p>
    <w:p>
      <w:pPr>
        <w:pStyle w:val="BodyText"/>
      </w:pPr>
      <w:r>
        <w:t xml:space="preserve">Altri studi più piccoli mostrano un quadro misto:</w:t>
      </w:r>
    </w:p>
    <w:p>
      <w:pPr>
        <w:numPr>
          <w:ilvl w:val="0"/>
          <w:numId w:val="1203"/>
        </w:numPr>
        <w:pStyle w:val="Compact"/>
      </w:pPr>
      <w:r>
        <w:t xml:space="preserve">Uno studio con 60 persone ha trovato grandi vantaggi sulla NIHSS dopo 10 e 30 giorni</w:t>
      </w:r>
      <w:r>
        <w:rPr>
          <w:rStyle w:val="FootnoteReference"/>
        </w:rPr>
        <w:footnoteReference w:id="1672"/>
      </w:r>
      <w:r>
        <w:t xml:space="preserve">.</w:t>
      </w:r>
    </w:p>
    <w:p>
      <w:pPr>
        <w:numPr>
          <w:ilvl w:val="0"/>
          <w:numId w:val="1203"/>
        </w:numPr>
        <w:pStyle w:val="Compact"/>
      </w:pPr>
      <w:r>
        <w:t xml:space="preserve">Uno studio con 70 persone</w:t>
      </w:r>
      <w:r>
        <w:t xml:space="preserve"> </w:t>
      </w:r>
      <w:r>
        <w:rPr>
          <w:bCs/>
          <w:b/>
        </w:rPr>
        <w:t xml:space="preserve">non</w:t>
      </w:r>
      <w:r>
        <w:t xml:space="preserve"> </w:t>
      </w:r>
      <w:r>
        <w:t xml:space="preserve">ha trovato alcuna differenza nella motricità complessiva; solo nel sottogruppo con paralisi grave il Cerebrolysin ha dato risultati migliori</w:t>
      </w:r>
      <w:r>
        <w:rPr>
          <w:rStyle w:val="FootnoteReference"/>
        </w:rPr>
        <w:footnoteReference w:id="1673"/>
      </w:r>
      <w:r>
        <w:t xml:space="preserve">.</w:t>
      </w:r>
    </w:p>
    <w:p>
      <w:pPr>
        <w:numPr>
          <w:ilvl w:val="0"/>
          <w:numId w:val="1203"/>
        </w:numPr>
        <w:pStyle w:val="Compact"/>
      </w:pPr>
      <w:r>
        <w:t xml:space="preserve">Lo studio pilota rumeno ESCAS sui disturbi del linguaggio (afasia non fluente), con 132 persone, ha combinato il Cerebrolysin con la logopedia. A 90 giorni la funzione linguistica nella Western Aphasia Battery è migliorata di circa 35,6 punti contro 20,8 punti con placebo</w:t>
      </w:r>
      <w:r>
        <w:rPr>
          <w:rStyle w:val="FootnoteReference"/>
        </w:rPr>
        <w:footnoteReference w:id="1674"/>
      </w:r>
      <w:r>
        <w:t xml:space="preserve">.</w:t>
      </w:r>
    </w:p>
    <w:p>
      <w:pPr>
        <w:pStyle w:val="FirstParagraph"/>
      </w:pPr>
      <w:r>
        <w:t xml:space="preserve">Una linea guida della European Academy of Neurology e della Federazione europea delle società di neuroriabilitazione ha raccomandato nel 2021, sulla base di una meta-analisi, il Cerebrolysin, accanto all’antidepressivo citalopram, per sostenere la riabilitazione motoria precoce dopo ictus ischemico</w:t>
      </w:r>
      <w:r>
        <w:rPr>
          <w:rStyle w:val="FootnoteReference"/>
        </w:rPr>
        <w:footnoteReference w:id="1675"/>
      </w:r>
      <w:r>
        <w:t xml:space="preserve">. Altre grandi linee guida, per esempio negli Stati Uniti, non contengono una raccomandazione del genere.</w:t>
      </w:r>
    </w:p>
    <w:bookmarkEnd w:id="1676"/>
    <w:bookmarkStart w:id="1681" w:name="X9bec21c98be9635acf760e89bcee3523a1c8484"/>
    <w:p>
      <w:pPr>
        <w:pStyle w:val="Heading4"/>
      </w:pPr>
      <w:r>
        <w:t xml:space="preserve">Le meta-analisi: due letture degli stessi dati</w:t>
      </w:r>
    </w:p>
    <w:p>
      <w:pPr>
        <w:pStyle w:val="FirstParagraph"/>
      </w:pPr>
      <w:r>
        <w:t xml:space="preserve">Per il Cerebrolysin le sintesi divergono, a seconda di chi le ha redatte e di quali endpoint siano al centro.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Revisione</w:t>
            </w:r>
          </w:p>
        </w:tc>
        <w:tc>
          <w:tcPr/>
          <w:p>
            <w:pPr>
              <w:pStyle w:val="Compact"/>
              <w:jc w:val="left"/>
            </w:pPr>
            <w:r>
              <w:t xml:space="preserve">Dati inclusi</w:t>
            </w:r>
          </w:p>
        </w:tc>
        <w:tc>
          <w:tcPr/>
          <w:p>
            <w:pPr>
              <w:pStyle w:val="Compact"/>
              <w:jc w:val="left"/>
            </w:pPr>
            <w:r>
              <w:t xml:space="preserve">Messaggio centrale</w:t>
            </w:r>
          </w:p>
        </w:tc>
      </w:tr>
      <w:tr>
        <w:tc>
          <w:tcPr/>
          <w:p>
            <w:pPr>
              <w:pStyle w:val="Compact"/>
              <w:jc w:val="left"/>
            </w:pPr>
            <w:r>
              <w:t xml:space="preserve">Cochrane (Ziganshina 2023), PMID 37818733</w:t>
            </w:r>
          </w:p>
        </w:tc>
        <w:tc>
          <w:tcPr/>
          <w:p>
            <w:pPr>
              <w:pStyle w:val="Compact"/>
              <w:jc w:val="left"/>
            </w:pPr>
            <w:r>
              <w:t xml:space="preserve">7 RCT, 1.773 persone, inizio entro 48 h</w:t>
            </w:r>
          </w:p>
        </w:tc>
        <w:tc>
          <w:tcPr/>
          <w:p>
            <w:pPr>
              <w:pStyle w:val="Compact"/>
              <w:jc w:val="left"/>
            </w:pPr>
            <w:r>
              <w:t xml:space="preserve">nessuna influenza sulla mortalità (RR 0,96); più effetti collaterali gravi non fatali (RR 2,39)</w:t>
            </w:r>
          </w:p>
        </w:tc>
      </w:tr>
      <w:tr>
        <w:tc>
          <w:tcPr/>
          <w:p>
            <w:pPr>
              <w:pStyle w:val="Compact"/>
              <w:jc w:val="left"/>
            </w:pPr>
            <w:r>
              <w:t xml:space="preserve">Bornstein 2018, PMID 29248999</w:t>
            </w:r>
          </w:p>
        </w:tc>
        <w:tc>
          <w:tcPr/>
          <w:p>
            <w:pPr>
              <w:pStyle w:val="Compact"/>
              <w:jc w:val="left"/>
            </w:pPr>
            <w:r>
              <w:t xml:space="preserve">9 RCT, 1.879 persone</w:t>
            </w:r>
          </w:p>
        </w:tc>
        <w:tc>
          <w:tcPr/>
          <w:p>
            <w:pPr>
              <w:pStyle w:val="Compact"/>
              <w:jc w:val="left"/>
            </w:pPr>
            <w:r>
              <w:t xml:space="preserve">NIHSS migliore a 30 giorni (MW 0,60); NNT 7,7 per un miglioramento clinicamente rilevante</w:t>
            </w:r>
          </w:p>
        </w:tc>
      </w:tr>
      <w:tr>
        <w:tc>
          <w:tcPr/>
          <w:p>
            <w:pPr>
              <w:pStyle w:val="Compact"/>
              <w:jc w:val="left"/>
            </w:pPr>
            <w:r>
              <w:t xml:space="preserve">Zhang 2017, PMID 28656143</w:t>
            </w:r>
          </w:p>
        </w:tc>
        <w:tc>
          <w:tcPr/>
          <w:p>
            <w:pPr>
              <w:pStyle w:val="Compact"/>
              <w:jc w:val="left"/>
            </w:pPr>
            <w:r>
              <w:t xml:space="preserve">7 RCT, 1.779 persone</w:t>
            </w:r>
          </w:p>
        </w:tc>
        <w:tc>
          <w:tcPr/>
          <w:p>
            <w:pPr>
              <w:pStyle w:val="Compact"/>
              <w:jc w:val="left"/>
            </w:pPr>
            <w:r>
              <w:t xml:space="preserve">nessuna superiorità su mRS e indice di Barthel; sicurezza neutra</w:t>
            </w:r>
          </w:p>
        </w:tc>
      </w:tr>
      <w:tr>
        <w:tc>
          <w:tcPr/>
          <w:p>
            <w:pPr>
              <w:pStyle w:val="Compact"/>
              <w:jc w:val="left"/>
            </w:pPr>
            <w:r>
              <w:t xml:space="preserve">Patel 2025, PMID 41018475</w:t>
            </w:r>
          </w:p>
        </w:tc>
        <w:tc>
          <w:tcPr/>
          <w:p>
            <w:pPr>
              <w:pStyle w:val="Compact"/>
              <w:jc w:val="left"/>
            </w:pPr>
            <w:r>
              <w:t xml:space="preserve">14 RCT, 2.884 persone</w:t>
            </w:r>
          </w:p>
        </w:tc>
        <w:tc>
          <w:tcPr/>
          <w:p>
            <w:pPr>
              <w:pStyle w:val="Compact"/>
              <w:jc w:val="left"/>
            </w:pPr>
            <w:r>
              <w:t xml:space="preserve">miglioramento NIHSS di 1,39 punti in più; indipendenza funzionale non significativa (RR 1,31)</w:t>
            </w:r>
          </w:p>
        </w:tc>
      </w:tr>
    </w:tbl>
    <w:p>
      <w:pPr>
        <w:pStyle w:val="BodyText"/>
      </w:pPr>
      <w:r>
        <w:t xml:space="preserve">La</w:t>
      </w:r>
      <w:r>
        <w:t xml:space="preserve"> </w:t>
      </w:r>
      <w:r>
        <w:rPr>
          <w:bCs/>
          <w:b/>
        </w:rPr>
        <w:t xml:space="preserve">revisione Cochrane</w:t>
      </w:r>
      <w:r>
        <w:t xml:space="preserve">, una forma di sintesi indipendente e metodologicamente rigorosa, è stata aggiornata più volte dal 2010. La versione del 2020 comprendeva sette studi randomizzati con 1.601 persone e non ha trovato alcun effetto sulla mortalità (RR 0,90; IC 95% 0,61–1,32). Il numero complessivo di eventi avversi gravi non differiva in modo sostanziale, ma il numero di persone con eventi avversi gravi</w:t>
      </w:r>
      <w:r>
        <w:t xml:space="preserve"> </w:t>
      </w:r>
      <w:r>
        <w:rPr>
          <w:bCs/>
          <w:b/>
        </w:rPr>
        <w:t xml:space="preserve">non fatali</w:t>
      </w:r>
      <w:r>
        <w:t xml:space="preserve"> </w:t>
      </w:r>
      <w:r>
        <w:t xml:space="preserve">era più alto con Cerebrolysin (RR 2,15; IC 95% 1,01–4,55)</w:t>
      </w:r>
      <w:r>
        <w:rPr>
          <w:rStyle w:val="FootnoteReference"/>
        </w:rPr>
        <w:footnoteReference w:id="1677"/>
      </w:r>
      <w:r>
        <w:t xml:space="preserve">. L’aggiornamento del 2023 ha aggiunto uno studio con il preparato russo da cervello bovino Cortexin (complessivamente 1.773 persone) e ha confermato queste conclusioni: nessun effetto sulla mortalità (RR 0,96), più eventi gravi non fatali (RR 2,39; IC 95% 1,10–5,23), ancora più marcati con uno schema di trattamento di dieci giorni</w:t>
      </w:r>
      <w:r>
        <w:rPr>
          <w:rStyle w:val="FootnoteReference"/>
        </w:rPr>
        <w:footnoteReference w:id="1678"/>
      </w:r>
      <w:r>
        <w:t xml:space="preserve">. Le autrici e gli autori Cochrane hanno valutato come incerto o alto il rischio di distorsione di molti studi e hanno segnalato che il produttore aveva sostenuto diversi dei grandi studi. Importante: nessuno degli studi inclusi riportava l’endpoint decisivo dal punto di vista dei pazienti, «morte o dipendenza dall’assistenza», nella forma prevista dalla revisione.</w:t>
      </w:r>
    </w:p>
    <w:p>
      <w:pPr>
        <w:pStyle w:val="BodyText"/>
      </w:pPr>
      <w:r>
        <w:t xml:space="preserve">Le</w:t>
      </w:r>
      <w:r>
        <w:t xml:space="preserve"> </w:t>
      </w:r>
      <w:r>
        <w:rPr>
          <w:bCs/>
          <w:b/>
        </w:rPr>
        <w:t xml:space="preserve">meta-analisi vicine al produttore</w:t>
      </w:r>
      <w:r>
        <w:t xml:space="preserve"> </w:t>
      </w:r>
      <w:r>
        <w:t xml:space="preserve">considerano invece soprattutto il miglioramento neurologico precoce sulla NIHSS e trovano lì un vantaggio moderato</w:t>
      </w:r>
      <w:r>
        <w:rPr>
          <w:rStyle w:val="FootnoteReference"/>
        </w:rPr>
        <w:footnoteReference w:id="1679"/>
      </w:r>
      <w:r>
        <w:t xml:space="preserve">. Una meta-analisi sulla sicurezza con dodici studi e 2.202 persone non ha trovato differenze significative rispetto al placebo negli effetti collaterali</w:t>
      </w:r>
      <w:r>
        <w:rPr>
          <w:rStyle w:val="FootnoteReference"/>
        </w:rPr>
        <w:footnoteReference w:id="1680"/>
      </w:r>
      <w:r>
        <w:t xml:space="preserve">, a differenza del segnale Cochrane, che si basa però su pochi eventi.</w:t>
      </w:r>
    </w:p>
    <w:p>
      <w:pPr>
        <w:pStyle w:val="BodyText"/>
      </w:pPr>
      <w:r>
        <w:t xml:space="preserve">Come conciliare il tutto? La risposta onesta è: in diversi studi il Cerebrolysin migliora i punteggi delle scale neurologiche nelle prime settimane. Che ne derivino meno disabilità permanente, meno dipendenza dall’assistenza o una vita più lunga non è dimostrato. Per il segnale relativo agli effetti collaterali gravi non fatali manca una spiegazione convincente; si basa su pochi eventi ed è quindi incerto, ma è stato trovato in due versioni Cochrane.</w:t>
      </w:r>
    </w:p>
    <w:bookmarkEnd w:id="1681"/>
    <w:bookmarkStart w:id="1683" w:name="dati-di-registro-dalla-pratica-clinica"/>
    <w:p>
      <w:pPr>
        <w:pStyle w:val="Heading4"/>
      </w:pPr>
      <w:r>
        <w:t xml:space="preserve">Dati di registro dalla pratica clinica</w:t>
      </w:r>
    </w:p>
    <w:p>
      <w:pPr>
        <w:pStyle w:val="FirstParagraph"/>
      </w:pPr>
      <w:r>
        <w:t xml:space="preserve">Il produttore ha inoltre finanziato grandi studi osservazionali. Lo studio di registro C-REGS2 ha raccolto in 16 Paesi 1.865 persone con ictus di gravità moderata; ne sono state valutate 1.769 (1.021 con Cerebrolysin, 748 senza). A 90 giorni il gruppo Cerebrolysin ha ottenuto risultati migliori sulla scala di Rankin modificata (MW 0,6157)</w:t>
      </w:r>
      <w:r>
        <w:rPr>
          <w:rStyle w:val="FootnoteReference"/>
        </w:rPr>
        <w:footnoteReference w:id="1682"/>
      </w:r>
      <w:r>
        <w:t xml:space="preserve">. Lo studio usa procedure statistiche sofisticate per rendere i gruppi confrontabili. Resta però uno studio osservazionale: chi riceve il Cerebrolysin nella pratica può differire per trattamento, clinica o Paese da chi non lo riceve. Non può sostituire una randomizzazione.</w:t>
      </w:r>
    </w:p>
    <w:bookmarkEnd w:id="1683"/>
    <w:bookmarkStart w:id="1687" w:name="Xe4feeb5f6630772d7554865dcab460b0948df69"/>
    <w:p>
      <w:pPr>
        <w:pStyle w:val="Heading4"/>
      </w:pPr>
      <w:r>
        <w:t xml:space="preserve">Emorragia cerebrale ed emorragia subaracnoidea</w:t>
      </w:r>
    </w:p>
    <w:p>
      <w:pPr>
        <w:pStyle w:val="FirstParagraph"/>
      </w:pPr>
      <w:r>
        <w:t xml:space="preserve">Nelle emorragie cerebrali uno studio con 100 persone non ha trovato dopo 21 giorni differenze significative, ma nemmeno problemi di sicurezza</w:t>
      </w:r>
      <w:r>
        <w:rPr>
          <w:rStyle w:val="FootnoteReference"/>
        </w:rPr>
        <w:footnoteReference w:id="1684"/>
      </w:r>
      <w:r>
        <w:t xml:space="preserve">. Nelle emorragie da dilatazione di un vaso cerebrale (emorragia subaracnoidea aneurismatica) uno studio pilota in doppio cieco con 50 persone non ha mostrato dopo sei mesi alcuna differenza nell’esito funzionale</w:t>
      </w:r>
      <w:r>
        <w:rPr>
          <w:rStyle w:val="FootnoteReference"/>
        </w:rPr>
        <w:footnoteReference w:id="1685"/>
      </w:r>
      <w:r>
        <w:t xml:space="preserve">. Uno studio pilota sulle emorragie lobari (CLINCH) è programmato o in corso</w:t>
      </w:r>
      <w:r>
        <w:rPr>
          <w:rStyle w:val="FootnoteReference"/>
        </w:rPr>
        <w:footnoteReference w:id="1686"/>
      </w:r>
      <w:r>
        <w:t xml:space="preserve">.</w:t>
      </w:r>
    </w:p>
    <w:bookmarkEnd w:id="1687"/>
    <w:bookmarkStart w:id="1689" w:name="trauma-cranico-captain"/>
    <w:p>
      <w:pPr>
        <w:pStyle w:val="Heading4"/>
      </w:pPr>
      <w:r>
        <w:t xml:space="preserve">Trauma cranico: CAPTAIN</w:t>
      </w:r>
    </w:p>
    <w:p>
      <w:pPr>
        <w:pStyle w:val="FirstParagraph"/>
      </w:pPr>
      <w:r>
        <w:t xml:space="preserve">Nel trauma cranico da moderato a grave due studi hanno esaminato il Cerebrolysin in aggiunta al trattamento standard: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CAPTAIN I (Poon 2020), PMID 31494820</w:t>
            </w:r>
          </w:p>
        </w:tc>
        <w:tc>
          <w:tcPr/>
          <w:p>
            <w:pPr>
              <w:pStyle w:val="Compact"/>
              <w:jc w:val="left"/>
            </w:pPr>
            <w:r>
              <w:t xml:space="preserve">46 persone, doppio cieco contro placebo, più centri</w:t>
            </w:r>
          </w:p>
        </w:tc>
        <w:tc>
          <w:tcPr/>
          <w:p>
            <w:pPr>
              <w:pStyle w:val="Compact"/>
              <w:jc w:val="left"/>
            </w:pPr>
            <w:r>
              <w:t xml:space="preserve">90 giorni</w:t>
            </w:r>
          </w:p>
        </w:tc>
        <w:tc>
          <w:tcPr/>
          <w:p>
            <w:pPr>
              <w:pStyle w:val="Compact"/>
              <w:jc w:val="left"/>
            </w:pPr>
            <w:r>
              <w:t xml:space="preserve">endpoint principale mancato di poco (ITT: MW 0,63); significativo nell’analisi per protocollo</w:t>
            </w:r>
          </w:p>
        </w:tc>
      </w:tr>
      <w:tr>
        <w:tc>
          <w:tcPr/>
          <w:p>
            <w:pPr>
              <w:pStyle w:val="Compact"/>
              <w:jc w:val="left"/>
            </w:pPr>
            <w:r>
              <w:t xml:space="preserve">CAPTAIN II (Muresanu 2020), PMID 31897941</w:t>
            </w:r>
          </w:p>
        </w:tc>
        <w:tc>
          <w:tcPr/>
          <w:p>
            <w:pPr>
              <w:pStyle w:val="Compact"/>
              <w:jc w:val="left"/>
            </w:pPr>
            <w:r>
              <w:t xml:space="preserve">142 persone (139 valutate), doppio cieco, un centro</w:t>
            </w:r>
          </w:p>
        </w:tc>
        <w:tc>
          <w:tcPr/>
          <w:p>
            <w:pPr>
              <w:pStyle w:val="Compact"/>
              <w:jc w:val="left"/>
            </w:pPr>
            <w:r>
              <w:t xml:space="preserve">90 giorni</w:t>
            </w:r>
          </w:p>
        </w:tc>
        <w:tc>
          <w:tcPr/>
          <w:p>
            <w:pPr>
              <w:pStyle w:val="Compact"/>
              <w:jc w:val="left"/>
            </w:pPr>
            <w:r>
              <w:t xml:space="preserve">vantaggio da piccolo a medio nell’endpoint combinato di 13 scale (MW 0,59)</w:t>
            </w:r>
          </w:p>
        </w:tc>
      </w:tr>
      <w:tr>
        <w:tc>
          <w:tcPr/>
          <w:p>
            <w:pPr>
              <w:pStyle w:val="Compact"/>
              <w:jc w:val="left"/>
            </w:pPr>
            <w:r>
              <w:t xml:space="preserve">Meta-analisi CAPTAIN (Vester 2021), PMID 33620612</w:t>
            </w:r>
          </w:p>
        </w:tc>
        <w:tc>
          <w:tcPr/>
          <w:p>
            <w:pPr>
              <w:pStyle w:val="Compact"/>
              <w:jc w:val="left"/>
            </w:pPr>
            <w:r>
              <w:t xml:space="preserve">185 persone dai due studi</w:t>
            </w:r>
          </w:p>
        </w:tc>
        <w:tc>
          <w:tcPr/>
          <w:p>
            <w:pPr>
              <w:pStyle w:val="Compact"/>
              <w:jc w:val="left"/>
            </w:pPr>
            <w:r>
              <w:t xml:space="preserve">90 giorni</w:t>
            </w:r>
          </w:p>
        </w:tc>
        <w:tc>
          <w:tcPr/>
          <w:p>
            <w:pPr>
              <w:pStyle w:val="Compact"/>
              <w:jc w:val="left"/>
            </w:pPr>
            <w:r>
              <w:t xml:space="preserve">MW 0,60 a 30 e 90 giorni</w:t>
            </w:r>
          </w:p>
        </w:tc>
      </w:tr>
    </w:tbl>
    <w:p>
      <w:pPr>
        <w:pStyle w:val="BodyText"/>
      </w:pPr>
      <w:r>
        <w:t xml:space="preserve">CAPTAIN I è stato concluso anticipatamente con soli 46 partecipanti (NCT01606111, stato nel registro «interrotto»). Altre meta-analisi sul trauma cranico si basano prevalentemente su studi osservazionali e hanno trovato valori migliori nella Glasgow Outcome Scale, ma nessuna influenza sulla mortalità</w:t>
      </w:r>
      <w:r>
        <w:rPr>
          <w:rStyle w:val="FootnoteReference"/>
        </w:rPr>
        <w:footnoteReference w:id="1688"/>
      </w:r>
      <w:r>
        <w:t xml:space="preserve">. Nel complesso i dati indicano un possibile piccolo vantaggio; il numero di persone studiate in modo randomizzato è troppo basso per una conclusione certa.</w:t>
      </w:r>
    </w:p>
    <w:bookmarkEnd w:id="1689"/>
    <w:bookmarkStart w:id="1695" w:name="demenza"/>
    <w:p>
      <w:pPr>
        <w:pStyle w:val="Heading4"/>
      </w:pPr>
      <w:r>
        <w:t xml:space="preserve">Demenza</w:t>
      </w:r>
    </w:p>
    <w:p>
      <w:pPr>
        <w:pStyle w:val="FirstParagraph"/>
      </w:pPr>
      <w:r>
        <w:rPr>
          <w:bCs/>
          <w:b/>
        </w:rPr>
        <w:t xml:space="preserve">Malattia di Alzheimer.</w:t>
      </w:r>
      <w:r>
        <w:t xml:space="preserve"> </w:t>
      </w:r>
      <w:r>
        <w:t xml:space="preserve">Negli anni Novanta e Duemila sono stati condotti diversi studi controllati con placebo. In uno studio con 192 persone l’impressione clinica complessiva (CIBIC+) dopo dodici settimane era migliore con Cerebrolysin (76% contro 57% di «responder»); i gruppi differivano però già all’inizio per età e allucinazioni</w:t>
      </w:r>
      <w:r>
        <w:rPr>
          <w:rStyle w:val="FootnoteReference"/>
        </w:rPr>
        <w:footnoteReference w:id="1690"/>
      </w:r>
      <w:r>
        <w:t xml:space="preserve">. In uno studio con 197 persone il Cerebrolysin è risultato efficace quanto il farmaco autorizzato per l’Alzheimer donepezil sull’impressione complessiva; su cognizione, funzionalità quotidiana e comportamento non c’erano differenze significative tra i gruppi</w:t>
      </w:r>
      <w:r>
        <w:rPr>
          <w:rStyle w:val="FootnoteReference"/>
        </w:rPr>
        <w:footnoteReference w:id="1691"/>
      </w:r>
      <w:r>
        <w:t xml:space="preserve">. Una meta-analisi di sei studi ha trovato un vantaggio sull’impressione clinica complessiva dopo quattro settimane e sei mesi, ma sulla cognizione solo dopo quattro settimane, non dopo sei mesi</w:t>
      </w:r>
      <w:r>
        <w:rPr>
          <w:rStyle w:val="FootnoteReference"/>
        </w:rPr>
        <w:footnoteReference w:id="1692"/>
      </w:r>
      <w:r>
        <w:t xml:space="preserve">. A questa meta-analisi hanno partecipato ricercatori che collaborano con il produttore.</w:t>
      </w:r>
    </w:p>
    <w:p>
      <w:pPr>
        <w:pStyle w:val="BodyText"/>
      </w:pPr>
      <w:r>
        <w:rPr>
          <w:bCs/>
          <w:b/>
        </w:rPr>
        <w:t xml:space="preserve">Demenza vascolare.</w:t>
      </w:r>
      <w:r>
        <w:t xml:space="preserve"> </w:t>
      </w:r>
      <w:r>
        <w:t xml:space="preserve">Lo studio più grande, con 242 persone, ha riferito dopo 24 settimane un miglioramento dell’ADAS-cog+ di 10,6 punti contro 4,4 punti con placebo</w:t>
      </w:r>
      <w:r>
        <w:rPr>
          <w:rStyle w:val="FootnoteReference"/>
        </w:rPr>
        <w:footnoteReference w:id="1693"/>
      </w:r>
      <w:r>
        <w:t xml:space="preserve">, un effetto insolitamente grande per gli studi sulla demenza. La revisione Cochrane sulla demenza vascolare ha riassunto sei studi con 597 persone e ha trovato vantaggi su cognizione e impressione complessiva, ma ha giudicato «molto bassa» l’affidabilità delle prove. Le autrici e gli autori scrivono che i possibili effetti potrebbero essere troppo piccoli per essere clinicamente rilevanti e che la base di prove è debole, nonostante il Cerebrolysin continui a essere promosso</w:t>
      </w:r>
      <w:r>
        <w:rPr>
          <w:rStyle w:val="FootnoteReference"/>
        </w:rPr>
        <w:footnoteReference w:id="1694"/>
      </w:r>
      <w:r>
        <w:t xml:space="preserve">.</w:t>
      </w:r>
    </w:p>
    <w:bookmarkEnd w:id="1695"/>
    <w:bookmarkStart w:id="1697" w:name="altri-impieghi-3"/>
    <w:p>
      <w:pPr>
        <w:pStyle w:val="Heading4"/>
      </w:pPr>
      <w:r>
        <w:t xml:space="preserve">Altri impieghi</w:t>
      </w:r>
    </w:p>
    <w:p>
      <w:pPr>
        <w:pStyle w:val="FirstParagraph"/>
      </w:pPr>
      <w:r>
        <w:t xml:space="preserve">Esistono studi più piccoli sulla SLA (20 persone, miglioramento sulla scala funzionale per la SLA dopo un mese; Firstenfeld 2023, PMID 38585517), sui neonati prematuri, sui bambini con paralisi cerebrale, sulla perdita dell’olfatto dopo COVID-19 e su malattie psichiatriche. In uomini sani, in un piccolo studio con 48 partecipanti, il Cerebrolysin ha modificato gli schemi EEG; per la memoria a breve termine con placebo è emersa nelle prime ore una tendenza a un peggior richiamo delle parole, con Cerebrolysin no</w:t>
      </w:r>
      <w:r>
        <w:rPr>
          <w:rStyle w:val="FootnoteReference"/>
        </w:rPr>
        <w:footnoteReference w:id="1696"/>
      </w:r>
      <w:r>
        <w:t xml:space="preserve">. Per l’impiego come «nootropo» nelle persone sane non esistono prove.</w:t>
      </w:r>
    </w:p>
    <w:bookmarkEnd w:id="1697"/>
    <w:bookmarkEnd w:id="1698"/>
    <w:bookmarkStart w:id="1702" w:name="studi-su-animali-e-in-laboratorio-36"/>
    <w:p>
      <w:pPr>
        <w:pStyle w:val="Heading3"/>
      </w:pPr>
      <w:r>
        <w:t xml:space="preserve">Studi su animali e in laboratorio</w:t>
      </w:r>
    </w:p>
    <w:p>
      <w:pPr>
        <w:numPr>
          <w:ilvl w:val="0"/>
          <w:numId w:val="1204"/>
        </w:numPr>
        <w:pStyle w:val="Compact"/>
      </w:pPr>
      <w:r>
        <w:t xml:space="preserve">In ratti con ictus indotto artificialmente il Cerebrolysin, in uno studio animale randomizzato e in cieco, ha migliorato in modo dose-dipendente il recupero neurologico a 28 giorni</w:t>
      </w:r>
      <w:r>
        <w:rPr>
          <w:rStyle w:val="FootnoteReference"/>
        </w:rPr>
        <w:footnoteReference w:id="1699"/>
      </w:r>
      <w:r>
        <w:t xml:space="preserve">.</w:t>
      </w:r>
    </w:p>
    <w:p>
      <w:pPr>
        <w:numPr>
          <w:ilvl w:val="0"/>
          <w:numId w:val="1204"/>
        </w:numPr>
        <w:pStyle w:val="Compact"/>
      </w:pPr>
      <w:r>
        <w:t xml:space="preserve">In ratti con lieve lesione cerebrale il Cerebrolysin ha ridotto i danni agli assoni e favorito la formazione di nuovi neuroni nell’ippocampo</w:t>
      </w:r>
      <w:r>
        <w:rPr>
          <w:rStyle w:val="FootnoteReference"/>
        </w:rPr>
        <w:footnoteReference w:id="1700"/>
      </w:r>
      <w:r>
        <w:t xml:space="preserve">.</w:t>
      </w:r>
    </w:p>
    <w:p>
      <w:pPr>
        <w:numPr>
          <w:ilvl w:val="0"/>
          <w:numId w:val="1204"/>
        </w:numPr>
        <w:pStyle w:val="Compact"/>
      </w:pPr>
      <w:r>
        <w:t xml:space="preserve">In un modello murino della malattia ereditaria CADASIL il Cerebrolysin ha prolungato la durata della vita e migliorato la memoria spaziale, senza influenzare le tipiche alterazioni della sostanza bianca</w:t>
      </w:r>
      <w:r>
        <w:rPr>
          <w:rStyle w:val="FootnoteReference"/>
        </w:rPr>
        <w:footnoteReference w:id="1701"/>
      </w:r>
      <w:r>
        <w:t xml:space="preserve">.</w:t>
      </w:r>
    </w:p>
    <w:p>
      <w:pPr>
        <w:pStyle w:val="FirstParagraph"/>
      </w:pPr>
      <w:r>
        <w:t xml:space="preserve">Gli studi preclinici provengono in misura considerevole da collaborazioni con il produttore. Buoni risultati sugli animali si sono finora tradotti raramente in un beneficio clinico per i farmaci contro l’ictus.</w:t>
      </w:r>
    </w:p>
    <w:bookmarkEnd w:id="1702"/>
    <w:bookmarkStart w:id="1706" w:name="rischi-ed-effetti-collaterali-36"/>
    <w:p>
      <w:pPr>
        <w:pStyle w:val="Heading3"/>
      </w:pPr>
      <w:r>
        <w:t xml:space="preserve">Rischi ed effetti collaterali</w:t>
      </w:r>
    </w:p>
    <w:p>
      <w:pPr>
        <w:pStyle w:val="FirstParagraph"/>
      </w:pPr>
      <w:r>
        <w:rPr>
          <w:bCs/>
          <w:b/>
        </w:rPr>
        <w:t xml:space="preserve">Documentati:</w:t>
      </w:r>
    </w:p>
    <w:p>
      <w:pPr>
        <w:numPr>
          <w:ilvl w:val="0"/>
          <w:numId w:val="1205"/>
        </w:numPr>
        <w:pStyle w:val="Compact"/>
      </w:pPr>
      <w:r>
        <w:t xml:space="preserve">Negli studi gli effetti collaterali sono stati nel complesso frequenti quanto con placebo. Vengono citati tra l’altro mal di testa, vertigini e agitazione</w:t>
      </w:r>
      <w:r>
        <w:rPr>
          <w:rStyle w:val="FootnoteReference"/>
        </w:rPr>
        <w:footnoteReference w:id="1703"/>
      </w:r>
      <w:r>
        <w:t xml:space="preserve">.</w:t>
      </w:r>
    </w:p>
    <w:p>
      <w:pPr>
        <w:numPr>
          <w:ilvl w:val="0"/>
          <w:numId w:val="1205"/>
        </w:numPr>
        <w:pStyle w:val="Compact"/>
      </w:pPr>
      <w:r>
        <w:t xml:space="preserve">La revisione Cochrane sull’ictus ha trovato più</w:t>
      </w:r>
      <w:r>
        <w:t xml:space="preserve"> </w:t>
      </w:r>
      <w:r>
        <w:rPr>
          <w:bCs/>
          <w:b/>
        </w:rPr>
        <w:t xml:space="preserve">eventi avversi gravi non fatali</w:t>
      </w:r>
      <w:r>
        <w:t xml:space="preserve"> </w:t>
      </w:r>
      <w:r>
        <w:t xml:space="preserve">con Cerebrolysin (RR 2,39; Ziganshina 2023, PMID 37818733), la meta-analisi sulla sicurezza vicina al produttore no</w:t>
      </w:r>
      <w:r>
        <w:rPr>
          <w:rStyle w:val="FootnoteReference"/>
        </w:rPr>
        <w:footnoteReference w:id="1704"/>
      </w:r>
      <w:r>
        <w:t xml:space="preserve">.</w:t>
      </w:r>
    </w:p>
    <w:p>
      <w:pPr>
        <w:numPr>
          <w:ilvl w:val="0"/>
          <w:numId w:val="1205"/>
        </w:numPr>
        <w:pStyle w:val="Compact"/>
      </w:pPr>
      <w:r>
        <w:rPr>
          <w:bCs/>
          <w:b/>
        </w:rPr>
        <w:t xml:space="preserve">Reazioni allergiche:</w:t>
      </w:r>
      <w:r>
        <w:t xml:space="preserve"> </w:t>
      </w:r>
      <w:r>
        <w:t xml:space="preserve">un caso clinico documentato in dettaglio descrive una reazione anafilattica potenzialmente letale in un uomo di 85 anni dopo un’infusione di Cerebrolysin; gli autori sottolineano che tali casi sono rari, ma rilevanti nelle persone in condizioni critiche</w:t>
      </w:r>
      <w:r>
        <w:rPr>
          <w:rStyle w:val="FootnoteReference"/>
        </w:rPr>
        <w:footnoteReference w:id="1705"/>
      </w:r>
      <w:r>
        <w:t xml:space="preserve">.</w:t>
      </w:r>
    </w:p>
    <w:p>
      <w:pPr>
        <w:pStyle w:val="FirstParagraph"/>
      </w:pPr>
      <w:r>
        <w:rPr>
          <w:bCs/>
          <w:b/>
        </w:rPr>
        <w:t xml:space="preserve">Teorici:</w:t>
      </w:r>
      <w:r>
        <w:t xml:space="preserve"> </w:t>
      </w:r>
      <w:r>
        <w:t xml:space="preserve">in quanto preparato da tessuto cerebrale animale, il Cerebrolysin è per principio legato a questioni di purezza e di trasmissibilità di agenti patogeni; i processi di produzione e le prescrizioni delle autorità dovrebbero ridurre al minimo questo rischio. Casi concreti di trasmissione non sono descritti nelle fonti esaminate qui.</w:t>
      </w:r>
    </w:p>
    <w:p>
      <w:pPr>
        <w:pStyle w:val="BodyText"/>
      </w:pPr>
      <w:r>
        <w:rPr>
          <w:bCs/>
          <w:b/>
        </w:rPr>
        <w:t xml:space="preserve">Mercato grigio:</w:t>
      </w:r>
      <w:r>
        <w:t xml:space="preserve"> </w:t>
      </w:r>
      <w:r>
        <w:t xml:space="preserve">nei forum sui nootropi il Cerebrolysin viene discusso come «booster cerebrale» e procurato da Paesi in cui è disponibile. L’autosomministrazione endovenosa senza sorveglianza medica comporta il rischio di gravi reazioni allergiche, per le quali non è poi disponibile un’assistenza d’emergenza. Maggiori dettagli sui prodotti del mercato grigio nella Parte I e nella Parte IV.</w:t>
      </w:r>
    </w:p>
    <w:bookmarkEnd w:id="1706"/>
    <w:bookmarkStart w:id="1707" w:name="quadro-normativo-36"/>
    <w:p>
      <w:pPr>
        <w:pStyle w:val="Heading3"/>
      </w:pPr>
      <w:r>
        <w:t xml:space="preserve">Quadro normativo</w:t>
      </w:r>
    </w:p>
    <w:p>
      <w:pPr>
        <w:numPr>
          <w:ilvl w:val="0"/>
          <w:numId w:val="1206"/>
        </w:numPr>
        <w:pStyle w:val="Compact"/>
      </w:pPr>
      <w:r>
        <w:rPr>
          <w:bCs/>
          <w:b/>
        </w:rPr>
        <w:t xml:space="preserve">UE / Austria / Germania:</w:t>
      </w:r>
      <w:r>
        <w:t xml:space="preserve"> </w:t>
      </w:r>
      <w:r>
        <w:t xml:space="preserve">nessuna autorizzazione centralizzata UE. In Austria il Cerebrolysin è autorizzato a livello nazionale come medicinale soggetto a prescrizione; indicazioni e rimborso seguono il riassunto delle caratteristiche del prodotto austriaco. Altri Stati dell’UE hanno proprie autorizzazioni nazionali. In Germania il Cerebrolysin, per quanto ci risulta, non è in commercio; un approvvigionamento sarebbe possibile al massimo come importazione individuale su prescrizione medica.</w:t>
      </w:r>
    </w:p>
    <w:p>
      <w:pPr>
        <w:numPr>
          <w:ilvl w:val="0"/>
          <w:numId w:val="1206"/>
        </w:numPr>
        <w:pStyle w:val="Compact"/>
      </w:pPr>
      <w:r>
        <w:rPr>
          <w:bCs/>
          <w:b/>
        </w:rPr>
        <w:t xml:space="preserve">USA:</w:t>
      </w:r>
      <w:r>
        <w:t xml:space="preserve"> </w:t>
      </w:r>
      <w:r>
        <w:t xml:space="preserve">non autorizzato.</w:t>
      </w:r>
    </w:p>
    <w:p>
      <w:pPr>
        <w:numPr>
          <w:ilvl w:val="0"/>
          <w:numId w:val="1206"/>
        </w:numPr>
        <w:pStyle w:val="Compact"/>
      </w:pPr>
      <w:r>
        <w:rPr>
          <w:bCs/>
          <w:b/>
        </w:rPr>
        <w:t xml:space="preserve">Sport:</w:t>
      </w:r>
      <w:r>
        <w:t xml:space="preserve"> </w:t>
      </w:r>
      <w:r>
        <w:t xml:space="preserve">non nella lista WADA (aggiornato al 2026, da verificare).</w:t>
      </w:r>
    </w:p>
    <w:p>
      <w:pPr>
        <w:numPr>
          <w:ilvl w:val="0"/>
          <w:numId w:val="1206"/>
        </w:numPr>
        <w:pStyle w:val="Compact"/>
      </w:pPr>
      <w:r>
        <w:t xml:space="preserve">Per l’impiego autorizzato vale: rimando al riassunto delle caratteristiche del prodotto e accompagnamento medico.</w:t>
      </w:r>
    </w:p>
    <w:bookmarkEnd w:id="1707"/>
    <w:bookmarkStart w:id="1711" w:name="studi-in-corso-e-prospettive-36"/>
    <w:p>
      <w:pPr>
        <w:pStyle w:val="Heading3"/>
      </w:pPr>
      <w:r>
        <w:t xml:space="preserve">Studi in corso e prospettive</w:t>
      </w:r>
    </w:p>
    <w:p>
      <w:pPr>
        <w:pStyle w:val="FirstParagraph"/>
      </w:pPr>
      <w:r>
        <w:rPr>
          <w:bCs/>
          <w:b/>
        </w:rPr>
        <w:t xml:space="preserve">Assodato (studi registrati, aggiornato a ottobre 2026):</w:t>
      </w:r>
    </w:p>
    <w:p>
      <w:pPr>
        <w:numPr>
          <w:ilvl w:val="0"/>
          <w:numId w:val="1207"/>
        </w:numPr>
        <w:pStyle w:val="Compact"/>
      </w:pPr>
      <w:r>
        <w:rPr>
          <w:bCs/>
          <w:b/>
        </w:rPr>
        <w:t xml:space="preserve">CERebrolysin In CADASIL</w:t>
      </w:r>
      <w:r>
        <w:rPr>
          <w:rStyle w:val="FootnoteReference"/>
        </w:rPr>
        <w:footnoteReference w:id="1708"/>
      </w:r>
      <w:r>
        <w:t xml:space="preserve">: studio di fase 2 con 30 partecipanti nella malattia vascolare ereditaria CADASIL, attivo, reclutamento concluso.</w:t>
      </w:r>
    </w:p>
    <w:p>
      <w:pPr>
        <w:numPr>
          <w:ilvl w:val="0"/>
          <w:numId w:val="1207"/>
        </w:numPr>
        <w:pStyle w:val="Compact"/>
      </w:pPr>
      <w:r>
        <w:rPr>
          <w:bCs/>
          <w:b/>
        </w:rPr>
        <w:t xml:space="preserve">Afasia dopo ictus</w:t>
      </w:r>
      <w:r>
        <w:rPr>
          <w:rStyle w:val="FootnoteReference"/>
        </w:rPr>
        <w:footnoteReference w:id="1709"/>
      </w:r>
      <w:r>
        <w:t xml:space="preserve">: studio randomizzato e controllato con placebo con 40 partecipanti in Corea, in reclutamento.</w:t>
      </w:r>
    </w:p>
    <w:p>
      <w:pPr>
        <w:numPr>
          <w:ilvl w:val="0"/>
          <w:numId w:val="1207"/>
        </w:numPr>
        <w:pStyle w:val="Compact"/>
      </w:pPr>
      <w:r>
        <w:rPr>
          <w:bCs/>
          <w:b/>
        </w:rPr>
        <w:t xml:space="preserve">Cerebrolysin dopo trombectomia estesa</w:t>
      </w:r>
      <w:r>
        <w:rPr>
          <w:rStyle w:val="FootnoteReference"/>
        </w:rPr>
        <w:footnoteReference w:id="1710"/>
      </w:r>
      <w:r>
        <w:t xml:space="preserve">: studio di fase 2 con 100 partecipanti previsti a Taiwan, inizio 2026.</w:t>
      </w:r>
    </w:p>
    <w:p>
      <w:pPr>
        <w:numPr>
          <w:ilvl w:val="0"/>
          <w:numId w:val="1207"/>
        </w:numPr>
        <w:pStyle w:val="Compact"/>
      </w:pPr>
      <w:r>
        <w:t xml:space="preserve">Sono registrati altri studi più piccoli su delirium dopo interventi cardiochirurgici e in terapia intensiva, su emorragia cerebrale e sulla riabilitazione precoce.</w:t>
      </w:r>
    </w:p>
    <w:p>
      <w:pPr>
        <w:pStyle w:val="FirstParagraph"/>
      </w:pPr>
      <w:r>
        <w:rPr>
          <w:bCs/>
          <w:b/>
        </w:rPr>
        <w:t xml:space="preserve">Valutazione:</w:t>
      </w:r>
      <w:r>
        <w:t xml:space="preserve"> </w:t>
      </w:r>
      <w:r>
        <w:t xml:space="preserve">nessuno degli studi registrati è abbastanza grande da rispondere alla questione centrale aperta: il Cerebrolysin riduce la disabilità permanente o la mortalità dopo un ictus? Servirebbe uno studio condotto in modo indipendente, sufficientemente ampio, con un endpoint principale chiaro e stabilito in anticipo, come la scala di Rankin modificata a 90 giorni. Finché manca, la valutazione resterà divisa tra «consolidato in Europa orientale e in Asia» e «non sufficientemente dimostrato in Occidente».</w:t>
      </w:r>
    </w:p>
    <w:bookmarkEnd w:id="1711"/>
    <w:bookmarkStart w:id="1712" w:name="conclusione-36"/>
    <w:p>
      <w:pPr>
        <w:pStyle w:val="Heading3"/>
      </w:pPr>
      <w:r>
        <w:t xml:space="preserve">Conclusione</w:t>
      </w:r>
    </w:p>
    <w:p>
      <w:pPr>
        <w:pStyle w:val="FirstParagraph"/>
      </w:pPr>
      <w:r>
        <w:t xml:space="preserve">Il Cerebrolysin è una miscela di peptidi ottenuta da cervello di maiale, impiegata in Austria e in molti Paesi dell’Europa orientale e dell’Asia nell’ictus, nel trauma cranico e nella demenza. Numerosi studi randomizzati mostrano miglioramenti precoci sulle scale neurologiche, ma lo studio più grande (CASTA), con oltre 1.000 persone, ha mancato il suo endpoint principale. Le revisioni Cochrane indipendenti non trovano alcuna influenza sulla mortalità, un segnale di più effetti collaterali gravi non fatali nell’ictus e solo vantaggi molto incerti nella demenza vascolare. Le analisi vicine al produttore giungono a risultati nettamente più positivi. I dati non bastano a dimostrare con certezza un beneficio clinicamente rilevante a lungo termine; come autotrattamento o «nootropo» il Cerebrolysin non è adatto.</w:t>
      </w:r>
    </w:p>
    <w:bookmarkEnd w:id="1712"/>
    <w:bookmarkEnd w:id="1713"/>
    <w:bookmarkStart w:id="1735" w:name="dihexa"/>
    <w:p>
      <w:pPr>
        <w:pStyle w:val="Heading2"/>
      </w:pPr>
      <w:r>
        <w:t xml:space="preserve">Dihexa</w:t>
      </w:r>
    </w:p>
    <w:bookmarkStart w:id="1714" w:name="scheda-37"/>
    <w:p>
      <w:pPr>
        <w:pStyle w:val="Heading3"/>
      </w:pPr>
      <w:r>
        <w:t xml:space="preserve">Scheda</w:t>
      </w:r>
    </w:p>
    <w:p>
      <w:pPr>
        <w:numPr>
          <w:ilvl w:val="0"/>
          <w:numId w:val="1208"/>
        </w:numPr>
        <w:pStyle w:val="Compact"/>
      </w:pPr>
      <w:r>
        <w:rPr>
          <w:bCs/>
          <w:b/>
        </w:rPr>
        <w:t xml:space="preserve">Tipo e struttura:</w:t>
      </w:r>
      <w:r>
        <w:t xml:space="preserve"> </w:t>
      </w:r>
      <w:r>
        <w:t xml:space="preserve">mini-peptide modificato chimicamente, derivato dall’angiotensina IV, un frammento del sistema ormonale che regola la pressione arteriosa. Il nucleo è costituito da due amminoacidi (tirosina e isoleucina), dotati a entrambe le estremità di catene simili ad acidi grassi; nome chimico N-esanoil-Tyr-Ile-(6)-amminoesanoico ammide, codice di ricerca PNB-0408.</w:t>
      </w:r>
    </w:p>
    <w:p>
      <w:pPr>
        <w:numPr>
          <w:ilvl w:val="0"/>
          <w:numId w:val="1208"/>
        </w:numPr>
        <w:pStyle w:val="Compact"/>
      </w:pPr>
      <w:r>
        <w:rPr>
          <w:bCs/>
          <w:b/>
        </w:rPr>
        <w:t xml:space="preserve">Origine:</w:t>
      </w:r>
      <w:r>
        <w:t xml:space="preserve"> </w:t>
      </w:r>
      <w:r>
        <w:t xml:space="preserve">sviluppato intorno al 2012 presso la Washington State University (USA).</w:t>
      </w:r>
    </w:p>
    <w:p>
      <w:pPr>
        <w:numPr>
          <w:ilvl w:val="0"/>
          <w:numId w:val="1208"/>
        </w:numPr>
        <w:pStyle w:val="Compact"/>
      </w:pPr>
      <w:r>
        <w:rPr>
          <w:bCs/>
          <w:b/>
        </w:rPr>
        <w:t xml:space="preserve">Principio d’azione:</w:t>
      </w:r>
      <w:r>
        <w:t xml:space="preserve"> </w:t>
      </w:r>
      <w:r>
        <w:t xml:space="preserve">dovrebbe potenziare il sistema del fattore di crescita HGF/c-Met (HGF = fattore di crescita degli epatociti, c-Met = il suo recettore) e stimolare così la formazione di nuove connessioni nervose (sinapsi).</w:t>
      </w:r>
    </w:p>
    <w:p>
      <w:pPr>
        <w:numPr>
          <w:ilvl w:val="0"/>
          <w:numId w:val="1208"/>
        </w:numPr>
        <w:pStyle w:val="Compact"/>
      </w:pPr>
      <w:r>
        <w:rPr>
          <w:bCs/>
          <w:b/>
        </w:rPr>
        <w:t xml:space="preserve">Autorizzazione UE:</w:t>
      </w:r>
      <w:r>
        <w:t xml:space="preserve"> </w:t>
      </w:r>
      <w:r>
        <w:t xml:space="preserve">no.</w:t>
      </w:r>
    </w:p>
    <w:p>
      <w:pPr>
        <w:numPr>
          <w:ilvl w:val="0"/>
          <w:numId w:val="1208"/>
        </w:numPr>
        <w:pStyle w:val="Compact"/>
      </w:pPr>
      <w:r>
        <w:rPr>
          <w:bCs/>
          <w:b/>
        </w:rPr>
        <w:t xml:space="preserve">Autorizzazione USA:</w:t>
      </w:r>
      <w:r>
        <w:t xml:space="preserve"> </w:t>
      </w:r>
      <w:r>
        <w:t xml:space="preserve">no. Dal 2023 il Dihexa figurava nella «categoria 2» della FDA per le sostanze per preparazioni magistrali con problemi di sicurezza; nell’aprile 2026 ne è stato cancellato, e una valutazione da parte del comitato consultivo PCAC è annunciata per una seduta entro febbraio 2027 (aggiornato a ottobre 2026, da verificare).</w:t>
      </w:r>
    </w:p>
    <w:p>
      <w:pPr>
        <w:numPr>
          <w:ilvl w:val="0"/>
          <w:numId w:val="1208"/>
        </w:numPr>
        <w:pStyle w:val="Compact"/>
      </w:pPr>
      <w:r>
        <w:rPr>
          <w:bCs/>
          <w:b/>
        </w:rPr>
        <w:t xml:space="preserve">WADA:</w:t>
      </w:r>
      <w:r>
        <w:t xml:space="preserve"> </w:t>
      </w:r>
      <w:r>
        <w:t xml:space="preserve">non elencato per nome; in quanto sostanza non autorizzata da nessuna parte, secondo la nostra valutazione il Dihexa rientra nella categoria generale S0 «sostanze non approvate».</w:t>
      </w:r>
    </w:p>
    <w:p>
      <w:pPr>
        <w:numPr>
          <w:ilvl w:val="0"/>
          <w:numId w:val="1208"/>
        </w:numPr>
        <w:pStyle w:val="Compact"/>
      </w:pPr>
      <w:r>
        <w:rPr>
          <w:bCs/>
          <w:b/>
        </w:rPr>
        <w:t xml:space="preserve">Livello di evidenza:</w:t>
      </w:r>
      <w:r>
        <w:t xml:space="preserve"> </w:t>
      </w:r>
      <w:r>
        <w:rPr>
          <w:bCs/>
          <w:b/>
        </w:rPr>
        <w:t xml:space="preserve">D</w:t>
      </w:r>
      <w:r>
        <w:t xml:space="preserve"> </w:t>
      </w:r>
      <w:r>
        <w:t xml:space="preserve">– nemmeno uno studio pubblicato sull’uomo.</w:t>
      </w:r>
    </w:p>
    <w:bookmarkEnd w:id="1714"/>
    <w:bookmarkStart w:id="1717" w:name="come-dovrebbe-agire-37"/>
    <w:p>
      <w:pPr>
        <w:pStyle w:val="Heading3"/>
      </w:pPr>
      <w:r>
        <w:t xml:space="preserve">Come dovrebbe agire</w:t>
      </w:r>
    </w:p>
    <w:p>
      <w:pPr>
        <w:pStyle w:val="FirstParagraph"/>
      </w:pPr>
      <w:r>
        <w:t xml:space="preserve">L’angiotensina IV è un breve peptide che nell’organismo si forma dall’ormone della pressione arteriosa angiotensina II. Dagli anni Novanta i ricercatori hanno osservato che l’angiotensina IV e molecole affini migliorano nei ratti apprendimento e memoria se iniettate direttamente nel cervello. Per un farmaco ciò era inutilizzabile: i peptidi venivano degradati rapidamente e non passavano né dall’intestino al sangue né attraverso la barriera ematoencefalica.</w:t>
      </w:r>
    </w:p>
    <w:p>
      <w:pPr>
        <w:pStyle w:val="BodyText"/>
      </w:pPr>
      <w:r>
        <w:t xml:space="preserve">Il gruppo di lavoro di Joseph Harding e John Wright, nello Stato di Washington, ha quindi ridotto la molecola al suo nucleo attivo e l’ha dotata di gruppi protettivi chimici. Il risultato è stato il Dihexa: stabile nei confronti della degradazione, attivo per via orale nei ratti e capace di raggiungere il cervello. In ratti con disturbo della memoria indotto da farmaci e in ratti anziani ha migliorato le prestazioni nel labirinto d’acqua e favorito la formazione di sinapsi nell’ippocampo</w:t>
      </w:r>
      <w:r>
        <w:rPr>
          <w:rStyle w:val="FootnoteReference"/>
        </w:rPr>
        <w:footnoteReference w:id="1715"/>
      </w:r>
      <w:r>
        <w:t xml:space="preserve">.</w:t>
      </w:r>
    </w:p>
    <w:p>
      <w:pPr>
        <w:pStyle w:val="BodyText"/>
      </w:pPr>
      <w:r>
        <w:t xml:space="preserve">In seguito lo stesso gruppo ha individuato il presunto meccanismo d’azione: il Dihexa si lega al fattore di crescita HGF e ne potenzia il segnale sul recettore c-Met. Quando il sistema HGF veniva bloccato nel cervello dei ratti, l’effetto favorevole sulla memoria scompariva</w:t>
      </w:r>
      <w:r>
        <w:rPr>
          <w:rStyle w:val="FootnoteReference"/>
        </w:rPr>
        <w:footnoteReference w:id="1716"/>
      </w:r>
      <w:r>
        <w:t xml:space="preserve">. Questo lavoro è stato ritirato dalla rivista nel 2025 (nota di ritrattazione: PMID 40312093), così come un altro lavoro fondamentale dello stesso gruppo sui derivati dell’angiotensina IV come modulatori di HGF/c-Met (nota di ritrattazione: PMID 40312092). Il meccanismo d’azione descritto non è quindi più dimostrato in modo affidabile; le voci di PubMed non indicano i motivi della ritrattazione.</w:t>
      </w:r>
    </w:p>
    <w:p>
      <w:pPr>
        <w:pStyle w:val="BodyText"/>
      </w:pPr>
      <w:r>
        <w:t xml:space="preserve">In internet il Dihexa viene spesso descritto come una sostanza molte volte più potente del fattore di crescita nervosa BDNF. Tali confronti provengono da esperimenti su colture cellulari e non dicono nulla sul fatto che e su come il Dihexa agisca nell’uomo.</w:t>
      </w:r>
    </w:p>
    <w:bookmarkEnd w:id="1717"/>
    <w:bookmarkStart w:id="1722" w:name="studi-sulluomo-37"/>
    <w:p>
      <w:pPr>
        <w:pStyle w:val="Heading3"/>
      </w:pPr>
      <w:r>
        <w:t xml:space="preserve">Studi sull’uomo</w:t>
      </w:r>
    </w:p>
    <w:p>
      <w:pPr>
        <w:pStyle w:val="FirstParagraph"/>
      </w:pPr>
      <w:r>
        <w:rPr>
          <w:bCs/>
          <w:b/>
        </w:rPr>
        <w:t xml:space="preserve">Dimensioni della letteratura:</w:t>
      </w:r>
      <w:r>
        <w:t xml:space="preserve"> </w:t>
      </w:r>
      <w:r>
        <w:t xml:space="preserve">la ricerca automatizzata in PubMed (ottobre 2026)</w:t>
      </w:r>
      <w:r>
        <w:t xml:space="preserve"> </w:t>
      </w:r>
      <w:r>
        <w:rPr>
          <w:bCs/>
          <w:b/>
        </w:rPr>
        <w:t xml:space="preserve">non</w:t>
      </w:r>
      <w:r>
        <w:t xml:space="preserve"> </w:t>
      </w:r>
      <w:r>
        <w:t xml:space="preserve">ha dato alcuno studio sull’uomo con Dihexa; complessivamente PubMed elenca solo 18 lavori con il termine di ricerca, tra cui diversi senza relazione con il principio attivo. Su ClinicalTrials.gov non è registrato alcuno studio. Anche una ricerca mirata supplementare di casi clinici, intossicazioni o analisi di prodotti del mercato grigio non ha dato risultati.</w:t>
      </w:r>
    </w:p>
    <w:p>
      <w:pPr>
        <w:pStyle w:val="BodyText"/>
      </w:pPr>
      <w:r>
        <w:t xml:space="preserve">Non esistono quindi dati su efficacia, tollerabilità, durata d’azione o quantità adeguate nell’uomo. Tutto ciò che viene riferito su un effetto nelle persone proviene da resoconti di esperienze nei forum.</w:t>
      </w:r>
    </w:p>
    <w:bookmarkStart w:id="1721" w:name="un-parente-in-clinica-fosgonimeton"/>
    <w:p>
      <w:pPr>
        <w:pStyle w:val="Heading4"/>
      </w:pPr>
      <w:r>
        <w:t xml:space="preserve">Un parente in clinica: fosgonimeton</w:t>
      </w:r>
    </w:p>
    <w:p>
      <w:pPr>
        <w:pStyle w:val="FirstParagraph"/>
      </w:pPr>
      <w:r>
        <w:t xml:space="preserve">Istruttivo è il destino di un altro principio attivo nato dallo stesso approccio di ricerca, il potenziamento del sistema HGF/c-Met. L’azienda Athira Pharma ha sviluppato il fosgonimeton (ATH-1017), una molecola chimicamente diversa che dovrebbe anch’essa influenzare positivamente HGF/c-Met. Il fosgonimeton, a differenza del Dihexa, è stato sperimentato in regolari studi clinici: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Fase 1 (Hua 2022), PMID 35180125</w:t>
            </w:r>
          </w:p>
        </w:tc>
        <w:tc>
          <w:tcPr/>
          <w:p>
            <w:pPr>
              <w:pStyle w:val="Compact"/>
              <w:jc w:val="left"/>
            </w:pPr>
            <w:r>
              <w:t xml:space="preserve">88 persone (sane e 11 persone con Alzheimer), doppio cieco contro placebo</w:t>
            </w:r>
          </w:p>
        </w:tc>
        <w:tc>
          <w:tcPr/>
          <w:p>
            <w:pPr>
              <w:pStyle w:val="Compact"/>
              <w:jc w:val="left"/>
            </w:pPr>
            <w:r>
              <w:t xml:space="preserve">fino a 9 giorni</w:t>
            </w:r>
          </w:p>
        </w:tc>
        <w:tc>
          <w:tcPr/>
          <w:p>
            <w:pPr>
              <w:pStyle w:val="Compact"/>
              <w:jc w:val="left"/>
            </w:pPr>
            <w:r>
              <w:t xml:space="preserve">ben tollerato; variazioni all’EEG come indizio del passaggio nel cervello</w:t>
            </w:r>
          </w:p>
        </w:tc>
      </w:tr>
      <w:tr>
        <w:tc>
          <w:tcPr/>
          <w:p>
            <w:pPr>
              <w:pStyle w:val="Compact"/>
              <w:jc w:val="left"/>
            </w:pPr>
            <w:r>
              <w:t xml:space="preserve">LIFT-AD (Porsteinsson 2025), PMID 41393340</w:t>
            </w:r>
          </w:p>
        </w:tc>
        <w:tc>
          <w:tcPr/>
          <w:p>
            <w:pPr>
              <w:pStyle w:val="Compact"/>
              <w:jc w:val="left"/>
            </w:pPr>
            <w:r>
              <w:t xml:space="preserve">287 persone con malattia di Alzheimer da lieve a moderata nell’analisi principale, fase 2/3 contro placebo</w:t>
            </w:r>
          </w:p>
        </w:tc>
        <w:tc>
          <w:tcPr/>
          <w:p>
            <w:pPr>
              <w:pStyle w:val="Compact"/>
              <w:jc w:val="left"/>
            </w:pPr>
            <w:r>
              <w:t xml:space="preserve">26 settimane</w:t>
            </w:r>
          </w:p>
        </w:tc>
        <w:tc>
          <w:tcPr/>
          <w:p>
            <w:pPr>
              <w:pStyle w:val="Compact"/>
              <w:jc w:val="left"/>
            </w:pPr>
            <w:r>
              <w:t xml:space="preserve">endpoint principali e secondari mancati; più interruzioni della terapia per effetti collaterali (14,2% vs. 4,6%)</w:t>
            </w:r>
          </w:p>
        </w:tc>
      </w:tr>
    </w:tbl>
    <w:p>
      <w:pPr>
        <w:pStyle w:val="BodyText"/>
      </w:pPr>
      <w:r>
        <w:t xml:space="preserve">In LIFT-AD</w:t>
      </w:r>
      <w:r>
        <w:rPr>
          <w:rStyle w:val="FootnoteReference"/>
        </w:rPr>
        <w:footnoteReference w:id="1718"/>
      </w:r>
      <w:r>
        <w:t xml:space="preserve"> </w:t>
      </w:r>
      <w:r>
        <w:t xml:space="preserve">il fosgonimeton non si è differenziato in modo significativo dal placebo né sull’endpoint principale combinato né sulle scale di memoria o di vita quotidiana. Gli eventi avversi gravi erano equilibrati (4,2% contro 6,9%), le interruzioni del trattamento per effetti collaterali, soprattutto reazioni nel sito di iniezione, erano più frequenti con fosgonimeton</w:t>
      </w:r>
      <w:r>
        <w:rPr>
          <w:rStyle w:val="FootnoteReference"/>
        </w:rPr>
        <w:footnoteReference w:id="1719"/>
      </w:r>
      <w:r>
        <w:t xml:space="preserve">. Uno studio nella demenza da Parkinson e nella demenza a corpi di Lewy è stato concluso anticipatamente</w:t>
      </w:r>
      <w:r>
        <w:rPr>
          <w:rStyle w:val="FootnoteReference"/>
        </w:rPr>
        <w:footnoteReference w:id="1720"/>
      </w:r>
      <w:r>
        <w:t xml:space="preserve">.</w:t>
      </w:r>
    </w:p>
    <w:p>
      <w:pPr>
        <w:pStyle w:val="BodyText"/>
      </w:pPr>
      <w:r>
        <w:t xml:space="preserve">Ciò non dimostra che il Dihexa sia inefficace: è un’altra sostanza. Mostra però quanto poco i miglioramenti della memoria nei ratti si possano trasferire alle persone con demenza.</w:t>
      </w:r>
    </w:p>
    <w:bookmarkEnd w:id="1721"/>
    <w:bookmarkEnd w:id="1722"/>
    <w:bookmarkStart w:id="1729" w:name="studi-su-animali-e-in-laboratorio-37"/>
    <w:p>
      <w:pPr>
        <w:pStyle w:val="Heading3"/>
      </w:pPr>
      <w:r>
        <w:t xml:space="preserve">Studi su animali e in laboratorio</w:t>
      </w:r>
    </w:p>
    <w:p>
      <w:pPr>
        <w:numPr>
          <w:ilvl w:val="0"/>
          <w:numId w:val="1209"/>
        </w:numPr>
        <w:pStyle w:val="Compact"/>
      </w:pPr>
      <w:r>
        <w:t xml:space="preserve">In ratti con disturbo della memoria da scopolamina e in ratti anziani il Dihexa ha migliorato l’apprendimento spaziale e favorito la formazione di sinapsi</w:t>
      </w:r>
      <w:r>
        <w:rPr>
          <w:rStyle w:val="FootnoteReference"/>
        </w:rPr>
        <w:footnoteReference w:id="1723"/>
      </w:r>
      <w:r>
        <w:t xml:space="preserve">.</w:t>
      </w:r>
    </w:p>
    <w:p>
      <w:pPr>
        <w:numPr>
          <w:ilvl w:val="0"/>
          <w:numId w:val="1209"/>
        </w:numPr>
        <w:pStyle w:val="Compact"/>
      </w:pPr>
      <w:r>
        <w:t xml:space="preserve">In topi modello di Alzheimer (APP/PS1) il Dihexa ha migliorato l’apprendimento nel labirinto d’acqua e ridotto i segni di infiammazione nel cervello</w:t>
      </w:r>
      <w:r>
        <w:rPr>
          <w:rStyle w:val="FootnoteReference"/>
        </w:rPr>
        <w:footnoteReference w:id="1724"/>
      </w:r>
      <w:r>
        <w:t xml:space="preserve">.</w:t>
      </w:r>
    </w:p>
    <w:p>
      <w:pPr>
        <w:numPr>
          <w:ilvl w:val="0"/>
          <w:numId w:val="1209"/>
        </w:numPr>
        <w:pStyle w:val="Compact"/>
      </w:pPr>
      <w:r>
        <w:t xml:space="preserve">In un modello di ratto della malattia di Huntington il Dihexa</w:t>
      </w:r>
      <w:r>
        <w:t xml:space="preserve"> </w:t>
      </w:r>
      <w:r>
        <w:rPr>
          <w:bCs/>
          <w:b/>
        </w:rPr>
        <w:t xml:space="preserve">non</w:t>
      </w:r>
      <w:r>
        <w:t xml:space="preserve"> </w:t>
      </w:r>
      <w:r>
        <w:t xml:space="preserve">ha protetto dai deficit</w:t>
      </w:r>
      <w:r>
        <w:rPr>
          <w:rStyle w:val="FootnoteReference"/>
        </w:rPr>
        <w:footnoteReference w:id="1725"/>
      </w:r>
      <w:r>
        <w:t xml:space="preserve">.</w:t>
      </w:r>
    </w:p>
    <w:p>
      <w:pPr>
        <w:numPr>
          <w:ilvl w:val="0"/>
          <w:numId w:val="1209"/>
        </w:numPr>
        <w:pStyle w:val="Compact"/>
      </w:pPr>
      <w:r>
        <w:t xml:space="preserve">In larve di pesce zebra il Dihexa ha protetto le cellule ciliate sensoriali dai danni causati da determinati antibiotici</w:t>
      </w:r>
      <w:r>
        <w:rPr>
          <w:rStyle w:val="FootnoteReference"/>
        </w:rPr>
        <w:footnoteReference w:id="1726"/>
      </w:r>
      <w:r>
        <w:t xml:space="preserve">.</w:t>
      </w:r>
    </w:p>
    <w:p>
      <w:pPr>
        <w:numPr>
          <w:ilvl w:val="0"/>
          <w:numId w:val="1209"/>
        </w:numPr>
        <w:pStyle w:val="Compact"/>
      </w:pPr>
      <w:r>
        <w:t xml:space="preserve">Nella ricerca sulle cellule staminali il Dihexa viene usato come sostituto economico dei fattori di crescita nella produzione di cellule simili a epatociti</w:t>
      </w:r>
      <w:r>
        <w:rPr>
          <w:rStyle w:val="FootnoteReference"/>
        </w:rPr>
        <w:footnoteReference w:id="1727"/>
      </w:r>
      <w:r>
        <w:t xml:space="preserve">, un indizio di quanto ampiamente agisca il sistema HGF nell’organismo.</w:t>
      </w:r>
    </w:p>
    <w:p>
      <w:pPr>
        <w:pStyle w:val="FirstParagraph"/>
      </w:pPr>
      <w:r>
        <w:t xml:space="preserve">Una revisione sistematica sui derivati dell’angiotensina IV ha trovato effetti favorevoli in otto su nove studi animali sui disturbi della memoria, ma sottolinea che le sostanze agivano meglio quando venivano somministrate direttamente nel cervello</w:t>
      </w:r>
      <w:r>
        <w:rPr>
          <w:rStyle w:val="FootnoteReference"/>
        </w:rPr>
        <w:footnoteReference w:id="1728"/>
      </w:r>
      <w:r>
        <w:t xml:space="preserve">.</w:t>
      </w:r>
    </w:p>
    <w:bookmarkEnd w:id="1729"/>
    <w:bookmarkStart w:id="1731" w:name="rischi-ed-effetti-collaterali-37"/>
    <w:p>
      <w:pPr>
        <w:pStyle w:val="Heading3"/>
      </w:pPr>
      <w:r>
        <w:t xml:space="preserve">Rischi ed effetti collaterali</w:t>
      </w:r>
    </w:p>
    <w:p>
      <w:pPr>
        <w:pStyle w:val="FirstParagraph"/>
      </w:pPr>
      <w:r>
        <w:rPr>
          <w:bCs/>
          <w:b/>
        </w:rPr>
        <w:t xml:space="preserve">Documentati:</w:t>
      </w:r>
      <w:r>
        <w:t xml:space="preserve"> </w:t>
      </w:r>
      <w:r>
        <w:t xml:space="preserve">non esistono dati di sicurezza pubblicati sull’uomo, né da studi né da casi clinici.</w:t>
      </w:r>
    </w:p>
    <w:p>
      <w:pPr>
        <w:pStyle w:val="BodyText"/>
      </w:pPr>
      <w:r>
        <w:rPr>
          <w:bCs/>
          <w:b/>
        </w:rPr>
        <w:t xml:space="preserve">Teorici, e da prendere sul serio:</w:t>
      </w:r>
      <w:r>
        <w:t xml:space="preserve"> </w:t>
      </w:r>
      <w:r>
        <w:t xml:space="preserve">il sistema HGF/c-Met non è importante solo per i neuroni. L’attivazione di c-Met stimola divisione cellulare, migrazione cellulare e rimodellamento dei tessuti</w:t>
      </w:r>
      <w:r>
        <w:rPr>
          <w:rStyle w:val="FootnoteReference"/>
        </w:rPr>
        <w:footnoteReference w:id="1730"/>
      </w:r>
      <w:r>
        <w:t xml:space="preserve">. Nella ricerca oncologica c-Met è noto come motore della crescita e della diffusione di diversi tumori; diversi farmaci antitumorali autorizzati bloccano proprio questo recettore. Una sostanza che potenzia in modo permanente questo segnale potrebbe teoricamente favorire la crescita di tumori non scoperti. Se ciò valga per il Dihexa non è mai stato studiato: non esistono studi di tossicità a lungo termine in forma accessibile al pubblico. (Maggiori dettagli su segnali di crescita e rischio di cancro nella Parte IV.)</w:t>
      </w:r>
    </w:p>
    <w:p>
      <w:pPr>
        <w:pStyle w:val="BodyText"/>
      </w:pPr>
      <w:r>
        <w:rPr>
          <w:bCs/>
          <w:b/>
        </w:rPr>
        <w:t xml:space="preserve">Mercato grigio:</w:t>
      </w:r>
      <w:r>
        <w:t xml:space="preserve"> </w:t>
      </w:r>
      <w:r>
        <w:t xml:space="preserve">il Dihexa viene venduto online in polvere, capsule o soluzione, in parte da assumere per bocca, in parte da applicare sulla pelle. Contenuto e purezza non sono verificati.</w:t>
      </w:r>
    </w:p>
    <w:bookmarkEnd w:id="1731"/>
    <w:bookmarkStart w:id="1732" w:name="quadro-normativo-37"/>
    <w:p>
      <w:pPr>
        <w:pStyle w:val="Heading3"/>
      </w:pPr>
      <w:r>
        <w:t xml:space="preserve">Quadro normativo</w:t>
      </w:r>
    </w:p>
    <w:p>
      <w:pPr>
        <w:numPr>
          <w:ilvl w:val="0"/>
          <w:numId w:val="1210"/>
        </w:numPr>
        <w:pStyle w:val="Compact"/>
      </w:pPr>
      <w:r>
        <w:rPr>
          <w:bCs/>
          <w:b/>
        </w:rPr>
        <w:t xml:space="preserve">UE / Austria / Germania:</w:t>
      </w:r>
      <w:r>
        <w:t xml:space="preserve"> </w:t>
      </w:r>
      <w:r>
        <w:t xml:space="preserve">non autorizzato. In quanto sostanza con effetto farmacologico il Dihexa è considerato un medicinale; la vendita per uso umano non è consentita. La dicitura «solo per scopi di ricerca» non cambia nulla.</w:t>
      </w:r>
    </w:p>
    <w:p>
      <w:pPr>
        <w:numPr>
          <w:ilvl w:val="0"/>
          <w:numId w:val="1210"/>
        </w:numPr>
        <w:pStyle w:val="Compact"/>
      </w:pPr>
      <w:r>
        <w:rPr>
          <w:bCs/>
          <w:b/>
        </w:rPr>
        <w:t xml:space="preserve">USA:</w:t>
      </w:r>
      <w:r>
        <w:t xml:space="preserve"> </w:t>
      </w:r>
      <w:r>
        <w:t xml:space="preserve">non autorizzato. Da aprile 2026 non è più nella «categoria 2» della FDA; su un possibile inserimento nell’elenco delle sostanze ammesse per preparazioni magistrali il comitato consultivo PCAC non aveva ancora deliberato a ottobre 2026 (aggiornato a ottobre 2026, da verificare).</w:t>
      </w:r>
    </w:p>
    <w:p>
      <w:pPr>
        <w:numPr>
          <w:ilvl w:val="0"/>
          <w:numId w:val="1210"/>
        </w:numPr>
        <w:pStyle w:val="Compact"/>
      </w:pPr>
      <w:r>
        <w:rPr>
          <w:bCs/>
          <w:b/>
        </w:rPr>
        <w:t xml:space="preserve">Sport:</w:t>
      </w:r>
      <w:r>
        <w:t xml:space="preserve"> </w:t>
      </w:r>
      <w:r>
        <w:t xml:space="preserve">in quanto sostanza non autorizzata, secondo la nostra valutazione rientra nella categoria WADA S0 (aggiornato al 2026, da verificare).</w:t>
      </w:r>
    </w:p>
    <w:bookmarkEnd w:id="1732"/>
    <w:bookmarkStart w:id="1733" w:name="studi-in-corso-e-prospettive-37"/>
    <w:p>
      <w:pPr>
        <w:pStyle w:val="Heading3"/>
      </w:pPr>
      <w:r>
        <w:t xml:space="preserve">Studi in corso e prospettive</w:t>
      </w:r>
    </w:p>
    <w:p>
      <w:pPr>
        <w:pStyle w:val="FirstParagraph"/>
      </w:pPr>
      <w:r>
        <w:rPr>
          <w:bCs/>
          <w:b/>
        </w:rPr>
        <w:t xml:space="preserve">Assodato:</w:t>
      </w:r>
      <w:r>
        <w:t xml:space="preserve"> </w:t>
      </w:r>
      <w:r>
        <w:t xml:space="preserve">per il Dihexa non è registrato alcuno studio clinico (ricerca di ottobre 2026). L’approccio affine del fosgonimeton è fallito nello studio sull’Alzheimer LIFT-AD.</w:t>
      </w:r>
    </w:p>
    <w:p>
      <w:pPr>
        <w:pStyle w:val="BodyText"/>
      </w:pPr>
      <w:r>
        <w:rPr>
          <w:bCs/>
          <w:b/>
        </w:rPr>
        <w:t xml:space="preserve">Valutazione:</w:t>
      </w:r>
      <w:r>
        <w:t xml:space="preserve"> </w:t>
      </w:r>
      <w:r>
        <w:t xml:space="preserve">senza dati di tossicità e un primo studio sull’uomo il Dihexa resta un principio attivo da laboratorio. Se la valutazione annunciata del PCAC negli Stati Uniti cambierà qualcosa è incerto: riguarderebbe al massimo le preparazioni magistrali in farmacia, non la mancanza di una prova di efficacia.</w:t>
      </w:r>
    </w:p>
    <w:bookmarkEnd w:id="1733"/>
    <w:bookmarkStart w:id="1734" w:name="conclusione-37"/>
    <w:p>
      <w:pPr>
        <w:pStyle w:val="Heading3"/>
      </w:pPr>
      <w:r>
        <w:t xml:space="preserve">Conclusione</w:t>
      </w:r>
    </w:p>
    <w:p>
      <w:pPr>
        <w:pStyle w:val="FirstParagraph"/>
      </w:pPr>
      <w:r>
        <w:t xml:space="preserve">Il Dihexa è un derivato chimicamente stabilizzato dell’angiotensina IV che in ratti e topi ha favorito apprendimento e formazione di sinapsi, tramite il sistema del fattore di crescita HGF/c-Met. Non è mai stato studiato sull’uomo; un principio attivo affine (fosgonimeton) ha mancato tutti gli endpoint in uno studio sull’Alzheimer con 287 persone. Poiché c-Met favorisce anche la crescita tumorale, esiste un timore plausibile, ma non verificato, riguardo al cancro. I dati non bastano per valutare un qualsiasi beneficio o la sicurezza nell’uomo.</w:t>
      </w:r>
    </w:p>
    <w:bookmarkEnd w:id="1734"/>
    <w:bookmarkEnd w:id="1735"/>
    <w:bookmarkStart w:id="1767" w:name="dsip-peptide-inducente-il-sonno-delta"/>
    <w:p>
      <w:pPr>
        <w:pStyle w:val="Heading2"/>
      </w:pPr>
      <w:r>
        <w:t xml:space="preserve">DSIP (peptide inducente il sonno delta)</w:t>
      </w:r>
    </w:p>
    <w:bookmarkStart w:id="1736" w:name="scheda-38"/>
    <w:p>
      <w:pPr>
        <w:pStyle w:val="Heading3"/>
      </w:pPr>
      <w:r>
        <w:t xml:space="preserve">Scheda</w:t>
      </w:r>
    </w:p>
    <w:p>
      <w:pPr>
        <w:numPr>
          <w:ilvl w:val="0"/>
          <w:numId w:val="1211"/>
        </w:numPr>
        <w:pStyle w:val="Compact"/>
      </w:pPr>
      <w:r>
        <w:rPr>
          <w:bCs/>
          <w:b/>
        </w:rPr>
        <w:t xml:space="preserve">Tipo e struttura:</w:t>
      </w:r>
      <w:r>
        <w:t xml:space="preserve"> </w:t>
      </w:r>
      <w:r>
        <w:t xml:space="preserve">nonapeptide di nove amminoacidi (Trp-Ala-Gly-Gly-Asp-Ala-Ser-Gly-Glu); denominazione comune internazionale emideltide.</w:t>
      </w:r>
    </w:p>
    <w:p>
      <w:pPr>
        <w:numPr>
          <w:ilvl w:val="0"/>
          <w:numId w:val="1211"/>
        </w:numPr>
        <w:pStyle w:val="Compact"/>
      </w:pPr>
      <w:r>
        <w:rPr>
          <w:bCs/>
          <w:b/>
        </w:rPr>
        <w:t xml:space="preserve">Origine:</w:t>
      </w:r>
      <w:r>
        <w:t xml:space="preserve"> </w:t>
      </w:r>
      <w:r>
        <w:t xml:space="preserve">isolato nel 1977 da un gruppo di lavoro di Basilea dal sangue venoso cerebrale di conigli indotti al sonno profondo tramite stimolazione elettrica. Un gene, una proteina precursore o un recettore per il DSIP non sono stati trovati fino a oggi.</w:t>
      </w:r>
    </w:p>
    <w:p>
      <w:pPr>
        <w:numPr>
          <w:ilvl w:val="0"/>
          <w:numId w:val="1211"/>
        </w:numPr>
        <w:pStyle w:val="Compact"/>
      </w:pPr>
      <w:r>
        <w:rPr>
          <w:bCs/>
          <w:b/>
        </w:rPr>
        <w:t xml:space="preserve">Principio d’azione:</w:t>
      </w:r>
      <w:r>
        <w:t xml:space="preserve"> </w:t>
      </w:r>
      <w:r>
        <w:t xml:space="preserve">come «sostanza del sonno» endogena doveva favorire il sonno profondo (sonno delta con onde EEG lente); in seguito sono stati ipotizzati effetti su ormoni dello stress, dolore e sintomi di astinenza.</w:t>
      </w:r>
    </w:p>
    <w:p>
      <w:pPr>
        <w:numPr>
          <w:ilvl w:val="0"/>
          <w:numId w:val="1211"/>
        </w:numPr>
        <w:pStyle w:val="Compact"/>
      </w:pPr>
      <w:r>
        <w:rPr>
          <w:bCs/>
          <w:b/>
        </w:rPr>
        <w:t xml:space="preserve">Autorizzazione UE:</w:t>
      </w:r>
      <w:r>
        <w:t xml:space="preserve"> </w:t>
      </w:r>
      <w:r>
        <w:t xml:space="preserve">no.</w:t>
      </w:r>
    </w:p>
    <w:p>
      <w:pPr>
        <w:numPr>
          <w:ilvl w:val="0"/>
          <w:numId w:val="1211"/>
        </w:numPr>
        <w:pStyle w:val="Compact"/>
      </w:pPr>
      <w:r>
        <w:rPr>
          <w:bCs/>
          <w:b/>
        </w:rPr>
        <w:t xml:space="preserve">Autorizzazione USA:</w:t>
      </w:r>
      <w:r>
        <w:t xml:space="preserve"> </w:t>
      </w:r>
      <w:r>
        <w:t xml:space="preserve">no. Nell’aprile 2026 l’emideltide è stata cancellata dalla «categoria 2» della FDA; nel luglio 2026 il comitato consultivo PCAC ha votato con 6 voti contro 7</w:t>
      </w:r>
      <w:r>
        <w:t xml:space="preserve"> </w:t>
      </w:r>
      <w:r>
        <w:rPr>
          <w:bCs/>
          <w:b/>
        </w:rPr>
        <w:t xml:space="preserve">contro</w:t>
      </w:r>
      <w:r>
        <w:t xml:space="preserve"> </w:t>
      </w:r>
      <w:r>
        <w:t xml:space="preserve">l’inserimento nell’elenco delle sostanze ammesse per preparazioni magistrali (aggiornato a ottobre 2026, da verificare).</w:t>
      </w:r>
    </w:p>
    <w:p>
      <w:pPr>
        <w:numPr>
          <w:ilvl w:val="0"/>
          <w:numId w:val="1211"/>
        </w:numPr>
        <w:pStyle w:val="Compact"/>
      </w:pPr>
      <w:r>
        <w:rPr>
          <w:bCs/>
          <w:b/>
        </w:rPr>
        <w:t xml:space="preserve">Russia e Paesi vicini:</w:t>
      </w:r>
      <w:r>
        <w:t xml:space="preserve"> </w:t>
      </w:r>
      <w:r>
        <w:t xml:space="preserve">preparati di DSIP (p. es. Deltaran, Deltalicin) sono stati usati lì in studi e nella pratica clinica.</w:t>
      </w:r>
    </w:p>
    <w:p>
      <w:pPr>
        <w:numPr>
          <w:ilvl w:val="0"/>
          <w:numId w:val="1211"/>
        </w:numPr>
        <w:pStyle w:val="Compact"/>
      </w:pPr>
      <w:r>
        <w:rPr>
          <w:bCs/>
          <w:b/>
        </w:rPr>
        <w:t xml:space="preserve">WADA:</w:t>
      </w:r>
      <w:r>
        <w:t xml:space="preserve"> </w:t>
      </w:r>
      <w:r>
        <w:t xml:space="preserve">non elencato per nome.</w:t>
      </w:r>
    </w:p>
    <w:p>
      <w:pPr>
        <w:numPr>
          <w:ilvl w:val="0"/>
          <w:numId w:val="1211"/>
        </w:numPr>
        <w:pStyle w:val="Compact"/>
      </w:pPr>
      <w:r>
        <w:rPr>
          <w:bCs/>
          <w:b/>
        </w:rPr>
        <w:t xml:space="preserve">Livello di evidenza:</w:t>
      </w:r>
      <w:r>
        <w:t xml:space="preserve"> </w:t>
      </w:r>
      <w:r>
        <w:rPr>
          <w:bCs/>
          <w:b/>
        </w:rPr>
        <w:t xml:space="preserve">C</w:t>
      </w:r>
      <w:r>
        <w:t xml:space="preserve"> </w:t>
      </w:r>
      <w:r>
        <w:t xml:space="preserve">– solo studi molto piccoli, condotti per lo più negli anni Ottanta; quelli metodologicamente migliori non hanno trovato alcun beneficio clinicamente rilevante.</w:t>
      </w:r>
    </w:p>
    <w:bookmarkEnd w:id="1736"/>
    <w:bookmarkStart w:id="1740" w:name="come-dovrebbe-agire-38"/>
    <w:p>
      <w:pPr>
        <w:pStyle w:val="Heading3"/>
      </w:pPr>
      <w:r>
        <w:t xml:space="preserve">Come dovrebbe agire</w:t>
      </w:r>
    </w:p>
    <w:p>
      <w:pPr>
        <w:pStyle w:val="FirstParagraph"/>
      </w:pPr>
      <w:r>
        <w:t xml:space="preserve">L’idea era semplice e allettante: se durante il sonno il cervello rilascia nel sangue una sostanza che in altri animali provoca il sonno, questa potrebbe essere un sonnifero naturale, senza gli svantaggi dei tranquillanti. I ricercatori di Basilea trasferirono il sangue di conigli addormentati ad animali svegli e ne isolarono il peptide che ritenevano responsabile dell’effetto</w:t>
      </w:r>
      <w:r>
        <w:rPr>
          <w:rStyle w:val="FootnoteReference"/>
        </w:rPr>
        <w:footnoteReference w:id="1737"/>
      </w:r>
      <w:r>
        <w:t xml:space="preserve">.</w:t>
      </w:r>
    </w:p>
    <w:p>
      <w:pPr>
        <w:pStyle w:val="BodyText"/>
      </w:pPr>
      <w:r>
        <w:t xml:space="preserve">La speranza non si è avverata. Una rassegna del 2006 definisce il DSIP un «enigma ancora irrisolto»: il legame con il sonno sarebbe «documentato in modo estremamente scarso», perché non sono stati trovati né il gene corrispondente né un recettore. Negli esperimenti sugli animali erano piuttosto determinate varianti artificiali a favorire il sonno profondo, più del DSIP stesso. Gli autori ipotizzano che un peptide simile al DSIP finora sconosciuto possa essere responsabile degli effetti osservati</w:t>
      </w:r>
      <w:r>
        <w:rPr>
          <w:rStyle w:val="FootnoteReference"/>
        </w:rPr>
        <w:footnoteReference w:id="1738"/>
      </w:r>
      <w:r>
        <w:t xml:space="preserve">.</w:t>
      </w:r>
    </w:p>
    <w:p>
      <w:pPr>
        <w:pStyle w:val="BodyText"/>
      </w:pPr>
      <w:r>
        <w:t xml:space="preserve">Altri effetti ipotizzati, su ormoni dello stress, percezione del dolore, sistema degli oppioidi ed enzimi antiossidanti, provengono prevalentemente da esperimenti sugli animali. Nelle pecore il DSIP marcato ha attraversato la barriera tra sangue e liquor in misura da scarsa a moderata</w:t>
      </w:r>
      <w:r>
        <w:rPr>
          <w:rStyle w:val="FootnoteReference"/>
        </w:rPr>
        <w:footnoteReference w:id="1739"/>
      </w:r>
      <w:r>
        <w:t xml:space="preserve">.</w:t>
      </w:r>
    </w:p>
    <w:bookmarkEnd w:id="1740"/>
    <w:bookmarkStart w:id="1757" w:name="studi-sulluomo-38"/>
    <w:p>
      <w:pPr>
        <w:pStyle w:val="Heading3"/>
      </w:pPr>
      <w:r>
        <w:t xml:space="preserve">Studi sull’uomo</w:t>
      </w:r>
    </w:p>
    <w:p>
      <w:pPr>
        <w:pStyle w:val="FirstParagraph"/>
      </w:pPr>
      <w:r>
        <w:rPr>
          <w:bCs/>
          <w:b/>
        </w:rPr>
        <w:t xml:space="preserve">Dimensioni della letteratura:</w:t>
      </w:r>
      <w:r>
        <w:t xml:space="preserve"> </w:t>
      </w:r>
      <w:r>
        <w:t xml:space="preserve">la ricerca automatizzata in PubMed (ottobre 2026) ha dato 18 pubblicazioni classificate come studi sull’uomo; una di queste, a un esame più attento, riguarda un altro tema (chirurgia della colonna vertebrale). Quasi tutte risalgono agli anni dal 1981 al 1998 e avevano ciascuna tra 1 e 16 partecipanti nelle parti controllate con placebo. Su ClinicalTrials.gov la ricerca ha dato un risultato che non si riferisce al DSIP; uno studio registrato sul DSIP non esiste.</w:t>
      </w:r>
    </w:p>
    <w:bookmarkStart w:id="1745" w:name="disturbi-del-sonno"/>
    <w:p>
      <w:pPr>
        <w:pStyle w:val="Heading4"/>
      </w:pPr>
      <w:r>
        <w:t xml:space="preserve">Disturbi del sonno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Schneider-Helmert 1981, PMID 6895513</w:t>
            </w:r>
          </w:p>
        </w:tc>
        <w:tc>
          <w:tcPr/>
          <w:p>
            <w:pPr>
              <w:pStyle w:val="Compact"/>
              <w:jc w:val="left"/>
            </w:pPr>
            <w:r>
              <w:t xml:space="preserve">6 persone sane, doppio cieco, crossover contro placebo</w:t>
            </w:r>
          </w:p>
        </w:tc>
        <w:tc>
          <w:tcPr/>
          <w:p>
            <w:pPr>
              <w:pStyle w:val="Compact"/>
              <w:jc w:val="left"/>
            </w:pPr>
            <w:r>
              <w:t xml:space="preserve">infusione singola</w:t>
            </w:r>
          </w:p>
        </w:tc>
        <w:tc>
          <w:tcPr/>
          <w:p>
            <w:pPr>
              <w:pStyle w:val="Compact"/>
              <w:jc w:val="left"/>
            </w:pPr>
            <w:r>
              <w:t xml:space="preserve">tempo di sonno più lungo del 59% in 130 minuti; nessuna sedazione classica</w:t>
            </w:r>
          </w:p>
        </w:tc>
      </w:tr>
      <w:tr>
        <w:tc>
          <w:tcPr/>
          <w:p>
            <w:pPr>
              <w:pStyle w:val="Compact"/>
              <w:jc w:val="left"/>
            </w:pPr>
            <w:r>
              <w:t xml:space="preserve">Schneider-Helmert 1981, PMID 7028502</w:t>
            </w:r>
          </w:p>
        </w:tc>
        <w:tc>
          <w:tcPr/>
          <w:p>
            <w:pPr>
              <w:pStyle w:val="Compact"/>
              <w:jc w:val="left"/>
            </w:pPr>
            <w:r>
              <w:t xml:space="preserve">6 persone con insonnia cronica</w:t>
            </w:r>
          </w:p>
        </w:tc>
        <w:tc>
          <w:tcPr/>
          <w:p>
            <w:pPr>
              <w:pStyle w:val="Compact"/>
              <w:jc w:val="left"/>
            </w:pPr>
            <w:r>
              <w:t xml:space="preserve">somministrazione singola</w:t>
            </w:r>
          </w:p>
        </w:tc>
        <w:tc>
          <w:tcPr/>
          <w:p>
            <w:pPr>
              <w:pStyle w:val="Compact"/>
              <w:jc w:val="left"/>
            </w:pPr>
            <w:r>
              <w:t xml:space="preserve">sonno più lungo e meno interrotto</w:t>
            </w:r>
          </w:p>
        </w:tc>
      </w:tr>
      <w:tr>
        <w:tc>
          <w:tcPr/>
          <w:p>
            <w:pPr>
              <w:pStyle w:val="Compact"/>
              <w:jc w:val="left"/>
            </w:pPr>
            <w:r>
              <w:t xml:space="preserve">Schneider-Helmert 1987, PMID 3622582</w:t>
            </w:r>
          </w:p>
        </w:tc>
        <w:tc>
          <w:tcPr/>
          <w:p>
            <w:pPr>
              <w:pStyle w:val="Compact"/>
              <w:jc w:val="left"/>
            </w:pPr>
            <w:r>
              <w:t xml:space="preserve">14 persone con grave insonnia cronica, doppio cieco contro placebo</w:t>
            </w:r>
          </w:p>
        </w:tc>
        <w:tc>
          <w:tcPr/>
          <w:p>
            <w:pPr>
              <w:pStyle w:val="Compact"/>
              <w:jc w:val="left"/>
            </w:pPr>
            <w:r>
              <w:t xml:space="preserve">7 notti</w:t>
            </w:r>
          </w:p>
        </w:tc>
        <w:tc>
          <w:tcPr/>
          <w:p>
            <w:pPr>
              <w:pStyle w:val="Compact"/>
              <w:jc w:val="left"/>
            </w:pPr>
            <w:r>
              <w:t xml:space="preserve">efficienza del sonno e prestazioni diurne, secondo gli autori, al livello delle persone sane</w:t>
            </w:r>
          </w:p>
        </w:tc>
      </w:tr>
      <w:tr>
        <w:tc>
          <w:tcPr/>
          <w:p>
            <w:pPr>
              <w:pStyle w:val="Compact"/>
              <w:jc w:val="left"/>
            </w:pPr>
            <w:r>
              <w:t xml:space="preserve">Monti 1987, PMID 3583493</w:t>
            </w:r>
          </w:p>
        </w:tc>
        <w:tc>
          <w:tcPr/>
          <w:p>
            <w:pPr>
              <w:pStyle w:val="Compact"/>
              <w:jc w:val="left"/>
            </w:pPr>
            <w:r>
              <w:t xml:space="preserve">persone con insonnia cronica, doppio cieco, crossover</w:t>
            </w:r>
          </w:p>
        </w:tc>
        <w:tc>
          <w:tcPr/>
          <w:p>
            <w:pPr>
              <w:pStyle w:val="Compact"/>
              <w:jc w:val="left"/>
            </w:pPr>
            <w:r>
              <w:t xml:space="preserve">4 notti</w:t>
            </w:r>
          </w:p>
        </w:tc>
        <w:tc>
          <w:tcPr/>
          <w:p>
            <w:pPr>
              <w:pStyle w:val="Compact"/>
              <w:jc w:val="left"/>
            </w:pPr>
            <w:r>
              <w:t xml:space="preserve">miglioramenti «di scarsa rilevanza clinica»; differenze già presenti prima del trattamento</w:t>
            </w:r>
          </w:p>
        </w:tc>
      </w:tr>
      <w:tr>
        <w:tc>
          <w:tcPr/>
          <w:p>
            <w:pPr>
              <w:pStyle w:val="Compact"/>
              <w:jc w:val="left"/>
            </w:pPr>
            <w:r>
              <w:t xml:space="preserve">Bes 1992, PMID 1299794</w:t>
            </w:r>
          </w:p>
        </w:tc>
        <w:tc>
          <w:tcPr/>
          <w:p>
            <w:pPr>
              <w:pStyle w:val="Compact"/>
              <w:jc w:val="left"/>
            </w:pPr>
            <w:r>
              <w:t xml:space="preserve">16 persone con insonnia cronica, doppio cieco contro placebo</w:t>
            </w:r>
          </w:p>
        </w:tc>
        <w:tc>
          <w:tcPr/>
          <w:p>
            <w:pPr>
              <w:pStyle w:val="Compact"/>
              <w:jc w:val="left"/>
            </w:pPr>
            <w:r>
              <w:t xml:space="preserve">3 notti</w:t>
            </w:r>
          </w:p>
        </w:tc>
        <w:tc>
          <w:tcPr/>
          <w:p>
            <w:pPr>
              <w:pStyle w:val="Compact"/>
              <w:jc w:val="left"/>
            </w:pPr>
            <w:r>
              <w:t xml:space="preserve">effetti deboli, in parte spiegabili con fluttuazioni casuali; «nessun beneficio terapeutico rilevante»</w:t>
            </w:r>
          </w:p>
        </w:tc>
      </w:tr>
    </w:tbl>
    <w:p>
      <w:pPr>
        <w:pStyle w:val="BodyText"/>
      </w:pPr>
      <w:r>
        <w:t xml:space="preserve">I primi studi provenivano quasi tutti da un unico gruppo di ricerca di Basilea ed erano tutti positivi. In sei volontari sani un’infusione mattutina ha prolungato il tempo di sonno nelle due ore abbondanti successive del 59%, senza che i partecipanti apparissero sedati in senso classico</w:t>
      </w:r>
      <w:r>
        <w:rPr>
          <w:rStyle w:val="FootnoteReference"/>
        </w:rPr>
        <w:footnoteReference w:id="1741"/>
      </w:r>
      <w:r>
        <w:t xml:space="preserve">. In 14 persone con grave insonnia, dopo sette notti efficienza del sonno e prestazioni diurne hanno raggiunto, secondo gli autori, il livello delle persone sane di controllo</w:t>
      </w:r>
      <w:r>
        <w:rPr>
          <w:rStyle w:val="FootnoteReference"/>
        </w:rPr>
        <w:footnoteReference w:id="1742"/>
      </w:r>
      <w:r>
        <w:t xml:space="preserve">.</w:t>
      </w:r>
    </w:p>
    <w:p>
      <w:pPr>
        <w:pStyle w:val="BodyText"/>
      </w:pPr>
      <w:r>
        <w:t xml:space="preserve">Gruppi indipendenti non hanno potuto confermarlo. Uno studio ha trovato sì più sonno totale e NREM, ma le differenze significative rispetto al placebo (sonno NREM e stadio 2 del sonno) esistevano già prima del trattamento; gli autori hanno giudicato il miglioramento poco rilevante dal punto di vista clinico</w:t>
      </w:r>
      <w:r>
        <w:rPr>
          <w:rStyle w:val="FootnoteReference"/>
        </w:rPr>
        <w:footnoteReference w:id="1743"/>
      </w:r>
      <w:r>
        <w:t xml:space="preserve">. Un altro studio con 16 persone ha trovato effetti statisticamente significativi, ma deboli, su efficienza del sonno e tempo di addormentamento, in parte spiegabili con una variazione casuale nel gruppo placebo; la qualità soggettiva del sonno non è cambiata. La conclusione: un trattamento breve con DSIP probabilmente non ha un beneficio terapeutico rilevante</w:t>
      </w:r>
      <w:r>
        <w:rPr>
          <w:rStyle w:val="FootnoteReference"/>
        </w:rPr>
        <w:footnoteReference w:id="1744"/>
      </w:r>
      <w:r>
        <w:t xml:space="preserve">.</w:t>
      </w:r>
    </w:p>
    <w:p>
      <w:pPr>
        <w:pStyle w:val="BodyText"/>
      </w:pPr>
      <w:r>
        <w:t xml:space="preserve">Questo schema, resoconti iniziali entusiastici e repliche deludenti, è tipico delle sostanze il cui effetto si basa su studi molto piccoli.</w:t>
      </w:r>
    </w:p>
    <w:bookmarkEnd w:id="1745"/>
    <w:bookmarkStart w:id="1751" w:name="astinenza-dolore-e-altri-impieghi"/>
    <w:p>
      <w:pPr>
        <w:pStyle w:val="Heading4"/>
      </w:pPr>
      <w:r>
        <w:t xml:space="preserve">Astinenza, dolore e altri impieghi</w:t>
      </w:r>
    </w:p>
    <w:p>
      <w:pPr>
        <w:pStyle w:val="FirstParagraph"/>
      </w:pPr>
      <w:r>
        <w:t xml:space="preserve">Negli anni Ottanta il DSIP è stato impiegato in 107 persone ricoverate in astinenza da alcol o da oppiacei; secondo la valutazione medica i sintomi di astinenza sono scomparsi o migliorati nettamente nel 97% dei dipendenti da oppiacei e nell’87% dei dipendenti da alcol. Non c’era un gruppo di controllo, e una parte delle persone non ha potuto essere valutata</w:t>
      </w:r>
      <w:r>
        <w:rPr>
          <w:rStyle w:val="FootnoteReference"/>
        </w:rPr>
        <w:footnoteReference w:id="1746"/>
      </w:r>
      <w:r>
        <w:t xml:space="preserve">. Un successivo studio in aperto sulla disintossicazione da oppioidi è stato pubblicato solo come breve comunicazione senza abstract</w:t>
      </w:r>
      <w:r>
        <w:rPr>
          <w:rStyle w:val="FootnoteReference"/>
        </w:rPr>
        <w:footnoteReference w:id="1747"/>
      </w:r>
      <w:r>
        <w:t xml:space="preserve">. Altri resoconti isolati riguardano sette persone con dolore cronico</w:t>
      </w:r>
      <w:r>
        <w:rPr>
          <w:rStyle w:val="FootnoteReference"/>
        </w:rPr>
        <w:footnoteReference w:id="1748"/>
      </w:r>
      <w:r>
        <w:t xml:space="preserve"> </w:t>
      </w:r>
      <w:r>
        <w:t xml:space="preserve">e un uomo con narcolessia</w:t>
      </w:r>
      <w:r>
        <w:rPr>
          <w:rStyle w:val="FootnoteReference"/>
        </w:rPr>
        <w:footnoteReference w:id="1749"/>
      </w:r>
      <w:r>
        <w:t xml:space="preserve">. Uno studio ha esaminato un preparato di DSIP per somministrazione nasale (Deltalicin) nella retinopatia diabetica, in cui sono migliorate le risposte elettriche della retina agli stimoli</w:t>
      </w:r>
      <w:r>
        <w:rPr>
          <w:rStyle w:val="FootnoteReference"/>
        </w:rPr>
        <w:footnoteReference w:id="1750"/>
      </w:r>
      <w:r>
        <w:t xml:space="preserve">.</w:t>
      </w:r>
    </w:p>
    <w:bookmarkEnd w:id="1751"/>
    <w:bookmarkStart w:id="1756" w:name="ormoni-e-anestesia"/>
    <w:p>
      <w:pPr>
        <w:pStyle w:val="Heading4"/>
      </w:pPr>
      <w:r>
        <w:t xml:space="preserve">Ormoni e anestesia</w:t>
      </w:r>
    </w:p>
    <w:p>
      <w:pPr>
        <w:pStyle w:val="FirstParagraph"/>
      </w:pPr>
      <w:r>
        <w:t xml:space="preserve">Diversi piccoli studi su persone sane hanno esaminato se il DSIP influenzi gli ormoni dello stress. Uno studio con undici uomini ha trovato dopo un’iniezione meno ACTH nel sangue, ma valori di cortisolo invariati</w:t>
      </w:r>
      <w:r>
        <w:rPr>
          <w:rStyle w:val="FootnoteReference"/>
        </w:rPr>
        <w:footnoteReference w:id="1752"/>
      </w:r>
      <w:r>
        <w:t xml:space="preserve">; un altro con complessivamente 20 uomini non ha trovato alcuna influenza su ACTH e cortisolo</w:t>
      </w:r>
      <w:r>
        <w:rPr>
          <w:rStyle w:val="FootnoteReference"/>
        </w:rPr>
        <w:footnoteReference w:id="1753"/>
      </w:r>
      <w:r>
        <w:t xml:space="preserve">. Su ormone della crescita e prolattina il DSIP non ha avuto alcun effetto nelle donne</w:t>
      </w:r>
      <w:r>
        <w:rPr>
          <w:rStyle w:val="FootnoteReference"/>
        </w:rPr>
        <w:footnoteReference w:id="1754"/>
      </w:r>
      <w:r>
        <w:t xml:space="preserve">.</w:t>
      </w:r>
    </w:p>
    <w:p>
      <w:pPr>
        <w:pStyle w:val="BodyText"/>
      </w:pPr>
      <w:r>
        <w:t xml:space="preserve">Degno di nota è uno studio su 24 donne durante un’anestesia: invece di approfondire l’anestesia, come ci si aspetterebbe da una «sostanza del sonno naturale», il DSIP ha aumentato la frequenza cardiaca e, paradossalmente, ridotto il ritmo delta all’EEG</w:t>
      </w:r>
      <w:r>
        <w:rPr>
          <w:rStyle w:val="FootnoteReference"/>
        </w:rPr>
        <w:footnoteReference w:id="1755"/>
      </w:r>
      <w:r>
        <w:t xml:space="preserve">.</w:t>
      </w:r>
    </w:p>
    <w:bookmarkEnd w:id="1756"/>
    <w:bookmarkEnd w:id="1757"/>
    <w:bookmarkStart w:id="1760" w:name="studi-su-animali-e-in-laboratorio-38"/>
    <w:p>
      <w:pPr>
        <w:pStyle w:val="Heading3"/>
      </w:pPr>
      <w:r>
        <w:t xml:space="preserve">Studi su animali e in laboratorio</w:t>
      </w:r>
    </w:p>
    <w:p>
      <w:pPr>
        <w:numPr>
          <w:ilvl w:val="0"/>
          <w:numId w:val="1212"/>
        </w:numPr>
        <w:pStyle w:val="Compact"/>
      </w:pPr>
      <w:r>
        <w:t xml:space="preserve">In conigli e ratti studi iniziali hanno descritto effetti favorevoli al sonno, che però non è stato possibile ripetere in modo costante</w:t>
      </w:r>
      <w:r>
        <w:rPr>
          <w:rStyle w:val="FootnoteReference"/>
        </w:rPr>
        <w:footnoteReference w:id="1758"/>
      </w:r>
      <w:r>
        <w:t xml:space="preserve">.</w:t>
      </w:r>
    </w:p>
    <w:p>
      <w:pPr>
        <w:numPr>
          <w:ilvl w:val="0"/>
          <w:numId w:val="1212"/>
        </w:numPr>
        <w:pStyle w:val="Compact"/>
      </w:pPr>
      <w:r>
        <w:t xml:space="preserve">Nei topi, il 10% più longevo degli animali che hanno ricevuto per tutta la vita un preparato russo di DSIP è vissuto il 16% più a lungo degli animali di controllo; i tumori spontanei sono comparsi più tardi</w:t>
      </w:r>
      <w:r>
        <w:rPr>
          <w:rStyle w:val="FootnoteReference"/>
        </w:rPr>
        <w:footnoteReference w:id="1759"/>
      </w:r>
      <w:r>
        <w:t xml:space="preserve">. Questo lavoro proviene dall’ambiente della gerontologia russa che studia anche l’Epitalon (si veda il relativo capitolo).</w:t>
      </w:r>
    </w:p>
    <w:p>
      <w:pPr>
        <w:numPr>
          <w:ilvl w:val="0"/>
          <w:numId w:val="1212"/>
        </w:numPr>
        <w:pStyle w:val="Compact"/>
      </w:pPr>
      <w:r>
        <w:t xml:space="preserve">Altri studi animali descrivono effetti su resistenza allo stress, percezione del dolore ed enzimi antiossidanti.</w:t>
      </w:r>
    </w:p>
    <w:bookmarkEnd w:id="1760"/>
    <w:bookmarkStart w:id="1763" w:name="rischi-ed-effetti-collaterali-38"/>
    <w:p>
      <w:pPr>
        <w:pStyle w:val="Heading3"/>
      </w:pPr>
      <w:r>
        <w:t xml:space="preserve">Rischi ed effetti collaterali</w:t>
      </w:r>
    </w:p>
    <w:p>
      <w:pPr>
        <w:pStyle w:val="FirstParagraph"/>
      </w:pPr>
      <w:r>
        <w:rPr>
          <w:bCs/>
          <w:b/>
        </w:rPr>
        <w:t xml:space="preserve">Documentati:</w:t>
      </w:r>
      <w:r>
        <w:t xml:space="preserve"> </w:t>
      </w:r>
      <w:r>
        <w:t xml:space="preserve">nei piccoli studi il DSIP è stato descritto come ben tollerato; sporadicamente si è verificato mal di testa</w:t>
      </w:r>
      <w:r>
        <w:rPr>
          <w:rStyle w:val="FootnoteReference"/>
        </w:rPr>
        <w:footnoteReference w:id="1761"/>
      </w:r>
      <w:r>
        <w:t xml:space="preserve">. Sotto anestesia ha aumentato la frequenza cardiaca e ridotto la variabilità della frequenza cardiaca</w:t>
      </w:r>
      <w:r>
        <w:rPr>
          <w:rStyle w:val="FootnoteReference"/>
        </w:rPr>
        <w:footnoteReference w:id="1762"/>
      </w:r>
      <w:r>
        <w:t xml:space="preserve">. Non esistono dati di sicurezza sistematici per periodi superiori a pochi giorni.</w:t>
      </w:r>
    </w:p>
    <w:p>
      <w:pPr>
        <w:pStyle w:val="BodyText"/>
      </w:pPr>
      <w:r>
        <w:rPr>
          <w:bCs/>
          <w:b/>
        </w:rPr>
        <w:t xml:space="preserve">Teorici:</w:t>
      </w:r>
      <w:r>
        <w:t xml:space="preserve"> </w:t>
      </w:r>
      <w:r>
        <w:t xml:space="preserve">poiché né il recettore né la funzione naturale sono chiariti, effetti e interazioni, per esempio con sonniferi, alcol o oppioidi, sono difficilmente prevedibili.</w:t>
      </w:r>
    </w:p>
    <w:p>
      <w:pPr>
        <w:pStyle w:val="BodyText"/>
      </w:pPr>
      <w:r>
        <w:rPr>
          <w:bCs/>
          <w:b/>
        </w:rPr>
        <w:t xml:space="preserve">Mercato grigio:</w:t>
      </w:r>
      <w:r>
        <w:t xml:space="preserve"> </w:t>
      </w:r>
      <w:r>
        <w:t xml:space="preserve">il DSIP viene venduto online in polvere per iniezione e pubblicizzato come sonnifero. I preparati usati negli studi venivano infusi in vena; mancano dati sull’iniezione sottocutanea. Purezza e contenuto dei prodotti del mercato grigio non sono verificati.</w:t>
      </w:r>
    </w:p>
    <w:p>
      <w:pPr>
        <w:pStyle w:val="BodyText"/>
      </w:pPr>
      <w:r>
        <w:rPr>
          <w:bCs/>
          <w:b/>
        </w:rPr>
        <w:t xml:space="preserve">Importante:</w:t>
      </w:r>
      <w:r>
        <w:t xml:space="preserve"> </w:t>
      </w:r>
      <w:r>
        <w:t xml:space="preserve">per l’insonnia cronica esistono trattamenti efficaci e ben studiati, primo fra tutti la terapia cognitivo-comportamentale per l’insonnia.</w:t>
      </w:r>
    </w:p>
    <w:bookmarkEnd w:id="1763"/>
    <w:bookmarkStart w:id="1764" w:name="quadro-normativo-38"/>
    <w:p>
      <w:pPr>
        <w:pStyle w:val="Heading3"/>
      </w:pPr>
      <w:r>
        <w:t xml:space="preserve">Quadro normativo</w:t>
      </w:r>
    </w:p>
    <w:p>
      <w:pPr>
        <w:numPr>
          <w:ilvl w:val="0"/>
          <w:numId w:val="1213"/>
        </w:numPr>
        <w:pStyle w:val="Compact"/>
      </w:pPr>
      <w:r>
        <w:rPr>
          <w:bCs/>
          <w:b/>
        </w:rPr>
        <w:t xml:space="preserve">UE / Austria / Germania:</w:t>
      </w:r>
      <w:r>
        <w:t xml:space="preserve"> </w:t>
      </w:r>
      <w:r>
        <w:t xml:space="preserve">non autorizzato; in quanto sostanza con effetto farmacologico il DSIP è considerato un medicinale, e la vendita per uso umano non è consentita.</w:t>
      </w:r>
    </w:p>
    <w:p>
      <w:pPr>
        <w:numPr>
          <w:ilvl w:val="0"/>
          <w:numId w:val="1213"/>
        </w:numPr>
        <w:pStyle w:val="Compact"/>
      </w:pPr>
      <w:r>
        <w:rPr>
          <w:bCs/>
          <w:b/>
        </w:rPr>
        <w:t xml:space="preserve">USA:</w:t>
      </w:r>
      <w:r>
        <w:t xml:space="preserve"> </w:t>
      </w:r>
      <w:r>
        <w:t xml:space="preserve">non autorizzato; nel luglio 2026 il comitato consultivo PCAC si è espresso di stretta misura contro l’ammissione per le preparazioni magistrali in farmacia. La decisione definitiva della FDA era ancora in sospeso alla chiusura redazionale (aggiornato a ottobre 2026, da verificare).</w:t>
      </w:r>
    </w:p>
    <w:p>
      <w:pPr>
        <w:numPr>
          <w:ilvl w:val="0"/>
          <w:numId w:val="1213"/>
        </w:numPr>
        <w:pStyle w:val="Compact"/>
      </w:pPr>
      <w:r>
        <w:rPr>
          <w:bCs/>
          <w:b/>
        </w:rPr>
        <w:t xml:space="preserve">Sport:</w:t>
      </w:r>
      <w:r>
        <w:t xml:space="preserve"> </w:t>
      </w:r>
      <w:r>
        <w:t xml:space="preserve">non elencato per nome nella lista WADA (aggiornato al 2026, da verificare).</w:t>
      </w:r>
    </w:p>
    <w:bookmarkEnd w:id="1764"/>
    <w:bookmarkStart w:id="1765" w:name="studi-in-corso-e-prospettive-38"/>
    <w:p>
      <w:pPr>
        <w:pStyle w:val="Heading3"/>
      </w:pPr>
      <w:r>
        <w:t xml:space="preserve">Studi in corso e prospettive</w:t>
      </w:r>
    </w:p>
    <w:p>
      <w:pPr>
        <w:pStyle w:val="FirstParagraph"/>
      </w:pPr>
      <w:r>
        <w:rPr>
          <w:bCs/>
          <w:b/>
        </w:rPr>
        <w:t xml:space="preserve">Assodato:</w:t>
      </w:r>
      <w:r>
        <w:t xml:space="preserve"> </w:t>
      </w:r>
      <w:r>
        <w:t xml:space="preserve">su ClinicalTrials.gov non è registrato alcuno studio con DSIP (ricerca di ottobre 2026). Dagli anni Novanta non si sono praticamente aggiunti nuovi dati clinici.</w:t>
      </w:r>
    </w:p>
    <w:p>
      <w:pPr>
        <w:pStyle w:val="BodyText"/>
      </w:pPr>
      <w:r>
        <w:rPr>
          <w:bCs/>
          <w:b/>
        </w:rPr>
        <w:t xml:space="preserve">Valutazione:</w:t>
      </w:r>
      <w:r>
        <w:t xml:space="preserve"> </w:t>
      </w:r>
      <w:r>
        <w:t xml:space="preserve">senza chiarezza su recettore e funzione naturale e senza uno studio moderno sul sonno sufficientemente ampio, non c’è da attendersi che il DSIP ritorni come medicinale.</w:t>
      </w:r>
    </w:p>
    <w:bookmarkEnd w:id="1765"/>
    <w:bookmarkStart w:id="1766" w:name="conclusione-38"/>
    <w:p>
      <w:pPr>
        <w:pStyle w:val="Heading3"/>
      </w:pPr>
      <w:r>
        <w:t xml:space="preserve">Conclusione</w:t>
      </w:r>
    </w:p>
    <w:p>
      <w:pPr>
        <w:pStyle w:val="FirstParagraph"/>
      </w:pPr>
      <w:r>
        <w:t xml:space="preserve">Il DSIP è stato scoperto nel 1977 come possibile «sostanza del sonno» endogena, ma gene, recettore e funzione naturale sono tuttora sconosciuti. I primi studi di un gruppo di Basilea, con sei-14 persone ciascuno, riferivano un sonno migliore; studi indipendenti controllati con placebo hanno trovato solo effetti deboli e poco rilevanti dal punto di vista clinico. Dati più recenti sull’uomo quasi non esistono. I dati non bastano per considerare il DSIP un sonnifero efficace o sicuro.</w:t>
      </w:r>
    </w:p>
    <w:bookmarkEnd w:id="1766"/>
    <w:bookmarkEnd w:id="1767"/>
    <w:bookmarkStart w:id="1797" w:name="epitalon-epithalon"/>
    <w:p>
      <w:pPr>
        <w:pStyle w:val="Heading2"/>
      </w:pPr>
      <w:r>
        <w:t xml:space="preserve">Epitalon (Epithalon)</w:t>
      </w:r>
    </w:p>
    <w:bookmarkStart w:id="1768" w:name="scheda-39"/>
    <w:p>
      <w:pPr>
        <w:pStyle w:val="Heading3"/>
      </w:pPr>
      <w:r>
        <w:t xml:space="preserve">Scheda</w:t>
      </w:r>
    </w:p>
    <w:p>
      <w:pPr>
        <w:numPr>
          <w:ilvl w:val="0"/>
          <w:numId w:val="1214"/>
        </w:numPr>
        <w:pStyle w:val="Compact"/>
      </w:pPr>
      <w:r>
        <w:rPr>
          <w:bCs/>
          <w:b/>
        </w:rPr>
        <w:t xml:space="preserve">Tipo e struttura:</w:t>
      </w:r>
      <w:r>
        <w:t xml:space="preserve"> </w:t>
      </w:r>
      <w:r>
        <w:t xml:space="preserve">tetrapeptide sintetico di quattro amminoacidi: Ala-Glu-Asp-Gly (abbreviato AEDG). Grafie: Epitalon, Epithalon, Epithalone.</w:t>
      </w:r>
    </w:p>
    <w:p>
      <w:pPr>
        <w:numPr>
          <w:ilvl w:val="0"/>
          <w:numId w:val="1214"/>
        </w:numPr>
        <w:pStyle w:val="Compact"/>
      </w:pPr>
      <w:r>
        <w:rPr>
          <w:bCs/>
          <w:b/>
        </w:rPr>
        <w:t xml:space="preserve">Origine:</w:t>
      </w:r>
      <w:r>
        <w:t xml:space="preserve"> </w:t>
      </w:r>
      <w:r>
        <w:t xml:space="preserve">sviluppato negli anni Ottanta e Novanta presso l’Istituto di bioregolazione e gerontologia di San Pietroburgo sotto la guida di Vladimir Chavinson (negli articoli scientifici: Khavinson). La sequenza amminoacidica è stata ricavata dalla composizione dell’</w:t>
      </w:r>
      <w:r>
        <w:rPr>
          <w:bCs/>
          <w:b/>
        </w:rPr>
        <w:t xml:space="preserve">Epithalamin</w:t>
      </w:r>
      <w:r>
        <w:t xml:space="preserve">, un estratto della ghiandola pineale (epifisi) di bovini. Epitalon ed Epithalamin sono sostanze chimicamente diverse.</w:t>
      </w:r>
    </w:p>
    <w:p>
      <w:pPr>
        <w:numPr>
          <w:ilvl w:val="0"/>
          <w:numId w:val="1214"/>
        </w:numPr>
        <w:pStyle w:val="Compact"/>
      </w:pPr>
      <w:r>
        <w:rPr>
          <w:bCs/>
          <w:b/>
        </w:rPr>
        <w:t xml:space="preserve">Principio d’azione:</w:t>
      </w:r>
      <w:r>
        <w:t xml:space="preserve"> </w:t>
      </w:r>
      <w:r>
        <w:t xml:space="preserve">come «bioregolatore peptidico» dovrebbe normalizzare la funzione della ghiandola pineale, favorire la produzione di melatonina in età avanzata e attivare l’enzima telomerasi, che allunga le estremità dei cromosomi (telomeri).</w:t>
      </w:r>
    </w:p>
    <w:p>
      <w:pPr>
        <w:numPr>
          <w:ilvl w:val="0"/>
          <w:numId w:val="1214"/>
        </w:numPr>
        <w:pStyle w:val="Compact"/>
      </w:pPr>
      <w:r>
        <w:rPr>
          <w:bCs/>
          <w:b/>
        </w:rPr>
        <w:t xml:space="preserve">Autorizzazione UE:</w:t>
      </w:r>
      <w:r>
        <w:t xml:space="preserve"> </w:t>
      </w:r>
      <w:r>
        <w:t xml:space="preserve">no.</w:t>
      </w:r>
    </w:p>
    <w:p>
      <w:pPr>
        <w:numPr>
          <w:ilvl w:val="0"/>
          <w:numId w:val="1214"/>
        </w:numPr>
        <w:pStyle w:val="Compact"/>
      </w:pPr>
      <w:r>
        <w:rPr>
          <w:bCs/>
          <w:b/>
        </w:rPr>
        <w:t xml:space="preserve">Autorizzazione USA:</w:t>
      </w:r>
      <w:r>
        <w:t xml:space="preserve"> </w:t>
      </w:r>
      <w:r>
        <w:t xml:space="preserve">no. Nell’aprile 2026 è stato cancellato dalla «categoria 2» della FDA; nel luglio 2026 il comitato consultivo PCAC ha votato con 7 voti contro 4 a favore dell’inserimento nell’elenco delle sostanze ammesse per preparazioni magistrali, contro la raccomandazione degli esperti della FDA. Non si tratta di un’autorizzazione come medicinale (aggiornato a ottobre 2026, da verificare).</w:t>
      </w:r>
    </w:p>
    <w:p>
      <w:pPr>
        <w:numPr>
          <w:ilvl w:val="0"/>
          <w:numId w:val="1214"/>
        </w:numPr>
        <w:pStyle w:val="Compact"/>
      </w:pPr>
      <w:r>
        <w:rPr>
          <w:bCs/>
          <w:b/>
        </w:rPr>
        <w:t xml:space="preserve">WADA:</w:t>
      </w:r>
      <w:r>
        <w:t xml:space="preserve"> </w:t>
      </w:r>
      <w:r>
        <w:t xml:space="preserve">non elencato per nome; in quanto sostanza non autorizzata come medicinale da nessuna parte, secondo la nostra valutazione l’Epitalon rientra nella categoria generale S0.</w:t>
      </w:r>
    </w:p>
    <w:p>
      <w:pPr>
        <w:numPr>
          <w:ilvl w:val="0"/>
          <w:numId w:val="1214"/>
        </w:numPr>
        <w:pStyle w:val="Compact"/>
      </w:pPr>
      <w:r>
        <w:rPr>
          <w:bCs/>
          <w:b/>
        </w:rPr>
        <w:t xml:space="preserve">Livello di evidenza:</w:t>
      </w:r>
      <w:r>
        <w:t xml:space="preserve"> </w:t>
      </w:r>
      <w:r>
        <w:rPr>
          <w:bCs/>
          <w:b/>
        </w:rPr>
        <w:t xml:space="preserve">C</w:t>
      </w:r>
      <w:r>
        <w:t xml:space="preserve"> </w:t>
      </w:r>
      <w:r>
        <w:t xml:space="preserve">– solo un piccolo studio controllato con il peptide sintetico sull’uomo; gli altri dati sull’uomo riguardano l’estratto Epithalamin o cellule in provetta.</w:t>
      </w:r>
    </w:p>
    <w:bookmarkEnd w:id="1768"/>
    <w:bookmarkStart w:id="1772" w:name="come-dovrebbe-agire-39"/>
    <w:p>
      <w:pPr>
        <w:pStyle w:val="Heading3"/>
      </w:pPr>
      <w:r>
        <w:t xml:space="preserve">Come dovrebbe agire</w:t>
      </w:r>
    </w:p>
    <w:p>
      <w:pPr>
        <w:pStyle w:val="FirstParagraph"/>
      </w:pPr>
      <w:r>
        <w:t xml:space="preserve">La ghiandola pineale è un piccolo organo del cervello che di notte produce l’ormone melatonina e contribuisce così a regolare il ritmo giorno-notte. In età avanzata la produzione di melatonina diminuisce. Il gruppo di San Pietroburgo partiva dal presupposto che brevi peptidi ricavati da organi possano, come «bioregolatori», ripristinare la funzione proprio di quegli organi: dalla ghiandola pineale per la ghiandola pineale, dal timo per il sistema immunitario (si veda anche il capitolo Timalina e timogeno nella Parte II · B).</w:t>
      </w:r>
    </w:p>
    <w:p>
      <w:pPr>
        <w:pStyle w:val="BodyText"/>
      </w:pPr>
      <w:r>
        <w:t xml:space="preserve">Per l’Epitalon vengono descritti diversi meccanismi, quasi tutti da esperimenti di laboratorio e su animali del gruppo degli sviluppatori:</w:t>
      </w:r>
    </w:p>
    <w:p>
      <w:pPr>
        <w:numPr>
          <w:ilvl w:val="0"/>
          <w:numId w:val="1215"/>
        </w:numPr>
        <w:pStyle w:val="Compact"/>
      </w:pPr>
      <w:r>
        <w:rPr>
          <w:bCs/>
          <w:b/>
        </w:rPr>
        <w:t xml:space="preserve">Telomerasi e telomeri:</w:t>
      </w:r>
      <w:r>
        <w:t xml:space="preserve"> </w:t>
      </w:r>
      <w:r>
        <w:t xml:space="preserve">i telomeri sono le estremità protettive dei cromosomi, che si accorciano un po’ a ogni divisione cellulare. L’enzima telomerasi può riallungarli; nella maggior parte delle cellule del corpo è disattivato. In colture di fibroblasti umani (cellule del tessuto connettivo) fetali l’Epitalon avrebbe attivato la telomerasi e allungato i telomeri</w:t>
      </w:r>
      <w:r>
        <w:rPr>
          <w:rStyle w:val="FootnoteReference"/>
        </w:rPr>
        <w:footnoteReference w:id="1769"/>
      </w:r>
      <w:r>
        <w:t xml:space="preserve">.</w:t>
      </w:r>
    </w:p>
    <w:p>
      <w:pPr>
        <w:numPr>
          <w:ilvl w:val="0"/>
          <w:numId w:val="1215"/>
        </w:numPr>
        <w:pStyle w:val="Compact"/>
      </w:pPr>
      <w:r>
        <w:rPr>
          <w:bCs/>
          <w:b/>
        </w:rPr>
        <w:t xml:space="preserve">Cromatina e geni:</w:t>
      </w:r>
      <w:r>
        <w:t xml:space="preserve"> </w:t>
      </w:r>
      <w:r>
        <w:t xml:space="preserve">in linfociti di persone di 76-80 anni l’Epitalon avrebbe, in provetta, decondensato il materiale genetico «compattato» e attivato geni silenziati</w:t>
      </w:r>
      <w:r>
        <w:rPr>
          <w:rStyle w:val="FootnoteReference"/>
        </w:rPr>
        <w:footnoteReference w:id="1770"/>
      </w:r>
      <w:r>
        <w:t xml:space="preserve">. Il gruppo postula che i peptidi corti si leghino direttamente al DNA.</w:t>
      </w:r>
    </w:p>
    <w:p>
      <w:pPr>
        <w:numPr>
          <w:ilvl w:val="0"/>
          <w:numId w:val="1215"/>
        </w:numPr>
        <w:pStyle w:val="Compact"/>
      </w:pPr>
      <w:r>
        <w:rPr>
          <w:bCs/>
          <w:b/>
        </w:rPr>
        <w:t xml:space="preserve">Melatonina:</w:t>
      </w:r>
      <w:r>
        <w:t xml:space="preserve"> </w:t>
      </w:r>
      <w:r>
        <w:t xml:space="preserve">in colture cellulari e negli animali l’Epitalon ha influenzato la produzione di melatonina.</w:t>
      </w:r>
    </w:p>
    <w:p>
      <w:pPr>
        <w:pStyle w:val="FirstParagraph"/>
      </w:pPr>
      <w:r>
        <w:t xml:space="preserve">Una rassegna del 2025 riassume che, nonostante 25 anni di ricerca, resta incerto se questi meccanismi siano gli unici e che esistono solo poche indagini fisico-chimiche e strutturali di base sul peptide</w:t>
      </w:r>
      <w:r>
        <w:rPr>
          <w:rStyle w:val="FootnoteReference"/>
        </w:rPr>
        <w:footnoteReference w:id="1771"/>
      </w:r>
      <w:r>
        <w:t xml:space="preserve">.</w:t>
      </w:r>
    </w:p>
    <w:bookmarkEnd w:id="1772"/>
    <w:bookmarkStart w:id="1783" w:name="studi-sulluomo-39"/>
    <w:p>
      <w:pPr>
        <w:pStyle w:val="Heading3"/>
      </w:pPr>
      <w:r>
        <w:t xml:space="preserve">Studi sull’uomo</w:t>
      </w:r>
    </w:p>
    <w:p>
      <w:pPr>
        <w:pStyle w:val="FirstParagraph"/>
      </w:pPr>
      <w:r>
        <w:rPr>
          <w:bCs/>
          <w:b/>
        </w:rPr>
        <w:t xml:space="preserve">Dimensioni della letteratura:</w:t>
      </w:r>
      <w:r>
        <w:t xml:space="preserve"> </w:t>
      </w:r>
      <w:r>
        <w:t xml:space="preserve">la ricerca automatizzata in PubMed (ottobre 2026) ha dato solo</w:t>
      </w:r>
      <w:r>
        <w:t xml:space="preserve"> </w:t>
      </w:r>
      <w:r>
        <w:rPr>
          <w:bCs/>
          <w:b/>
        </w:rPr>
        <w:t xml:space="preserve">una</w:t>
      </w:r>
      <w:r>
        <w:t xml:space="preserve"> </w:t>
      </w:r>
      <w:r>
        <w:t xml:space="preserve">pubblicazione classificata come studio sull’uomo sull’Epitalon; complessivamente PubMed elenca circa 120 lavori con i termini di ricerca, in grandissima parte studi su animali e cellule da San Pietroburgo. Su ClinicalTrials.gov è registrato uno studio (si veda Prospettive). Una recente rassegna indipendente giunge allo stesso risultato: i dati sull’uomo relativi all’Epitalon sintetico si limitano a piccoli studi fisiologici o su biomarcatori e a un vecchio studio controllato sulla retinite pigmentosa; nessuno studio randomizzato sufficientemente ampio ha dimostrato un’efficacia terapeutica</w:t>
      </w:r>
      <w:r>
        <w:rPr>
          <w:rStyle w:val="FootnoteReference"/>
        </w:rPr>
        <w:footnoteReference w:id="1773"/>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Sostanza studiata e disegno</w:t>
            </w:r>
          </w:p>
        </w:tc>
        <w:tc>
          <w:tcPr/>
          <w:p>
            <w:pPr>
              <w:pStyle w:val="Compact"/>
              <w:jc w:val="left"/>
            </w:pPr>
            <w:r>
              <w:t xml:space="preserve">Partecipanti</w:t>
            </w:r>
          </w:p>
        </w:tc>
        <w:tc>
          <w:tcPr/>
          <w:p>
            <w:pPr>
              <w:pStyle w:val="Compact"/>
              <w:jc w:val="left"/>
            </w:pPr>
            <w:r>
              <w:t xml:space="preserve">Risultato</w:t>
            </w:r>
          </w:p>
        </w:tc>
      </w:tr>
      <w:tr>
        <w:tc>
          <w:tcPr/>
          <w:p>
            <w:pPr>
              <w:pStyle w:val="Compact"/>
              <w:jc w:val="left"/>
            </w:pPr>
            <w:r>
              <w:t xml:space="preserve">Khavinson 2002, PMID 12195242</w:t>
            </w:r>
          </w:p>
        </w:tc>
        <w:tc>
          <w:tcPr/>
          <w:p>
            <w:pPr>
              <w:pStyle w:val="Compact"/>
              <w:jc w:val="left"/>
            </w:pPr>
            <w:r>
              <w:t xml:space="preserve">Epitalon, studio controllato nella degenerazione retinica ereditaria (retinite pigmentosa)</w:t>
            </w:r>
          </w:p>
        </w:tc>
        <w:tc>
          <w:tcPr/>
          <w:p>
            <w:pPr>
              <w:pStyle w:val="Compact"/>
              <w:jc w:val="left"/>
            </w:pPr>
            <w:r>
              <w:t xml:space="preserve">non indicati nell’abstract</w:t>
            </w:r>
          </w:p>
        </w:tc>
        <w:tc>
          <w:tcPr/>
          <w:p>
            <w:pPr>
              <w:pStyle w:val="Compact"/>
              <w:jc w:val="left"/>
            </w:pPr>
            <w:r>
              <w:t xml:space="preserve">«effetto clinico positivo nel 90% dei casi»</w:t>
            </w:r>
          </w:p>
        </w:tc>
      </w:tr>
      <w:tr>
        <w:tc>
          <w:tcPr/>
          <w:p>
            <w:pPr>
              <w:pStyle w:val="Compact"/>
              <w:jc w:val="left"/>
            </w:pPr>
            <w:r>
              <w:t xml:space="preserve">Khavinson 2003, PMID 14523363</w:t>
            </w:r>
          </w:p>
        </w:tc>
        <w:tc>
          <w:tcPr/>
          <w:p>
            <w:pPr>
              <w:pStyle w:val="Compact"/>
              <w:jc w:val="left"/>
            </w:pPr>
            <w:r>
              <w:t xml:space="preserve">Epithalamin (estratto) e Thymalin in persone anziane, gruppo di controllo</w:t>
            </w:r>
          </w:p>
        </w:tc>
        <w:tc>
          <w:tcPr/>
          <w:p>
            <w:pPr>
              <w:pStyle w:val="Compact"/>
              <w:jc w:val="left"/>
            </w:pPr>
            <w:r>
              <w:t xml:space="preserve">266 persone, 6–8 anni</w:t>
            </w:r>
          </w:p>
        </w:tc>
        <w:tc>
          <w:tcPr/>
          <w:p>
            <w:pPr>
              <w:pStyle w:val="Compact"/>
              <w:jc w:val="left"/>
            </w:pPr>
            <w:r>
              <w:t xml:space="preserve">secondo gli autori mortalità da 1,6 a 1,8 volte inferiore con Epithalamin</w:t>
            </w:r>
          </w:p>
        </w:tc>
      </w:tr>
      <w:tr>
        <w:tc>
          <w:tcPr/>
          <w:p>
            <w:pPr>
              <w:pStyle w:val="Compact"/>
              <w:jc w:val="left"/>
            </w:pPr>
            <w:r>
              <w:t xml:space="preserve">Labunets 2004, PMID 15455130</w:t>
            </w:r>
          </w:p>
        </w:tc>
        <w:tc>
          <w:tcPr/>
          <w:p>
            <w:pPr>
              <w:pStyle w:val="Compact"/>
              <w:jc w:val="left"/>
            </w:pPr>
            <w:r>
              <w:t xml:space="preserve">Epithalamin, ciclo in persone anziane</w:t>
            </w:r>
          </w:p>
        </w:tc>
        <w:tc>
          <w:tcPr/>
          <w:p>
            <w:pPr>
              <w:pStyle w:val="Compact"/>
              <w:jc w:val="left"/>
            </w:pPr>
            <w:r>
              <w:t xml:space="preserve">non indicati nell’abstract</w:t>
            </w:r>
          </w:p>
        </w:tc>
        <w:tc>
          <w:tcPr/>
          <w:p>
            <w:pPr>
              <w:pStyle w:val="Compact"/>
              <w:jc w:val="left"/>
            </w:pPr>
            <w:r>
              <w:t xml:space="preserve">ritmo della melatonina e fattore timico «più giovani»</w:t>
            </w:r>
          </w:p>
        </w:tc>
      </w:tr>
      <w:tr>
        <w:tc>
          <w:tcPr/>
          <w:p>
            <w:pPr>
              <w:pStyle w:val="Compact"/>
              <w:jc w:val="left"/>
            </w:pPr>
            <w:r>
              <w:t xml:space="preserve">Khavinson 2019, PMID 31761987</w:t>
            </w:r>
          </w:p>
        </w:tc>
        <w:tc>
          <w:tcPr/>
          <w:p>
            <w:pPr>
              <w:pStyle w:val="Compact"/>
              <w:jc w:val="left"/>
            </w:pPr>
            <w:r>
              <w:t xml:space="preserve">AEDG in provetta su cellule del sangue</w:t>
            </w:r>
          </w:p>
        </w:tc>
        <w:tc>
          <w:tcPr/>
          <w:p>
            <w:pPr>
              <w:pStyle w:val="Compact"/>
              <w:jc w:val="left"/>
            </w:pPr>
            <w:r>
              <w:t xml:space="preserve">11 uomini (campioni di cellule)</w:t>
            </w:r>
          </w:p>
        </w:tc>
        <w:tc>
          <w:tcPr/>
          <w:p>
            <w:pPr>
              <w:pStyle w:val="Compact"/>
              <w:jc w:val="left"/>
            </w:pPr>
            <w:r>
              <w:t xml:space="preserve">lunghezza dei telomeri maggiore in 5 casi, minore in 2 casi</w:t>
            </w:r>
          </w:p>
        </w:tc>
      </w:tr>
    </w:tbl>
    <w:bookmarkStart w:id="1775" w:name="lunico-studio-con-epitalon"/>
    <w:p>
      <w:pPr>
        <w:pStyle w:val="Heading4"/>
      </w:pPr>
      <w:r>
        <w:t xml:space="preserve">L’unico studio con Epitalon</w:t>
      </w:r>
    </w:p>
    <w:p>
      <w:pPr>
        <w:pStyle w:val="FirstParagraph"/>
      </w:pPr>
      <w:r>
        <w:t xml:space="preserve">Nell’unico studio clinico con Epitalon sintetico sono state trattate persone con retinite pigmentosa, una malattia ereditaria in cui la retina muore progressivamente. L’abstract riferisce un «effetto clinico positivo nel 90% dei casi», ma non indica né il numero dei partecipanti né il criterio per «positivo» né i risultati del gruppo di controllo</w:t>
      </w:r>
      <w:r>
        <w:rPr>
          <w:rStyle w:val="FootnoteReference"/>
        </w:rPr>
        <w:footnoteReference w:id="1774"/>
      </w:r>
      <w:r>
        <w:t xml:space="preserve">. Il risultato non è stato confermato in modo indipendente; nel trattamento della retinite pigmentosa l’Epitalon non ha alcun ruolo.</w:t>
      </w:r>
    </w:p>
    <w:bookmarkEnd w:id="1775"/>
    <w:bookmarkStart w:id="1777" w:name="X46f69e6a9228614ea56912d31fa3b830c1a4dab"/>
    <w:p>
      <w:pPr>
        <w:pStyle w:val="Heading4"/>
      </w:pPr>
      <w:r>
        <w:t xml:space="preserve">Lo studio sulla longevità con Epithalamin</w:t>
      </w:r>
    </w:p>
    <w:p>
      <w:pPr>
        <w:pStyle w:val="FirstParagraph"/>
      </w:pPr>
      <w:r>
        <w:t xml:space="preserve">Lo studio sull’uomo più citato in internet, «i peptidi della ghiandola pineale allungano la vita umana», non riguarda l’Epitalon, ma l’estratto animale Epithalamin. Ricercatori di San Pietroburgo e Kiev hanno seguito 266 persone anziane per sei-otto anni; nei primi due-tre anni parti del gruppo hanno ricevuto Thymalin, Epithalamin o entrambi. Secondo l’abstract la mortalità è diminuita da 1,6 a 1,8 volte con Epithalamin, di 2,5 volte con la combinazione e, con un trattamento combinato annuale per sei anni, persino di 4,1 volte</w:t>
      </w:r>
      <w:r>
        <w:rPr>
          <w:rStyle w:val="FootnoteReference"/>
        </w:rPr>
        <w:footnoteReference w:id="1776"/>
      </w:r>
      <w:r>
        <w:t xml:space="preserve">.</w:t>
      </w:r>
    </w:p>
    <w:p>
      <w:pPr>
        <w:pStyle w:val="BodyText"/>
      </w:pPr>
      <w:r>
        <w:t xml:space="preserve">Effetti del genere sarebbero straordinari, maggiori di quelli di quasi qualsiasi intervento della medicina moderna. Tanto più importanti sono i limiti:</w:t>
      </w:r>
    </w:p>
    <w:p>
      <w:pPr>
        <w:numPr>
          <w:ilvl w:val="0"/>
          <w:numId w:val="1216"/>
        </w:numPr>
        <w:pStyle w:val="Compact"/>
      </w:pPr>
      <w:r>
        <w:t xml:space="preserve">L’abstract non descrive né un’assegnazione casuale né un mascheramento. Non è chiaro come sia stato selezionato il gruppo di controllo.</w:t>
      </w:r>
    </w:p>
    <w:p>
      <w:pPr>
        <w:numPr>
          <w:ilvl w:val="0"/>
          <w:numId w:val="1216"/>
        </w:numPr>
        <w:pStyle w:val="Compact"/>
      </w:pPr>
      <w:r>
        <w:t xml:space="preserve">Le dimensioni dei singoli bracci e i numeri assoluti dei decessi non sono indicati.</w:t>
      </w:r>
    </w:p>
    <w:p>
      <w:pPr>
        <w:numPr>
          <w:ilvl w:val="0"/>
          <w:numId w:val="1216"/>
        </w:numPr>
        <w:pStyle w:val="Compact"/>
      </w:pPr>
      <w:r>
        <w:t xml:space="preserve">Lo studio non è mai stato registrato e non esiste una replicazione indipendente.</w:t>
      </w:r>
    </w:p>
    <w:p>
      <w:pPr>
        <w:numPr>
          <w:ilvl w:val="0"/>
          <w:numId w:val="1216"/>
        </w:numPr>
        <w:pStyle w:val="Compact"/>
      </w:pPr>
      <w:r>
        <w:t xml:space="preserve">I risultati provengono dagli sviluppatori dei preparati.</w:t>
      </w:r>
    </w:p>
    <w:p>
      <w:pPr>
        <w:pStyle w:val="FirstParagraph"/>
      </w:pPr>
      <w:r>
        <w:t xml:space="preserve">Nelle osservazioni non randomizzate anche piccole differenze tra i gruppi, per esempio chi era più sano o meglio assistito, possono generare grandi effetti apparenti sulla mortalità. Per l’Epitalon stesso da questo studio non si può comunque dedurre nulla, perché è stata studiata un’altra sostanza.</w:t>
      </w:r>
    </w:p>
    <w:bookmarkEnd w:id="1777"/>
    <w:bookmarkStart w:id="1782" w:name="Xe6e1eed8128bf4bd574edfc471f5802b53bd833"/>
    <w:p>
      <w:pPr>
        <w:pStyle w:val="Heading4"/>
      </w:pPr>
      <w:r>
        <w:t xml:space="preserve">L’affermazione sui telomeri alla verifica dei fatti</w:t>
      </w:r>
    </w:p>
    <w:p>
      <w:pPr>
        <w:pStyle w:val="FirstParagraph"/>
      </w:pPr>
      <w:r>
        <w:t xml:space="preserve">In internet l’Epitalon viene spesso pubblicizzato come un rimedio che «allunga i telomeri» e quindi «riporta indietro l’orologio biologico». Che cosa c’è di documentato?</w:t>
      </w:r>
    </w:p>
    <w:p>
      <w:pPr>
        <w:numPr>
          <w:ilvl w:val="0"/>
          <w:numId w:val="1217"/>
        </w:numPr>
        <w:pStyle w:val="Compact"/>
      </w:pPr>
      <w:r>
        <w:rPr>
          <w:bCs/>
          <w:b/>
        </w:rPr>
        <w:t xml:space="preserve">Colture cellulari di San Pietroburgo:</w:t>
      </w:r>
      <w:r>
        <w:t xml:space="preserve"> </w:t>
      </w:r>
      <w:r>
        <w:t xml:space="preserve">in fibroblasti fetali umani l’Epitalon ha provocato attività della telomerasi e allungamento dei telomeri</w:t>
      </w:r>
      <w:r>
        <w:rPr>
          <w:rStyle w:val="FootnoteReference"/>
        </w:rPr>
        <w:footnoteReference w:id="1778"/>
      </w:r>
      <w:r>
        <w:t xml:space="preserve">; in un lavoro successivo le cellule trattate hanno compiuto dieci divisioni aggiuntive oltre il loro limite abituale</w:t>
      </w:r>
      <w:r>
        <w:rPr>
          <w:rStyle w:val="FootnoteReference"/>
        </w:rPr>
        <w:footnoteReference w:id="1779"/>
      </w:r>
      <w:r>
        <w:t xml:space="preserve">. Entrambi i lavori sono pubblicati in forma molto breve, senza metodi dettagliati nell’abstract.</w:t>
      </w:r>
    </w:p>
    <w:p>
      <w:pPr>
        <w:numPr>
          <w:ilvl w:val="0"/>
          <w:numId w:val="1217"/>
        </w:numPr>
        <w:pStyle w:val="Compact"/>
      </w:pPr>
      <w:r>
        <w:rPr>
          <w:bCs/>
          <w:b/>
        </w:rPr>
        <w:t xml:space="preserve">Studio cellulare indipendente:</w:t>
      </w:r>
      <w:r>
        <w:t xml:space="preserve"> </w:t>
      </w:r>
      <w:r>
        <w:t xml:space="preserve">un gruppo di lavoro al di fuori della Russia ha trovato nel 2025 anch’esso telomeri più lunghi in modo dose-dipendente in normali cellule epiteliali e del tessuto connettivo umane. Nelle linee cellulari di cancro al seno i telomeri si sono anch’essi allungati, lì tramite un meccanismo alternativo (ALT) tipico delle cellule tumorali</w:t>
      </w:r>
      <w:r>
        <w:rPr>
          <w:rStyle w:val="FootnoteReference"/>
        </w:rPr>
        <w:footnoteReference w:id="1780"/>
      </w:r>
      <w:r>
        <w:t xml:space="preserve">.</w:t>
      </w:r>
    </w:p>
    <w:p>
      <w:pPr>
        <w:numPr>
          <w:ilvl w:val="0"/>
          <w:numId w:val="1217"/>
        </w:numPr>
        <w:pStyle w:val="Compact"/>
      </w:pPr>
      <w:r>
        <w:rPr>
          <w:bCs/>
          <w:b/>
        </w:rPr>
        <w:t xml:space="preserve">Cellule del sangue umane in provetta:</w:t>
      </w:r>
      <w:r>
        <w:t xml:space="preserve"> </w:t>
      </w:r>
      <w:r>
        <w:t xml:space="preserve">nelle cellule del sangue di undici uomini, dopo il contatto con il peptide, i telomeri si sono allungati in cinque casi e accorciati in due; gli autori lo interpretano come «normalizzazione»</w:t>
      </w:r>
      <w:r>
        <w:rPr>
          <w:rStyle w:val="FootnoteReference"/>
        </w:rPr>
        <w:footnoteReference w:id="1781"/>
      </w:r>
      <w:r>
        <w:t xml:space="preserve">.</w:t>
      </w:r>
    </w:p>
    <w:p>
      <w:pPr>
        <w:numPr>
          <w:ilvl w:val="0"/>
          <w:numId w:val="1217"/>
        </w:numPr>
        <w:pStyle w:val="Compact"/>
      </w:pPr>
      <w:r>
        <w:rPr>
          <w:bCs/>
          <w:b/>
        </w:rPr>
        <w:t xml:space="preserve">Nell’essere umano vivente:</w:t>
      </w:r>
      <w:r>
        <w:t xml:space="preserve"> </w:t>
      </w:r>
      <w:r>
        <w:t xml:space="preserve">non esiste alcuno studio controllato pubblicato che abbia mostrato che l’Epitalon modifica la lunghezza dei telomeri nel sangue o nei tessuti delle persone, e tanto meno uno che dimostri un beneficio per la salute di tale modifica.</w:t>
      </w:r>
    </w:p>
    <w:p>
      <w:pPr>
        <w:pStyle w:val="FirstParagraph"/>
      </w:pPr>
      <w:r>
        <w:t xml:space="preserve">A ciò si aggiunge che la lunghezza dei telomeri è sì legata all’età, ma non è una misura affidabile dell’«orologio biologico» di una singola persona. E una telomerasi attivata in modo permanente è una caratteristica della stragrande maggioranza dei tumori. La capacità di allungare i telomeri non è quindi automaticamente un vantaggio (si veda Rischi).</w:t>
      </w:r>
    </w:p>
    <w:bookmarkEnd w:id="1782"/>
    <w:bookmarkEnd w:id="1783"/>
    <w:bookmarkStart w:id="1788" w:name="studi-su-animali-e-in-laboratorio-39"/>
    <w:p>
      <w:pPr>
        <w:pStyle w:val="Heading3"/>
      </w:pPr>
      <w:r>
        <w:t xml:space="preserve">Studi su animali e in laboratorio</w:t>
      </w:r>
    </w:p>
    <w:p>
      <w:pPr>
        <w:numPr>
          <w:ilvl w:val="0"/>
          <w:numId w:val="1218"/>
        </w:numPr>
        <w:pStyle w:val="Compact"/>
      </w:pPr>
      <w:r>
        <w:rPr>
          <w:bCs/>
          <w:b/>
        </w:rPr>
        <w:t xml:space="preserve">Durata della vita nei topi:</w:t>
      </w:r>
      <w:r>
        <w:t xml:space="preserve"> </w:t>
      </w:r>
      <w:r>
        <w:t xml:space="preserve">nel più importante studio animale, gruppi di 54 topi femmina ciascuno hanno ricevuto per tutta la vita, ogni mese, Epitalon o soluzione fisiologica. La</w:t>
      </w:r>
      <w:r>
        <w:t xml:space="preserve"> </w:t>
      </w:r>
      <w:r>
        <w:rPr>
          <w:bCs/>
          <w:b/>
        </w:rPr>
        <w:t xml:space="preserve">durata media della vita non</w:t>
      </w:r>
      <w:r>
        <w:t xml:space="preserve"> </w:t>
      </w:r>
      <w:r>
        <w:t xml:space="preserve">differiva; solo l’ultimo 10% delle sopravvissute è vissuto il 13,3% più a lungo, e la durata massima della vita era più alta del 12,3%. Il numero complessivo di tumori spontanei era uguale, le leucemie sono state più rare</w:t>
      </w:r>
      <w:r>
        <w:rPr>
          <w:rStyle w:val="FootnoteReference"/>
        </w:rPr>
        <w:footnoteReference w:id="1784"/>
      </w:r>
      <w:r>
        <w:t xml:space="preserve">.</w:t>
      </w:r>
    </w:p>
    <w:p>
      <w:pPr>
        <w:numPr>
          <w:ilvl w:val="0"/>
          <w:numId w:val="1218"/>
        </w:numPr>
        <w:pStyle w:val="Compact"/>
      </w:pPr>
      <w:r>
        <w:rPr>
          <w:bCs/>
          <w:b/>
        </w:rPr>
        <w:t xml:space="preserve">Moscerini della frutta:</w:t>
      </w:r>
      <w:r>
        <w:t xml:space="preserve"> </w:t>
      </w:r>
      <w:r>
        <w:t xml:space="preserve">anche nei moscerini della frutta è stata riferita una durata della vita maggiore</w:t>
      </w:r>
      <w:r>
        <w:rPr>
          <w:rStyle w:val="FootnoteReference"/>
        </w:rPr>
        <w:footnoteReference w:id="1785"/>
      </w:r>
      <w:r>
        <w:t xml:space="preserve">.</w:t>
      </w:r>
    </w:p>
    <w:p>
      <w:pPr>
        <w:numPr>
          <w:ilvl w:val="0"/>
          <w:numId w:val="1218"/>
        </w:numPr>
        <w:pStyle w:val="Compact"/>
      </w:pPr>
      <w:r>
        <w:rPr>
          <w:bCs/>
          <w:b/>
        </w:rPr>
        <w:t xml:space="preserve">Retina:</w:t>
      </w:r>
      <w:r>
        <w:t xml:space="preserve"> </w:t>
      </w:r>
      <w:r>
        <w:t xml:space="preserve">in ratti con degenerazione retinica ereditaria la struttura della retina si è conservata meglio con Epitalon</w:t>
      </w:r>
      <w:r>
        <w:rPr>
          <w:rStyle w:val="FootnoteReference"/>
        </w:rPr>
        <w:footnoteReference w:id="1786"/>
      </w:r>
      <w:r>
        <w:t xml:space="preserve">.</w:t>
      </w:r>
    </w:p>
    <w:p>
      <w:pPr>
        <w:numPr>
          <w:ilvl w:val="0"/>
          <w:numId w:val="1218"/>
        </w:numPr>
        <w:pStyle w:val="Compact"/>
      </w:pPr>
      <w:r>
        <w:rPr>
          <w:bCs/>
          <w:b/>
        </w:rPr>
        <w:t xml:space="preserve">Ovociti:</w:t>
      </w:r>
      <w:r>
        <w:t xml:space="preserve"> </w:t>
      </w:r>
      <w:r>
        <w:t xml:space="preserve">in colture di ovociti di topo invecchiati l’Epitalon ha ridotto i danni da stress ossidativo</w:t>
      </w:r>
      <w:r>
        <w:rPr>
          <w:rStyle w:val="FootnoteReference"/>
        </w:rPr>
        <w:footnoteReference w:id="1787"/>
      </w:r>
      <w:r>
        <w:t xml:space="preserve">.</w:t>
      </w:r>
    </w:p>
    <w:p>
      <w:pPr>
        <w:pStyle w:val="FirstParagraph"/>
      </w:pPr>
      <w:r>
        <w:t xml:space="preserve">La grande maggioranza di questi studi proviene dal gruppo di Chavinson e Anisimov, per lo più in riviste russe o in riviste in cui il gruppo stesso pubblicava frequentemente. Le replicazioni indipendenti sono rare.</w:t>
      </w:r>
    </w:p>
    <w:bookmarkEnd w:id="1788"/>
    <w:bookmarkStart w:id="1792" w:name="rischi-ed-effetti-collaterali-39"/>
    <w:p>
      <w:pPr>
        <w:pStyle w:val="Heading3"/>
      </w:pPr>
      <w:r>
        <w:t xml:space="preserve">Rischi ed effetti collaterali</w:t>
      </w:r>
    </w:p>
    <w:p>
      <w:pPr>
        <w:pStyle w:val="FirstParagraph"/>
      </w:pPr>
      <w:r>
        <w:rPr>
          <w:bCs/>
          <w:b/>
        </w:rPr>
        <w:t xml:space="preserve">Documentati:</w:t>
      </w:r>
      <w:r>
        <w:t xml:space="preserve"> </w:t>
      </w:r>
      <w:r>
        <w:t xml:space="preserve">non esistono dati di sicurezza raccolti sistematicamente sull’Epitalon nell’uomo.</w:t>
      </w:r>
    </w:p>
    <w:p>
      <w:pPr>
        <w:pStyle w:val="BodyText"/>
      </w:pPr>
      <w:r>
        <w:rPr>
          <w:bCs/>
          <w:b/>
        </w:rPr>
        <w:t xml:space="preserve">Teorici:</w:t>
      </w:r>
    </w:p>
    <w:p>
      <w:pPr>
        <w:numPr>
          <w:ilvl w:val="0"/>
          <w:numId w:val="1219"/>
        </w:numPr>
        <w:pStyle w:val="Compact"/>
      </w:pPr>
      <w:r>
        <w:rPr>
          <w:bCs/>
          <w:b/>
        </w:rPr>
        <w:t xml:space="preserve">Cancro:</w:t>
      </w:r>
      <w:r>
        <w:t xml:space="preserve"> </w:t>
      </w:r>
      <w:r>
        <w:t xml:space="preserve">l’attivazione della telomerasi è una caratteristica centrale delle cellule tumorali. Una sostanza che dovrebbe attivare la telomerasi potrebbe teoricamente favorire la crescita di cellule tumorali già presenti e non scoperte. Nello studio cellulare indipendente si sono allungati anche i telomeri delle cellule di cancro al seno</w:t>
      </w:r>
      <w:r>
        <w:rPr>
          <w:rStyle w:val="FootnoteReference"/>
        </w:rPr>
        <w:footnoteReference w:id="1789"/>
      </w:r>
      <w:r>
        <w:t xml:space="preserve">. Lo studio sui topi non ha trovato un aumento dei tumori spontanei</w:t>
      </w:r>
      <w:r>
        <w:rPr>
          <w:rStyle w:val="FootnoteReference"/>
        </w:rPr>
        <w:footnoteReference w:id="1790"/>
      </w:r>
      <w:r>
        <w:t xml:space="preserve">, ma i dati sugli animali non si possono trasferire a decenni di uso umano.</w:t>
      </w:r>
    </w:p>
    <w:p>
      <w:pPr>
        <w:numPr>
          <w:ilvl w:val="0"/>
          <w:numId w:val="1219"/>
        </w:numPr>
        <w:pStyle w:val="Compact"/>
      </w:pPr>
      <w:r>
        <w:rPr>
          <w:bCs/>
          <w:b/>
        </w:rPr>
        <w:t xml:space="preserve">Sistema ormonale:</w:t>
      </w:r>
      <w:r>
        <w:t xml:space="preserve"> </w:t>
      </w:r>
      <w:r>
        <w:t xml:space="preserve">un’influenza su melatonina e ghiandola pineale può modificare sonno e ritmi ormonali; ciò non è stato studiato nell’uomo.</w:t>
      </w:r>
    </w:p>
    <w:p>
      <w:pPr>
        <w:pStyle w:val="FirstParagraph"/>
      </w:pPr>
      <w:r>
        <w:rPr>
          <w:bCs/>
          <w:b/>
        </w:rPr>
        <w:t xml:space="preserve">Mercato grigio:</w:t>
      </w:r>
      <w:r>
        <w:t xml:space="preserve"> </w:t>
      </w:r>
      <w:r>
        <w:t xml:space="preserve">l’Epitalon è tra i «peptidi della longevità» più venduti e viene offerto in polvere per iniezione o come spray nasale. Purezza, contenuto e sterilità non sono verificati. Una rassegna indipendente cita questioni irrisolte su qualità del prodotto, reazioni immunitarie e rischio di cancro</w:t>
      </w:r>
      <w:r>
        <w:rPr>
          <w:rStyle w:val="FootnoteReference"/>
        </w:rPr>
        <w:footnoteReference w:id="1791"/>
      </w:r>
      <w:r>
        <w:t xml:space="preserve">.</w:t>
      </w:r>
    </w:p>
    <w:bookmarkEnd w:id="1792"/>
    <w:bookmarkStart w:id="1793" w:name="quadro-normativo-39"/>
    <w:p>
      <w:pPr>
        <w:pStyle w:val="Heading3"/>
      </w:pPr>
      <w:r>
        <w:t xml:space="preserve">Quadro normativo</w:t>
      </w:r>
    </w:p>
    <w:p>
      <w:pPr>
        <w:numPr>
          <w:ilvl w:val="0"/>
          <w:numId w:val="1220"/>
        </w:numPr>
        <w:pStyle w:val="Compact"/>
      </w:pPr>
      <w:r>
        <w:rPr>
          <w:bCs/>
          <w:b/>
        </w:rPr>
        <w:t xml:space="preserve">UE / Austria / Germania:</w:t>
      </w:r>
      <w:r>
        <w:t xml:space="preserve"> </w:t>
      </w:r>
      <w:r>
        <w:t xml:space="preserve">non autorizzato; in quanto sostanza con effetto farmacologico l’Epitalon è considerato un medicinale, e la vendita per uso umano non è consentita.</w:t>
      </w:r>
    </w:p>
    <w:p>
      <w:pPr>
        <w:numPr>
          <w:ilvl w:val="0"/>
          <w:numId w:val="1220"/>
        </w:numPr>
        <w:pStyle w:val="Compact"/>
      </w:pPr>
      <w:r>
        <w:rPr>
          <w:bCs/>
          <w:b/>
        </w:rPr>
        <w:t xml:space="preserve">USA:</w:t>
      </w:r>
      <w:r>
        <w:t xml:space="preserve"> </w:t>
      </w:r>
      <w:r>
        <w:t xml:space="preserve">non autorizzato. Dopo il voto del comitato consultivo PCAC nel luglio 2026 l’Epitalon potrebbe in futuro essere ammesso nelle preparazioni magistrali in farmacia, se la FDA si adeguerà; la procedura non era conclusa alla chiusura redazionale (aggiornato a ottobre 2026, da verificare).</w:t>
      </w:r>
    </w:p>
    <w:p>
      <w:pPr>
        <w:numPr>
          <w:ilvl w:val="0"/>
          <w:numId w:val="1220"/>
        </w:numPr>
        <w:pStyle w:val="Compact"/>
      </w:pPr>
      <w:r>
        <w:rPr>
          <w:bCs/>
          <w:b/>
        </w:rPr>
        <w:t xml:space="preserve">Russia:</w:t>
      </w:r>
      <w:r>
        <w:t xml:space="preserve"> </w:t>
      </w:r>
      <w:r>
        <w:t xml:space="preserve">in Russia i bioregolatori peptidici sono in parte commercializzati come integratori alimentari; l’Epitalon stesso, per quanto ci risulta, non è registrato lì come medicinale (da verificare).</w:t>
      </w:r>
    </w:p>
    <w:p>
      <w:pPr>
        <w:numPr>
          <w:ilvl w:val="0"/>
          <w:numId w:val="1220"/>
        </w:numPr>
        <w:pStyle w:val="Compact"/>
      </w:pPr>
      <w:r>
        <w:rPr>
          <w:bCs/>
          <w:b/>
        </w:rPr>
        <w:t xml:space="preserve">Sport:</w:t>
      </w:r>
      <w:r>
        <w:t xml:space="preserve"> </w:t>
      </w:r>
      <w:r>
        <w:t xml:space="preserve">secondo la nostra valutazione categoria WADA S0 (aggiornato al 2026, da verificare).</w:t>
      </w:r>
    </w:p>
    <w:bookmarkEnd w:id="1793"/>
    <w:bookmarkStart w:id="1795" w:name="studi-in-corso-e-prospettive-39"/>
    <w:p>
      <w:pPr>
        <w:pStyle w:val="Heading3"/>
      </w:pPr>
      <w:r>
        <w:t xml:space="preserve">Studi in corso e prospettive</w:t>
      </w:r>
    </w:p>
    <w:p>
      <w:pPr>
        <w:pStyle w:val="FirstParagraph"/>
      </w:pPr>
      <w:r>
        <w:rPr>
          <w:bCs/>
          <w:b/>
        </w:rPr>
        <w:t xml:space="preserve">Assodato:</w:t>
      </w:r>
      <w:r>
        <w:t xml:space="preserve"> </w:t>
      </w:r>
      <w:r>
        <w:t xml:space="preserve">su ClinicalTrials.gov è registrato uno studio iniziale in cui misure di ringiovanimento «sistemiche e locali» devono essere valutate con i cosiddetti orologi dell’invecchiamento (metodi di misura epigenetici); sono previsti 48 partecipanti, inizio ottobre 2026</w:t>
      </w:r>
      <w:r>
        <w:rPr>
          <w:rStyle w:val="FootnoteReference"/>
        </w:rPr>
        <w:footnoteReference w:id="1794"/>
      </w:r>
      <w:r>
        <w:t xml:space="preserve">. Secondo la voce di registro, l’Epitalon vi compare solo come uno dei cinque componenti di un siero peptidico applicato sulla pelle; in aggiunta vengono assunti farmaci e integratori alimentari. Lo studio ha un solo gruppo, nessun mascheramento e nessun controllo con placebo. Non può quindi fornire alcuna indicazione sull’effetto dell’Epitalon in sé.</w:t>
      </w:r>
    </w:p>
    <w:p>
      <w:pPr>
        <w:pStyle w:val="BodyText"/>
      </w:pPr>
      <w:r>
        <w:rPr>
          <w:bCs/>
          <w:b/>
        </w:rPr>
        <w:t xml:space="preserve">Valutazione:</w:t>
      </w:r>
      <w:r>
        <w:t xml:space="preserve"> </w:t>
      </w:r>
      <w:r>
        <w:t xml:space="preserve">l’inserimento nell’elenco statunitense delle preparazioni magistrali ne aumenterebbe la diffusione senza migliorare i dati disponibili. Decisivo sarebbe uno studio indipendente e randomizzato che misuri nell’uomo, per un periodo più lungo, almeno lunghezza dei telomeri, melatonina e parametri di sicurezza.</w:t>
      </w:r>
    </w:p>
    <w:bookmarkEnd w:id="1795"/>
    <w:bookmarkStart w:id="1796" w:name="conclusione-39"/>
    <w:p>
      <w:pPr>
        <w:pStyle w:val="Heading3"/>
      </w:pPr>
      <w:r>
        <w:t xml:space="preserve">Conclusione</w:t>
      </w:r>
    </w:p>
    <w:p>
      <w:pPr>
        <w:pStyle w:val="FirstParagraph"/>
      </w:pPr>
      <w:r>
        <w:t xml:space="preserve">L’Epitalon è un tetrapeptide sintetico di San Pietroburgo che in colture cellulari ha attivato la telomerasi e nei topi ha prolungato la durata massima della vita, ma non quella media. Lo studio spesso citato su una vita più lunga riguardava l’estratto bovino Epithalamin, non era randomizzato e non è mai stato replicato in modo indipendente. Che l’Epitalon allunghi i telomeri o rallenti l’invecchiamento nell’uomo non è dimostrato; l’attivazione della telomerasi solleva inoltre una questione irrisolta riguardo al cancro. I dati non bastano per valutare beneficio o sicurezza nell’uomo.</w:t>
      </w:r>
    </w:p>
    <w:bookmarkEnd w:id="1796"/>
    <w:bookmarkEnd w:id="1797"/>
    <w:bookmarkStart w:id="1814" w:name="pinealon"/>
    <w:p>
      <w:pPr>
        <w:pStyle w:val="Heading2"/>
      </w:pPr>
      <w:r>
        <w:t xml:space="preserve">Pinealon</w:t>
      </w:r>
    </w:p>
    <w:bookmarkStart w:id="1798" w:name="scheda-40"/>
    <w:p>
      <w:pPr>
        <w:pStyle w:val="Heading3"/>
      </w:pPr>
      <w:r>
        <w:t xml:space="preserve">Scheda</w:t>
      </w:r>
    </w:p>
    <w:p>
      <w:pPr>
        <w:numPr>
          <w:ilvl w:val="0"/>
          <w:numId w:val="1221"/>
        </w:numPr>
        <w:pStyle w:val="Compact"/>
      </w:pPr>
      <w:r>
        <w:rPr>
          <w:bCs/>
          <w:b/>
        </w:rPr>
        <w:t xml:space="preserve">Tipo e struttura:</w:t>
      </w:r>
      <w:r>
        <w:t xml:space="preserve"> </w:t>
      </w:r>
      <w:r>
        <w:t xml:space="preserve">tripeptide sintetico di tre amminoacidi: Glu-Asp-Arg (abbreviato EDR).</w:t>
      </w:r>
    </w:p>
    <w:p>
      <w:pPr>
        <w:numPr>
          <w:ilvl w:val="0"/>
          <w:numId w:val="1221"/>
        </w:numPr>
        <w:pStyle w:val="Compact"/>
      </w:pPr>
      <w:r>
        <w:rPr>
          <w:bCs/>
          <w:b/>
        </w:rPr>
        <w:t xml:space="preserve">Origine:</w:t>
      </w:r>
      <w:r>
        <w:t xml:space="preserve"> </w:t>
      </w:r>
      <w:r>
        <w:t xml:space="preserve">sviluppato presso l’Istituto di bioregolazione e gerontologia di San Pietroburgo (gruppo di Vladimir Chavinson, che ha sviluppato anche l’Epitalon). Il nome rimanda alla ghiandola pineale (glandula pinealis), sebbene il peptide venga descritto soprattutto come sostanza protettiva per i neuroni.</w:t>
      </w:r>
    </w:p>
    <w:p>
      <w:pPr>
        <w:numPr>
          <w:ilvl w:val="0"/>
          <w:numId w:val="1221"/>
        </w:numPr>
        <w:pStyle w:val="Compact"/>
      </w:pPr>
      <w:r>
        <w:rPr>
          <w:bCs/>
          <w:b/>
        </w:rPr>
        <w:t xml:space="preserve">Principio d’azione:</w:t>
      </w:r>
      <w:r>
        <w:t xml:space="preserve"> </w:t>
      </w:r>
      <w:r>
        <w:t xml:space="preserve">come «bioregolatore peptidico corto» dovrebbe penetrare nelle cellule e nei nuclei cellulari, legarsi al DNA o agli istoni e influenzare così l’attività di geni che proteggono i neuroni da stress ossidativo e morte cellulare.</w:t>
      </w:r>
    </w:p>
    <w:p>
      <w:pPr>
        <w:numPr>
          <w:ilvl w:val="0"/>
          <w:numId w:val="1221"/>
        </w:numPr>
        <w:pStyle w:val="Compact"/>
      </w:pPr>
      <w:r>
        <w:rPr>
          <w:bCs/>
          <w:b/>
        </w:rPr>
        <w:t xml:space="preserve">Autorizzazione UE:</w:t>
      </w:r>
      <w:r>
        <w:t xml:space="preserve"> </w:t>
      </w:r>
      <w:r>
        <w:t xml:space="preserve">no.</w:t>
      </w:r>
    </w:p>
    <w:p>
      <w:pPr>
        <w:numPr>
          <w:ilvl w:val="0"/>
          <w:numId w:val="1221"/>
        </w:numPr>
        <w:pStyle w:val="Compact"/>
      </w:pPr>
      <w:r>
        <w:rPr>
          <w:bCs/>
          <w:b/>
        </w:rPr>
        <w:t xml:space="preserve">Autorizzazione USA:</w:t>
      </w:r>
      <w:r>
        <w:t xml:space="preserve"> </w:t>
      </w:r>
      <w:r>
        <w:t xml:space="preserve">no.</w:t>
      </w:r>
    </w:p>
    <w:p>
      <w:pPr>
        <w:numPr>
          <w:ilvl w:val="0"/>
          <w:numId w:val="1221"/>
        </w:numPr>
        <w:pStyle w:val="Compact"/>
      </w:pPr>
      <w:r>
        <w:rPr>
          <w:bCs/>
          <w:b/>
        </w:rPr>
        <w:t xml:space="preserve">Russia:</w:t>
      </w:r>
      <w:r>
        <w:t xml:space="preserve"> </w:t>
      </w:r>
      <w:r>
        <w:t xml:space="preserve">commercializzato in capsule come componente dei cosiddetti «citogeni», quindi più come integratore alimentare che come medicinale sperimentato.</w:t>
      </w:r>
    </w:p>
    <w:p>
      <w:pPr>
        <w:numPr>
          <w:ilvl w:val="0"/>
          <w:numId w:val="1221"/>
        </w:numPr>
        <w:pStyle w:val="Compact"/>
      </w:pPr>
      <w:r>
        <w:rPr>
          <w:bCs/>
          <w:b/>
        </w:rPr>
        <w:t xml:space="preserve">WADA:</w:t>
      </w:r>
      <w:r>
        <w:t xml:space="preserve"> </w:t>
      </w:r>
      <w:r>
        <w:t xml:space="preserve">non elencato per nome; un principio attivo non autorizzato come medicinale può rientrare nella categoria generale S0.</w:t>
      </w:r>
    </w:p>
    <w:p>
      <w:pPr>
        <w:numPr>
          <w:ilvl w:val="0"/>
          <w:numId w:val="1221"/>
        </w:numPr>
        <w:pStyle w:val="Compact"/>
      </w:pPr>
      <w:r>
        <w:rPr>
          <w:bCs/>
          <w:b/>
        </w:rPr>
        <w:t xml:space="preserve">Livello di evidenza:</w:t>
      </w:r>
      <w:r>
        <w:t xml:space="preserve"> </w:t>
      </w:r>
      <w:r>
        <w:rPr>
          <w:bCs/>
          <w:b/>
        </w:rPr>
        <w:t xml:space="preserve">C</w:t>
      </w:r>
      <w:r>
        <w:t xml:space="preserve"> </w:t>
      </w:r>
      <w:r>
        <w:t xml:space="preserve">– alcuni piccoli studi osservazionali russi non randomizzati, con misure surrogate come l’«età biologica».</w:t>
      </w:r>
    </w:p>
    <w:bookmarkEnd w:id="1798"/>
    <w:bookmarkStart w:id="1802" w:name="come-dovrebbe-agire-40"/>
    <w:p>
      <w:pPr>
        <w:pStyle w:val="Heading3"/>
      </w:pPr>
      <w:r>
        <w:t xml:space="preserve">Come dovrebbe agire</w:t>
      </w:r>
    </w:p>
    <w:p>
      <w:pPr>
        <w:pStyle w:val="FirstParagraph"/>
      </w:pPr>
      <w:r>
        <w:t xml:space="preserve">Il Pinealon appartiene a una famiglia di peptidi molto corti (da due a quattro amminoacidi) che il gruppo di San Pietroburgo definisce «bioregolatori peptidici». L’ipotesi centrale è: questi mini-peptidi arrivano fino al nucleo cellulare, si legano lì a determinati segmenti di DNA e regolano in questo modo i geni, in modo simile ai fattori di trascrizione, cioè le proteine che attivano e disattivano i geni.</w:t>
      </w:r>
    </w:p>
    <w:p>
      <w:pPr>
        <w:pStyle w:val="BodyText"/>
      </w:pPr>
      <w:r>
        <w:t xml:space="preserve">Le prove in tal senso provengono dal laboratorio:</w:t>
      </w:r>
    </w:p>
    <w:p>
      <w:pPr>
        <w:numPr>
          <w:ilvl w:val="0"/>
          <w:numId w:val="1222"/>
        </w:numPr>
        <w:pStyle w:val="Compact"/>
      </w:pPr>
      <w:r>
        <w:t xml:space="preserve">In cellule tumorali (HeLa) peptidi Pinealon, Epitalon e affini marcati con fluorescenza sono penetrati nel citoplasma, nel nucleo e nei nucleoli; in provetta hanno modificato la fluorescenza di frammenti di DNA marcati a seconda della loro sequenza</w:t>
      </w:r>
      <w:r>
        <w:rPr>
          <w:rStyle w:val="FootnoteReference"/>
        </w:rPr>
        <w:footnoteReference w:id="1799"/>
      </w:r>
      <w:r>
        <w:t xml:space="preserve">.</w:t>
      </w:r>
    </w:p>
    <w:p>
      <w:pPr>
        <w:numPr>
          <w:ilvl w:val="0"/>
          <w:numId w:val="1222"/>
        </w:numPr>
        <w:pStyle w:val="Compact"/>
      </w:pPr>
      <w:r>
        <w:t xml:space="preserve">In neuroni del cervelletto di ratto e in altre colture cellulari il Pinealon ha limitato l’accumulo di specie reattive dell’ossigeno e ridotto la morte cellulare</w:t>
      </w:r>
      <w:r>
        <w:rPr>
          <w:rStyle w:val="FootnoteReference"/>
        </w:rPr>
        <w:footnoteReference w:id="1800"/>
      </w:r>
      <w:r>
        <w:t xml:space="preserve">.</w:t>
      </w:r>
    </w:p>
    <w:p>
      <w:pPr>
        <w:pStyle w:val="FirstParagraph"/>
      </w:pPr>
      <w:r>
        <w:t xml:space="preserve">Una rassegna degli sviluppatori riassume che il peptide EDR, in esperimenti su cellule e animali, influenzerebbe geni e proteine che hanno un ruolo nella malattia di Alzheimer, per esempio enzimi della difesa antiossidante e segnali di morte cellulare</w:t>
      </w:r>
      <w:r>
        <w:rPr>
          <w:rStyle w:val="FootnoteReference"/>
        </w:rPr>
        <w:footnoteReference w:id="1801"/>
      </w:r>
      <w:r>
        <w:t xml:space="preserve">. È un’ipotesi finora quasi mai verificata da altri gruppi di ricerca. Dalla farmacologia classica è inoltre noto che peptidi così corti vengono scomposti rapidamente nel tratto digerente e nel sangue; quanto Pinealon immodificato raggiunga i neuroni dopo l’assunzione di una capsula non è stato studiato.</w:t>
      </w:r>
    </w:p>
    <w:bookmarkEnd w:id="1802"/>
    <w:bookmarkStart w:id="1804" w:name="studi-sulluomo-40"/>
    <w:p>
      <w:pPr>
        <w:pStyle w:val="Heading3"/>
      </w:pPr>
      <w:r>
        <w:t xml:space="preserve">Studi sull’uomo</w:t>
      </w:r>
    </w:p>
    <w:p>
      <w:pPr>
        <w:pStyle w:val="FirstParagraph"/>
      </w:pPr>
      <w:r>
        <w:rPr>
          <w:bCs/>
          <w:b/>
        </w:rPr>
        <w:t xml:space="preserve">Dimensioni della letteratura:</w:t>
      </w:r>
      <w:r>
        <w:t xml:space="preserve"> </w:t>
      </w:r>
      <w:r>
        <w:t xml:space="preserve">la ricerca automatizzata in PubMed (ottobre 2026) ha dato</w:t>
      </w:r>
      <w:r>
        <w:t xml:space="preserve"> </w:t>
      </w:r>
      <w:r>
        <w:rPr>
          <w:bCs/>
          <w:b/>
        </w:rPr>
        <w:t xml:space="preserve">una</w:t>
      </w:r>
      <w:r>
        <w:t xml:space="preserve"> </w:t>
      </w:r>
      <w:r>
        <w:t xml:space="preserve">pubblicazione classificata come studio sull’uomo; complessivamente PubMed elenca solo 15 lavori con «Pinealon» nel titolo o nell’abstract. Su ClinicalTrials.gov non è registrato alcuno studio. Una ricerca supplementare ha individuato altri tre piccoli lavori russi su persone, tutti nella rivista «Uspekhi Gerontologii» (Progressi della gerontologia).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Bashkireva 2012, PMID 23734521</w:t>
            </w:r>
          </w:p>
        </w:tc>
        <w:tc>
          <w:tcPr/>
          <w:p>
            <w:pPr>
              <w:pStyle w:val="Compact"/>
              <w:jc w:val="left"/>
            </w:pPr>
            <w:r>
              <w:t xml:space="preserve">150 camionisti, 150 metalmeccanici come confronto; peptidi in sottogruppi</w:t>
            </w:r>
          </w:p>
        </w:tc>
        <w:tc>
          <w:tcPr/>
          <w:p>
            <w:pPr>
              <w:pStyle w:val="Compact"/>
              <w:jc w:val="left"/>
            </w:pPr>
            <w:r>
              <w:t xml:space="preserve">non indicata</w:t>
            </w:r>
          </w:p>
        </w:tc>
        <w:tc>
          <w:tcPr/>
          <w:p>
            <w:pPr>
              <w:pStyle w:val="Compact"/>
              <w:jc w:val="left"/>
            </w:pPr>
            <w:r>
              <w:t xml:space="preserve">secondo gli autori valori psicoemotivi migliori, effetto migliore con la combinazione di due peptidi</w:t>
            </w:r>
          </w:p>
        </w:tc>
      </w:tr>
      <w:tr>
        <w:tc>
          <w:tcPr/>
          <w:p>
            <w:pPr>
              <w:pStyle w:val="Compact"/>
              <w:jc w:val="left"/>
            </w:pPr>
            <w:r>
              <w:t xml:space="preserve">Nazimko 2012, PMID 22708445</w:t>
            </w:r>
          </w:p>
        </w:tc>
        <w:tc>
          <w:tcPr/>
          <w:p>
            <w:pPr>
              <w:pStyle w:val="Compact"/>
              <w:jc w:val="left"/>
            </w:pPr>
            <w:r>
              <w:t xml:space="preserve">squadre di macchinisti ferroviari, capsule di Pinealon</w:t>
            </w:r>
          </w:p>
        </w:tc>
        <w:tc>
          <w:tcPr/>
          <w:p>
            <w:pPr>
              <w:pStyle w:val="Compact"/>
              <w:jc w:val="left"/>
            </w:pPr>
            <w:r>
              <w:t xml:space="preserve">2 settimane</w:t>
            </w:r>
          </w:p>
        </w:tc>
        <w:tc>
          <w:tcPr/>
          <w:p>
            <w:pPr>
              <w:pStyle w:val="Compact"/>
              <w:jc w:val="left"/>
            </w:pPr>
            <w:r>
              <w:t xml:space="preserve">secondo gli autori «età biologica» migliore e migliori reazioni di adattamento</w:t>
            </w:r>
          </w:p>
        </w:tc>
      </w:tr>
      <w:tr>
        <w:tc>
          <w:tcPr/>
          <w:p>
            <w:pPr>
              <w:pStyle w:val="Compact"/>
              <w:jc w:val="left"/>
            </w:pPr>
            <w:r>
              <w:t xml:space="preserve">Meshchaninov 2015, PMID 26390612</w:t>
            </w:r>
          </w:p>
        </w:tc>
        <w:tc>
          <w:tcPr/>
          <w:p>
            <w:pPr>
              <w:pStyle w:val="Compact"/>
              <w:jc w:val="left"/>
            </w:pPr>
            <w:r>
              <w:t xml:space="preserve">32 persone (41–83 anni) con polipatologia e sindrome psicorganica</w:t>
            </w:r>
          </w:p>
        </w:tc>
        <w:tc>
          <w:tcPr/>
          <w:p>
            <w:pPr>
              <w:pStyle w:val="Compact"/>
              <w:jc w:val="left"/>
            </w:pPr>
            <w:r>
              <w:t xml:space="preserve">non indicata</w:t>
            </w:r>
          </w:p>
        </w:tc>
        <w:tc>
          <w:tcPr/>
          <w:p>
            <w:pPr>
              <w:pStyle w:val="Compact"/>
              <w:jc w:val="left"/>
            </w:pPr>
            <w:r>
              <w:t xml:space="preserve">effetto «anabolico»; indizi di effetto ossidante e di inibizione dell’emopoiesi</w:t>
            </w:r>
          </w:p>
        </w:tc>
      </w:tr>
      <w:tr>
        <w:tc>
          <w:tcPr/>
          <w:p>
            <w:pPr>
              <w:pStyle w:val="Compact"/>
              <w:jc w:val="left"/>
            </w:pPr>
            <w:r>
              <w:t xml:space="preserve">Myakotnykh 2016, PMID 28539017</w:t>
            </w:r>
          </w:p>
        </w:tc>
        <w:tc>
          <w:tcPr/>
          <w:p>
            <w:pPr>
              <w:pStyle w:val="Compact"/>
              <w:jc w:val="left"/>
            </w:pPr>
            <w:r>
              <w:t xml:space="preserve">110 persone, confronto di diversi metodi «anti-aging»</w:t>
            </w:r>
          </w:p>
        </w:tc>
        <w:tc>
          <w:tcPr/>
          <w:p>
            <w:pPr>
              <w:pStyle w:val="Compact"/>
              <w:jc w:val="left"/>
            </w:pPr>
            <w:r>
              <w:t xml:space="preserve">non indicata</w:t>
            </w:r>
          </w:p>
        </w:tc>
        <w:tc>
          <w:tcPr/>
          <w:p>
            <w:pPr>
              <w:pStyle w:val="Compact"/>
              <w:jc w:val="left"/>
            </w:pPr>
            <w:r>
              <w:t xml:space="preserve">effetto maggiore sull’«età biologica» con la combinazione di due peptidi</w:t>
            </w:r>
          </w:p>
        </w:tc>
      </w:tr>
    </w:tbl>
    <w:p>
      <w:pPr>
        <w:pStyle w:val="BodyText"/>
      </w:pPr>
      <w:r>
        <w:t xml:space="preserve">Tutti e quattro i lavori hanno debolezze comuni:</w:t>
      </w:r>
    </w:p>
    <w:p>
      <w:pPr>
        <w:numPr>
          <w:ilvl w:val="0"/>
          <w:numId w:val="1223"/>
        </w:numPr>
        <w:pStyle w:val="Compact"/>
      </w:pPr>
      <w:r>
        <w:rPr>
          <w:bCs/>
          <w:b/>
        </w:rPr>
        <w:t xml:space="preserve">Nessun placebo, nessun mascheramento, nessuna assegnazione casuale</w:t>
      </w:r>
      <w:r>
        <w:t xml:space="preserve"> </w:t>
      </w:r>
      <w:r>
        <w:t xml:space="preserve">riconoscibili. Nei questionari su umore e stress l’effetto aspettativa è considerevole.</w:t>
      </w:r>
    </w:p>
    <w:p>
      <w:pPr>
        <w:numPr>
          <w:ilvl w:val="0"/>
          <w:numId w:val="1223"/>
        </w:numPr>
        <w:pStyle w:val="Compact"/>
      </w:pPr>
      <w:r>
        <w:rPr>
          <w:bCs/>
          <w:b/>
        </w:rPr>
        <w:t xml:space="preserve">Misure surrogate invece di endpoint clinici:</w:t>
      </w:r>
      <w:r>
        <w:t xml:space="preserve"> </w:t>
      </w:r>
      <w:r>
        <w:t xml:space="preserve">l’«età biologica» viene calcolata nella gerontologia russa da una combinazione di misurazioni come pressione arteriosa, funzione polmonare, tempo di reazione e autovalutazione. Non è una misura standardizzata a livello internazionale, e un suo miglioramento non significa automaticamente più salute o una vita più lunga.</w:t>
      </w:r>
    </w:p>
    <w:p>
      <w:pPr>
        <w:numPr>
          <w:ilvl w:val="0"/>
          <w:numId w:val="1223"/>
        </w:numPr>
        <w:pStyle w:val="Compact"/>
      </w:pPr>
      <w:r>
        <w:rPr>
          <w:bCs/>
          <w:b/>
        </w:rPr>
        <w:t xml:space="preserve">Combinazioni:</w:t>
      </w:r>
      <w:r>
        <w:t xml:space="preserve"> </w:t>
      </w:r>
      <w:r>
        <w:t xml:space="preserve">in diversi studi il Pinealon è stato somministrato insieme al peptide Vesugen (Lys-Glu-Asp), per cui l’effetto non può essere attribuito a una sola sostanza.</w:t>
      </w:r>
    </w:p>
    <w:p>
      <w:pPr>
        <w:numPr>
          <w:ilvl w:val="0"/>
          <w:numId w:val="1223"/>
        </w:numPr>
        <w:pStyle w:val="Compact"/>
      </w:pPr>
      <w:r>
        <w:rPr>
          <w:bCs/>
          <w:b/>
        </w:rPr>
        <w:t xml:space="preserve">Numeri poco chiari:</w:t>
      </w:r>
      <w:r>
        <w:t xml:space="preserve"> </w:t>
      </w:r>
      <w:r>
        <w:t xml:space="preserve">gli abstract riportano a malapena dimensioni dell’effetto.</w:t>
      </w:r>
    </w:p>
    <w:p>
      <w:pPr>
        <w:pStyle w:val="FirstParagraph"/>
      </w:pPr>
      <w:r>
        <w:t xml:space="preserve">Degno di nota è un risultato che nella pubblicità non compare: nello studio con 32 persone anziane gli autori hanno osservato con Pinealon e Vesugen un’attività</w:t>
      </w:r>
      <w:r>
        <w:t xml:space="preserve"> </w:t>
      </w:r>
      <w:r>
        <w:rPr>
          <w:bCs/>
          <w:b/>
        </w:rPr>
        <w:t xml:space="preserve">pro-ossidante</w:t>
      </w:r>
      <w:r>
        <w:t xml:space="preserve">, cioè l’opposto dell’effetto antiossidante dichiarato, e una diminuzione delle cellule staminali emopoietiche (CD34+) nel sangue, che descrivono come una marcata inibizione dell’emopoiesi. Ciononostante raccomandano i peptidi per la pratica geriatrica</w:t>
      </w:r>
      <w:r>
        <w:rPr>
          <w:rStyle w:val="FootnoteReference"/>
        </w:rPr>
        <w:footnoteReference w:id="1803"/>
      </w:r>
      <w:r>
        <w:t xml:space="preserve">.</w:t>
      </w:r>
    </w:p>
    <w:bookmarkEnd w:id="1804"/>
    <w:bookmarkStart w:id="1808" w:name="studi-su-animali-e-in-laboratorio-40"/>
    <w:p>
      <w:pPr>
        <w:pStyle w:val="Heading3"/>
      </w:pPr>
      <w:r>
        <w:t xml:space="preserve">Studi su animali e in laboratorio</w:t>
      </w:r>
    </w:p>
    <w:p>
      <w:pPr>
        <w:numPr>
          <w:ilvl w:val="0"/>
          <w:numId w:val="1224"/>
        </w:numPr>
        <w:pStyle w:val="Compact"/>
      </w:pPr>
      <w:r>
        <w:t xml:space="preserve">In ratti le cui madri durante la gravidanza avevano livelli elevati di omocisteina a causa di un mangime ricco di metionina, il Pinealon (somministrato alle madri) ha migliorato orientamento e capacità di apprendimento della prole; i neuroni del cervelletto di quest’ultima erano più resistenti allo stress ossidativo</w:t>
      </w:r>
      <w:r>
        <w:rPr>
          <w:rStyle w:val="FootnoteReference"/>
        </w:rPr>
        <w:footnoteReference w:id="1805"/>
      </w:r>
      <w:r>
        <w:t xml:space="preserve">.</w:t>
      </w:r>
    </w:p>
    <w:p>
      <w:pPr>
        <w:numPr>
          <w:ilvl w:val="0"/>
          <w:numId w:val="1224"/>
        </w:numPr>
        <w:pStyle w:val="Compact"/>
      </w:pPr>
      <w:r>
        <w:t xml:space="preserve">In ratti di 18 mesi, Pinealon e Cortexin (un preparato russo di estratto cerebrale) hanno influenzato, in condizioni di carenza di ossigeno e ipotermia, comportamento e messaggeri nel cervello; il Cortexin ha agito più fortemente sui processi radicalici e sugli enzimi della morte cellulare</w:t>
      </w:r>
      <w:r>
        <w:rPr>
          <w:rStyle w:val="FootnoteReference"/>
        </w:rPr>
        <w:footnoteReference w:id="1806"/>
      </w:r>
      <w:r>
        <w:t xml:space="preserve">.</w:t>
      </w:r>
    </w:p>
    <w:p>
      <w:pPr>
        <w:numPr>
          <w:ilvl w:val="0"/>
          <w:numId w:val="1224"/>
        </w:numPr>
        <w:pStyle w:val="Compact"/>
      </w:pPr>
      <w:r>
        <w:t xml:space="preserve">In colture cellulari il Pinealon ha protetto diversi tipi di cellule dallo stress ossidativo</w:t>
      </w:r>
      <w:r>
        <w:rPr>
          <w:rStyle w:val="FootnoteReference"/>
        </w:rPr>
        <w:footnoteReference w:id="1807"/>
      </w:r>
      <w:r>
        <w:t xml:space="preserve">.</w:t>
      </w:r>
    </w:p>
    <w:p>
      <w:pPr>
        <w:pStyle w:val="FirstParagraph"/>
      </w:pPr>
      <w:r>
        <w:t xml:space="preserve">Quasi tutti i lavori provengono dal gruppo degli sviluppatori o da istituti russi che collaborano con esso.</w:t>
      </w:r>
    </w:p>
    <w:bookmarkEnd w:id="1808"/>
    <w:bookmarkStart w:id="1810" w:name="rischi-ed-effetti-collaterali-40"/>
    <w:p>
      <w:pPr>
        <w:pStyle w:val="Heading3"/>
      </w:pPr>
      <w:r>
        <w:t xml:space="preserve">Rischi ed effetti collaterali</w:t>
      </w:r>
    </w:p>
    <w:p>
      <w:pPr>
        <w:pStyle w:val="FirstParagraph"/>
      </w:pPr>
      <w:r>
        <w:rPr>
          <w:bCs/>
          <w:b/>
        </w:rPr>
        <w:t xml:space="preserve">Documentati:</w:t>
      </w:r>
      <w:r>
        <w:t xml:space="preserve"> </w:t>
      </w:r>
      <w:r>
        <w:t xml:space="preserve">non esistono dati di sicurezza sistematici. L’unico studio che riporta i valori di laboratorio in modo più dettagliato descrive un’attività pro-ossidante e una diminuzione delle cellule staminali emopoietiche nel sangue</w:t>
      </w:r>
      <w:r>
        <w:rPr>
          <w:rStyle w:val="FootnoteReference"/>
        </w:rPr>
        <w:footnoteReference w:id="1809"/>
      </w:r>
      <w:r>
        <w:t xml:space="preserve">. Che cosa significhi non è chiaro, ma è un segnale d’allarme che non è stato approfondito.</w:t>
      </w:r>
    </w:p>
    <w:p>
      <w:pPr>
        <w:pStyle w:val="BodyText"/>
      </w:pPr>
      <w:r>
        <w:rPr>
          <w:bCs/>
          <w:b/>
        </w:rPr>
        <w:t xml:space="preserve">Teorici:</w:t>
      </w:r>
      <w:r>
        <w:t xml:space="preserve"> </w:t>
      </w:r>
      <w:r>
        <w:t xml:space="preserve">se l’ipotesi degli sviluppatori è corretta e il Pinealon si lega davvero al DNA regolando i geni, sarebbero ipotizzabili anche effetti genetici indesiderati. Non esistono indagini su danni al materiale genetico, rischio di cancro o effetti a lungo termine.</w:t>
      </w:r>
    </w:p>
    <w:p>
      <w:pPr>
        <w:pStyle w:val="BodyText"/>
      </w:pPr>
      <w:r>
        <w:rPr>
          <w:bCs/>
          <w:b/>
        </w:rPr>
        <w:t xml:space="preserve">Mercato grigio:</w:t>
      </w:r>
      <w:r>
        <w:t xml:space="preserve"> </w:t>
      </w:r>
      <w:r>
        <w:t xml:space="preserve">il Pinealon viene offerto online in capsule, spray nasale o polvere per iniezione, per lo più con promesse su memoria, sonno e «ringiovanimento cerebrale». Contenuto e purezza non sono verificati.</w:t>
      </w:r>
    </w:p>
    <w:bookmarkEnd w:id="1810"/>
    <w:bookmarkStart w:id="1811" w:name="quadro-normativo-40"/>
    <w:p>
      <w:pPr>
        <w:pStyle w:val="Heading3"/>
      </w:pPr>
      <w:r>
        <w:t xml:space="preserve">Quadro normativo</w:t>
      </w:r>
    </w:p>
    <w:p>
      <w:pPr>
        <w:numPr>
          <w:ilvl w:val="0"/>
          <w:numId w:val="1225"/>
        </w:numPr>
        <w:pStyle w:val="Compact"/>
      </w:pPr>
      <w:r>
        <w:rPr>
          <w:bCs/>
          <w:b/>
        </w:rPr>
        <w:t xml:space="preserve">UE / Austria / Germania:</w:t>
      </w:r>
      <w:r>
        <w:t xml:space="preserve"> </w:t>
      </w:r>
      <w:r>
        <w:t xml:space="preserve">non autorizzato come medicinale. Una vendita come integratore alimentare sarebbe ammissibile solo se la sostanza fosse consentita dalla normativa alimentare; in quanto sostanza sintetica nuova con effetto farmacologico previsto, secondo la nostra valutazione non è così.</w:t>
      </w:r>
    </w:p>
    <w:p>
      <w:pPr>
        <w:numPr>
          <w:ilvl w:val="0"/>
          <w:numId w:val="1225"/>
        </w:numPr>
        <w:pStyle w:val="Compact"/>
      </w:pPr>
      <w:r>
        <w:rPr>
          <w:bCs/>
          <w:b/>
        </w:rPr>
        <w:t xml:space="preserve">USA:</w:t>
      </w:r>
      <w:r>
        <w:t xml:space="preserve"> </w:t>
      </w:r>
      <w:r>
        <w:t xml:space="preserve">non autorizzato.</w:t>
      </w:r>
    </w:p>
    <w:p>
      <w:pPr>
        <w:numPr>
          <w:ilvl w:val="0"/>
          <w:numId w:val="1225"/>
        </w:numPr>
        <w:pStyle w:val="Compact"/>
      </w:pPr>
      <w:r>
        <w:rPr>
          <w:bCs/>
          <w:b/>
        </w:rPr>
        <w:t xml:space="preserve">Russia:</w:t>
      </w:r>
      <w:r>
        <w:t xml:space="preserve"> </w:t>
      </w:r>
      <w:r>
        <w:t xml:space="preserve">in commercio come componente di preparati peptidici che non hanno seguito la procedura di autorizzazione dei medicinali.</w:t>
      </w:r>
    </w:p>
    <w:p>
      <w:pPr>
        <w:numPr>
          <w:ilvl w:val="0"/>
          <w:numId w:val="1225"/>
        </w:numPr>
        <w:pStyle w:val="Compact"/>
      </w:pPr>
      <w:r>
        <w:rPr>
          <w:bCs/>
          <w:b/>
        </w:rPr>
        <w:t xml:space="preserve">Sport:</w:t>
      </w:r>
      <w:r>
        <w:t xml:space="preserve"> </w:t>
      </w:r>
      <w:r>
        <w:t xml:space="preserve">non elencato per nome; possibile inclusione nella categoria WADA S0 (aggiornato al 2026, da verificare).</w:t>
      </w:r>
    </w:p>
    <w:bookmarkEnd w:id="1811"/>
    <w:bookmarkStart w:id="1812" w:name="studi-in-corso-e-prospettive-40"/>
    <w:p>
      <w:pPr>
        <w:pStyle w:val="Heading3"/>
      </w:pPr>
      <w:r>
        <w:t xml:space="preserve">Studi in corso e prospettive</w:t>
      </w:r>
    </w:p>
    <w:p>
      <w:pPr>
        <w:pStyle w:val="FirstParagraph"/>
      </w:pPr>
      <w:r>
        <w:rPr>
          <w:bCs/>
          <w:b/>
        </w:rPr>
        <w:t xml:space="preserve">Assodato:</w:t>
      </w:r>
      <w:r>
        <w:t xml:space="preserve"> </w:t>
      </w:r>
      <w:r>
        <w:t xml:space="preserve">nessuno studio registrato (ricerca di ottobre 2026).</w:t>
      </w:r>
    </w:p>
    <w:p>
      <w:pPr>
        <w:pStyle w:val="BodyText"/>
      </w:pPr>
      <w:r>
        <w:rPr>
          <w:bCs/>
          <w:b/>
        </w:rPr>
        <w:t xml:space="preserve">Valutazione:</w:t>
      </w:r>
      <w:r>
        <w:t xml:space="preserve"> </w:t>
      </w:r>
      <w:r>
        <w:t xml:space="preserve">finché la ricerca resta limitata a una ristretta cerchia di istituti russi e non vengono condotti studi randomizzati e controllati con placebo con endpoint clinici, il Pinealon resta un concetto di laboratorio con una sovrastruttura di marketing.</w:t>
      </w:r>
    </w:p>
    <w:bookmarkEnd w:id="1812"/>
    <w:bookmarkStart w:id="1813" w:name="conclusione-40"/>
    <w:p>
      <w:pPr>
        <w:pStyle w:val="Heading3"/>
      </w:pPr>
      <w:r>
        <w:t xml:space="preserve">Conclusione</w:t>
      </w:r>
    </w:p>
    <w:p>
      <w:pPr>
        <w:pStyle w:val="FirstParagraph"/>
      </w:pPr>
      <w:r>
        <w:t xml:space="preserve">Il Pinealon è un tripeptide sintetico di San Pietroburgo che in colture cellulari e nei ratti ha protetto i neuroni dallo stress ossidativo; gli sviluppatori ipotizzano un effetto diretto sui geni. I pochi studi sull’uomo sono piccoli, non controllati e misurano soprattutto un’«età biologica» non standardizzata. Uno di essi ha persino trovato indizi di un effetto pro-ossidante e di un’inibizione dell’emopoiesi. I dati non bastano per valutare un beneficio o la sicurezza nell’uomo.</w:t>
      </w:r>
    </w:p>
    <w:bookmarkEnd w:id="1813"/>
    <w:bookmarkEnd w:id="1814"/>
    <w:bookmarkStart w:id="1843" w:name="mots-c"/>
    <w:p>
      <w:pPr>
        <w:pStyle w:val="Heading2"/>
      </w:pPr>
      <w:r>
        <w:t xml:space="preserve">MOTS-c</w:t>
      </w:r>
    </w:p>
    <w:bookmarkStart w:id="1815" w:name="scheda-41"/>
    <w:p>
      <w:pPr>
        <w:pStyle w:val="Heading3"/>
      </w:pPr>
      <w:r>
        <w:t xml:space="preserve">Scheda</w:t>
      </w:r>
    </w:p>
    <w:p>
      <w:pPr>
        <w:numPr>
          <w:ilvl w:val="0"/>
          <w:numId w:val="1226"/>
        </w:numPr>
        <w:pStyle w:val="Compact"/>
      </w:pPr>
      <w:r>
        <w:rPr>
          <w:bCs/>
          <w:b/>
        </w:rPr>
        <w:t xml:space="preserve">Tipo e struttura:</w:t>
      </w:r>
      <w:r>
        <w:t xml:space="preserve"> </w:t>
      </w:r>
      <w:r>
        <w:t xml:space="preserve">peptide di 16 amminoacidi. Il nome sta per</w:t>
      </w:r>
      <w:r>
        <w:t xml:space="preserve"> </w:t>
      </w:r>
      <w:r>
        <w:rPr>
          <w:iCs/>
          <w:i/>
        </w:rPr>
        <w:t xml:space="preserve">mitochondrial open reading frame of the 12S rRNA-c</w:t>
      </w:r>
      <w:r>
        <w:t xml:space="preserve">: non è codificato nel nucleo cellulare, ma nel genoma dei mitocondri, le «centrali energetiche» della cellula.</w:t>
      </w:r>
    </w:p>
    <w:p>
      <w:pPr>
        <w:numPr>
          <w:ilvl w:val="0"/>
          <w:numId w:val="1226"/>
        </w:numPr>
        <w:pStyle w:val="Compact"/>
      </w:pPr>
      <w:r>
        <w:rPr>
          <w:bCs/>
          <w:b/>
        </w:rPr>
        <w:t xml:space="preserve">Origine:</w:t>
      </w:r>
      <w:r>
        <w:t xml:space="preserve"> </w:t>
      </w:r>
      <w:r>
        <w:t xml:space="preserve">descritto nel 2015 da un gruppo di lavoro guidato da Pinchas Cohen presso la University of Southern California. L’organismo lo produce da sé, soprattutto nel muscolo scheletrico.</w:t>
      </w:r>
    </w:p>
    <w:p>
      <w:pPr>
        <w:numPr>
          <w:ilvl w:val="0"/>
          <w:numId w:val="1226"/>
        </w:numPr>
        <w:pStyle w:val="Compact"/>
      </w:pPr>
      <w:r>
        <w:rPr>
          <w:bCs/>
          <w:b/>
        </w:rPr>
        <w:t xml:space="preserve">Principio d’azione:</w:t>
      </w:r>
      <w:r>
        <w:t xml:space="preserve"> </w:t>
      </w:r>
      <w:r>
        <w:t xml:space="preserve">è considerato una «mitochina», una sostanza di segnalazione dei mitocondri. Nei topi ha attivato il sensore energetico AMPK, migliorato la sensibilità all’insulina e la capacità fisica; per questo viene discusso come «imitatore dell’esercizio fisico» (exercise mimetic).</w:t>
      </w:r>
    </w:p>
    <w:p>
      <w:pPr>
        <w:numPr>
          <w:ilvl w:val="0"/>
          <w:numId w:val="1226"/>
        </w:numPr>
        <w:pStyle w:val="Compact"/>
      </w:pPr>
      <w:r>
        <w:rPr>
          <w:bCs/>
          <w:b/>
        </w:rPr>
        <w:t xml:space="preserve">Autorizzazione UE:</w:t>
      </w:r>
      <w:r>
        <w:t xml:space="preserve"> </w:t>
      </w:r>
      <w:r>
        <w:t xml:space="preserve">no.</w:t>
      </w:r>
    </w:p>
    <w:p>
      <w:pPr>
        <w:numPr>
          <w:ilvl w:val="0"/>
          <w:numId w:val="1226"/>
        </w:numPr>
        <w:pStyle w:val="Compact"/>
      </w:pPr>
      <w:r>
        <w:rPr>
          <w:bCs/>
          <w:b/>
        </w:rPr>
        <w:t xml:space="preserve">Autorizzazione USA:</w:t>
      </w:r>
      <w:r>
        <w:t xml:space="preserve"> </w:t>
      </w:r>
      <w:r>
        <w:t xml:space="preserve">no. Nell’aprile 2026 è stato cancellato dalla «categoria 2» della FDA; nel luglio 2026 il comitato consultivo PCAC ha votato con 7 voti contro 5 a favore dell’inserimento nell’elenco delle sostanze ammesse per preparazioni magistrali (aggiornato a ottobre 2026, da verificare).</w:t>
      </w:r>
    </w:p>
    <w:p>
      <w:pPr>
        <w:numPr>
          <w:ilvl w:val="0"/>
          <w:numId w:val="1226"/>
        </w:numPr>
        <w:pStyle w:val="Compact"/>
      </w:pPr>
      <w:r>
        <w:rPr>
          <w:bCs/>
          <w:b/>
        </w:rPr>
        <w:t xml:space="preserve">WADA:</w:t>
      </w:r>
      <w:r>
        <w:t xml:space="preserve"> </w:t>
      </w:r>
      <w:r>
        <w:rPr>
          <w:bCs/>
          <w:b/>
        </w:rPr>
        <w:t xml:space="preserve">vietato</w:t>
      </w:r>
      <w:r>
        <w:t xml:space="preserve"> </w:t>
      </w:r>
      <w:r>
        <w:t xml:space="preserve">– citato espressamente nella categoria S4 (modulatori ormonali e metabolici) come esempio di attivatore dell’AMPK, in gara e fuori gara.</w:t>
      </w:r>
    </w:p>
    <w:p>
      <w:pPr>
        <w:numPr>
          <w:ilvl w:val="0"/>
          <w:numId w:val="1226"/>
        </w:numPr>
        <w:pStyle w:val="Compact"/>
      </w:pPr>
      <w:r>
        <w:rPr>
          <w:bCs/>
          <w:b/>
        </w:rPr>
        <w:t xml:space="preserve">Livello di evidenza:</w:t>
      </w:r>
      <w:r>
        <w:t xml:space="preserve"> </w:t>
      </w:r>
      <w:r>
        <w:rPr>
          <w:bCs/>
          <w:b/>
        </w:rPr>
        <w:t xml:space="preserve">D</w:t>
      </w:r>
      <w:r>
        <w:t xml:space="preserve"> </w:t>
      </w:r>
      <w:r>
        <w:t xml:space="preserve">per la somministrazione come principio attivo – non esistono risultati pubblicati di studi controllati sull’uomo; nell’uomo esistono solo studi osservazionali sui livelli endogeni.</w:t>
      </w:r>
    </w:p>
    <w:bookmarkEnd w:id="1815"/>
    <w:bookmarkStart w:id="1819" w:name="come-dovrebbe-agire-41"/>
    <w:p>
      <w:pPr>
        <w:pStyle w:val="Heading3"/>
      </w:pPr>
      <w:r>
        <w:t xml:space="preserve">Come dovrebbe agire</w:t>
      </w:r>
    </w:p>
    <w:p>
      <w:pPr>
        <w:pStyle w:val="FirstParagraph"/>
      </w:pPr>
      <w:r>
        <w:t xml:space="preserve">I mitocondri possiedono un proprio piccolo genoma. A lungo è stato considerato il «progetto» di sole 13 proteine della produzione di energia. Dall’inizio degli anni Duemila vi sono stati scoperti anche brevi segmenti di lettura che codificano piccoli peptidi di segnalazione: prima l’umanina (si veda il capitolo successivo), poi il MOTS-c.</w:t>
      </w:r>
    </w:p>
    <w:p>
      <w:pPr>
        <w:pStyle w:val="BodyText"/>
      </w:pPr>
      <w:r>
        <w:t xml:space="preserve">La prima descrizione ha mostrato nei topi che il MOTS-c agisce soprattutto sul muscolo scheletrico: inibisce una via metabolica (ciclo dei folati e sintesi delle purine), per cui si accumula il messaggero AICAR e viene attivato l’enzima AMPK, lo stesso sensore energetico su cui agiscono anche l’esercizio fisico e il farmaco antidiabetico metformina. I topi a cui veniva iniettato MOTS-c sviluppavano con una dieta ricca di grassi meno sovrappeso e meno insulino-resistenza</w:t>
      </w:r>
      <w:r>
        <w:rPr>
          <w:rStyle w:val="FootnoteReference"/>
        </w:rPr>
        <w:footnoteReference w:id="1816"/>
      </w:r>
      <w:r>
        <w:t xml:space="preserve">. In condizioni di stress metabolico il MOTS-c, in colture cellulari, migrava nel nucleo e lì influenzava i geni</w:t>
      </w:r>
      <w:r>
        <w:rPr>
          <w:rStyle w:val="FootnoteReference"/>
        </w:rPr>
        <w:footnoteReference w:id="1817"/>
      </w:r>
      <w:r>
        <w:t xml:space="preserve">.</w:t>
      </w:r>
    </w:p>
    <w:p>
      <w:pPr>
        <w:pStyle w:val="BodyText"/>
      </w:pPr>
      <w:r>
        <w:t xml:space="preserve">In un secondo grande lavoro il MOTS-c ha aumentato la capacità fisica di topi giovani, di mezza età e anziani; un trattamento iniziato solo in età molto avanzata ha migliorato capacità fisica e «durata della vita in salute». Nell’uomo i livelli di MOTS-c nel muscolo e nel sangue sono aumentati dopo uno sforzo fisico</w:t>
      </w:r>
      <w:r>
        <w:rPr>
          <w:rStyle w:val="FootnoteReference"/>
        </w:rPr>
        <w:footnoteReference w:id="1818"/>
      </w:r>
      <w:r>
        <w:t xml:space="preserve">.</w:t>
      </w:r>
    </w:p>
    <w:p>
      <w:pPr>
        <w:pStyle w:val="BodyText"/>
      </w:pPr>
      <w:r>
        <w:t xml:space="preserve">Ne è nata l’immagine del MOTS-c come «sport in siringa». Importante è però l’ordine: che l’esercizio aumenti il MOTS-c non significa che le iniezioni di MOTS-c riproducano nell’uomo gli effetti dell’esercizio.</w:t>
      </w:r>
    </w:p>
    <w:bookmarkEnd w:id="1819"/>
    <w:bookmarkStart w:id="1829" w:name="studi-sulluomo-41"/>
    <w:p>
      <w:pPr>
        <w:pStyle w:val="Heading3"/>
      </w:pPr>
      <w:r>
        <w:t xml:space="preserve">Studi sull’uomo</w:t>
      </w:r>
    </w:p>
    <w:p>
      <w:pPr>
        <w:pStyle w:val="FirstParagraph"/>
      </w:pPr>
      <w:r>
        <w:rPr>
          <w:bCs/>
          <w:b/>
        </w:rPr>
        <w:t xml:space="preserve">Dimensioni della letteratura:</w:t>
      </w:r>
      <w:r>
        <w:t xml:space="preserve"> </w:t>
      </w:r>
      <w:r>
        <w:t xml:space="preserve">la ricerca automatizzata in PubMed (ottobre 2026) ha dato 5 pubblicazioni classificate come studi sull’uomo; in nessuna è stato somministrato MOTS-c. Complessivamente PubMed elenca circa 260 lavori con «MOTS-c», prevalentemente esperimenti su animali e cellule e studi osservazionali sui livelli ematici endogeni. Su ClinicalTrials.gov la ricerca ha dato 5 voci. Quattro di queste misurano solo livelli o riguardano altre questioni. La quinta, un presunto studio di fase 2 con MOTS-c nel prediabete, proviene da uno sponsor sotto il cui nome risultano evidentemente voci di esempio fittizie nel registro. Non la consideriamo quindi uno studio reale e non la conteggiamo; uno studio registrato con il MOTS-c stesso come principio attivo non è dunque documentato. A ciò si aggiunge uno studio concluso con il derivato del MOTS-c CB4211</w:t>
      </w:r>
      <w:r>
        <w:rPr>
          <w:rStyle w:val="FootnoteReference"/>
        </w:rPr>
        <w:footnoteReference w:id="1820"/>
      </w:r>
      <w:r>
        <w:t xml:space="preserve">.</w:t>
      </w:r>
    </w:p>
    <w:p>
      <w:pPr>
        <w:pStyle w:val="BodyText"/>
      </w:pPr>
      <w:r>
        <w:t xml:space="preserve">Per comprendere questo capitolo è fondamentale una distinzione:</w:t>
      </w:r>
    </w:p>
    <w:p>
      <w:pPr>
        <w:numPr>
          <w:ilvl w:val="0"/>
          <w:numId w:val="1227"/>
        </w:numPr>
        <w:pStyle w:val="Compact"/>
      </w:pPr>
      <w:r>
        <w:rPr>
          <w:bCs/>
          <w:b/>
        </w:rPr>
        <w:t xml:space="preserve">Studi osservazionali sui livelli endogeni:</w:t>
      </w:r>
      <w:r>
        <w:t xml:space="preserve"> </w:t>
      </w:r>
      <w:r>
        <w:t xml:space="preserve">qui si misura quanto MOTS-c le persone hanno nel sangue e lo si mette in relazione con malattie o comportamenti.</w:t>
      </w:r>
    </w:p>
    <w:p>
      <w:pPr>
        <w:numPr>
          <w:ilvl w:val="0"/>
          <w:numId w:val="1227"/>
        </w:numPr>
        <w:pStyle w:val="Compact"/>
      </w:pPr>
      <w:r>
        <w:rPr>
          <w:bCs/>
          <w:b/>
        </w:rPr>
        <w:t xml:space="preserve">Studi in cui il MOTS-c (o un derivato) viene somministrato come principio attivo:</w:t>
      </w:r>
      <w:r>
        <w:t xml:space="preserve"> </w:t>
      </w:r>
      <w:r>
        <w:t xml:space="preserve">solo questi possono mostrare se un apporto produce un effetto.</w:t>
      </w:r>
    </w:p>
    <w:p>
      <w:pPr>
        <w:pStyle w:val="FirstParagraph"/>
      </w:pPr>
      <w:r>
        <w:t xml:space="preserve">I risultati del primo tipo vengono spesso presentati in internet come se dimostrassero l’effetto del secondo tipo. È un cortocircuito logico.</w:t>
      </w:r>
    </w:p>
    <w:bookmarkStart w:id="1826" w:name="livelli-endogeni-osservazioni"/>
    <w:p>
      <w:pPr>
        <w:pStyle w:val="Heading4"/>
      </w:pPr>
      <w:r>
        <w:t xml:space="preserve">1. Livelli endogeni: osservazioni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Du 2018, PMID 29691953</w:t>
            </w:r>
          </w:p>
        </w:tc>
        <w:tc>
          <w:tcPr/>
          <w:p>
            <w:pPr>
              <w:pStyle w:val="Compact"/>
              <w:jc w:val="left"/>
            </w:pPr>
            <w:r>
              <w:t xml:space="preserve">40 bambini e adolescenti in sovrappeso, 57 controlli, studio caso-controllo</w:t>
            </w:r>
          </w:p>
        </w:tc>
        <w:tc>
          <w:tcPr/>
          <w:p>
            <w:pPr>
              <w:pStyle w:val="Compact"/>
              <w:jc w:val="left"/>
            </w:pPr>
            <w:r>
              <w:t xml:space="preserve">trasversale</w:t>
            </w:r>
          </w:p>
        </w:tc>
        <w:tc>
          <w:tcPr/>
          <w:p>
            <w:pPr>
              <w:pStyle w:val="Compact"/>
              <w:jc w:val="left"/>
            </w:pPr>
            <w:r>
              <w:t xml:space="preserve">livelli più bassi nei ragazzi in sovrappeso, non nelle ragazze</w:t>
            </w:r>
          </w:p>
        </w:tc>
      </w:tr>
      <w:tr>
        <w:tc>
          <w:tcPr/>
          <w:p>
            <w:pPr>
              <w:pStyle w:val="Compact"/>
              <w:jc w:val="left"/>
            </w:pPr>
            <w:r>
              <w:t xml:space="preserve">Kirik 2023, PMID 37750635</w:t>
            </w:r>
          </w:p>
        </w:tc>
        <w:tc>
          <w:tcPr/>
          <w:p>
            <w:pPr>
              <w:pStyle w:val="Compact"/>
              <w:jc w:val="left"/>
            </w:pPr>
            <w:r>
              <w:t xml:space="preserve">150 persone con fegato grasso, 84 persone sane</w:t>
            </w:r>
          </w:p>
        </w:tc>
        <w:tc>
          <w:tcPr/>
          <w:p>
            <w:pPr>
              <w:pStyle w:val="Compact"/>
              <w:jc w:val="left"/>
            </w:pPr>
            <w:r>
              <w:t xml:space="preserve">trasversale</w:t>
            </w:r>
          </w:p>
        </w:tc>
        <w:tc>
          <w:tcPr/>
          <w:p>
            <w:pPr>
              <w:pStyle w:val="Compact"/>
              <w:jc w:val="left"/>
            </w:pPr>
            <w:r>
              <w:t xml:space="preserve">livelli più bassi in caso di fegato grasso e sindrome metabolica</w:t>
            </w:r>
          </w:p>
        </w:tc>
      </w:tr>
      <w:tr>
        <w:tc>
          <w:tcPr/>
          <w:p>
            <w:pPr>
              <w:pStyle w:val="Compact"/>
              <w:jc w:val="left"/>
            </w:pPr>
            <w:r>
              <w:t xml:space="preserve">Ikonomidis 2020, PMID 32052315</w:t>
            </w:r>
          </w:p>
        </w:tc>
        <w:tc>
          <w:tcPr/>
          <w:p>
            <w:pPr>
              <w:pStyle w:val="Compact"/>
              <w:jc w:val="left"/>
            </w:pPr>
            <w:r>
              <w:t xml:space="preserve">121 persone con diabete di tipo 2 dopo intervento vascolare</w:t>
            </w:r>
          </w:p>
        </w:tc>
        <w:tc>
          <w:tcPr/>
          <w:p>
            <w:pPr>
              <w:pStyle w:val="Compact"/>
              <w:jc w:val="left"/>
            </w:pPr>
            <w:r>
              <w:t xml:space="preserve">2 anni</w:t>
            </w:r>
          </w:p>
        </w:tc>
        <w:tc>
          <w:tcPr/>
          <w:p>
            <w:pPr>
              <w:pStyle w:val="Compact"/>
              <w:jc w:val="left"/>
            </w:pPr>
            <w:r>
              <w:t xml:space="preserve">MOTS-c basso (sotto 167 ng/ml) prediceva eventi cardiovascolari (rischio relativo 3,8)</w:t>
            </w:r>
          </w:p>
        </w:tc>
      </w:tr>
      <w:tr>
        <w:tc>
          <w:tcPr/>
          <w:p>
            <w:pPr>
              <w:pStyle w:val="Compact"/>
              <w:jc w:val="left"/>
            </w:pPr>
            <w:r>
              <w:t xml:space="preserve">von Walden 2021, PMID 34351816</w:t>
            </w:r>
          </w:p>
        </w:tc>
        <w:tc>
          <w:tcPr/>
          <w:p>
            <w:pPr>
              <w:pStyle w:val="Compact"/>
              <w:jc w:val="left"/>
            </w:pPr>
            <w:r>
              <w:t xml:space="preserve">30 persone, allenamento di resistenza o di forza o controllo, randomizzato</w:t>
            </w:r>
          </w:p>
        </w:tc>
        <w:tc>
          <w:tcPr/>
          <w:p>
            <w:pPr>
              <w:pStyle w:val="Compact"/>
              <w:jc w:val="left"/>
            </w:pPr>
            <w:r>
              <w:t xml:space="preserve">sforzo singolo</w:t>
            </w:r>
          </w:p>
        </w:tc>
        <w:tc>
          <w:tcPr/>
          <w:p>
            <w:pPr>
              <w:pStyle w:val="Compact"/>
              <w:jc w:val="left"/>
            </w:pPr>
            <w:r>
              <w:t xml:space="preserve">l’umanina è aumentata dopo sforzo di resistenza, il MOTS-c ha mostrato solo una tendenza</w:t>
            </w:r>
          </w:p>
        </w:tc>
      </w:tr>
      <w:tr>
        <w:tc>
          <w:tcPr/>
          <w:p>
            <w:pPr>
              <w:pStyle w:val="Compact"/>
              <w:jc w:val="left"/>
            </w:pPr>
            <w:r>
              <w:t xml:space="preserve">Dieli-Conwright 2021, PMID 34413391</w:t>
            </w:r>
          </w:p>
        </w:tc>
        <w:tc>
          <w:tcPr/>
          <w:p>
            <w:pPr>
              <w:pStyle w:val="Compact"/>
              <w:jc w:val="left"/>
            </w:pPr>
            <w:r>
              <w:t xml:space="preserve">49 donne dopo cancro al seno, allenamento o assistenza standard, randomizzato</w:t>
            </w:r>
          </w:p>
        </w:tc>
        <w:tc>
          <w:tcPr/>
          <w:p>
            <w:pPr>
              <w:pStyle w:val="Compact"/>
              <w:jc w:val="left"/>
            </w:pPr>
            <w:r>
              <w:t xml:space="preserve">16 settimane</w:t>
            </w:r>
          </w:p>
        </w:tc>
        <w:tc>
          <w:tcPr/>
          <w:p>
            <w:pPr>
              <w:pStyle w:val="Compact"/>
              <w:jc w:val="left"/>
            </w:pPr>
            <w:r>
              <w:t xml:space="preserve">aumento del MOTS-c nelle donne bianche non ispaniche, non nelle donne ispaniche</w:t>
            </w:r>
          </w:p>
        </w:tc>
      </w:tr>
      <w:tr>
        <w:tc>
          <w:tcPr/>
          <w:p>
            <w:pPr>
              <w:pStyle w:val="Compact"/>
              <w:jc w:val="left"/>
            </w:pPr>
            <w:r>
              <w:t xml:space="preserve">Elhusseiny 2025, PMID 40674654</w:t>
            </w:r>
          </w:p>
        </w:tc>
        <w:tc>
          <w:tcPr/>
          <w:p>
            <w:pPr>
              <w:pStyle w:val="Compact"/>
              <w:jc w:val="left"/>
            </w:pPr>
            <w:r>
              <w:t xml:space="preserve">19 uomini attivi con gamba immobilizzata, trattamento termico o fittizio</w:t>
            </w:r>
          </w:p>
        </w:tc>
        <w:tc>
          <w:tcPr/>
          <w:p>
            <w:pPr>
              <w:pStyle w:val="Compact"/>
              <w:jc w:val="left"/>
            </w:pPr>
            <w:r>
              <w:t xml:space="preserve">2 settimane</w:t>
            </w:r>
          </w:p>
        </w:tc>
        <w:tc>
          <w:tcPr/>
          <w:p>
            <w:pPr>
              <w:pStyle w:val="Compact"/>
              <w:jc w:val="left"/>
            </w:pPr>
            <w:r>
              <w:t xml:space="preserve">il calore ha aumentato il MOTS-c nel sangue</w:t>
            </w:r>
          </w:p>
        </w:tc>
      </w:tr>
    </w:tbl>
    <w:p>
      <w:pPr>
        <w:pStyle w:val="BodyText"/>
      </w:pPr>
      <w:r>
        <w:t xml:space="preserve">Questi studi mostrano che livelli bassi di MOTS-c si accompagnano spesso a sovrappeso, insulino-resistenza, fegato grasso o problemi vascolari</w:t>
      </w:r>
      <w:r>
        <w:rPr>
          <w:rStyle w:val="FootnoteReference"/>
        </w:rPr>
        <w:footnoteReference w:id="1821"/>
      </w:r>
      <w:r>
        <w:t xml:space="preserve"> </w:t>
      </w:r>
      <w:r>
        <w:t xml:space="preserve">e che esercizio fisico o calore possono aumentare i livelli. Ciò che</w:t>
      </w:r>
      <w:r>
        <w:t xml:space="preserve"> </w:t>
      </w:r>
      <w:r>
        <w:rPr>
          <w:bCs/>
          <w:b/>
        </w:rPr>
        <w:t xml:space="preserve">non</w:t>
      </w:r>
      <w:r>
        <w:t xml:space="preserve"> </w:t>
      </w:r>
      <w:r>
        <w:t xml:space="preserve">mostrano: che i livelli bassi causino le malattie, o che il MOTS-c somministrato le prevenga. Potrebbe benissimo essere il contrario: la malattia abbassa il livello.</w:t>
      </w:r>
    </w:p>
    <w:p>
      <w:pPr>
        <w:pStyle w:val="BodyText"/>
      </w:pPr>
      <w:r>
        <w:t xml:space="preserve">Un’ulteriore difficoltà è la misurazione stessa. Gli studi usano procedure di test diverse (ELISA), i cui risultati differiscono fortemente: nei bambini i valori medi erano intorno a 470-560 ng/ml</w:t>
      </w:r>
      <w:r>
        <w:rPr>
          <w:rStyle w:val="FootnoteReference"/>
        </w:rPr>
        <w:footnoteReference w:id="1822"/>
      </w:r>
      <w:r>
        <w:t xml:space="preserve">, nello studio sul diabete un valore sotto 167 ng/ml era considerato basso</w:t>
      </w:r>
      <w:r>
        <w:rPr>
          <w:rStyle w:val="FootnoteReference"/>
        </w:rPr>
        <w:footnoteReference w:id="1823"/>
      </w:r>
      <w:r>
        <w:t xml:space="preserve">. In uno studio su pazienti con cancro al seno persino la metformina, che agisce sullo stesso sensore energetico, non ha modificato i livelli misurati con un test commerciale</w:t>
      </w:r>
      <w:r>
        <w:rPr>
          <w:rStyle w:val="FootnoteReference"/>
        </w:rPr>
        <w:footnoteReference w:id="1824"/>
      </w:r>
      <w:r>
        <w:t xml:space="preserve">.</w:t>
      </w:r>
    </w:p>
    <w:p>
      <w:pPr>
        <w:pStyle w:val="BodyText"/>
      </w:pPr>
      <w:r>
        <w:rPr>
          <w:bCs/>
          <w:b/>
        </w:rPr>
        <w:t xml:space="preserve">Indizi genetici:</w:t>
      </w:r>
      <w:r>
        <w:t xml:space="preserve"> </w:t>
      </w:r>
      <w:r>
        <w:t xml:space="preserve">una variante del genoma mitocondriale presente solo in Asia modifica un elemento del MOTS-c (K14Q). In tre coorti con complessivamente 27.527 persone, gli uomini con questa variante avevano più spesso il diabete di tipo 2, soprattutto se poco attivi fisicamente. Nei topi la forma modificata di MOTS-c era meno efficace</w:t>
      </w:r>
      <w:r>
        <w:rPr>
          <w:rStyle w:val="FootnoteReference"/>
        </w:rPr>
        <w:footnoteReference w:id="1825"/>
      </w:r>
      <w:r>
        <w:t xml:space="preserve">. È un indizio interessante che il MOTS-c possa avere un ruolo nel metabolismo umano, ma non una prova del beneficio di un apporto.</w:t>
      </w:r>
    </w:p>
    <w:bookmarkEnd w:id="1826"/>
    <w:bookmarkStart w:id="1828" w:name="X9c7aa1455e36b549ef91bc6dcd98642480d1180"/>
    <w:p>
      <w:pPr>
        <w:pStyle w:val="Heading4"/>
      </w:pPr>
      <w:r>
        <w:t xml:space="preserve">2. Somministrazione come principio attivo: CB4211</w:t>
      </w:r>
    </w:p>
    <w:p>
      <w:pPr>
        <w:pStyle w:val="FirstParagraph"/>
      </w:pPr>
      <w:r>
        <w:t xml:space="preserve">Il</w:t>
      </w:r>
      <w:r>
        <w:t xml:space="preserve"> </w:t>
      </w:r>
      <w:r>
        <w:rPr>
          <w:bCs/>
          <w:b/>
        </w:rPr>
        <w:t xml:space="preserve">CB4211</w:t>
      </w:r>
      <w:r>
        <w:t xml:space="preserve"> </w:t>
      </w:r>
      <w:r>
        <w:t xml:space="preserve">è un derivato del MOTS-c sviluppato dall’azienda CohBar. Lo studio di fase 1a/1b</w:t>
      </w:r>
      <w:r>
        <w:rPr>
          <w:rStyle w:val="FootnoteReference"/>
        </w:rPr>
        <w:footnoteReference w:id="1827"/>
      </w:r>
      <w:r>
        <w:t xml:space="preserve"> </w:t>
      </w:r>
      <w:r>
        <w:t xml:space="preserve">era randomizzato, in doppio cieco e controllato con placebo e comprendeva 88 partecipanti: persone sane hanno ricevuto iniezioni sottocutanee singole o quotidiane per sette giorni, persone con obesità e fegato grasso per 28 giorni. Gli endpoint principali erano sicurezza e tollerabilità; obiettivi secondari erano tra l’altro grasso epatico e peso corporeo. Lo studio si è concluso nell’aprile 2021. Nel registro non sono stati depositati risultati, e la nostra ricerca non ha trovato una pubblicazione in una rivista scientifica. Nel 2021 l’azienda ha comunicato con un comunicato stampa variazioni favorevoli di singoli valori epatici e glicemici con buona tollerabilità; tali comunicazioni non sono sottoposte a revisione indipendente. Non è noto un ulteriore sviluppo in studi più ampi.</w:t>
      </w:r>
    </w:p>
    <w:p>
      <w:pPr>
        <w:pStyle w:val="BodyText"/>
      </w:pPr>
      <w:r>
        <w:t xml:space="preserve">Il</w:t>
      </w:r>
      <w:r>
        <w:t xml:space="preserve"> </w:t>
      </w:r>
      <w:r>
        <w:rPr>
          <w:bCs/>
          <w:b/>
        </w:rPr>
        <w:t xml:space="preserve">MOTS-c stesso</w:t>
      </w:r>
      <w:r>
        <w:t xml:space="preserve">, secondo la nostra ricerca, non è stato finora somministrato come principio attivo in alcuno studio sull’uomo pubblicato o registrato in modo affidabile. Una voce di registro che descrive un tale studio di fase 2 si è rivelata dubbia (si veda sopra).</w:t>
      </w:r>
    </w:p>
    <w:p>
      <w:pPr>
        <w:pStyle w:val="BodyText"/>
      </w:pPr>
      <w:r>
        <w:t xml:space="preserve">Fino ad allora vale:</w:t>
      </w:r>
      <w:r>
        <w:t xml:space="preserve"> </w:t>
      </w:r>
      <w:r>
        <w:rPr>
          <w:bCs/>
          <w:b/>
        </w:rPr>
        <w:t xml:space="preserve">non esistono dati pubblicati</w:t>
      </w:r>
      <w:r>
        <w:t xml:space="preserve"> </w:t>
      </w:r>
      <w:r>
        <w:t xml:space="preserve">sul fatto che le iniezioni di MOTS-c influenzino nell’uomo il metabolismo, le prestazioni o l’invecchiamento.</w:t>
      </w:r>
    </w:p>
    <w:bookmarkEnd w:id="1828"/>
    <w:bookmarkEnd w:id="1829"/>
    <w:bookmarkStart w:id="1834" w:name="studi-su-animali-e-in-laboratorio-41"/>
    <w:p>
      <w:pPr>
        <w:pStyle w:val="Heading3"/>
      </w:pPr>
      <w:r>
        <w:t xml:space="preserve">Studi su animali e in laboratorio</w:t>
      </w:r>
    </w:p>
    <w:p>
      <w:pPr>
        <w:pStyle w:val="FirstParagraph"/>
      </w:pPr>
      <w:r>
        <w:t xml:space="preserve">La ricerca preclinica è ampia e cresce rapidamente:</w:t>
      </w:r>
    </w:p>
    <w:p>
      <w:pPr>
        <w:numPr>
          <w:ilvl w:val="0"/>
          <w:numId w:val="1228"/>
        </w:numPr>
        <w:pStyle w:val="Compact"/>
      </w:pPr>
      <w:r>
        <w:rPr>
          <w:bCs/>
          <w:b/>
        </w:rPr>
        <w:t xml:space="preserve">Metabolismo:</w:t>
      </w:r>
      <w:r>
        <w:t xml:space="preserve"> </w:t>
      </w:r>
      <w:r>
        <w:t xml:space="preserve">nei topi il MOTS-c ha impedito sovrappeso e insulino-resistenza di origine alimentare</w:t>
      </w:r>
      <w:r>
        <w:rPr>
          <w:rStyle w:val="FootnoteReference"/>
        </w:rPr>
        <w:footnoteReference w:id="1830"/>
      </w:r>
      <w:r>
        <w:t xml:space="preserve">.</w:t>
      </w:r>
    </w:p>
    <w:p>
      <w:pPr>
        <w:numPr>
          <w:ilvl w:val="0"/>
          <w:numId w:val="1228"/>
        </w:numPr>
        <w:pStyle w:val="Compact"/>
      </w:pPr>
      <w:r>
        <w:rPr>
          <w:bCs/>
          <w:b/>
        </w:rPr>
        <w:t xml:space="preserve">Muscolo:</w:t>
      </w:r>
      <w:r>
        <w:t xml:space="preserve"> </w:t>
      </w:r>
      <w:r>
        <w:t xml:space="preserve">il MOTS-c ha ridotto nei topi in sovrappeso il messaggero della perdita muscolare miostatina; nell’uomo i livelli ematici di MOTS-c e miostatina erano inversamente correlati</w:t>
      </w:r>
      <w:r>
        <w:rPr>
          <w:rStyle w:val="FootnoteReference"/>
        </w:rPr>
        <w:footnoteReference w:id="1831"/>
      </w:r>
      <w:r>
        <w:t xml:space="preserve">.</w:t>
      </w:r>
    </w:p>
    <w:p>
      <w:pPr>
        <w:numPr>
          <w:ilvl w:val="0"/>
          <w:numId w:val="1228"/>
        </w:numPr>
        <w:pStyle w:val="Compact"/>
      </w:pPr>
      <w:r>
        <w:rPr>
          <w:bCs/>
          <w:b/>
        </w:rPr>
        <w:t xml:space="preserve">Prestazioni ed età:</w:t>
      </w:r>
      <w:r>
        <w:t xml:space="preserve"> </w:t>
      </w:r>
      <w:r>
        <w:t xml:space="preserve">il MOTS-c ha aumentato la capacità fisica di topi di diverse età</w:t>
      </w:r>
      <w:r>
        <w:rPr>
          <w:rStyle w:val="FootnoteReference"/>
        </w:rPr>
        <w:footnoteReference w:id="1832"/>
      </w:r>
      <w:r>
        <w:t xml:space="preserve">.</w:t>
      </w:r>
    </w:p>
    <w:p>
      <w:pPr>
        <w:numPr>
          <w:ilvl w:val="0"/>
          <w:numId w:val="1228"/>
        </w:numPr>
        <w:pStyle w:val="Compact"/>
      </w:pPr>
      <w:r>
        <w:rPr>
          <w:bCs/>
          <w:b/>
        </w:rPr>
        <w:t xml:space="preserve">Pancreas:</w:t>
      </w:r>
      <w:r>
        <w:t xml:space="preserve"> </w:t>
      </w:r>
      <w:r>
        <w:t xml:space="preserve">nei topi il MOTS-c ha ritardato l’invecchiamento delle cellule produttrici di insulina e l’insorgenza di un diabete</w:t>
      </w:r>
      <w:r>
        <w:rPr>
          <w:rStyle w:val="FootnoteReference"/>
        </w:rPr>
        <w:footnoteReference w:id="1833"/>
      </w:r>
      <w:r>
        <w:t xml:space="preserve">.</w:t>
      </w:r>
    </w:p>
    <w:p>
      <w:pPr>
        <w:numPr>
          <w:ilvl w:val="0"/>
          <w:numId w:val="1228"/>
        </w:numPr>
        <w:pStyle w:val="Compact"/>
      </w:pPr>
      <w:r>
        <w:t xml:space="preserve">Numerosi altri lavori, prevalentemente dalla Cina, descrivono effetti protettivi in modelli di danno polmonare, cardiaco, epatico, osseo e renale.</w:t>
      </w:r>
    </w:p>
    <w:p>
      <w:pPr>
        <w:pStyle w:val="FirstParagraph"/>
      </w:pPr>
      <w:r>
        <w:t xml:space="preserve">L’abbondanza di studi animali positivi è vistosa. Mostra che il MOTS-c è biologicamente attivo; su efficacia e sicurezza nell’uomo dice poco.</w:t>
      </w:r>
    </w:p>
    <w:bookmarkEnd w:id="1834"/>
    <w:bookmarkStart w:id="1837" w:name="rischi-ed-effetti-collaterali-41"/>
    <w:p>
      <w:pPr>
        <w:pStyle w:val="Heading3"/>
      </w:pPr>
      <w:r>
        <w:t xml:space="preserve">Rischi ed effetti collaterali</w:t>
      </w:r>
    </w:p>
    <w:p>
      <w:pPr>
        <w:pStyle w:val="FirstParagraph"/>
      </w:pPr>
      <w:r>
        <w:rPr>
          <w:bCs/>
          <w:b/>
        </w:rPr>
        <w:t xml:space="preserve">Documentati:</w:t>
      </w:r>
      <w:r>
        <w:t xml:space="preserve"> </w:t>
      </w:r>
      <w:r>
        <w:t xml:space="preserve">non esistono dati di sicurezza pubblicati sulla somministrazione di MOTS-c nell’uomo.</w:t>
      </w:r>
    </w:p>
    <w:p>
      <w:pPr>
        <w:pStyle w:val="BodyText"/>
      </w:pPr>
      <w:r>
        <w:rPr>
          <w:bCs/>
          <w:b/>
        </w:rPr>
        <w:t xml:space="preserve">Teorici:</w:t>
      </w:r>
    </w:p>
    <w:p>
      <w:pPr>
        <w:numPr>
          <w:ilvl w:val="0"/>
          <w:numId w:val="1229"/>
        </w:numPr>
        <w:pStyle w:val="Compact"/>
      </w:pPr>
      <w:r>
        <w:rPr>
          <w:bCs/>
          <w:b/>
        </w:rPr>
        <w:t xml:space="preserve">Glicemia:</w:t>
      </w:r>
      <w:r>
        <w:t xml:space="preserve"> </w:t>
      </w:r>
      <w:r>
        <w:t xml:space="preserve">una sostanza che aumenta la sensibilità all’insulina potrebbe favorire ipoglicemie insieme ai farmaci antidiabetici.</w:t>
      </w:r>
    </w:p>
    <w:p>
      <w:pPr>
        <w:numPr>
          <w:ilvl w:val="0"/>
          <w:numId w:val="1229"/>
        </w:numPr>
        <w:pStyle w:val="Compact"/>
      </w:pPr>
      <w:r>
        <w:rPr>
          <w:bCs/>
          <w:b/>
        </w:rPr>
        <w:t xml:space="preserve">Cancro:</w:t>
      </w:r>
      <w:r>
        <w:t xml:space="preserve"> </w:t>
      </w:r>
      <w:r>
        <w:t xml:space="preserve">in studi di laboratorio il MOTS-c ha piuttosto frenato le cellule tumorali: ha inibito la crescita di cellule di cancro ovarico</w:t>
      </w:r>
      <w:r>
        <w:rPr>
          <w:rStyle w:val="FootnoteReference"/>
        </w:rPr>
        <w:footnoteReference w:id="1835"/>
      </w:r>
      <w:r>
        <w:t xml:space="preserve"> </w:t>
      </w:r>
      <w:r>
        <w:t xml:space="preserve">e ha reso le cellule di cancro del fegato più sensibili alla morte cellulare programmata in condizioni di carenza di ossigeno</w:t>
      </w:r>
      <w:r>
        <w:rPr>
          <w:rStyle w:val="FootnoteReference"/>
        </w:rPr>
        <w:footnoteReference w:id="1836"/>
      </w:r>
      <w:r>
        <w:t xml:space="preserve">. Se ciò valga nell’uomo e quali effetti abbia un apporto pluriennale di una sostanza di segnalazione metabolicamente attiva non è stato studiato.</w:t>
      </w:r>
    </w:p>
    <w:p>
      <w:pPr>
        <w:numPr>
          <w:ilvl w:val="0"/>
          <w:numId w:val="1229"/>
        </w:numPr>
        <w:pStyle w:val="Compact"/>
      </w:pPr>
      <w:r>
        <w:rPr>
          <w:bCs/>
          <w:b/>
        </w:rPr>
        <w:t xml:space="preserve">Reazioni immunitarie:</w:t>
      </w:r>
      <w:r>
        <w:t xml:space="preserve"> </w:t>
      </w:r>
      <w:r>
        <w:t xml:space="preserve">con iniezioni ripetute di un peptide possono formarsi anticorpi; per il MOTS-c ciò non è stato studiato.</w:t>
      </w:r>
    </w:p>
    <w:p>
      <w:pPr>
        <w:pStyle w:val="FirstParagraph"/>
      </w:pPr>
      <w:r>
        <w:rPr>
          <w:bCs/>
          <w:b/>
        </w:rPr>
        <w:t xml:space="preserve">Mercato grigio e sport:</w:t>
      </w:r>
      <w:r>
        <w:t xml:space="preserve"> </w:t>
      </w:r>
      <w:r>
        <w:t xml:space="preserve">il MOTS-c è tra i peptidi «della longevità» e per il fitness più popolari in internet e viene venduto in polvere per iniezione. Purezza e contenuto non sono verificati. Per sportive e sportivi l’uso è espressamente vietato (WADA S4).</w:t>
      </w:r>
    </w:p>
    <w:bookmarkEnd w:id="1837"/>
    <w:bookmarkStart w:id="1838" w:name="quadro-normativo-41"/>
    <w:p>
      <w:pPr>
        <w:pStyle w:val="Heading3"/>
      </w:pPr>
      <w:r>
        <w:t xml:space="preserve">Quadro normativo</w:t>
      </w:r>
    </w:p>
    <w:p>
      <w:pPr>
        <w:numPr>
          <w:ilvl w:val="0"/>
          <w:numId w:val="1230"/>
        </w:numPr>
        <w:pStyle w:val="Compact"/>
      </w:pPr>
      <w:r>
        <w:rPr>
          <w:bCs/>
          <w:b/>
        </w:rPr>
        <w:t xml:space="preserve">UE / Austria / Germania:</w:t>
      </w:r>
      <w:r>
        <w:t xml:space="preserve"> </w:t>
      </w:r>
      <w:r>
        <w:t xml:space="preserve">non autorizzato; in quanto sostanza con effetto farmacologico il MOTS-c è considerato un medicinale, e la vendita per uso umano non è consentita.</w:t>
      </w:r>
    </w:p>
    <w:p>
      <w:pPr>
        <w:numPr>
          <w:ilvl w:val="0"/>
          <w:numId w:val="1230"/>
        </w:numPr>
        <w:pStyle w:val="Compact"/>
      </w:pPr>
      <w:r>
        <w:rPr>
          <w:bCs/>
          <w:b/>
        </w:rPr>
        <w:t xml:space="preserve">USA:</w:t>
      </w:r>
      <w:r>
        <w:t xml:space="preserve"> </w:t>
      </w:r>
      <w:r>
        <w:t xml:space="preserve">non autorizzato. Dopo il voto favorevole del PCAC del luglio 2026 il MOTS-c potrebbe in futuro essere usato nelle preparazioni magistrali in farmacia, se la FDA si adeguerà; la decisione era ancora in sospeso alla chiusura redazionale (aggiornato a ottobre 2026, da verificare).</w:t>
      </w:r>
    </w:p>
    <w:p>
      <w:pPr>
        <w:numPr>
          <w:ilvl w:val="0"/>
          <w:numId w:val="1230"/>
        </w:numPr>
        <w:pStyle w:val="Compact"/>
      </w:pPr>
      <w:r>
        <w:rPr>
          <w:bCs/>
          <w:b/>
        </w:rPr>
        <w:t xml:space="preserve">Sport:</w:t>
      </w:r>
      <w:r>
        <w:t xml:space="preserve"> </w:t>
      </w:r>
      <w:r>
        <w:t xml:space="preserve">vietato secondo la lista WADA, categoria S4 (aggiornato al 2026, da verificare).</w:t>
      </w:r>
    </w:p>
    <w:bookmarkEnd w:id="1838"/>
    <w:bookmarkStart w:id="1841" w:name="studi-in-corso-e-prospettive-41"/>
    <w:p>
      <w:pPr>
        <w:pStyle w:val="Heading3"/>
      </w:pPr>
      <w:r>
        <w:t xml:space="preserve">Studi in corso e prospettive</w:t>
      </w:r>
    </w:p>
    <w:p>
      <w:pPr>
        <w:pStyle w:val="FirstParagraph"/>
      </w:pPr>
      <w:r>
        <w:rPr>
          <w:bCs/>
          <w:b/>
        </w:rPr>
        <w:t xml:space="preserve">Assodato (studi registrati, aggiornato a ottobre 2026):</w:t>
      </w:r>
    </w:p>
    <w:p>
      <w:pPr>
        <w:numPr>
          <w:ilvl w:val="0"/>
          <w:numId w:val="1231"/>
        </w:numPr>
        <w:pStyle w:val="Compact"/>
      </w:pPr>
      <w:r>
        <w:t xml:space="preserve">Non esiste uno studio registrato in modo affidabile in cui il MOTS-c venga somministrato come principio attivo.</w:t>
      </w:r>
    </w:p>
    <w:p>
      <w:pPr>
        <w:numPr>
          <w:ilvl w:val="0"/>
          <w:numId w:val="1231"/>
        </w:numPr>
        <w:pStyle w:val="Compact"/>
      </w:pPr>
      <w:r>
        <w:t xml:space="preserve">Diversi studi osservazionali misurano i livelli di MOTS-c, per esempio nel trapianto di rene</w:t>
      </w:r>
      <w:r>
        <w:rPr>
          <w:rStyle w:val="FootnoteReference"/>
        </w:rPr>
        <w:footnoteReference w:id="1839"/>
      </w:r>
      <w:r>
        <w:t xml:space="preserve"> </w:t>
      </w:r>
      <w:r>
        <w:t xml:space="preserve">o nel diabete con diversi farmaci</w:t>
      </w:r>
      <w:r>
        <w:rPr>
          <w:rStyle w:val="FootnoteReference"/>
        </w:rPr>
        <w:footnoteReference w:id="1840"/>
      </w:r>
      <w:r>
        <w:t xml:space="preserve">.</w:t>
      </w:r>
    </w:p>
    <w:p>
      <w:pPr>
        <w:pStyle w:val="FirstParagraph"/>
      </w:pPr>
      <w:r>
        <w:rPr>
          <w:bCs/>
          <w:b/>
        </w:rPr>
        <w:t xml:space="preserve">Valutazione:</w:t>
      </w:r>
      <w:r>
        <w:t xml:space="preserve"> </w:t>
      </w:r>
      <w:r>
        <w:t xml:space="preserve">la questione centrale, cioè se il MOTS-c somministrato migliori nell’uomo la sensibilità all’insulina, non è stata finora verificata da nessuno in uno studio pubblicato. Servirebbe innanzitutto uno studio controllato di fase 1/2 con risultati pubblicati. Fino ad allora ogni affermazione su un effetto nell’uomo si basa su esperimenti sugli animali e misurazioni dei livelli.</w:t>
      </w:r>
    </w:p>
    <w:bookmarkEnd w:id="1841"/>
    <w:bookmarkStart w:id="1842" w:name="conclusione-41"/>
    <w:p>
      <w:pPr>
        <w:pStyle w:val="Heading3"/>
      </w:pPr>
      <w:r>
        <w:t xml:space="preserve">Conclusione</w:t>
      </w:r>
    </w:p>
    <w:p>
      <w:pPr>
        <w:pStyle w:val="FirstParagraph"/>
      </w:pPr>
      <w:r>
        <w:t xml:space="preserve">Il MOTS-c è un peptide endogeno, codificato nel genoma mitocondriale, che nei topi ha migliorato metabolismo e capacità fisica e che nell’uomo aumenta dopo l’esercizio. Gli studi osservazionali mostrano livelli più bassi in caso di sovrappeso, fegato grasso e malattie vascolari, ma non dimostrano né una causa né il beneficio di un apporto. L’unico studio concluso con un derivato del MOTS-c (CB4211) non è stato pubblicato in una rivista scientifica, e con il MOTS-c stesso non esiste alcuno studio pubblicato sull’uomo. I dati non bastano per valutare beneficio o sicurezza nell’uomo; nello sport il MOTS-c è vietato.</w:t>
      </w:r>
    </w:p>
    <w:bookmarkEnd w:id="1842"/>
    <w:bookmarkEnd w:id="1843"/>
    <w:bookmarkStart w:id="1866" w:name="umanina-humanin"/>
    <w:p>
      <w:pPr>
        <w:pStyle w:val="Heading2"/>
      </w:pPr>
      <w:r>
        <w:t xml:space="preserve">Umanina (humanin)</w:t>
      </w:r>
    </w:p>
    <w:bookmarkStart w:id="1844" w:name="scheda-42"/>
    <w:p>
      <w:pPr>
        <w:pStyle w:val="Heading3"/>
      </w:pPr>
      <w:r>
        <w:t xml:space="preserve">Scheda</w:t>
      </w:r>
    </w:p>
    <w:p>
      <w:pPr>
        <w:numPr>
          <w:ilvl w:val="0"/>
          <w:numId w:val="1232"/>
        </w:numPr>
        <w:pStyle w:val="Compact"/>
      </w:pPr>
      <w:r>
        <w:rPr>
          <w:bCs/>
          <w:b/>
        </w:rPr>
        <w:t xml:space="preserve">Tipo e struttura:</w:t>
      </w:r>
      <w:r>
        <w:t xml:space="preserve"> </w:t>
      </w:r>
      <w:r>
        <w:t xml:space="preserve">peptide endogeno di 24 amminoacidi. Sul mercato grigio e nella ricerca si usa per lo più la forma modificata</w:t>
      </w:r>
      <w:r>
        <w:t xml:space="preserve"> </w:t>
      </w:r>
      <w:r>
        <w:rPr>
          <w:bCs/>
          <w:b/>
        </w:rPr>
        <w:t xml:space="preserve">HNG</w:t>
      </w:r>
      <w:r>
        <w:t xml:space="preserve"> </w:t>
      </w:r>
      <w:r>
        <w:t xml:space="preserve">(umanina-G, anche S14G-umanina), in cui in posizione 14 la serina è sostituita dalla glicina; negli esperimenti di laboratorio è nettamente più potente.</w:t>
      </w:r>
    </w:p>
    <w:p>
      <w:pPr>
        <w:numPr>
          <w:ilvl w:val="0"/>
          <w:numId w:val="1232"/>
        </w:numPr>
        <w:pStyle w:val="Compact"/>
      </w:pPr>
      <w:r>
        <w:rPr>
          <w:bCs/>
          <w:b/>
        </w:rPr>
        <w:t xml:space="preserve">Origine:</w:t>
      </w:r>
      <w:r>
        <w:t xml:space="preserve"> </w:t>
      </w:r>
      <w:r>
        <w:t xml:space="preserve">scoperta nel 2001 da ricercatori giapponesi mentre cercavano, nel tessuto cerebrale di una persona con malattia di Alzheimer, fattori che proteggono i neuroni dalla morte (da qui il nome inglese «humanin»). È codificata nel genoma dei mitocondri; segmenti simili esistono anche nel genoma del nucleo cellulare.</w:t>
      </w:r>
    </w:p>
    <w:p>
      <w:pPr>
        <w:numPr>
          <w:ilvl w:val="0"/>
          <w:numId w:val="1232"/>
        </w:numPr>
        <w:pStyle w:val="Compact"/>
      </w:pPr>
      <w:r>
        <w:rPr>
          <w:bCs/>
          <w:b/>
        </w:rPr>
        <w:t xml:space="preserve">Principio d’azione:</w:t>
      </w:r>
      <w:r>
        <w:t xml:space="preserve"> </w:t>
      </w:r>
      <w:r>
        <w:t xml:space="preserve">«mitochina» (sostanza di segnalazione dei mitocondri) che dovrebbe proteggere le cellule dalla morte cellulare programmata. Si lega tra l’altro a un complesso recettoriale sulla superficie cellulare composto da recettore del CNTF, WSX-1 e gp130.</w:t>
      </w:r>
    </w:p>
    <w:p>
      <w:pPr>
        <w:numPr>
          <w:ilvl w:val="0"/>
          <w:numId w:val="1232"/>
        </w:numPr>
        <w:pStyle w:val="Compact"/>
      </w:pPr>
      <w:r>
        <w:rPr>
          <w:bCs/>
          <w:b/>
        </w:rPr>
        <w:t xml:space="preserve">Autorizzazione UE:</w:t>
      </w:r>
      <w:r>
        <w:t xml:space="preserve"> </w:t>
      </w:r>
      <w:r>
        <w:t xml:space="preserve">no.</w:t>
      </w:r>
    </w:p>
    <w:p>
      <w:pPr>
        <w:numPr>
          <w:ilvl w:val="0"/>
          <w:numId w:val="1232"/>
        </w:numPr>
        <w:pStyle w:val="Compact"/>
      </w:pPr>
      <w:r>
        <w:rPr>
          <w:bCs/>
          <w:b/>
        </w:rPr>
        <w:t xml:space="preserve">Autorizzazione USA:</w:t>
      </w:r>
      <w:r>
        <w:t xml:space="preserve"> </w:t>
      </w:r>
      <w:r>
        <w:t xml:space="preserve">no.</w:t>
      </w:r>
    </w:p>
    <w:p>
      <w:pPr>
        <w:numPr>
          <w:ilvl w:val="0"/>
          <w:numId w:val="1232"/>
        </w:numPr>
        <w:pStyle w:val="Compact"/>
      </w:pPr>
      <w:r>
        <w:rPr>
          <w:bCs/>
          <w:b/>
        </w:rPr>
        <w:t xml:space="preserve">WADA:</w:t>
      </w:r>
      <w:r>
        <w:t xml:space="preserve"> </w:t>
      </w:r>
      <w:r>
        <w:t xml:space="preserve">non elencata per nome; in quanto sostanza non autorizzata da nessuna parte, secondo la nostra valutazione l’umanina o l’HNG rientra nella categoria generale S0.</w:t>
      </w:r>
    </w:p>
    <w:p>
      <w:pPr>
        <w:numPr>
          <w:ilvl w:val="0"/>
          <w:numId w:val="1232"/>
        </w:numPr>
        <w:pStyle w:val="Compact"/>
      </w:pPr>
      <w:r>
        <w:rPr>
          <w:bCs/>
          <w:b/>
        </w:rPr>
        <w:t xml:space="preserve">Livello di evidenza:</w:t>
      </w:r>
      <w:r>
        <w:t xml:space="preserve"> </w:t>
      </w:r>
      <w:r>
        <w:rPr>
          <w:bCs/>
          <w:b/>
        </w:rPr>
        <w:t xml:space="preserve">D</w:t>
      </w:r>
      <w:r>
        <w:t xml:space="preserve"> </w:t>
      </w:r>
      <w:r>
        <w:t xml:space="preserve">per la somministrazione come principio attivo – nemmeno uno studio in cui delle persone abbiano ricevuto umanina o HNG; nell’uomo esistono solo misurazioni dei livelli endogeni.</w:t>
      </w:r>
    </w:p>
    <w:bookmarkEnd w:id="1844"/>
    <w:bookmarkStart w:id="1848" w:name="come-dovrebbe-agire-42"/>
    <w:p>
      <w:pPr>
        <w:pStyle w:val="Heading3"/>
      </w:pPr>
      <w:r>
        <w:t xml:space="preserve">Come dovrebbe agire</w:t>
      </w:r>
    </w:p>
    <w:p>
      <w:pPr>
        <w:pStyle w:val="FirstParagraph"/>
      </w:pPr>
      <w:r>
        <w:t xml:space="preserve">Nel 2001 gli scopritori cercarono in una libreria genica da tessuto cerebrale segmenti che proteggessero i neuroni dagli effetti tossici dei geni dell’Alzheimer. Trovarono un breve peptide che in colture cellulari preservava i neuroni da numerosi danni tipici dell’Alzheimer, contro la beta-amiloide e contro l’effetto di diverse mutazioni ereditarie dell’Alzheimer, ma non contro altre sostanze tossiche come il glutammato o frammenti di prioni</w:t>
      </w:r>
      <w:r>
        <w:rPr>
          <w:rStyle w:val="FootnoteReference"/>
        </w:rPr>
        <w:footnoteReference w:id="1845"/>
      </w:r>
      <w:r>
        <w:t xml:space="preserve">. La variante HNG era più efficace di altri fattori protettivi testati.</w:t>
      </w:r>
    </w:p>
    <w:p>
      <w:pPr>
        <w:pStyle w:val="BodyText"/>
      </w:pPr>
      <w:r>
        <w:t xml:space="preserve">In seguito lo stesso gruppo ha mostrato che l’umanina si lega a un complesso recettoriale appartenente alla famiglia dei recettori delle citochine (recettore del CNTF, WSX-1 e gp130) e agisce tramite la molecola di segnalazione STAT3</w:t>
      </w:r>
      <w:r>
        <w:rPr>
          <w:rStyle w:val="FootnoteReference"/>
        </w:rPr>
        <w:footnoteReference w:id="1846"/>
      </w:r>
      <w:r>
        <w:t xml:space="preserve">. Inoltre studi di laboratorio descrivono legami con proteine che regolano la morte cellulare e con il partner di legame dei fattori di crescita IGFBP-3.</w:t>
      </w:r>
    </w:p>
    <w:p>
      <w:pPr>
        <w:pStyle w:val="BodyText"/>
      </w:pPr>
      <w:r>
        <w:t xml:space="preserve">Una particolarità: come il MOTS-c (si veda il capitolo precedente), l’umanina è codificata nel genoma dei mitocondri. Questi «peptidi mitocondriali» sono considerati un nuovo livello di segnalazione attraverso il quale i mitocondri comunicano con il resto dell’organismo</w:t>
      </w:r>
      <w:r>
        <w:rPr>
          <w:rStyle w:val="FootnoteReference"/>
        </w:rPr>
        <w:footnoteReference w:id="1847"/>
      </w:r>
      <w:r>
        <w:t xml:space="preserve">.</w:t>
      </w:r>
    </w:p>
    <w:bookmarkEnd w:id="1848"/>
    <w:bookmarkStart w:id="1852" w:name="studi-sulluomo-42"/>
    <w:p>
      <w:pPr>
        <w:pStyle w:val="Heading3"/>
      </w:pPr>
      <w:r>
        <w:t xml:space="preserve">Studi sull’uomo</w:t>
      </w:r>
    </w:p>
    <w:p>
      <w:pPr>
        <w:pStyle w:val="FirstParagraph"/>
      </w:pPr>
      <w:r>
        <w:rPr>
          <w:bCs/>
          <w:b/>
        </w:rPr>
        <w:t xml:space="preserve">Dimensioni della letteratura:</w:t>
      </w:r>
      <w:r>
        <w:t xml:space="preserve"> </w:t>
      </w:r>
      <w:r>
        <w:t xml:space="preserve">la ricerca automatizzata in PubMed (ottobre 2026) ha dato 8 pubblicazioni classificate come studi sull’uomo; in nessuna è stata somministrata umanina. Esaminano come i livelli endogeni cambino con allenamento, ossigenoterapia o integrazione alimentare, oppure riguardano cellule di pazienti in laboratorio. Complessivamente PubMed elenca circa 550 lavori sull’umanina. Su ClinicalTrials.gov sono registrati 3 studi, tutti studi osservazionali sui livelli di umanina (negli interventi cardiochirurgici, nell’insufficienza renale acuta e nel trapianto di rene).</w:t>
      </w:r>
    </w:p>
    <w:bookmarkStart w:id="1850" w:name="livelli-ed-età"/>
    <w:p>
      <w:pPr>
        <w:pStyle w:val="Heading4"/>
      </w:pPr>
      <w:r>
        <w:t xml:space="preserve">Livelli ed età</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Lee 2014, PMID 25040290</w:t>
            </w:r>
          </w:p>
        </w:tc>
        <w:tc>
          <w:tcPr/>
          <w:p>
            <w:pPr>
              <w:pStyle w:val="Compact"/>
              <w:jc w:val="left"/>
            </w:pPr>
            <w:r>
              <w:t xml:space="preserve">topi e persone, osservazione e somministrazione di ormoni</w:t>
            </w:r>
          </w:p>
        </w:tc>
        <w:tc>
          <w:tcPr/>
          <w:p>
            <w:pPr>
              <w:pStyle w:val="Compact"/>
              <w:jc w:val="left"/>
            </w:pPr>
            <w:r>
              <w:t xml:space="preserve">–</w:t>
            </w:r>
          </w:p>
        </w:tc>
        <w:tc>
          <w:tcPr/>
          <w:p>
            <w:pPr>
              <w:pStyle w:val="Compact"/>
              <w:jc w:val="left"/>
            </w:pPr>
            <w:r>
              <w:t xml:space="preserve">i livelli di umanina diminuiscono con l’età; ormone della crescita e IGF-1 li hanno abbassati in topi e persone</w:t>
            </w:r>
          </w:p>
        </w:tc>
      </w:tr>
      <w:tr>
        <w:tc>
          <w:tcPr/>
          <w:p>
            <w:pPr>
              <w:pStyle w:val="Compact"/>
              <w:jc w:val="left"/>
            </w:pPr>
            <w:r>
              <w:t xml:space="preserve">Yen 2020, PMID 32575074</w:t>
            </w:r>
          </w:p>
        </w:tc>
        <w:tc>
          <w:tcPr/>
          <w:p>
            <w:pPr>
              <w:pStyle w:val="Compact"/>
              <w:jc w:val="left"/>
            </w:pPr>
            <w:r>
              <w:t xml:space="preserve">figli di centenari e persone di confronto; modelli animali</w:t>
            </w:r>
          </w:p>
        </w:tc>
        <w:tc>
          <w:tcPr/>
          <w:p>
            <w:pPr>
              <w:pStyle w:val="Compact"/>
              <w:jc w:val="left"/>
            </w:pPr>
            <w:r>
              <w:t xml:space="preserve">trasversale</w:t>
            </w:r>
          </w:p>
        </w:tc>
        <w:tc>
          <w:tcPr/>
          <w:p>
            <w:pPr>
              <w:pStyle w:val="Compact"/>
              <w:jc w:val="left"/>
            </w:pPr>
            <w:r>
              <w:t xml:space="preserve">livelli nettamente più alti nei figli di centenari; più bassi in Alzheimer e MELAS</w:t>
            </w:r>
          </w:p>
        </w:tc>
      </w:tr>
      <w:tr>
        <w:tc>
          <w:tcPr/>
          <w:p>
            <w:pPr>
              <w:pStyle w:val="Compact"/>
              <w:jc w:val="left"/>
            </w:pPr>
            <w:r>
              <w:t xml:space="preserve">Miller 2024, PMID 38520065</w:t>
            </w:r>
          </w:p>
        </w:tc>
        <w:tc>
          <w:tcPr/>
          <w:p>
            <w:pPr>
              <w:pStyle w:val="Compact"/>
              <w:jc w:val="left"/>
            </w:pPr>
            <w:r>
              <w:t xml:space="preserve">centenari con il gene di rischio per l’Alzheimer APOE4; modello murino</w:t>
            </w:r>
          </w:p>
        </w:tc>
        <w:tc>
          <w:tcPr/>
          <w:p>
            <w:pPr>
              <w:pStyle w:val="Compact"/>
              <w:jc w:val="left"/>
            </w:pPr>
            <w:r>
              <w:t xml:space="preserve">analisi genetica</w:t>
            </w:r>
          </w:p>
        </w:tc>
        <w:tc>
          <w:tcPr/>
          <w:p>
            <w:pPr>
              <w:pStyle w:val="Compact"/>
              <w:jc w:val="left"/>
            </w:pPr>
            <w:r>
              <w:t xml:space="preserve">rara variante di umanina P3S più frequente nei portatori longevi di APOE4</w:t>
            </w:r>
          </w:p>
        </w:tc>
      </w:tr>
      <w:tr>
        <w:tc>
          <w:tcPr/>
          <w:p>
            <w:pPr>
              <w:pStyle w:val="Compact"/>
              <w:jc w:val="left"/>
            </w:pPr>
            <w:r>
              <w:t xml:space="preserve">Gidlund 2016, PMID 27923980</w:t>
            </w:r>
          </w:p>
        </w:tc>
        <w:tc>
          <w:tcPr/>
          <w:p>
            <w:pPr>
              <w:pStyle w:val="Compact"/>
              <w:jc w:val="left"/>
            </w:pPr>
            <w:r>
              <w:t xml:space="preserve">55 uomini con alterato metabolismo glucidico, allenamento di forza, nordic walking o controllo, randomizzato</w:t>
            </w:r>
          </w:p>
        </w:tc>
        <w:tc>
          <w:tcPr/>
          <w:p>
            <w:pPr>
              <w:pStyle w:val="Compact"/>
              <w:jc w:val="left"/>
            </w:pPr>
            <w:r>
              <w:t xml:space="preserve">12 settimane</w:t>
            </w:r>
          </w:p>
        </w:tc>
        <w:tc>
          <w:tcPr/>
          <w:p>
            <w:pPr>
              <w:pStyle w:val="Compact"/>
              <w:jc w:val="left"/>
            </w:pPr>
            <w:r>
              <w:t xml:space="preserve">umanina nel muscolo più alta del 35% dopo allenamento di forza, nel sangue invariata</w:t>
            </w:r>
          </w:p>
        </w:tc>
      </w:tr>
      <w:tr>
        <w:tc>
          <w:tcPr/>
          <w:p>
            <w:pPr>
              <w:pStyle w:val="Compact"/>
              <w:jc w:val="left"/>
            </w:pPr>
            <w:r>
              <w:t xml:space="preserve">von Walden 2021, PMID 34351816</w:t>
            </w:r>
          </w:p>
        </w:tc>
        <w:tc>
          <w:tcPr/>
          <w:p>
            <w:pPr>
              <w:pStyle w:val="Compact"/>
              <w:jc w:val="left"/>
            </w:pPr>
            <w:r>
              <w:t xml:space="preserve">30 persone, una seduta di resistenza o di forza o controllo, randomizzato</w:t>
            </w:r>
          </w:p>
        </w:tc>
        <w:tc>
          <w:tcPr/>
          <w:p>
            <w:pPr>
              <w:pStyle w:val="Compact"/>
              <w:jc w:val="left"/>
            </w:pPr>
            <w:r>
              <w:t xml:space="preserve">singola</w:t>
            </w:r>
          </w:p>
        </w:tc>
        <w:tc>
          <w:tcPr/>
          <w:p>
            <w:pPr>
              <w:pStyle w:val="Compact"/>
              <w:jc w:val="left"/>
            </w:pPr>
            <w:r>
              <w:t xml:space="preserve">umanina nel sangue aumentata dopo sforzo di resistenza</w:t>
            </w:r>
          </w:p>
        </w:tc>
      </w:tr>
      <w:tr>
        <w:tc>
          <w:tcPr/>
          <w:p>
            <w:pPr>
              <w:pStyle w:val="Compact"/>
              <w:jc w:val="left"/>
            </w:pPr>
            <w:r>
              <w:t xml:space="preserve">Xu 2019, PMID 31134827</w:t>
            </w:r>
          </w:p>
        </w:tc>
        <w:tc>
          <w:tcPr/>
          <w:p>
            <w:pPr>
              <w:pStyle w:val="Compact"/>
              <w:jc w:val="left"/>
            </w:pPr>
            <w:r>
              <w:t xml:space="preserve">158 persone con demenza vascolare, ossigenoterapia iperbarica o standard</w:t>
            </w:r>
          </w:p>
        </w:tc>
        <w:tc>
          <w:tcPr/>
          <w:p>
            <w:pPr>
              <w:pStyle w:val="Compact"/>
              <w:jc w:val="left"/>
            </w:pPr>
            <w:r>
              <w:t xml:space="preserve">12 settimane</w:t>
            </w:r>
          </w:p>
        </w:tc>
        <w:tc>
          <w:tcPr/>
          <w:p>
            <w:pPr>
              <w:pStyle w:val="Compact"/>
              <w:jc w:val="left"/>
            </w:pPr>
            <w:r>
              <w:t xml:space="preserve">livelli di umanina e punteggi MMSE più alti con terapia iperbarica</w:t>
            </w:r>
          </w:p>
        </w:tc>
      </w:tr>
    </w:tbl>
    <w:p>
      <w:pPr>
        <w:pStyle w:val="BodyText"/>
      </w:pPr>
      <w:r>
        <w:t xml:space="preserve">Le osservazioni danno un quadro coerente: i livelli di umanina diminuiscono con l’età, sono più alti nei figli di persone molto anziane, più bassi in alcune malattie e aumentano con l’esercizio. Interessante è il legame con il sistema dell’ormone della crescita: ormone della crescita e IGF-1 hanno abbassato i livelli di umanina in topi e persone, e topi longevi con deficit di ormone della crescita avevano livelli elevati</w:t>
      </w:r>
      <w:r>
        <w:rPr>
          <w:rStyle w:val="FootnoteReference"/>
        </w:rPr>
        <w:footnoteReference w:id="1849"/>
      </w:r>
      <w:r>
        <w:t xml:space="preserve">. È degno di nota, perché sullo stesso mercato grigio vengono spesso offerti secretagoghi dell’ormone della crescita (si veda la Parte II · C).</w:t>
      </w:r>
    </w:p>
    <w:p>
      <w:pPr>
        <w:pStyle w:val="BodyText"/>
      </w:pPr>
      <w:r>
        <w:t xml:space="preserve">Anche qui però vale: un livello associato alla salute non è una prova che un apporto renda più sani. L’umanina potrebbe altrettanto bene essere un segno di accompagnamento di mitocondri sani, senza esserne essa stessa la causa.</w:t>
      </w:r>
    </w:p>
    <w:bookmarkEnd w:id="1850"/>
    <w:bookmarkStart w:id="1851" w:name="somministrazione-come-principio-attivo"/>
    <w:p>
      <w:pPr>
        <w:pStyle w:val="Heading4"/>
      </w:pPr>
      <w:r>
        <w:t xml:space="preserve">Somministrazione come principio attivo</w:t>
      </w:r>
    </w:p>
    <w:p>
      <w:pPr>
        <w:pStyle w:val="FirstParagraph"/>
      </w:pPr>
      <w:r>
        <w:t xml:space="preserve">Non esiste alcuno studio pubblicato né alcuna voce di registro in cui delle persone abbiano ricevuto umanina o HNG (ricerca di ottobre 2026). Non sono stati trovati nemmeno casi clinici di effetti collaterali dopo autosomministrazione.</w:t>
      </w:r>
    </w:p>
    <w:bookmarkEnd w:id="1851"/>
    <w:bookmarkEnd w:id="1852"/>
    <w:bookmarkStart w:id="1858" w:name="studi-su-animali-e-in-laboratorio-42"/>
    <w:p>
      <w:pPr>
        <w:pStyle w:val="Heading3"/>
      </w:pPr>
      <w:r>
        <w:t xml:space="preserve">Studi su animali e in laboratorio</w:t>
      </w:r>
    </w:p>
    <w:p>
      <w:pPr>
        <w:pStyle w:val="FirstParagraph"/>
      </w:pPr>
      <w:r>
        <w:t xml:space="preserve">La letteratura preclinica è ampia:</w:t>
      </w:r>
    </w:p>
    <w:p>
      <w:pPr>
        <w:numPr>
          <w:ilvl w:val="0"/>
          <w:numId w:val="1233"/>
        </w:numPr>
        <w:pStyle w:val="Compact"/>
      </w:pPr>
      <w:r>
        <w:rPr>
          <w:bCs/>
          <w:b/>
        </w:rPr>
        <w:t xml:space="preserve">Durata della vita:</w:t>
      </w:r>
      <w:r>
        <w:t xml:space="preserve"> </w:t>
      </w:r>
      <w:r>
        <w:t xml:space="preserve">nei nematodi una maggiore produzione di umanina ha prolungato la durata della vita; nei topi di mezza età l’HNG ha migliorato i valori metabolici e ridotto i marcatori infiammatori</w:t>
      </w:r>
      <w:r>
        <w:rPr>
          <w:rStyle w:val="FootnoteReference"/>
        </w:rPr>
        <w:footnoteReference w:id="1853"/>
      </w:r>
      <w:r>
        <w:t xml:space="preserve">.</w:t>
      </w:r>
    </w:p>
    <w:p>
      <w:pPr>
        <w:numPr>
          <w:ilvl w:val="0"/>
          <w:numId w:val="1233"/>
        </w:numPr>
        <w:pStyle w:val="Compact"/>
      </w:pPr>
      <w:r>
        <w:rPr>
          <w:bCs/>
          <w:b/>
        </w:rPr>
        <w:t xml:space="preserve">Cuore:</w:t>
      </w:r>
      <w:r>
        <w:t xml:space="preserve"> </w:t>
      </w:r>
      <w:r>
        <w:t xml:space="preserve">nei topi l’HNG ha ridotto le dimensioni dell’infarto dopo un infarto indotto artificialmente</w:t>
      </w:r>
      <w:r>
        <w:rPr>
          <w:rStyle w:val="FootnoteReference"/>
        </w:rPr>
        <w:footnoteReference w:id="1854"/>
      </w:r>
      <w:r>
        <w:t xml:space="preserve">; un trattamento di 14 mesi di topi anziani ha ridotto la cicatrizzazione del muscolo cardiaco legata all’età</w:t>
      </w:r>
      <w:r>
        <w:rPr>
          <w:rStyle w:val="FootnoteReference"/>
        </w:rPr>
        <w:footnoteReference w:id="1855"/>
      </w:r>
      <w:r>
        <w:t xml:space="preserve">.</w:t>
      </w:r>
    </w:p>
    <w:p>
      <w:pPr>
        <w:numPr>
          <w:ilvl w:val="0"/>
          <w:numId w:val="1233"/>
        </w:numPr>
        <w:pStyle w:val="Compact"/>
      </w:pPr>
      <w:r>
        <w:rPr>
          <w:bCs/>
          <w:b/>
        </w:rPr>
        <w:t xml:space="preserve">Modelli di Alzheimer:</w:t>
      </w:r>
      <w:r>
        <w:t xml:space="preserve"> </w:t>
      </w:r>
      <w:r>
        <w:t xml:space="preserve">la rara variante P3S ha ridotto nei topi con APOE4 i depositi di amiloide più dell’umanina normale</w:t>
      </w:r>
      <w:r>
        <w:rPr>
          <w:rStyle w:val="FootnoteReference"/>
        </w:rPr>
        <w:footnoteReference w:id="1856"/>
      </w:r>
      <w:r>
        <w:t xml:space="preserve">.</w:t>
      </w:r>
    </w:p>
    <w:p>
      <w:pPr>
        <w:numPr>
          <w:ilvl w:val="0"/>
          <w:numId w:val="1233"/>
        </w:numPr>
        <w:pStyle w:val="Compact"/>
      </w:pPr>
      <w:r>
        <w:rPr>
          <w:bCs/>
          <w:b/>
        </w:rPr>
        <w:t xml:space="preserve">Retina:</w:t>
      </w:r>
      <w:r>
        <w:t xml:space="preserve"> </w:t>
      </w:r>
      <w:r>
        <w:t xml:space="preserve">in modelli cellulari con mitocondri di persone con degenerazione maculare legata all’età, l’HNG ha protetto dai danni cellulari</w:t>
      </w:r>
      <w:r>
        <w:rPr>
          <w:rStyle w:val="FootnoteReference"/>
        </w:rPr>
        <w:footnoteReference w:id="1857"/>
      </w:r>
      <w:r>
        <w:t xml:space="preserve">.</w:t>
      </w:r>
    </w:p>
    <w:bookmarkEnd w:id="1858"/>
    <w:bookmarkStart w:id="1861" w:name="rischi-ed-effetti-collaterali-42"/>
    <w:p>
      <w:pPr>
        <w:pStyle w:val="Heading3"/>
      </w:pPr>
      <w:r>
        <w:t xml:space="preserve">Rischi ed effetti collaterali</w:t>
      </w:r>
    </w:p>
    <w:p>
      <w:pPr>
        <w:pStyle w:val="FirstParagraph"/>
      </w:pPr>
      <w:r>
        <w:rPr>
          <w:bCs/>
          <w:b/>
        </w:rPr>
        <w:t xml:space="preserve">Documentati:</w:t>
      </w:r>
      <w:r>
        <w:t xml:space="preserve"> </w:t>
      </w:r>
      <w:r>
        <w:t xml:space="preserve">non esistono dati di sicurezza sulla somministrazione nell’uomo.</w:t>
      </w:r>
    </w:p>
    <w:p>
      <w:pPr>
        <w:pStyle w:val="BodyText"/>
      </w:pPr>
      <w:r>
        <w:rPr>
          <w:bCs/>
          <w:b/>
        </w:rPr>
        <w:t xml:space="preserve">Teorici, con segnali d’allarme concreti dal laboratorio:</w:t>
      </w:r>
    </w:p>
    <w:p>
      <w:pPr>
        <w:numPr>
          <w:ilvl w:val="0"/>
          <w:numId w:val="1234"/>
        </w:numPr>
        <w:pStyle w:val="Compact"/>
      </w:pPr>
      <w:r>
        <w:rPr>
          <w:bCs/>
          <w:b/>
        </w:rPr>
        <w:t xml:space="preserve">Cancro:</w:t>
      </w:r>
      <w:r>
        <w:t xml:space="preserve"> </w:t>
      </w:r>
      <w:r>
        <w:t xml:space="preserve">l’umanina protegge le cellule dalla morte cellulare programmata, e ciò vale anche per le cellule tumorali. In topi con cancro al seno triplo negativo l’umanina somministrata ha ridotto la morte cellulare nel tumore, indebolito l’effetto della chemioterapia e accelerato crescita tumorale e metastasi polmonari. Nelle biopsie di questo tipo di cancro al seno l’umanina era rilevabile in quantità maggiore. Gli autori raccomandano espressamente cautela nell’uso dell’umanina contro malattie degenerative</w:t>
      </w:r>
      <w:r>
        <w:rPr>
          <w:rStyle w:val="FootnoteReference"/>
        </w:rPr>
        <w:footnoteReference w:id="1859"/>
      </w:r>
      <w:r>
        <w:t xml:space="preserve">.</w:t>
      </w:r>
    </w:p>
    <w:p>
      <w:pPr>
        <w:numPr>
          <w:ilvl w:val="0"/>
          <w:numId w:val="1234"/>
        </w:numPr>
        <w:pStyle w:val="Compact"/>
      </w:pPr>
      <w:r>
        <w:rPr>
          <w:bCs/>
          <w:b/>
        </w:rPr>
        <w:t xml:space="preserve">Infiammazione nelle cellule invecchiate:</w:t>
      </w:r>
      <w:r>
        <w:t xml:space="preserve"> </w:t>
      </w:r>
      <w:r>
        <w:t xml:space="preserve">in esperimenti su cellule umanina e MOTS-c hanno aumentato il rilascio di messaggeri infiammatori da parte di cellule invecchiate («senescenti»)</w:t>
      </w:r>
      <w:r>
        <w:rPr>
          <w:rStyle w:val="FootnoteReference"/>
        </w:rPr>
        <w:footnoteReference w:id="1860"/>
      </w:r>
      <w:r>
        <w:t xml:space="preserve">.</w:t>
      </w:r>
    </w:p>
    <w:p>
      <w:pPr>
        <w:numPr>
          <w:ilvl w:val="0"/>
          <w:numId w:val="1234"/>
        </w:numPr>
        <w:pStyle w:val="Compact"/>
      </w:pPr>
      <w:r>
        <w:rPr>
          <w:bCs/>
          <w:b/>
        </w:rPr>
        <w:t xml:space="preserve">Reazioni immunitarie:</w:t>
      </w:r>
      <w:r>
        <w:t xml:space="preserve"> </w:t>
      </w:r>
      <w:r>
        <w:t xml:space="preserve">con iniezioni ripetute di un peptide possono formarsi anticorpi; non studiato.</w:t>
      </w:r>
    </w:p>
    <w:p>
      <w:pPr>
        <w:pStyle w:val="FirstParagraph"/>
      </w:pPr>
      <w:r>
        <w:rPr>
          <w:bCs/>
          <w:b/>
        </w:rPr>
        <w:t xml:space="preserve">Mercato grigio:</w:t>
      </w:r>
      <w:r>
        <w:t xml:space="preserve"> </w:t>
      </w:r>
      <w:r>
        <w:t xml:space="preserve">umanina e HNG vengono offerte come «peptidi della longevità» per iniezione. Contenuto, purezza e sterilità non sono verificati.</w:t>
      </w:r>
    </w:p>
    <w:bookmarkEnd w:id="1861"/>
    <w:bookmarkStart w:id="1862" w:name="quadro-normativo-42"/>
    <w:p>
      <w:pPr>
        <w:pStyle w:val="Heading3"/>
      </w:pPr>
      <w:r>
        <w:t xml:space="preserve">Quadro normativo</w:t>
      </w:r>
    </w:p>
    <w:p>
      <w:pPr>
        <w:numPr>
          <w:ilvl w:val="0"/>
          <w:numId w:val="1235"/>
        </w:numPr>
        <w:pStyle w:val="Compact"/>
      </w:pPr>
      <w:r>
        <w:rPr>
          <w:bCs/>
          <w:b/>
        </w:rPr>
        <w:t xml:space="preserve">UE / Austria / Germania:</w:t>
      </w:r>
      <w:r>
        <w:t xml:space="preserve"> </w:t>
      </w:r>
      <w:r>
        <w:t xml:space="preserve">non autorizzata; in quanto sostanza con effetto farmacologico l’umanina è considerata un medicinale, e la vendita per uso umano non è consentita.</w:t>
      </w:r>
    </w:p>
    <w:p>
      <w:pPr>
        <w:numPr>
          <w:ilvl w:val="0"/>
          <w:numId w:val="1235"/>
        </w:numPr>
        <w:pStyle w:val="Compact"/>
      </w:pPr>
      <w:r>
        <w:rPr>
          <w:bCs/>
          <w:b/>
        </w:rPr>
        <w:t xml:space="preserve">USA:</w:t>
      </w:r>
      <w:r>
        <w:t xml:space="preserve"> </w:t>
      </w:r>
      <w:r>
        <w:t xml:space="preserve">non autorizzata.</w:t>
      </w:r>
    </w:p>
    <w:p>
      <w:pPr>
        <w:numPr>
          <w:ilvl w:val="0"/>
          <w:numId w:val="1235"/>
        </w:numPr>
        <w:pStyle w:val="Compact"/>
      </w:pPr>
      <w:r>
        <w:rPr>
          <w:bCs/>
          <w:b/>
        </w:rPr>
        <w:t xml:space="preserve">Sport:</w:t>
      </w:r>
      <w:r>
        <w:t xml:space="preserve"> </w:t>
      </w:r>
      <w:r>
        <w:t xml:space="preserve">secondo la nostra valutazione categoria WADA S0 (aggiornato al 2026, da verificare).</w:t>
      </w:r>
    </w:p>
    <w:bookmarkEnd w:id="1862"/>
    <w:bookmarkStart w:id="1864" w:name="studi-in-corso-e-prospettive-42"/>
    <w:p>
      <w:pPr>
        <w:pStyle w:val="Heading3"/>
      </w:pPr>
      <w:r>
        <w:t xml:space="preserve">Studi in corso e prospettive</w:t>
      </w:r>
    </w:p>
    <w:p>
      <w:pPr>
        <w:pStyle w:val="FirstParagraph"/>
      </w:pPr>
      <w:r>
        <w:rPr>
          <w:bCs/>
          <w:b/>
        </w:rPr>
        <w:t xml:space="preserve">Assodato:</w:t>
      </w:r>
      <w:r>
        <w:t xml:space="preserve"> </w:t>
      </w:r>
      <w:r>
        <w:t xml:space="preserve">sono registrati solo studi osservazionali sui livelli di umanina, per esempio dopo interventi cardiochirurgici (NCT03431844, 106 partecipanti, concluso) e nel trapianto di rene</w:t>
      </w:r>
      <w:r>
        <w:rPr>
          <w:rStyle w:val="FootnoteReference"/>
        </w:rPr>
        <w:footnoteReference w:id="1863"/>
      </w:r>
      <w:r>
        <w:t xml:space="preserve">. Uno studio sulla somministrazione di umanina non esiste.</w:t>
      </w:r>
    </w:p>
    <w:p>
      <w:pPr>
        <w:pStyle w:val="BodyText"/>
      </w:pPr>
      <w:r>
        <w:rPr>
          <w:bCs/>
          <w:b/>
        </w:rPr>
        <w:t xml:space="preserve">Valutazione:</w:t>
      </w:r>
      <w:r>
        <w:t xml:space="preserve"> </w:t>
      </w:r>
      <w:r>
        <w:t xml:space="preserve">l’umanina è un peptide di segnalazione scientificamente affascinante e un possibile biomarcatore dell’invecchiamento. Se sarà mai sperimentata come farmaco è incerto; i risultati sul cancro dal modello animale dovrebbero essere chiariti con cura prima di qualsiasi impiego sull’uomo.</w:t>
      </w:r>
    </w:p>
    <w:bookmarkEnd w:id="1864"/>
    <w:bookmarkStart w:id="1865" w:name="conclusione-42"/>
    <w:p>
      <w:pPr>
        <w:pStyle w:val="Heading3"/>
      </w:pPr>
      <w:r>
        <w:t xml:space="preserve">Conclusione</w:t>
      </w:r>
    </w:p>
    <w:p>
      <w:pPr>
        <w:pStyle w:val="FirstParagraph"/>
      </w:pPr>
      <w:r>
        <w:t xml:space="preserve">L’umanina è un peptide mitocondriale endogeno scoperto nel 2001 come fattore protettivo per i neuroni. I suoi livelli diminuiscono con l’età, sono più alti nei figli di centenari e aumentano con l’esercizio; negli esperimenti sugli animali la variante HNG ha protetto cuore, cervello e metabolismo. Nell’uomo l’umanina non è mai stata somministrata come principio attivo, e nei topi ha favorito la crescita del cancro al seno. I dati non bastano per valutare beneficio o sicurezza di un apporto.</w:t>
      </w:r>
    </w:p>
    <w:bookmarkEnd w:id="1865"/>
    <w:bookmarkEnd w:id="1866"/>
    <w:bookmarkStart w:id="1906" w:name="ss-31-elamipretide"/>
    <w:p>
      <w:pPr>
        <w:pStyle w:val="Heading2"/>
      </w:pPr>
      <w:r>
        <w:t xml:space="preserve">SS-31 (elamipretide)</w:t>
      </w:r>
    </w:p>
    <w:bookmarkStart w:id="1867" w:name="scheda-43"/>
    <w:p>
      <w:pPr>
        <w:pStyle w:val="Heading3"/>
      </w:pPr>
      <w:r>
        <w:t xml:space="preserve">Scheda</w:t>
      </w:r>
    </w:p>
    <w:p>
      <w:pPr>
        <w:numPr>
          <w:ilvl w:val="0"/>
          <w:numId w:val="1236"/>
        </w:numPr>
        <w:pStyle w:val="Compact"/>
      </w:pPr>
      <w:r>
        <w:rPr>
          <w:bCs/>
          <w:b/>
        </w:rPr>
        <w:t xml:space="preserve">Tipo e struttura:</w:t>
      </w:r>
      <w:r>
        <w:t xml:space="preserve"> </w:t>
      </w:r>
      <w:r>
        <w:t xml:space="preserve">tetrapeptide sintetico di quattro elementi (D-arginina, dimetiltirosina, lisina, fenilalanina), che grazie a un’insolita sequenza di amminoacidi a carica positiva e ad anello attraversa le membrane cellulari. Denominazioni di ricerca SS-31, MTP-131 e Bendavia; denominazione del principio attivo elamipretide; nome commerciale Forzinity.</w:t>
      </w:r>
    </w:p>
    <w:p>
      <w:pPr>
        <w:numPr>
          <w:ilvl w:val="0"/>
          <w:numId w:val="1236"/>
        </w:numPr>
        <w:pStyle w:val="Compact"/>
      </w:pPr>
      <w:r>
        <w:rPr>
          <w:bCs/>
          <w:b/>
        </w:rPr>
        <w:t xml:space="preserve">Origine:</w:t>
      </w:r>
      <w:r>
        <w:t xml:space="preserve"> </w:t>
      </w:r>
      <w:r>
        <w:t xml:space="preserve">sviluppato da Hazel Szeto e Peter Schiller (da cui i peptidi «SS»), portato avanti nello sviluppo clinico dall’azienda statunitense Stealth BioTherapeutics.</w:t>
      </w:r>
    </w:p>
    <w:p>
      <w:pPr>
        <w:numPr>
          <w:ilvl w:val="0"/>
          <w:numId w:val="1236"/>
        </w:numPr>
        <w:pStyle w:val="Compact"/>
      </w:pPr>
      <w:r>
        <w:rPr>
          <w:bCs/>
          <w:b/>
        </w:rPr>
        <w:t xml:space="preserve">Principio d’azione:</w:t>
      </w:r>
      <w:r>
        <w:t xml:space="preserve"> </w:t>
      </w:r>
      <w:r>
        <w:t xml:space="preserve">si accumula nella membrana interna dei mitocondri e si lega lì alla cardiolipina, un lipide indispensabile per la produzione di energia. Dovrebbe stabilizzare la catena respiratoria e limitare l’ossidazione dannosa.</w:t>
      </w:r>
    </w:p>
    <w:p>
      <w:pPr>
        <w:numPr>
          <w:ilvl w:val="0"/>
          <w:numId w:val="1236"/>
        </w:numPr>
        <w:pStyle w:val="Compact"/>
      </w:pPr>
      <w:r>
        <w:rPr>
          <w:bCs/>
          <w:b/>
        </w:rPr>
        <w:t xml:space="preserve">Autorizzazione UE:</w:t>
      </w:r>
      <w:r>
        <w:t xml:space="preserve"> </w:t>
      </w:r>
      <w:r>
        <w:t xml:space="preserve">no.</w:t>
      </w:r>
    </w:p>
    <w:p>
      <w:pPr>
        <w:numPr>
          <w:ilvl w:val="0"/>
          <w:numId w:val="1236"/>
        </w:numPr>
        <w:pStyle w:val="Compact"/>
      </w:pPr>
      <w:r>
        <w:rPr>
          <w:bCs/>
          <w:b/>
        </w:rPr>
        <w:t xml:space="preserve">Autorizzazione USA:</w:t>
      </w:r>
      <w:r>
        <w:t xml:space="preserve"> </w:t>
      </w:r>
      <w:r>
        <w:t xml:space="preserve">sì – nel settembre 2025</w:t>
      </w:r>
      <w:r>
        <w:t xml:space="preserve"> </w:t>
      </w:r>
      <w:r>
        <w:rPr>
          <w:bCs/>
          <w:b/>
        </w:rPr>
        <w:t xml:space="preserve">approvazione accelerata</w:t>
      </w:r>
      <w:r>
        <w:t xml:space="preserve"> </w:t>
      </w:r>
      <w:r>
        <w:t xml:space="preserve">(accelerated approval) come Forzinity per migliorare la forza muscolare nella sindrome di Barth per adulti e bambini a partire da 30 kg di peso corporeo. L’approvazione è vincolata a uno studio di conferma.</w:t>
      </w:r>
    </w:p>
    <w:p>
      <w:pPr>
        <w:numPr>
          <w:ilvl w:val="0"/>
          <w:numId w:val="1236"/>
        </w:numPr>
        <w:pStyle w:val="Compact"/>
      </w:pPr>
      <w:r>
        <w:rPr>
          <w:bCs/>
          <w:b/>
        </w:rPr>
        <w:t xml:space="preserve">WADA:</w:t>
      </w:r>
      <w:r>
        <w:t xml:space="preserve"> </w:t>
      </w:r>
      <w:r>
        <w:t xml:space="preserve">non elencato per nome.</w:t>
      </w:r>
    </w:p>
    <w:p>
      <w:pPr>
        <w:numPr>
          <w:ilvl w:val="0"/>
          <w:numId w:val="1236"/>
        </w:numPr>
        <w:pStyle w:val="Compact"/>
      </w:pPr>
      <w:r>
        <w:rPr>
          <w:bCs/>
          <w:b/>
        </w:rPr>
        <w:t xml:space="preserve">Livello di evidenza:</w:t>
      </w:r>
      <w:r>
        <w:t xml:space="preserve"> </w:t>
      </w:r>
      <w:r>
        <w:rPr>
          <w:bCs/>
          <w:b/>
        </w:rPr>
        <w:t xml:space="preserve">B</w:t>
      </w:r>
      <w:r>
        <w:t xml:space="preserve"> </w:t>
      </w:r>
      <w:r>
        <w:t xml:space="preserve">– numerosi studi randomizzati, tra cui uno studio di fase 3 con 218 partecipanti; la maggior parte dei grandi studi ha però mancato l’endpoint principale, e l’approvazione si basa su uno studio molto piccolo in una malattia estremamente rara.</w:t>
      </w:r>
    </w:p>
    <w:bookmarkEnd w:id="1867"/>
    <w:bookmarkStart w:id="1869" w:name="come-dovrebbe-agire-43"/>
    <w:p>
      <w:pPr>
        <w:pStyle w:val="Heading3"/>
      </w:pPr>
      <w:r>
        <w:t xml:space="preserve">Come dovrebbe agire</w:t>
      </w:r>
    </w:p>
    <w:p>
      <w:pPr>
        <w:pStyle w:val="FirstParagraph"/>
      </w:pPr>
      <w:r>
        <w:t xml:space="preserve">I mitocondri producono energia attraverso una catena di complessi proteici nella loro membrana interna. Perché questi complessi collaborino correttamente serve la cardiolipina, un lipide particolare presente solo in questa membrana. Se la cardiolipina è danneggiata o manca, la catena respiratoria funziona peggio, e la proteina citocromo c può trasformarsi da trasportatore di elettroni in un enzima dannoso (una perossidasi).</w:t>
      </w:r>
    </w:p>
    <w:p>
      <w:pPr>
        <w:pStyle w:val="BodyText"/>
      </w:pPr>
      <w:r>
        <w:t xml:space="preserve">Secondo la sua sviluppatrice, l’SS-31 si lega in modo selettivo alla cardiolipina tramite forze elettriche e idrofobiche, impedisce questa trasformazione del citocromo c e protegge così la struttura dei mitocondri</w:t>
      </w:r>
      <w:r>
        <w:rPr>
          <w:rStyle w:val="FootnoteReference"/>
        </w:rPr>
        <w:footnoteReference w:id="1868"/>
      </w:r>
      <w:r>
        <w:t xml:space="preserve">. Il principio è stato studiato in molti modelli animali di malattie cardiache, renali, muscolari e oculari.</w:t>
      </w:r>
    </w:p>
    <w:p>
      <w:pPr>
        <w:pStyle w:val="BodyText"/>
      </w:pPr>
      <w:r>
        <w:t xml:space="preserve">Il legame più chiaro è con la</w:t>
      </w:r>
      <w:r>
        <w:t xml:space="preserve"> </w:t>
      </w:r>
      <w:r>
        <w:rPr>
          <w:bCs/>
          <w:b/>
        </w:rPr>
        <w:t xml:space="preserve">sindrome di Barth</w:t>
      </w:r>
      <w:r>
        <w:t xml:space="preserve">: in questa malattia molto rara, a trasmissione legata al cromosoma X, che colpisce quasi solo ragazzi e uomini, è difettoso il gene</w:t>
      </w:r>
      <w:r>
        <w:t xml:space="preserve"> </w:t>
      </w:r>
      <w:r>
        <w:rPr>
          <w:iCs/>
          <w:i/>
        </w:rPr>
        <w:t xml:space="preserve">TAZ</w:t>
      </w:r>
      <w:r>
        <w:t xml:space="preserve">, necessario per il rimodellamento della cardiolipina. Le persone colpite hanno insufficienza del muscolo cardiaco, debolezza muscolare, forte affaticabilità e un numero ridotto di determinati globuli bianchi. Un principio attivo che agisce in modo mirato sulla cardiolipina è qui biologicamente particolarmente sensato.</w:t>
      </w:r>
    </w:p>
    <w:bookmarkEnd w:id="1869"/>
    <w:bookmarkStart w:id="1888" w:name="studi-sulluomo-43"/>
    <w:p>
      <w:pPr>
        <w:pStyle w:val="Heading3"/>
      </w:pPr>
      <w:r>
        <w:t xml:space="preserve">Studi sull’uomo</w:t>
      </w:r>
    </w:p>
    <w:p>
      <w:pPr>
        <w:pStyle w:val="FirstParagraph"/>
      </w:pPr>
      <w:r>
        <w:rPr>
          <w:bCs/>
          <w:b/>
        </w:rPr>
        <w:t xml:space="preserve">Dimensioni della letteratura:</w:t>
      </w:r>
      <w:r>
        <w:t xml:space="preserve"> </w:t>
      </w:r>
      <w:r>
        <w:t xml:space="preserve">la ricerca automatizzata in PubMed (ottobre 2026) ha dato 19 pubblicazioni classificate come studi sull’uomo; quattro di queste, a un esame più attento, riguardano altri principi attivi (la sigla «SS-31» compare anche altrove). Su ClinicalTrials.gov erano registrati 21 studi, quasi tutti del produttore, su sindrome di Barth, miopatie mitocondriali, insufficienza cardiaca, infarto, stenosi dell’arteria renale, degenerazione maculare secca e malattie oculari. L’elamipretide è quindi il peptide meglio studiato di questa parte.</w:t>
      </w:r>
    </w:p>
    <w:bookmarkStart w:id="1877" w:name="X9e30b482dc8f6abcb3cb6a878492bd64d1e5605"/>
    <w:p>
      <w:pPr>
        <w:pStyle w:val="Heading4"/>
      </w:pPr>
      <w:r>
        <w:t xml:space="preserve">Sindrome di Barth: TAZPOWER e l’approvazione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TAZPOWER parte 1 (Reid Thompson 2021), PMID 33077895</w:t>
            </w:r>
          </w:p>
        </w:tc>
        <w:tc>
          <w:tcPr/>
          <w:p>
            <w:pPr>
              <w:pStyle w:val="Compact"/>
              <w:jc w:val="left"/>
            </w:pPr>
            <w:r>
              <w:t xml:space="preserve">12 persone, doppio cieco, crossover contro placebo</w:t>
            </w:r>
          </w:p>
        </w:tc>
        <w:tc>
          <w:tcPr/>
          <w:p>
            <w:pPr>
              <w:pStyle w:val="Compact"/>
              <w:jc w:val="left"/>
            </w:pPr>
            <w:r>
              <w:t xml:space="preserve">12 settimane ciascuna</w:t>
            </w:r>
          </w:p>
        </w:tc>
        <w:tc>
          <w:tcPr/>
          <w:p>
            <w:pPr>
              <w:pStyle w:val="Compact"/>
              <w:jc w:val="left"/>
            </w:pPr>
            <w:r>
              <w:t xml:space="preserve">entrambi gli endpoint principali (test del cammino di 6 minuti, scala dei sintomi) mancati</w:t>
            </w:r>
          </w:p>
        </w:tc>
      </w:tr>
      <w:tr>
        <w:tc>
          <w:tcPr/>
          <w:p>
            <w:pPr>
              <w:pStyle w:val="Compact"/>
              <w:jc w:val="left"/>
            </w:pPr>
            <w:r>
              <w:t xml:space="preserve">TAZPOWER estensione in aperto, PMID 33077895</w:t>
            </w:r>
          </w:p>
        </w:tc>
        <w:tc>
          <w:tcPr/>
          <w:p>
            <w:pPr>
              <w:pStyle w:val="Compact"/>
              <w:jc w:val="left"/>
            </w:pPr>
            <w:r>
              <w:t xml:space="preserve">10 persone, tutte con elamipretide</w:t>
            </w:r>
          </w:p>
        </w:tc>
        <w:tc>
          <w:tcPr/>
          <w:p>
            <w:pPr>
              <w:pStyle w:val="Compact"/>
              <w:jc w:val="left"/>
            </w:pPr>
            <w:r>
              <w:t xml:space="preserve">36 settimane</w:t>
            </w:r>
          </w:p>
        </w:tc>
        <w:tc>
          <w:tcPr/>
          <w:p>
            <w:pPr>
              <w:pStyle w:val="Compact"/>
              <w:jc w:val="left"/>
            </w:pPr>
            <w:r>
              <w:t xml:space="preserve">distanza percorsa +95,9 m, scala dei sintomi −2,1 punti</w:t>
            </w:r>
          </w:p>
        </w:tc>
      </w:tr>
      <w:tr>
        <w:tc>
          <w:tcPr/>
          <w:p>
            <w:pPr>
              <w:pStyle w:val="Compact"/>
              <w:jc w:val="left"/>
            </w:pPr>
            <w:r>
              <w:t xml:space="preserve">Estensione fino a 168 settimane (Thompson 2024), PMID 38602181</w:t>
            </w:r>
          </w:p>
        </w:tc>
        <w:tc>
          <w:tcPr/>
          <w:p>
            <w:pPr>
              <w:pStyle w:val="Compact"/>
              <w:jc w:val="left"/>
            </w:pPr>
            <w:r>
              <w:t xml:space="preserve">10 incluse, 8 fino alla settimana 168</w:t>
            </w:r>
          </w:p>
        </w:tc>
        <w:tc>
          <w:tcPr/>
          <w:p>
            <w:pPr>
              <w:pStyle w:val="Compact"/>
              <w:jc w:val="left"/>
            </w:pPr>
            <w:r>
              <w:t xml:space="preserve">168 settimane</w:t>
            </w:r>
          </w:p>
        </w:tc>
        <w:tc>
          <w:tcPr/>
          <w:p>
            <w:pPr>
              <w:pStyle w:val="Compact"/>
              <w:jc w:val="left"/>
            </w:pPr>
            <w:r>
              <w:t xml:space="preserve">distanza percorsa cumulativa +96,1 m; volumi cardiaci migliorati</w:t>
            </w:r>
          </w:p>
        </w:tc>
      </w:tr>
      <w:tr>
        <w:tc>
          <w:tcPr/>
          <w:p>
            <w:pPr>
              <w:pStyle w:val="Compact"/>
              <w:jc w:val="left"/>
            </w:pPr>
            <w:r>
              <w:t xml:space="preserve">Confronto con la storia naturale (Hornby 2022), PMID 36056411</w:t>
            </w:r>
          </w:p>
        </w:tc>
        <w:tc>
          <w:tcPr/>
          <w:p>
            <w:pPr>
              <w:pStyle w:val="Compact"/>
              <w:jc w:val="left"/>
            </w:pPr>
            <w:r>
              <w:t xml:space="preserve">8 persone trattate vs. 19 non trattate da registro di malattia</w:t>
            </w:r>
          </w:p>
        </w:tc>
        <w:tc>
          <w:tcPr/>
          <w:p>
            <w:pPr>
              <w:pStyle w:val="Compact"/>
              <w:jc w:val="left"/>
            </w:pPr>
            <w:r>
              <w:t xml:space="preserve">64–76 settimane</w:t>
            </w:r>
          </w:p>
        </w:tc>
        <w:tc>
          <w:tcPr/>
          <w:p>
            <w:pPr>
              <w:pStyle w:val="Compact"/>
              <w:jc w:val="left"/>
            </w:pPr>
            <w:r>
              <w:t xml:space="preserve">differenza nel test del cammino di 79,7 e 91,0 m a favore dell’elamipretide</w:t>
            </w:r>
          </w:p>
        </w:tc>
      </w:tr>
    </w:tbl>
    <w:p>
      <w:pPr>
        <w:pStyle w:val="BodyText"/>
      </w:pPr>
      <w:r>
        <w:t xml:space="preserve">La storia dell’approvazione mostra in modo esemplare come si decide nelle malattie estremamente rare:</w:t>
      </w:r>
    </w:p>
    <w:p>
      <w:pPr>
        <w:pStyle w:val="BodyText"/>
      </w:pPr>
      <w:r>
        <w:rPr>
          <w:bCs/>
          <w:b/>
        </w:rPr>
        <w:t xml:space="preserve">La parte controllata è fallita.</w:t>
      </w:r>
      <w:r>
        <w:t xml:space="preserve"> </w:t>
      </w:r>
      <w:r>
        <w:t xml:space="preserve">In TAZPOWER</w:t>
      </w:r>
      <w:r>
        <w:rPr>
          <w:rStyle w:val="FootnoteReference"/>
        </w:rPr>
        <w:footnoteReference w:id="1870"/>
      </w:r>
      <w:r>
        <w:t xml:space="preserve"> </w:t>
      </w:r>
      <w:r>
        <w:t xml:space="preserve">dodici persone con sindrome di Barth hanno ricevuto per dodici settimane elamipretide sottocutaneo quotidiano o placebo e poi l’altro trattamento. In questa parte in cieco non è stata raggiunta alcuna differenza significativa né nel test del cammino di 6 minuti né nella scala dei sintomi</w:t>
      </w:r>
      <w:r>
        <w:rPr>
          <w:rStyle w:val="FootnoteReference"/>
        </w:rPr>
        <w:footnoteReference w:id="1871"/>
      </w:r>
      <w:r>
        <w:t xml:space="preserve">.</w:t>
      </w:r>
    </w:p>
    <w:p>
      <w:pPr>
        <w:pStyle w:val="BodyText"/>
      </w:pPr>
      <w:r>
        <w:rPr>
          <w:bCs/>
          <w:b/>
        </w:rPr>
        <w:t xml:space="preserve">L’estensione in aperto è stata positiva.</w:t>
      </w:r>
      <w:r>
        <w:t xml:space="preserve"> </w:t>
      </w:r>
      <w:r>
        <w:t xml:space="preserve">Dieci persone hanno proseguito il trattamento in aperto. Dopo 36 settimane camminavano in media 95,9 m in più rispetto all’inizio, e sono migliorati anche la forza di estensione del ginocchio e singoli parametri cardiaci</w:t>
      </w:r>
      <w:r>
        <w:rPr>
          <w:rStyle w:val="FootnoteReference"/>
        </w:rPr>
        <w:footnoteReference w:id="1872"/>
      </w:r>
      <w:r>
        <w:t xml:space="preserve">. Il miglioramento è durato fino alla settimana 168; otto persone hanno raggiunto questo momento</w:t>
      </w:r>
      <w:r>
        <w:rPr>
          <w:rStyle w:val="FootnoteReference"/>
        </w:rPr>
        <w:footnoteReference w:id="1873"/>
      </w:r>
      <w:r>
        <w:t xml:space="preserve">. Senza gruppo di controllo non si può però separare quale quota sia dovuta al farmaco e quale all’abitudine al test, alla motivazione o al caso.</w:t>
      </w:r>
    </w:p>
    <w:p>
      <w:pPr>
        <w:pStyle w:val="BodyText"/>
      </w:pPr>
      <w:r>
        <w:rPr>
          <w:bCs/>
          <w:b/>
        </w:rPr>
        <w:t xml:space="preserve">Confronto con un controllo da registro.</w:t>
      </w:r>
      <w:r>
        <w:t xml:space="preserve"> </w:t>
      </w:r>
      <w:r>
        <w:t xml:space="preserve">Per chiarirlo, un altro studio ha confrontato otto persone trattate con 19 non trattate da un’osservazione del decorso. Il vantaggio nel test del cammino era di 79,7 m dopo 64 settimane</w:t>
      </w:r>
      <w:r>
        <w:rPr>
          <w:rStyle w:val="FootnoteReference"/>
        </w:rPr>
        <w:footnoteReference w:id="1874"/>
      </w:r>
      <w:r>
        <w:t xml:space="preserve">. Tali «controlli storici» sono spesso l’unica possibilità nelle malattie rare, ma sono considerati nettamente più deboli di una randomizzazione.</w:t>
      </w:r>
    </w:p>
    <w:p>
      <w:pPr>
        <w:pStyle w:val="BodyText"/>
      </w:pPr>
      <w:r>
        <w:rPr>
          <w:bCs/>
          <w:b/>
        </w:rPr>
        <w:t xml:space="preserve">La decisione FDA del 2025.</w:t>
      </w:r>
      <w:r>
        <w:t xml:space="preserve"> </w:t>
      </w:r>
      <w:r>
        <w:t xml:space="preserve">L’autorità statunitense dei medicinali ha inizialmente respinto la domanda nel maggio 2025 (Complete Response Letter). Nel settembre 2025 ha poi concesso un’</w:t>
      </w:r>
      <w:r>
        <w:rPr>
          <w:bCs/>
          <w:b/>
        </w:rPr>
        <w:t xml:space="preserve">approvazione accelerata</w:t>
      </w:r>
      <w:r>
        <w:t xml:space="preserve"> </w:t>
      </w:r>
      <w:r>
        <w:t xml:space="preserve">per l’elamipretide (Forzinity) per migliorare la forza muscolare nella sindrome di Barth per pazienti a partire da 30 kg, come primo trattamento specifico per questa malattia</w:t>
      </w:r>
      <w:r>
        <w:rPr>
          <w:rStyle w:val="FootnoteReference"/>
        </w:rPr>
        <w:footnoteReference w:id="1875"/>
      </w:r>
      <w:r>
        <w:t xml:space="preserve">. La base era il miglioramento della forza di estensione del ginocchio, che l’autorità considera una misura surrogata che rende un beneficio clinico «ragionevolmente probabile». Un’approvazione accelerata obbliga il produttore a uno studio di conferma; se lì il beneficio non emerge, l’approvazione può essere revocata. Uno studio corrispondente con 48 partecipanti previsti è in reclutamento da luglio 2026</w:t>
      </w:r>
      <w:r>
        <w:rPr>
          <w:rStyle w:val="FootnoteReference"/>
        </w:rPr>
        <w:footnoteReference w:id="1876"/>
      </w:r>
      <w:r>
        <w:t xml:space="preserve">.</w:t>
      </w:r>
    </w:p>
    <w:bookmarkEnd w:id="1877"/>
    <w:bookmarkStart w:id="1882" w:name="X3a4e72c68afffe7b49e440563a4ba2570581ad0"/>
    <w:p>
      <w:pPr>
        <w:pStyle w:val="Heading4"/>
      </w:pPr>
      <w:r>
        <w:t xml:space="preserve">Miopatia mitocondriale primaria: MMPOWER-3</w:t>
      </w:r>
    </w:p>
    <w:p>
      <w:pPr>
        <w:pStyle w:val="FirstParagraph"/>
      </w:pPr>
      <w:r>
        <w:t xml:space="preserve">Le miopatie mitocondriali sono malattie ereditarie in cui la produzione di energia nei muscoli è alterata; le persone colpite soffrono di debolezza muscolare e forte affaticabilità.</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MMPOWER (Karaa 2018), PMID 29500292</w:t>
            </w:r>
          </w:p>
        </w:tc>
        <w:tc>
          <w:tcPr/>
          <w:p>
            <w:pPr>
              <w:pStyle w:val="Compact"/>
              <w:jc w:val="left"/>
            </w:pPr>
            <w:r>
              <w:t xml:space="preserve">36 persone, infusione a dose crescente contro placebo</w:t>
            </w:r>
          </w:p>
        </w:tc>
        <w:tc>
          <w:tcPr/>
          <w:p>
            <w:pPr>
              <w:pStyle w:val="Compact"/>
              <w:jc w:val="left"/>
            </w:pPr>
            <w:r>
              <w:t xml:space="preserve">5 giorni</w:t>
            </w:r>
          </w:p>
        </w:tc>
        <w:tc>
          <w:tcPr/>
          <w:p>
            <w:pPr>
              <w:pStyle w:val="Compact"/>
              <w:jc w:val="left"/>
            </w:pPr>
            <w:r>
              <w:t xml:space="preserve">dose più alta +64,5 m nel test del cammino vs. +20,4 m (p = 0,053)</w:t>
            </w:r>
          </w:p>
        </w:tc>
      </w:tr>
      <w:tr>
        <w:tc>
          <w:tcPr/>
          <w:p>
            <w:pPr>
              <w:pStyle w:val="Compact"/>
              <w:jc w:val="left"/>
            </w:pPr>
            <w:r>
              <w:t xml:space="preserve">MMPOWER-2 (Karaa 2020), PMID 32096613</w:t>
            </w:r>
          </w:p>
        </w:tc>
        <w:tc>
          <w:tcPr/>
          <w:p>
            <w:pPr>
              <w:pStyle w:val="Compact"/>
              <w:jc w:val="left"/>
            </w:pPr>
            <w:r>
              <w:t xml:space="preserve">30 persone, crossover contro placebo</w:t>
            </w:r>
          </w:p>
        </w:tc>
        <w:tc>
          <w:tcPr/>
          <w:p>
            <w:pPr>
              <w:pStyle w:val="Compact"/>
              <w:jc w:val="left"/>
            </w:pPr>
            <w:r>
              <w:t xml:space="preserve">4 settimane ciascuna</w:t>
            </w:r>
          </w:p>
        </w:tc>
        <w:tc>
          <w:tcPr/>
          <w:p>
            <w:pPr>
              <w:pStyle w:val="Compact"/>
              <w:jc w:val="left"/>
            </w:pPr>
            <w:r>
              <w:t xml:space="preserve">test del cammino +19,8 m (non significativo); meno affaticamento</w:t>
            </w:r>
          </w:p>
        </w:tc>
      </w:tr>
      <w:tr>
        <w:tc>
          <w:tcPr/>
          <w:p>
            <w:pPr>
              <w:pStyle w:val="Compact"/>
              <w:jc w:val="left"/>
            </w:pPr>
            <w:r>
              <w:t xml:space="preserve">MMPOWER-3 (Karaa 2023), PMID 37268435</w:t>
            </w:r>
          </w:p>
        </w:tc>
        <w:tc>
          <w:tcPr/>
          <w:p>
            <w:pPr>
              <w:pStyle w:val="Compact"/>
              <w:jc w:val="left"/>
            </w:pPr>
            <w:r>
              <w:t xml:space="preserve">218 persone, fase 3 contro placebo</w:t>
            </w:r>
          </w:p>
        </w:tc>
        <w:tc>
          <w:tcPr/>
          <w:p>
            <w:pPr>
              <w:pStyle w:val="Compact"/>
              <w:jc w:val="left"/>
            </w:pPr>
            <w:r>
              <w:t xml:space="preserve">24 settimane</w:t>
            </w:r>
          </w:p>
        </w:tc>
        <w:tc>
          <w:tcPr/>
          <w:p>
            <w:pPr>
              <w:pStyle w:val="Compact"/>
              <w:jc w:val="left"/>
            </w:pPr>
            <w:r>
              <w:t xml:space="preserve">entrambi gli endpoint principali mancati; differenza nel test del cammino −3,2 m</w:t>
            </w:r>
          </w:p>
        </w:tc>
      </w:tr>
    </w:tbl>
    <w:p>
      <w:pPr>
        <w:pStyle w:val="BodyText"/>
      </w:pPr>
      <w:r>
        <w:t xml:space="preserve">Dopo piccoli studi incoraggianti,</w:t>
      </w:r>
      <w:r>
        <w:t xml:space="preserve"> </w:t>
      </w:r>
      <w:r>
        <w:rPr>
          <w:bCs/>
          <w:b/>
        </w:rPr>
        <w:t xml:space="preserve">MMPOWER-3</w:t>
      </w:r>
      <w:r>
        <w:rPr>
          <w:rStyle w:val="FootnoteReference"/>
        </w:rPr>
        <w:footnoteReference w:id="1878"/>
      </w:r>
      <w:r>
        <w:t xml:space="preserve"> </w:t>
      </w:r>
      <w:r>
        <w:t xml:space="preserve">avrebbe dovuto dimostrare l’efficacia. 218 adulti con miopatia mitocondriale geneticamente accertata hanno ricevuto per 24 settimane elamipretide o placebo. Lo studio ha mancato entrambi gli endpoint principali: nel test del cammino di 6 minuti la differenza era di −3,2 m (IC 95% da −18,7 a 12,3), e anche nella scala dell’affaticamento non c’era alcuna differenza. La tollerabilità era buona</w:t>
      </w:r>
      <w:r>
        <w:rPr>
          <w:rStyle w:val="FootnoteReference"/>
        </w:rPr>
        <w:footnoteReference w:id="1879"/>
      </w:r>
      <w:r>
        <w:t xml:space="preserve">. Le autrici e gli autori lo classificano come prova della classe più alta del fatto che l’elamipretide non migliora distanza percorsa e affaticamento in questo gruppo.</w:t>
      </w:r>
    </w:p>
    <w:p>
      <w:pPr>
        <w:pStyle w:val="BodyText"/>
      </w:pPr>
      <w:r>
        <w:t xml:space="preserve">Un’analisi a posteriori ha trovato indizi di un beneficio in un sottogruppo: le persone con difetti in geni del nucleo necessari per la replicazione del DNA mitocondriale (come</w:t>
      </w:r>
      <w:r>
        <w:t xml:space="preserve"> </w:t>
      </w:r>
      <w:r>
        <w:rPr>
          <w:iCs/>
          <w:i/>
        </w:rPr>
        <w:t xml:space="preserve">POLG</w:t>
      </w:r>
      <w:r>
        <w:t xml:space="preserve"> </w:t>
      </w:r>
      <w:r>
        <w:t xml:space="preserve">e</w:t>
      </w:r>
      <w:r>
        <w:t xml:space="preserve"> </w:t>
      </w:r>
      <w:r>
        <w:rPr>
          <w:iCs/>
          <w:i/>
        </w:rPr>
        <w:t xml:space="preserve">TWNK</w:t>
      </w:r>
      <w:r>
        <w:t xml:space="preserve">) hanno camminato con elamipretide 25,2 m in più contro 2,0 m con placebo (p = 0,06)</w:t>
      </w:r>
      <w:r>
        <w:rPr>
          <w:rStyle w:val="FootnoteReference"/>
        </w:rPr>
        <w:footnoteReference w:id="1880"/>
      </w:r>
      <w:r>
        <w:t xml:space="preserve">. Le analisi di sottogruppo a posteriori generano ipotesi, non prove. Su questa base è stato condotto lo studio di fase 3 NuPOWER</w:t>
      </w:r>
      <w:r>
        <w:rPr>
          <w:rStyle w:val="FootnoteReference"/>
        </w:rPr>
        <w:footnoteReference w:id="1881"/>
      </w:r>
      <w:r>
        <w:t xml:space="preserve"> </w:t>
      </w:r>
      <w:r>
        <w:t xml:space="preserve">con 102 partecipanti; secondo il registro è concluso da dicembre 2024, i risultati non erano pubblicati al momento della nostra ricerca.</w:t>
      </w:r>
    </w:p>
    <w:bookmarkEnd w:id="1882"/>
    <w:bookmarkStart w:id="1887" w:name="cuore-rene-occhio-ed-età"/>
    <w:p>
      <w:pPr>
        <w:pStyle w:val="Heading4"/>
      </w:pPr>
      <w:r>
        <w:t xml:space="preserve">Cuore, rene, occhio ed età</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EMBRACE STEMI (Gibson 2016), PMID 26586786</w:t>
            </w:r>
          </w:p>
        </w:tc>
        <w:tc>
          <w:tcPr/>
          <w:p>
            <w:pPr>
              <w:pStyle w:val="Compact"/>
              <w:jc w:val="left"/>
            </w:pPr>
            <w:r>
              <w:t xml:space="preserve">persone con primo infarto della parete anteriore, infusione durante il trattamento con catetere, doppio cieco</w:t>
            </w:r>
          </w:p>
        </w:tc>
        <w:tc>
          <w:tcPr/>
          <w:p>
            <w:pPr>
              <w:pStyle w:val="Compact"/>
              <w:jc w:val="left"/>
            </w:pPr>
            <w:r>
              <w:t xml:space="preserve">72 ore</w:t>
            </w:r>
          </w:p>
        </w:tc>
        <w:tc>
          <w:tcPr/>
          <w:p>
            <w:pPr>
              <w:pStyle w:val="Compact"/>
              <w:jc w:val="left"/>
            </w:pPr>
            <w:r>
              <w:t xml:space="preserve">dimensioni dell’infarto non ridotte</w:t>
            </w:r>
          </w:p>
        </w:tc>
      </w:tr>
      <w:tr>
        <w:tc>
          <w:tcPr/>
          <w:p>
            <w:pPr>
              <w:pStyle w:val="Compact"/>
              <w:jc w:val="left"/>
            </w:pPr>
            <w:r>
              <w:t xml:space="preserve">PROGRESS-HF (Butler 2020), PMID 32068002</w:t>
            </w:r>
          </w:p>
        </w:tc>
        <w:tc>
          <w:tcPr/>
          <w:p>
            <w:pPr>
              <w:pStyle w:val="Compact"/>
              <w:jc w:val="left"/>
            </w:pPr>
            <w:r>
              <w:t xml:space="preserve">71 persone con insufficienza cardiaca (HFrEF), contro placebo</w:t>
            </w:r>
          </w:p>
        </w:tc>
        <w:tc>
          <w:tcPr/>
          <w:p>
            <w:pPr>
              <w:pStyle w:val="Compact"/>
              <w:jc w:val="left"/>
            </w:pPr>
            <w:r>
              <w:t xml:space="preserve">4 settimane</w:t>
            </w:r>
          </w:p>
        </w:tc>
        <w:tc>
          <w:tcPr/>
          <w:p>
            <w:pPr>
              <w:pStyle w:val="Compact"/>
              <w:jc w:val="left"/>
            </w:pPr>
            <w:r>
              <w:t xml:space="preserve">nessun miglioramento dei volumi cardiaci</w:t>
            </w:r>
          </w:p>
        </w:tc>
      </w:tr>
      <w:tr>
        <w:tc>
          <w:tcPr/>
          <w:p>
            <w:pPr>
              <w:pStyle w:val="Compact"/>
              <w:jc w:val="left"/>
            </w:pPr>
            <w:r>
              <w:t xml:space="preserve">Daubert 2017, PMID 29217757</w:t>
            </w:r>
          </w:p>
        </w:tc>
        <w:tc>
          <w:tcPr/>
          <w:p>
            <w:pPr>
              <w:pStyle w:val="Compact"/>
              <w:jc w:val="left"/>
            </w:pPr>
            <w:r>
              <w:t xml:space="preserve">36 persone con insufficienza cardiaca, infusione singola</w:t>
            </w:r>
          </w:p>
        </w:tc>
        <w:tc>
          <w:tcPr/>
          <w:p>
            <w:pPr>
              <w:pStyle w:val="Compact"/>
              <w:jc w:val="left"/>
            </w:pPr>
            <w:r>
              <w:t xml:space="preserve">24 ore</w:t>
            </w:r>
          </w:p>
        </w:tc>
        <w:tc>
          <w:tcPr/>
          <w:p>
            <w:pPr>
              <w:pStyle w:val="Compact"/>
              <w:jc w:val="left"/>
            </w:pPr>
            <w:r>
              <w:t xml:space="preserve">volumi cardiaci ridotti a breve termine alla dose più alta</w:t>
            </w:r>
          </w:p>
        </w:tc>
      </w:tr>
      <w:tr>
        <w:tc>
          <w:tcPr/>
          <w:p>
            <w:pPr>
              <w:pStyle w:val="Compact"/>
              <w:jc w:val="left"/>
            </w:pPr>
            <w:r>
              <w:t xml:space="preserve">Saad 2017, PMID 28916603</w:t>
            </w:r>
          </w:p>
        </w:tc>
        <w:tc>
          <w:tcPr/>
          <w:p>
            <w:pPr>
              <w:pStyle w:val="Compact"/>
              <w:jc w:val="left"/>
            </w:pPr>
            <w:r>
              <w:t xml:space="preserve">14 persone con stenosi dell’arteria renale durante trattamento con stent</w:t>
            </w:r>
          </w:p>
        </w:tc>
        <w:tc>
          <w:tcPr/>
          <w:p>
            <w:pPr>
              <w:pStyle w:val="Compact"/>
              <w:jc w:val="left"/>
            </w:pPr>
            <w:r>
              <w:t xml:space="preserve">3 mesi</w:t>
            </w:r>
          </w:p>
        </w:tc>
        <w:tc>
          <w:tcPr/>
          <w:p>
            <w:pPr>
              <w:pStyle w:val="Compact"/>
              <w:jc w:val="left"/>
            </w:pPr>
            <w:r>
              <w:t xml:space="preserve">meno carenza di ossigeno, migliore perfusione renale (studio pilota)</w:t>
            </w:r>
          </w:p>
        </w:tc>
      </w:tr>
      <w:tr>
        <w:tc>
          <w:tcPr/>
          <w:p>
            <w:pPr>
              <w:pStyle w:val="Compact"/>
              <w:jc w:val="left"/>
            </w:pPr>
            <w:r>
              <w:t xml:space="preserve">ReCLAIM-2 (Ehlers 2025), PMID 39605874</w:t>
            </w:r>
          </w:p>
        </w:tc>
        <w:tc>
          <w:tcPr/>
          <w:p>
            <w:pPr>
              <w:pStyle w:val="Compact"/>
              <w:jc w:val="left"/>
            </w:pPr>
            <w:r>
              <w:t xml:space="preserve">176 persone con degenerazione maculare secca, contro placebo</w:t>
            </w:r>
          </w:p>
        </w:tc>
        <w:tc>
          <w:tcPr/>
          <w:p>
            <w:pPr>
              <w:pStyle w:val="Compact"/>
              <w:jc w:val="left"/>
            </w:pPr>
            <w:r>
              <w:t xml:space="preserve">48 settimane</w:t>
            </w:r>
          </w:p>
        </w:tc>
        <w:tc>
          <w:tcPr/>
          <w:p>
            <w:pPr>
              <w:pStyle w:val="Compact"/>
              <w:jc w:val="left"/>
            </w:pPr>
            <w:r>
              <w:t xml:space="preserve">endpoint principali mancati; perdita più lenta delle strutture dei fotorecettori (endpoint secondario)</w:t>
            </w:r>
          </w:p>
        </w:tc>
      </w:tr>
      <w:tr>
        <w:tc>
          <w:tcPr/>
          <w:p>
            <w:pPr>
              <w:pStyle w:val="Compact"/>
              <w:jc w:val="left"/>
            </w:pPr>
            <w:r>
              <w:t xml:space="preserve">Roshanravan 2021, PMID 34264994</w:t>
            </w:r>
          </w:p>
        </w:tc>
        <w:tc>
          <w:tcPr/>
          <w:p>
            <w:pPr>
              <w:pStyle w:val="Compact"/>
              <w:jc w:val="left"/>
            </w:pPr>
            <w:r>
              <w:t xml:space="preserve">39 anziani sani, infusione singola contro placebo</w:t>
            </w:r>
          </w:p>
        </w:tc>
        <w:tc>
          <w:tcPr/>
          <w:p>
            <w:pPr>
              <w:pStyle w:val="Compact"/>
              <w:jc w:val="left"/>
            </w:pPr>
            <w:r>
              <w:t xml:space="preserve">7 giorni</w:t>
            </w:r>
          </w:p>
        </w:tc>
        <w:tc>
          <w:tcPr/>
          <w:p>
            <w:pPr>
              <w:pStyle w:val="Compact"/>
              <w:jc w:val="left"/>
            </w:pPr>
            <w:r>
              <w:t xml:space="preserve">capacità energetica nel muscolo della mano più alta a breve termine, ma nessuna migliore resistenza all’affaticamento</w:t>
            </w:r>
          </w:p>
        </w:tc>
      </w:tr>
    </w:tbl>
    <w:p>
      <w:pPr>
        <w:pStyle w:val="BodyText"/>
      </w:pPr>
      <w:r>
        <w:t xml:space="preserve">Lo schema è vistoso: nell’</w:t>
      </w:r>
      <w:r>
        <w:rPr>
          <w:bCs/>
          <w:b/>
        </w:rPr>
        <w:t xml:space="preserve">infarto</w:t>
      </w:r>
      <w:r>
        <w:t xml:space="preserve"> </w:t>
      </w:r>
      <w:r>
        <w:t xml:space="preserve">e nell’</w:t>
      </w:r>
      <w:r>
        <w:rPr>
          <w:bCs/>
          <w:b/>
        </w:rPr>
        <w:t xml:space="preserve">insufficienza cardiaca</w:t>
      </w:r>
      <w:r>
        <w:t xml:space="preserve"> </w:t>
      </w:r>
      <w:r>
        <w:t xml:space="preserve">gli studi controllati più ampi non hanno mostrato alcun beneficio</w:t>
      </w:r>
      <w:r>
        <w:rPr>
          <w:rStyle w:val="FootnoteReference"/>
        </w:rPr>
        <w:footnoteReference w:id="1883"/>
      </w:r>
      <w:r>
        <w:t xml:space="preserve">. Nella</w:t>
      </w:r>
      <w:r>
        <w:t xml:space="preserve"> </w:t>
      </w:r>
      <w:r>
        <w:rPr>
          <w:bCs/>
          <w:b/>
        </w:rPr>
        <w:t xml:space="preserve">degenerazione maculare secca</w:t>
      </w:r>
      <w:r>
        <w:t xml:space="preserve">, una causa frequente di perdita della vista in età avanzata, ReCLAIM-2 ha mancato entrambi gli endpoint principali (acuità visiva in condizioni di scarsa luce e crescita dell’area retinica danneggiata); un endpoint secondario stabilito in anticipo, la perdita dello strato dei fotorecettori, è progredito più lentamente con elamipretide</w:t>
      </w:r>
      <w:r>
        <w:rPr>
          <w:rStyle w:val="FootnoteReference"/>
        </w:rPr>
        <w:footnoteReference w:id="1884"/>
      </w:r>
      <w:r>
        <w:t xml:space="preserve">. Questa misura funge ora da endpoint principale dello studio di fase 3 in corso ReNEW</w:t>
      </w:r>
      <w:r>
        <w:rPr>
          <w:rStyle w:val="FootnoteReference"/>
        </w:rPr>
        <w:footnoteReference w:id="1885"/>
      </w:r>
      <w:r>
        <w:t xml:space="preserve">.</w:t>
      </w:r>
    </w:p>
    <w:p>
      <w:pPr>
        <w:pStyle w:val="BodyText"/>
      </w:pPr>
      <w:r>
        <w:t xml:space="preserve">Interessante per il mondo della longevità è lo studio su persone anziane: una singola infusione ha aumentato la capacità energetica di un muscolo della mano subito dopo; dopo sette giorni l’effetto era scomparso, e la resistenza muscolare non è migliorata</w:t>
      </w:r>
      <w:r>
        <w:rPr>
          <w:rStyle w:val="FootnoteReference"/>
        </w:rPr>
        <w:footnoteReference w:id="1886"/>
      </w:r>
      <w:r>
        <w:t xml:space="preserve">. Da ciò non si può dedurre alcun beneficio «anti-aging».</w:t>
      </w:r>
    </w:p>
    <w:bookmarkEnd w:id="1887"/>
    <w:bookmarkEnd w:id="1888"/>
    <w:bookmarkStart w:id="1892" w:name="studi-su-animali-e-in-laboratorio-43"/>
    <w:p>
      <w:pPr>
        <w:pStyle w:val="Heading3"/>
      </w:pPr>
      <w:r>
        <w:t xml:space="preserve">Studi su animali e in laboratorio</w:t>
      </w:r>
    </w:p>
    <w:p>
      <w:pPr>
        <w:pStyle w:val="FirstParagraph"/>
      </w:pPr>
      <w:r>
        <w:t xml:space="preserve">Nei modelli animali sono stati descritti effetti favorevoli in insufficienza cardiaca, danni renali, debolezza muscolare, malattie oculari e nervose</w:t>
      </w:r>
      <w:r>
        <w:rPr>
          <w:rStyle w:val="FootnoteReference"/>
        </w:rPr>
        <w:footnoteReference w:id="1889"/>
      </w:r>
      <w:r>
        <w:t xml:space="preserve">. In cani con insufficienza cardiaca avanzata un trattamento prolungato ha migliorato la funzione di pompa e la funzione mitocondriale</w:t>
      </w:r>
      <w:r>
        <w:rPr>
          <w:rStyle w:val="FootnoteReference"/>
        </w:rPr>
        <w:footnoteReference w:id="1890"/>
      </w:r>
      <w:r>
        <w:t xml:space="preserve">. In un modello di ratto di insufficienza cardiaca con funzione di pompa conservata l’elamipretide ha sì migliorato il metabolismo energetico del muscolo cardiaco, ma non la funzione cardiaca</w:t>
      </w:r>
      <w:r>
        <w:rPr>
          <w:rStyle w:val="FootnoteReference"/>
        </w:rPr>
        <w:footnoteReference w:id="1891"/>
      </w:r>
      <w:r>
        <w:t xml:space="preserve">. Questa discrepanza tra un migliore metabolismo energetico e la mancanza di beneficio clinico si riflette negli studi sull’uomo.</w:t>
      </w:r>
    </w:p>
    <w:bookmarkEnd w:id="1892"/>
    <w:bookmarkStart w:id="1897" w:name="rischi-ed-effetti-collaterali-43"/>
    <w:p>
      <w:pPr>
        <w:pStyle w:val="Heading3"/>
      </w:pPr>
      <w:r>
        <w:t xml:space="preserve">Rischi ed effetti collaterali</w:t>
      </w:r>
    </w:p>
    <w:p>
      <w:pPr>
        <w:pStyle w:val="FirstParagraph"/>
      </w:pPr>
      <w:r>
        <w:rPr>
          <w:bCs/>
          <w:b/>
        </w:rPr>
        <w:t xml:space="preserve">Documentati:</w:t>
      </w:r>
    </w:p>
    <w:p>
      <w:pPr>
        <w:numPr>
          <w:ilvl w:val="0"/>
          <w:numId w:val="1237"/>
        </w:numPr>
        <w:pStyle w:val="Compact"/>
      </w:pPr>
      <w:r>
        <w:t xml:space="preserve">Gli effetti collaterali più frequenti sono</w:t>
      </w:r>
      <w:r>
        <w:t xml:space="preserve"> </w:t>
      </w:r>
      <w:r>
        <w:rPr>
          <w:bCs/>
          <w:b/>
        </w:rPr>
        <w:t xml:space="preserve">reazioni nel sito di iniezione</w:t>
      </w:r>
      <w:r>
        <w:t xml:space="preserve"> </w:t>
      </w:r>
      <w:r>
        <w:t xml:space="preserve">(prurito, dolore, ematomi, arrossamento). In MMPOWER-2 si sono verificate nell’80% delle persone trattate, per lo più lievi</w:t>
      </w:r>
      <w:r>
        <w:rPr>
          <w:rStyle w:val="FootnoteReference"/>
        </w:rPr>
        <w:footnoteReference w:id="1893"/>
      </w:r>
      <w:r>
        <w:t xml:space="preserve">. In ReCLAIM-2 l’86% con elamipretide e il 71% con placebo ha riferito un qualche evento avverso</w:t>
      </w:r>
      <w:r>
        <w:rPr>
          <w:rStyle w:val="FootnoteReference"/>
        </w:rPr>
        <w:footnoteReference w:id="1894"/>
      </w:r>
      <w:r>
        <w:t xml:space="preserve">.</w:t>
      </w:r>
    </w:p>
    <w:p>
      <w:pPr>
        <w:numPr>
          <w:ilvl w:val="0"/>
          <w:numId w:val="1237"/>
        </w:numPr>
        <w:pStyle w:val="Compact"/>
      </w:pPr>
      <w:r>
        <w:t xml:space="preserve">Gli effetti collaterali gravi non sono stati più frequenti negli studi; in MMPOWER-3 gli eventi erano prevalentemente da lievi a moderati</w:t>
      </w:r>
      <w:r>
        <w:rPr>
          <w:rStyle w:val="FootnoteReference"/>
        </w:rPr>
        <w:footnoteReference w:id="1895"/>
      </w:r>
      <w:r>
        <w:t xml:space="preserve">.</w:t>
      </w:r>
    </w:p>
    <w:p>
      <w:pPr>
        <w:numPr>
          <w:ilvl w:val="0"/>
          <w:numId w:val="1237"/>
        </w:numPr>
        <w:pStyle w:val="Compact"/>
      </w:pPr>
      <w:r>
        <w:t xml:space="preserve">Esistono dati a lungo termine solo per poche persone con sindrome di Barth per poco più di tre anni</w:t>
      </w:r>
      <w:r>
        <w:rPr>
          <w:rStyle w:val="FootnoteReference"/>
        </w:rPr>
        <w:footnoteReference w:id="1896"/>
      </w:r>
      <w:r>
        <w:t xml:space="preserve">.</w:t>
      </w:r>
    </w:p>
    <w:p>
      <w:pPr>
        <w:pStyle w:val="FirstParagraph"/>
      </w:pPr>
      <w:r>
        <w:rPr>
          <w:bCs/>
          <w:b/>
        </w:rPr>
        <w:t xml:space="preserve">Teorici:</w:t>
      </w:r>
      <w:r>
        <w:t xml:space="preserve"> </w:t>
      </w:r>
      <w:r>
        <w:t xml:space="preserve">un principio attivo che interviene in modo permanente nei mitocondri di tutte le cellule del corpo potrebbe avere effetti sconosciuti con un uso pluriennale in persone sane; non esistono dati in merito.</w:t>
      </w:r>
    </w:p>
    <w:p>
      <w:pPr>
        <w:pStyle w:val="BodyText"/>
      </w:pPr>
      <w:r>
        <w:rPr>
          <w:bCs/>
          <w:b/>
        </w:rPr>
        <w:t xml:space="preserve">Mercato grigio:</w:t>
      </w:r>
      <w:r>
        <w:t xml:space="preserve"> </w:t>
      </w:r>
      <w:r>
        <w:t xml:space="preserve">l’«SS-31» viene venduto online in polvere per iniezione per il «ringiovanimento dei mitocondri». Questi prodotti non sono il medicinale autorizzato; contenuto e purezza non sono verificati. Per le persone sane non è dimostrato alcun beneficio.</w:t>
      </w:r>
    </w:p>
    <w:bookmarkEnd w:id="1897"/>
    <w:bookmarkStart w:id="1899" w:name="quadro-normativo-43"/>
    <w:p>
      <w:pPr>
        <w:pStyle w:val="Heading3"/>
      </w:pPr>
      <w:r>
        <w:t xml:space="preserve">Quadro normativo</w:t>
      </w:r>
    </w:p>
    <w:p>
      <w:pPr>
        <w:numPr>
          <w:ilvl w:val="0"/>
          <w:numId w:val="1238"/>
        </w:numPr>
        <w:pStyle w:val="Compact"/>
      </w:pPr>
      <w:r>
        <w:rPr>
          <w:bCs/>
          <w:b/>
        </w:rPr>
        <w:t xml:space="preserve">UE / Austria / Germania:</w:t>
      </w:r>
      <w:r>
        <w:t xml:space="preserve"> </w:t>
      </w:r>
      <w:r>
        <w:t xml:space="preserve">non autorizzato. L’elamipretide è un medicinale; un impiego è possibile solo nell’ambito di studi o di programmi di uso compassionevole.</w:t>
      </w:r>
    </w:p>
    <w:p>
      <w:pPr>
        <w:numPr>
          <w:ilvl w:val="0"/>
          <w:numId w:val="1238"/>
        </w:numPr>
        <w:pStyle w:val="Compact"/>
      </w:pPr>
      <w:r>
        <w:rPr>
          <w:bCs/>
          <w:b/>
        </w:rPr>
        <w:t xml:space="preserve">USA:</w:t>
      </w:r>
      <w:r>
        <w:t xml:space="preserve"> </w:t>
      </w:r>
      <w:r>
        <w:t xml:space="preserve">approvazione accelerata (Forzinity, settembre 2025) solo per la sindrome di Barth a partire da 30 kg di peso corporeo; rimando al riassunto delle caratteristiche del prodotto e accompagnamento medico. Per altre malattie esiste un programma di uso compassionevole</w:t>
      </w:r>
      <w:r>
        <w:rPr>
          <w:rStyle w:val="FootnoteReference"/>
        </w:rPr>
        <w:footnoteReference w:id="1898"/>
      </w:r>
      <w:r>
        <w:t xml:space="preserve">.</w:t>
      </w:r>
    </w:p>
    <w:p>
      <w:pPr>
        <w:numPr>
          <w:ilvl w:val="0"/>
          <w:numId w:val="1238"/>
        </w:numPr>
        <w:pStyle w:val="Compact"/>
      </w:pPr>
      <w:r>
        <w:rPr>
          <w:bCs/>
          <w:b/>
        </w:rPr>
        <w:t xml:space="preserve">Sport:</w:t>
      </w:r>
      <w:r>
        <w:t xml:space="preserve"> </w:t>
      </w:r>
      <w:r>
        <w:t xml:space="preserve">non elencato per nome nella lista WADA (aggiornato al 2026, da verificare).</w:t>
      </w:r>
    </w:p>
    <w:bookmarkEnd w:id="1899"/>
    <w:bookmarkStart w:id="1904" w:name="studi-in-corso-e-prospettive-43"/>
    <w:p>
      <w:pPr>
        <w:pStyle w:val="Heading3"/>
      </w:pPr>
      <w:r>
        <w:t xml:space="preserve">Studi in corso e prospettive</w:t>
      </w:r>
    </w:p>
    <w:p>
      <w:pPr>
        <w:pStyle w:val="FirstParagraph"/>
      </w:pPr>
      <w:r>
        <w:rPr>
          <w:bCs/>
          <w:b/>
        </w:rPr>
        <w:t xml:space="preserve">Assodato (studi registrati, aggiornato a ottobre 2026):</w:t>
      </w:r>
    </w:p>
    <w:p>
      <w:pPr>
        <w:numPr>
          <w:ilvl w:val="0"/>
          <w:numId w:val="1239"/>
        </w:numPr>
        <w:pStyle w:val="Compact"/>
      </w:pPr>
      <w:r>
        <w:rPr>
          <w:bCs/>
          <w:b/>
        </w:rPr>
        <w:t xml:space="preserve">ReNEW</w:t>
      </w:r>
      <w:r>
        <w:rPr>
          <w:rStyle w:val="FootnoteReference"/>
        </w:rPr>
        <w:footnoteReference w:id="1900"/>
      </w:r>
      <w:r>
        <w:t xml:space="preserve">: fase 3 nella degenerazione maculare secca, 313 partecipanti, reclutamento concluso, fine prevista nel 2027.</w:t>
      </w:r>
    </w:p>
    <w:p>
      <w:pPr>
        <w:numPr>
          <w:ilvl w:val="0"/>
          <w:numId w:val="1239"/>
        </w:numPr>
        <w:pStyle w:val="Compact"/>
      </w:pPr>
      <w:r>
        <w:rPr>
          <w:bCs/>
          <w:b/>
        </w:rPr>
        <w:t xml:space="preserve">4TAZPower</w:t>
      </w:r>
      <w:r>
        <w:rPr>
          <w:rStyle w:val="FootnoteReference"/>
        </w:rPr>
        <w:footnoteReference w:id="1901"/>
      </w:r>
      <w:r>
        <w:t xml:space="preserve">: studio di conferma nella sindrome di Barth con 48 partecipanti previsti, in reclutamento.</w:t>
      </w:r>
    </w:p>
    <w:p>
      <w:pPr>
        <w:numPr>
          <w:ilvl w:val="0"/>
          <w:numId w:val="1239"/>
        </w:numPr>
        <w:pStyle w:val="Compact"/>
      </w:pPr>
      <w:r>
        <w:rPr>
          <w:bCs/>
          <w:b/>
        </w:rPr>
        <w:t xml:space="preserve">NuPOWER</w:t>
      </w:r>
      <w:r>
        <w:rPr>
          <w:rStyle w:val="FootnoteReference"/>
        </w:rPr>
        <w:footnoteReference w:id="1902"/>
      </w:r>
      <w:r>
        <w:t xml:space="preserve">: fase 3 nella malattia mitocondriale da mutazioni del DNA nucleare, 102 partecipanti, concluso; risultati attesi.</w:t>
      </w:r>
    </w:p>
    <w:p>
      <w:pPr>
        <w:numPr>
          <w:ilvl w:val="0"/>
          <w:numId w:val="1239"/>
        </w:numPr>
        <w:pStyle w:val="Compact"/>
      </w:pPr>
      <w:r>
        <w:t xml:space="preserve">Un piccolo studio di fase 2 su persone anziane sane esamina la funzionalità fisica</w:t>
      </w:r>
      <w:r>
        <w:rPr>
          <w:rStyle w:val="FootnoteReference"/>
        </w:rPr>
        <w:footnoteReference w:id="1903"/>
      </w:r>
      <w:r>
        <w:t xml:space="preserve">.</w:t>
      </w:r>
    </w:p>
    <w:p>
      <w:pPr>
        <w:pStyle w:val="FirstParagraph"/>
      </w:pPr>
      <w:r>
        <w:rPr>
          <w:bCs/>
          <w:b/>
        </w:rPr>
        <w:t xml:space="preserve">Valutazione:</w:t>
      </w:r>
      <w:r>
        <w:t xml:space="preserve"> </w:t>
      </w:r>
      <w:r>
        <w:t xml:space="preserve">se l’elamipretide troverà un posto oltre la sindrome di Barth lo decideranno ReNEW e NuPOWER. L’esperienza di MMPOWER-3, EMBRACE e PROGRESS-HF invita alla cautela: un meccanismo convincente non garantisce un beneficio clinico.</w:t>
      </w:r>
    </w:p>
    <w:bookmarkEnd w:id="1904"/>
    <w:bookmarkStart w:id="1905" w:name="conclusione-43"/>
    <w:p>
      <w:pPr>
        <w:pStyle w:val="Heading3"/>
      </w:pPr>
      <w:r>
        <w:t xml:space="preserve">Conclusione</w:t>
      </w:r>
    </w:p>
    <w:p>
      <w:pPr>
        <w:pStyle w:val="FirstParagraph"/>
      </w:pPr>
      <w:r>
        <w:t xml:space="preserve">L’elamipretide (SS-31) è un tetrapeptide che si lega alla cardiolipina nei mitocondri e che, come primo farmaco mitocondriale, ha ottenuto nel 2025 negli Stati Uniti un’approvazione accelerata per la rarissima sindrome di Barth, sulla base di uno studio con dodici persone, la cui parte controllata ha mancato gli endpoint principali, e di dati a lungo termine in aperto. In studi randomizzati più ampi su miopatia mitocondriale, infarto, insufficienza cardiaca e degenerazione maculare gli endpoint principali non sono stati raggiunti. Il farmaco è ben tollerato; sono frequenti soprattutto reazioni nel sito di iniezione. Per le persone sane o come rimedio «anti-aging» non esiste alcun beneficio dimostrato.</w:t>
      </w:r>
    </w:p>
    <w:bookmarkEnd w:id="1905"/>
    <w:bookmarkEnd w:id="1906"/>
    <w:bookmarkStart w:id="1925" w:name="foxo4-dri"/>
    <w:p>
      <w:pPr>
        <w:pStyle w:val="Heading2"/>
      </w:pPr>
      <w:r>
        <w:t xml:space="preserve">FOXO4-DRI</w:t>
      </w:r>
    </w:p>
    <w:bookmarkStart w:id="1907" w:name="scheda-44"/>
    <w:p>
      <w:pPr>
        <w:pStyle w:val="Heading3"/>
      </w:pPr>
      <w:r>
        <w:t xml:space="preserve">Scheda</w:t>
      </w:r>
    </w:p>
    <w:p>
      <w:pPr>
        <w:numPr>
          <w:ilvl w:val="0"/>
          <w:numId w:val="1240"/>
        </w:numPr>
        <w:pStyle w:val="Compact"/>
      </w:pPr>
      <w:r>
        <w:rPr>
          <w:bCs/>
          <w:b/>
        </w:rPr>
        <w:t xml:space="preserve">Tipo e struttura:</w:t>
      </w:r>
      <w:r>
        <w:t xml:space="preserve"> </w:t>
      </w:r>
      <w:r>
        <w:t xml:space="preserve">peptide sintetico relativamente lungo, derivato da un segmento della proteina FOXO4. «DRI» sta per</w:t>
      </w:r>
      <w:r>
        <w:t xml:space="preserve"> </w:t>
      </w:r>
      <w:r>
        <w:rPr>
          <w:iCs/>
          <w:i/>
        </w:rPr>
        <w:t xml:space="preserve">D-retro-inverso</w:t>
      </w:r>
      <w:r>
        <w:t xml:space="preserve">: il peptide è costituito da D-amminoacidi speculari in ordine inverso. Per questo viene a malapena degradato dagli enzimi dell’organismo. Un segmento aggiunto a carica positiva (derivato da una proteina virale) dovrebbe farlo entrare nelle cellule.</w:t>
      </w:r>
    </w:p>
    <w:p>
      <w:pPr>
        <w:numPr>
          <w:ilvl w:val="0"/>
          <w:numId w:val="1240"/>
        </w:numPr>
        <w:pStyle w:val="Compact"/>
      </w:pPr>
      <w:r>
        <w:rPr>
          <w:bCs/>
          <w:b/>
        </w:rPr>
        <w:t xml:space="preserve">Origine:</w:t>
      </w:r>
      <w:r>
        <w:t xml:space="preserve"> </w:t>
      </w:r>
      <w:r>
        <w:t xml:space="preserve">presentato nel 2017 da un gruppo di lavoro olandese guidato da Peter de Keizer (Erasmus MC Rotterdam).</w:t>
      </w:r>
    </w:p>
    <w:p>
      <w:pPr>
        <w:numPr>
          <w:ilvl w:val="0"/>
          <w:numId w:val="1240"/>
        </w:numPr>
        <w:pStyle w:val="Compact"/>
      </w:pPr>
      <w:r>
        <w:rPr>
          <w:bCs/>
          <w:b/>
        </w:rPr>
        <w:t xml:space="preserve">Principio d’azione:</w:t>
      </w:r>
      <w:r>
        <w:t xml:space="preserve"> </w:t>
      </w:r>
      <w:r>
        <w:rPr>
          <w:bCs/>
          <w:b/>
        </w:rPr>
        <w:t xml:space="preserve">senolitico</w:t>
      </w:r>
      <w:r>
        <w:t xml:space="preserve"> </w:t>
      </w:r>
      <w:r>
        <w:t xml:space="preserve">– una sostanza che dovrebbe spingere in modo mirato le cellule invecchiate, dette senescenti, verso la morte cellulare programmata, disturbando il legame tra FOXO4 e la proteina protettiva p53.</w:t>
      </w:r>
    </w:p>
    <w:p>
      <w:pPr>
        <w:numPr>
          <w:ilvl w:val="0"/>
          <w:numId w:val="1240"/>
        </w:numPr>
        <w:pStyle w:val="Compact"/>
      </w:pPr>
      <w:r>
        <w:rPr>
          <w:bCs/>
          <w:b/>
        </w:rPr>
        <w:t xml:space="preserve">Autorizzazione UE:</w:t>
      </w:r>
      <w:r>
        <w:t xml:space="preserve"> </w:t>
      </w:r>
      <w:r>
        <w:t xml:space="preserve">no.</w:t>
      </w:r>
    </w:p>
    <w:p>
      <w:pPr>
        <w:numPr>
          <w:ilvl w:val="0"/>
          <w:numId w:val="1240"/>
        </w:numPr>
        <w:pStyle w:val="Compact"/>
      </w:pPr>
      <w:r>
        <w:rPr>
          <w:bCs/>
          <w:b/>
        </w:rPr>
        <w:t xml:space="preserve">Autorizzazione USA:</w:t>
      </w:r>
      <w:r>
        <w:t xml:space="preserve"> </w:t>
      </w:r>
      <w:r>
        <w:t xml:space="preserve">no.</w:t>
      </w:r>
    </w:p>
    <w:p>
      <w:pPr>
        <w:numPr>
          <w:ilvl w:val="0"/>
          <w:numId w:val="1240"/>
        </w:numPr>
        <w:pStyle w:val="Compact"/>
      </w:pPr>
      <w:r>
        <w:rPr>
          <w:bCs/>
          <w:b/>
        </w:rPr>
        <w:t xml:space="preserve">WADA:</w:t>
      </w:r>
      <w:r>
        <w:t xml:space="preserve"> </w:t>
      </w:r>
      <w:r>
        <w:t xml:space="preserve">non elencato per nome; in quanto sostanza non autorizzata da nessuna parte, secondo la nostra valutazione il FOXO4-DRI rientra nella categoria generale S0.</w:t>
      </w:r>
    </w:p>
    <w:p>
      <w:pPr>
        <w:numPr>
          <w:ilvl w:val="0"/>
          <w:numId w:val="1240"/>
        </w:numPr>
        <w:pStyle w:val="Compact"/>
      </w:pPr>
      <w:r>
        <w:rPr>
          <w:bCs/>
          <w:b/>
        </w:rPr>
        <w:t xml:space="preserve">Livello di evidenza:</w:t>
      </w:r>
      <w:r>
        <w:t xml:space="preserve"> </w:t>
      </w:r>
      <w:r>
        <w:rPr>
          <w:bCs/>
          <w:b/>
        </w:rPr>
        <w:t xml:space="preserve">D</w:t>
      </w:r>
      <w:r>
        <w:t xml:space="preserve"> </w:t>
      </w:r>
      <w:r>
        <w:t xml:space="preserve">– esclusivamente studi su animali e in laboratorio.</w:t>
      </w:r>
    </w:p>
    <w:bookmarkEnd w:id="1907"/>
    <w:bookmarkStart w:id="1913" w:name="come-dovrebbe-agire-44"/>
    <w:p>
      <w:pPr>
        <w:pStyle w:val="Heading3"/>
      </w:pPr>
      <w:r>
        <w:t xml:space="preserve">Come dovrebbe agire</w:t>
      </w:r>
    </w:p>
    <w:p>
      <w:pPr>
        <w:pStyle w:val="FirstParagraph"/>
      </w:pPr>
      <w:r>
        <w:t xml:space="preserve">Le</w:t>
      </w:r>
      <w:r>
        <w:t xml:space="preserve"> </w:t>
      </w:r>
      <w:r>
        <w:rPr>
          <w:bCs/>
          <w:b/>
        </w:rPr>
        <w:t xml:space="preserve">cellule senescenti</w:t>
      </w:r>
      <w:r>
        <w:t xml:space="preserve"> </w:t>
      </w:r>
      <w:r>
        <w:t xml:space="preserve">sono cellule che, dopo danni (per esempio da radiazioni, chemioterapia, stress ossidativo o semplicemente da molte divisioni), non si dividono più, ma nemmeno muoiono. Restano nel tessuto e rilasciano una miscela di messaggeri infiammatori ed enzimi che degradano i tessuti, detta SASP (</w:t>
      </w:r>
      <w:r>
        <w:rPr>
          <w:iCs/>
          <w:i/>
        </w:rPr>
        <w:t xml:space="preserve">senescence-associated secretory phenotype</w:t>
      </w:r>
      <w:r>
        <w:t xml:space="preserve">). Con l’età aumentano in molti organi. Nei topi in cui tali cellule sono state rimosse in modo mirato con tecniche genetiche, diversi segni dell’invecchiamento sono stati ritardati. Ne è nata l’idea dei</w:t>
      </w:r>
      <w:r>
        <w:t xml:space="preserve"> </w:t>
      </w:r>
      <w:r>
        <w:rPr>
          <w:bCs/>
          <w:b/>
        </w:rPr>
        <w:t xml:space="preserve">senolitici</w:t>
      </w:r>
      <w:r>
        <w:t xml:space="preserve">: farmaci che eliminano le cellule senescenti.</w:t>
      </w:r>
    </w:p>
    <w:p>
      <w:pPr>
        <w:pStyle w:val="BodyText"/>
      </w:pPr>
      <w:r>
        <w:t xml:space="preserve">Le cellule senescenti sopravvivono tra l’altro perché sopprimono programmi di autodistruzione. Il gruppo di Rotterdam ha scoperto che qui la proteina FOXO4 ha un ruolo chiave: trattiene nel nucleo la proteina p53, che altrimenti provocherebbe la morte cellulare. Il peptide FOXO4-DRI disturba questo legame; p53 viene espulsa dal nucleo e la cellula senescente muore. Le cellule sane, che si dividono normalmente, dovrebbero esserne in gran parte risparmiate</w:t>
      </w:r>
      <w:r>
        <w:rPr>
          <w:rStyle w:val="FootnoteReference"/>
        </w:rPr>
        <w:footnoteReference w:id="1908"/>
      </w:r>
      <w:r>
        <w:t xml:space="preserve">. Studi strutturali del 2025 hanno confermato che il FOXO4-DRI si lega a un segmento disordinato di p53, e che anche il segmento del peptide che lo fa entrare nelle cellule partecipa al legame</w:t>
      </w:r>
      <w:r>
        <w:rPr>
          <w:rStyle w:val="FootnoteReference"/>
        </w:rPr>
        <w:footnoteReference w:id="1909"/>
      </w:r>
      <w:r>
        <w:t xml:space="preserve">.</w:t>
      </w:r>
    </w:p>
    <w:bookmarkStart w:id="1912" w:name="i-senolitici-nelluomo-il-contesto"/>
    <w:p>
      <w:pPr>
        <w:pStyle w:val="Heading4"/>
      </w:pPr>
      <w:r>
        <w:t xml:space="preserve">I senolitici nell’uomo: il contesto</w:t>
      </w:r>
    </w:p>
    <w:p>
      <w:pPr>
        <w:pStyle w:val="FirstParagraph"/>
      </w:pPr>
      <w:r>
        <w:t xml:space="preserve">Il FOXO4-DRI in sé non è mai stato sperimentato sull’uomo. Per inquadrarlo aiuta uno sguardo ad altri senolitici già studiati in clinica, soprattutto la combinazione del farmaco antitumorale dasatinib con la sostanza vegetale quercetina (in breve D+Q):</w:t>
      </w:r>
    </w:p>
    <w:p>
      <w:pPr>
        <w:numPr>
          <w:ilvl w:val="0"/>
          <w:numId w:val="1241"/>
        </w:numPr>
        <w:pStyle w:val="Compact"/>
      </w:pPr>
      <w:r>
        <w:t xml:space="preserve">In un primo studio pilota in aperto con 14 persone con fibrosi polmonare idiopatica sono migliorate distanza percorsa e velocità del cammino, ma non la funzione polmonare; si è verificato un evento avverso grave</w:t>
      </w:r>
      <w:r>
        <w:rPr>
          <w:rStyle w:val="FootnoteReference"/>
        </w:rPr>
        <w:footnoteReference w:id="1910"/>
      </w:r>
      <w:r>
        <w:t xml:space="preserve">.</w:t>
      </w:r>
    </w:p>
    <w:p>
      <w:pPr>
        <w:numPr>
          <w:ilvl w:val="0"/>
          <w:numId w:val="1241"/>
        </w:numPr>
        <w:pStyle w:val="Compact"/>
      </w:pPr>
      <w:r>
        <w:t xml:space="preserve">In uno studio randomizzato di fase 2 con 60 donne dopo la menopausa, D+Q non ha ridotto il marcatore del riassorbimento osseo (endpoint principale mancato); solo in un sottogruppo considerato a posteriori, con molte cellule senescenti, sono emersi effetti favorevoli</w:t>
      </w:r>
      <w:r>
        <w:rPr>
          <w:rStyle w:val="FootnoteReference"/>
        </w:rPr>
        <w:footnoteReference w:id="1911"/>
      </w:r>
      <w:r>
        <w:t xml:space="preserve">.</w:t>
      </w:r>
    </w:p>
    <w:p>
      <w:pPr>
        <w:pStyle w:val="FirstParagraph"/>
      </w:pPr>
      <w:r>
        <w:t xml:space="preserve">La ricerca clinica sui senolitici è quindi ancora agli inizi, e i primi risultati controllati sono modesti. È questo lo sfondo su cui il FOXO4-DRI viene venduto in internet come «peptide del ringiovanimento».</w:t>
      </w:r>
    </w:p>
    <w:bookmarkEnd w:id="1912"/>
    <w:bookmarkEnd w:id="1913"/>
    <w:bookmarkStart w:id="1915" w:name="studi-sulluomo-44"/>
    <w:p>
      <w:pPr>
        <w:pStyle w:val="Heading3"/>
      </w:pPr>
      <w:r>
        <w:t xml:space="preserve">Studi sull’uomo</w:t>
      </w:r>
    </w:p>
    <w:p>
      <w:pPr>
        <w:pStyle w:val="FirstParagraph"/>
      </w:pPr>
      <w:r>
        <w:rPr>
          <w:bCs/>
          <w:b/>
        </w:rPr>
        <w:t xml:space="preserve">Dimensioni della letteratura:</w:t>
      </w:r>
      <w:r>
        <w:t xml:space="preserve"> </w:t>
      </w:r>
      <w:r>
        <w:t xml:space="preserve">la ricerca automatizzata in PubMed (ottobre 2026)</w:t>
      </w:r>
      <w:r>
        <w:t xml:space="preserve"> </w:t>
      </w:r>
      <w:r>
        <w:rPr>
          <w:bCs/>
          <w:b/>
        </w:rPr>
        <w:t xml:space="preserve">non</w:t>
      </w:r>
      <w:r>
        <w:t xml:space="preserve"> </w:t>
      </w:r>
      <w:r>
        <w:t xml:space="preserve">ha dato alcuno studio sull’uomo con FOXO4-DRI; complessivamente PubMed elenca circa 20 lavori con il termine. Su ClinicalTrials.gov non è registrato alcuno studio. Non sono stati trovati nemmeno casi clinici sull’uso nell’uomo o analisi di prodotti del mercato grigio.</w:t>
      </w:r>
    </w:p>
    <w:p>
      <w:pPr>
        <w:pStyle w:val="BodyText"/>
      </w:pPr>
      <w:r>
        <w:t xml:space="preserve">Il più vicino all’uomo è uno studio di laboratorio con cellule cartilaginee umane: in cellule moltiplicate in laboratorio per un trapianto di cartilagine, il FOXO4-DRI ha eliminato più della metà delle cellule molto espanse (e quindi più spesso senescenti), ma non ha migliorato la capacità di formare nuova cartilagine</w:t>
      </w:r>
      <w:r>
        <w:rPr>
          <w:rStyle w:val="FootnoteReference"/>
        </w:rPr>
        <w:footnoteReference w:id="1914"/>
      </w:r>
      <w:r>
        <w:t xml:space="preserve">.</w:t>
      </w:r>
    </w:p>
    <w:bookmarkEnd w:id="1915"/>
    <w:bookmarkStart w:id="1918" w:name="studi-su-animali-e-in-laboratorio-44"/>
    <w:p>
      <w:pPr>
        <w:pStyle w:val="Heading3"/>
      </w:pPr>
      <w:r>
        <w:t xml:space="preserve">Studi su animali e in laboratorio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Studio</w:t>
            </w:r>
          </w:p>
        </w:tc>
        <w:tc>
          <w:tcPr/>
          <w:p>
            <w:pPr>
              <w:pStyle w:val="Compact"/>
              <w:jc w:val="left"/>
            </w:pPr>
            <w:r>
              <w:t xml:space="preserve">Modello</w:t>
            </w:r>
          </w:p>
        </w:tc>
        <w:tc>
          <w:tcPr/>
          <w:p>
            <w:pPr>
              <w:pStyle w:val="Compact"/>
              <w:jc w:val="left"/>
            </w:pPr>
            <w:r>
              <w:t xml:space="preserve">Risultato</w:t>
            </w:r>
          </w:p>
        </w:tc>
      </w:tr>
      <w:tr>
        <w:tc>
          <w:tcPr/>
          <w:p>
            <w:pPr>
              <w:pStyle w:val="Compact"/>
              <w:jc w:val="left"/>
            </w:pPr>
            <w:r>
              <w:t xml:space="preserve">Baar 2017, PMID 28340339</w:t>
            </w:r>
          </w:p>
        </w:tc>
        <w:tc>
          <w:tcPr/>
          <w:p>
            <w:pPr>
              <w:pStyle w:val="Compact"/>
              <w:jc w:val="left"/>
            </w:pPr>
            <w:r>
              <w:t xml:space="preserve">topi a invecchiamento rapido e naturalmente invecchiati; danni da chemioterapia</w:t>
            </w:r>
          </w:p>
        </w:tc>
        <w:tc>
          <w:tcPr/>
          <w:p>
            <w:pPr>
              <w:pStyle w:val="Compact"/>
              <w:jc w:val="left"/>
            </w:pPr>
            <w:r>
              <w:t xml:space="preserve">migliore forma fisica, pelo più folto, migliore funzione renale; protezione dai danni da doxorubicina</w:t>
            </w:r>
          </w:p>
        </w:tc>
      </w:tr>
      <w:tr>
        <w:tc>
          <w:tcPr/>
          <w:p>
            <w:pPr>
              <w:pStyle w:val="Compact"/>
              <w:jc w:val="left"/>
            </w:pPr>
            <w:r>
              <w:t xml:space="preserve">Zhang 2020, PMID 31959736</w:t>
            </w:r>
          </w:p>
        </w:tc>
        <w:tc>
          <w:tcPr/>
          <w:p>
            <w:pPr>
              <w:pStyle w:val="Compact"/>
              <w:jc w:val="left"/>
            </w:pPr>
            <w:r>
              <w:t xml:space="preserve">topi naturalmente invecchiati</w:t>
            </w:r>
          </w:p>
        </w:tc>
        <w:tc>
          <w:tcPr/>
          <w:p>
            <w:pPr>
              <w:pStyle w:val="Compact"/>
              <w:jc w:val="left"/>
            </w:pPr>
            <w:r>
              <w:t xml:space="preserve">produzione di testosterone nei testicoli migliorata</w:t>
            </w:r>
          </w:p>
        </w:tc>
      </w:tr>
      <w:tr>
        <w:tc>
          <w:tcPr/>
          <w:p>
            <w:pPr>
              <w:pStyle w:val="Compact"/>
              <w:jc w:val="left"/>
            </w:pPr>
            <w:r>
              <w:t xml:space="preserve">Han 2022, PMID 35510614</w:t>
            </w:r>
          </w:p>
        </w:tc>
        <w:tc>
          <w:tcPr/>
          <w:p>
            <w:pPr>
              <w:pStyle w:val="Compact"/>
              <w:jc w:val="left"/>
            </w:pPr>
            <w:r>
              <w:t xml:space="preserve">fibrosi polmonare nei topi</w:t>
            </w:r>
          </w:p>
        </w:tc>
        <w:tc>
          <w:tcPr/>
          <w:p>
            <w:pPr>
              <w:pStyle w:val="Compact"/>
              <w:jc w:val="left"/>
            </w:pPr>
            <w:r>
              <w:t xml:space="preserve">meno cicatrizzazione</w:t>
            </w:r>
          </w:p>
        </w:tc>
      </w:tr>
      <w:tr>
        <w:tc>
          <w:tcPr/>
          <w:p>
            <w:pPr>
              <w:pStyle w:val="Compact"/>
              <w:jc w:val="left"/>
            </w:pPr>
            <w:r>
              <w:t xml:space="preserve">Kong 2025, PMID 39994346</w:t>
            </w:r>
          </w:p>
        </w:tc>
        <w:tc>
          <w:tcPr/>
          <w:p>
            <w:pPr>
              <w:pStyle w:val="Compact"/>
              <w:jc w:val="left"/>
            </w:pPr>
            <w:r>
              <w:t xml:space="preserve">tessuto di cheloide (cicatrici eccessive) in laboratorio</w:t>
            </w:r>
          </w:p>
        </w:tc>
        <w:tc>
          <w:tcPr/>
          <w:p>
            <w:pPr>
              <w:pStyle w:val="Compact"/>
              <w:jc w:val="left"/>
            </w:pPr>
            <w:r>
              <w:t xml:space="preserve">più morte cellulare dei fibroblasti senescenti</w:t>
            </w:r>
          </w:p>
        </w:tc>
      </w:tr>
      <w:tr>
        <w:tc>
          <w:tcPr/>
          <w:p>
            <w:pPr>
              <w:pStyle w:val="Compact"/>
              <w:jc w:val="left"/>
            </w:pPr>
            <w:r>
              <w:t xml:space="preserve">Born 2023, PMID 36515093</w:t>
            </w:r>
          </w:p>
        </w:tc>
        <w:tc>
          <w:tcPr/>
          <w:p>
            <w:pPr>
              <w:pStyle w:val="Compact"/>
              <w:jc w:val="left"/>
            </w:pPr>
            <w:r>
              <w:t xml:space="preserve">modelli di ipertensione polmonare in topi e ratti</w:t>
            </w:r>
          </w:p>
        </w:tc>
        <w:tc>
          <w:tcPr/>
          <w:p>
            <w:pPr>
              <w:pStyle w:val="Compact"/>
              <w:jc w:val="left"/>
            </w:pPr>
            <w:r>
              <w:t xml:space="preserve">l’eliminazione delle cellule senescenti, anche con FOXO4-DRI, ha</w:t>
            </w:r>
            <w:r>
              <w:t xml:space="preserve"> </w:t>
            </w:r>
            <w:r>
              <w:rPr>
                <w:bCs/>
                <w:b/>
              </w:rPr>
              <w:t xml:space="preserve">peggiorato</w:t>
            </w:r>
            <w:r>
              <w:t xml:space="preserve"> </w:t>
            </w:r>
            <w:r>
              <w:t xml:space="preserve">la circolazione polmonare</w:t>
            </w:r>
          </w:p>
        </w:tc>
      </w:tr>
    </w:tbl>
    <w:p>
      <w:pPr>
        <w:pStyle w:val="BodyText"/>
      </w:pPr>
      <w:r>
        <w:t xml:space="preserve">La prima descrizione ha suscitato grande attenzione: in topi a invecchiamento rapido e in animali invecchiati naturalmente sono migliorati forma fisica, aspetto del pelo e funzione renale</w:t>
      </w:r>
      <w:r>
        <w:rPr>
          <w:rStyle w:val="FootnoteReference"/>
        </w:rPr>
        <w:footnoteReference w:id="1916"/>
      </w:r>
      <w:r>
        <w:t xml:space="preserve">. Lavori successivi di altri gruppi, per lo più dalla Cina, hanno descritto effetti su testicoli, polmoni e pelle.</w:t>
      </w:r>
    </w:p>
    <w:p>
      <w:pPr>
        <w:pStyle w:val="BodyText"/>
      </w:pPr>
      <w:r>
        <w:t xml:space="preserve">Un importante risultato contrario viene dalla ricerca cardiovascolare: in modelli di ipertensione polmonare l’eliminazione delle cellule senescenti, sia genetica sia con i senolitici ABT263 o FOXO4-DRI, ha peggiorato la pressione nella circolazione polmonare e ha portato alla perdita di cellule endoteliali dei vasi polmonari. Gli autori ne concludono che i senolitici potrebbero danneggiare i vasi polmonari</w:t>
      </w:r>
      <w:r>
        <w:rPr>
          <w:rStyle w:val="FootnoteReference"/>
        </w:rPr>
        <w:footnoteReference w:id="1917"/>
      </w:r>
      <w:r>
        <w:t xml:space="preserve">. Ciò mostra che le cellule senescenti non sono solo «scorie», ma in alcuni tessuti possono avere anche funzioni stabilizzanti.</w:t>
      </w:r>
    </w:p>
    <w:bookmarkEnd w:id="1918"/>
    <w:bookmarkStart w:id="1921" w:name="rischi-ed-effetti-collaterali-44"/>
    <w:p>
      <w:pPr>
        <w:pStyle w:val="Heading3"/>
      </w:pPr>
      <w:r>
        <w:t xml:space="preserve">Rischi ed effetti collaterali</w:t>
      </w:r>
    </w:p>
    <w:p>
      <w:pPr>
        <w:pStyle w:val="FirstParagraph"/>
      </w:pPr>
      <w:r>
        <w:rPr>
          <w:bCs/>
          <w:b/>
        </w:rPr>
        <w:t xml:space="preserve">Documentati:</w:t>
      </w:r>
      <w:r>
        <w:t xml:space="preserve"> </w:t>
      </w:r>
      <w:r>
        <w:t xml:space="preserve">nessun dato sull’uomo.</w:t>
      </w:r>
    </w:p>
    <w:p>
      <w:pPr>
        <w:pStyle w:val="BodyText"/>
      </w:pPr>
      <w:r>
        <w:rPr>
          <w:bCs/>
          <w:b/>
        </w:rPr>
        <w:t xml:space="preserve">Teorici, e in parte sostenuti da dati sugli animali:</w:t>
      </w:r>
    </w:p>
    <w:p>
      <w:pPr>
        <w:numPr>
          <w:ilvl w:val="0"/>
          <w:numId w:val="1242"/>
        </w:numPr>
        <w:pStyle w:val="Compact"/>
      </w:pPr>
      <w:r>
        <w:rPr>
          <w:bCs/>
          <w:b/>
        </w:rPr>
        <w:t xml:space="preserve">Vasi e polmoni:</w:t>
      </w:r>
      <w:r>
        <w:t xml:space="preserve"> </w:t>
      </w:r>
      <w:r>
        <w:t xml:space="preserve">nel modello animale il FOXO4-DRI ha peggiorato un’ipertensione polmonare esistente</w:t>
      </w:r>
      <w:r>
        <w:rPr>
          <w:rStyle w:val="FootnoteReference"/>
        </w:rPr>
        <w:footnoteReference w:id="1919"/>
      </w:r>
      <w:r>
        <w:t xml:space="preserve">.</w:t>
      </w:r>
    </w:p>
    <w:p>
      <w:pPr>
        <w:numPr>
          <w:ilvl w:val="0"/>
          <w:numId w:val="1242"/>
        </w:numPr>
        <w:pStyle w:val="Compact"/>
      </w:pPr>
      <w:r>
        <w:rPr>
          <w:bCs/>
          <w:b/>
        </w:rPr>
        <w:t xml:space="preserve">p53 e cancro:</w:t>
      </w:r>
      <w:r>
        <w:t xml:space="preserve"> </w:t>
      </w:r>
      <w:r>
        <w:t xml:space="preserve">p53 è uno dei più importanti soppressori tumorali dell’organismo. Il FOXO4-DRI modifica in modo mirato dove si trova p53 nella cellula. Quali conseguenze ciò abbia a lungo termine per la difesa contro il cancro non è stato studiato. Gli sviluppatori vedono il principio, al contrario, anche come approccio per la terapia antitumorale</w:t>
      </w:r>
      <w:r>
        <w:rPr>
          <w:rStyle w:val="FootnoteReference"/>
        </w:rPr>
        <w:footnoteReference w:id="1920"/>
      </w:r>
      <w:r>
        <w:t xml:space="preserve">.</w:t>
      </w:r>
    </w:p>
    <w:p>
      <w:pPr>
        <w:numPr>
          <w:ilvl w:val="0"/>
          <w:numId w:val="1242"/>
        </w:numPr>
        <w:pStyle w:val="Compact"/>
      </w:pPr>
      <w:r>
        <w:rPr>
          <w:bCs/>
          <w:b/>
        </w:rPr>
        <w:t xml:space="preserve">Guarigione delle ferite e riparazione dei tessuti:</w:t>
      </w:r>
      <w:r>
        <w:t xml:space="preserve"> </w:t>
      </w:r>
      <w:r>
        <w:t xml:space="preserve">le cellule senescenti partecipano anche alla guarigione delle ferite e al rimodellamento dei tessuti; la loro eliminazione può disturbare questi processi.</w:t>
      </w:r>
    </w:p>
    <w:p>
      <w:pPr>
        <w:numPr>
          <w:ilvl w:val="0"/>
          <w:numId w:val="1242"/>
        </w:numPr>
        <w:pStyle w:val="Compact"/>
      </w:pPr>
      <w:r>
        <w:rPr>
          <w:bCs/>
          <w:b/>
        </w:rPr>
        <w:t xml:space="preserve">Reazioni immunitarie:</w:t>
      </w:r>
      <w:r>
        <w:t xml:space="preserve"> </w:t>
      </w:r>
      <w:r>
        <w:t xml:space="preserve">il peptide contiene un segmento di una proteina virale ed è relativamente grande; reazioni immunitarie con somministrazioni ripetute sono ipotizzabili, ma non studiate.</w:t>
      </w:r>
    </w:p>
    <w:p>
      <w:pPr>
        <w:pStyle w:val="FirstParagraph"/>
      </w:pPr>
      <w:r>
        <w:rPr>
          <w:bCs/>
          <w:b/>
        </w:rPr>
        <w:t xml:space="preserve">Mercato grigio:</w:t>
      </w:r>
      <w:r>
        <w:t xml:space="preserve"> </w:t>
      </w:r>
      <w:r>
        <w:t xml:space="preserve">il FOXO4-DRI viene offerto online come «senolitico» per iniezione, spesso a prezzi elevati. La produzione di un peptide lungo di D-amminoacidi è complessa; se i prodotti venduti abbiano davvero la sequenza e la purezza corrette non è verificato.</w:t>
      </w:r>
    </w:p>
    <w:bookmarkEnd w:id="1921"/>
    <w:bookmarkStart w:id="1922" w:name="quadro-normativo-44"/>
    <w:p>
      <w:pPr>
        <w:pStyle w:val="Heading3"/>
      </w:pPr>
      <w:r>
        <w:t xml:space="preserve">Quadro normativo</w:t>
      </w:r>
    </w:p>
    <w:p>
      <w:pPr>
        <w:numPr>
          <w:ilvl w:val="0"/>
          <w:numId w:val="1243"/>
        </w:numPr>
        <w:pStyle w:val="Compact"/>
      </w:pPr>
      <w:r>
        <w:rPr>
          <w:bCs/>
          <w:b/>
        </w:rPr>
        <w:t xml:space="preserve">UE / Austria / Germania:</w:t>
      </w:r>
      <w:r>
        <w:t xml:space="preserve"> </w:t>
      </w:r>
      <w:r>
        <w:t xml:space="preserve">non autorizzato; in quanto sostanza con effetto farmacologico il FOXO4-DRI è considerato un medicinale, e la vendita per uso umano non è consentita.</w:t>
      </w:r>
    </w:p>
    <w:p>
      <w:pPr>
        <w:numPr>
          <w:ilvl w:val="0"/>
          <w:numId w:val="1243"/>
        </w:numPr>
        <w:pStyle w:val="Compact"/>
      </w:pPr>
      <w:r>
        <w:rPr>
          <w:bCs/>
          <w:b/>
        </w:rPr>
        <w:t xml:space="preserve">USA:</w:t>
      </w:r>
      <w:r>
        <w:t xml:space="preserve"> </w:t>
      </w:r>
      <w:r>
        <w:t xml:space="preserve">non autorizzato.</w:t>
      </w:r>
    </w:p>
    <w:p>
      <w:pPr>
        <w:numPr>
          <w:ilvl w:val="0"/>
          <w:numId w:val="1243"/>
        </w:numPr>
        <w:pStyle w:val="Compact"/>
      </w:pPr>
      <w:r>
        <w:rPr>
          <w:bCs/>
          <w:b/>
        </w:rPr>
        <w:t xml:space="preserve">Sport:</w:t>
      </w:r>
      <w:r>
        <w:t xml:space="preserve"> </w:t>
      </w:r>
      <w:r>
        <w:t xml:space="preserve">secondo la nostra valutazione categoria WADA S0 (aggiornato al 2026, da verificare).</w:t>
      </w:r>
    </w:p>
    <w:bookmarkEnd w:id="1922"/>
    <w:bookmarkStart w:id="1923" w:name="studi-in-corso-e-prospettive-44"/>
    <w:p>
      <w:pPr>
        <w:pStyle w:val="Heading3"/>
      </w:pPr>
      <w:r>
        <w:t xml:space="preserve">Studi in corso e prospettive</w:t>
      </w:r>
    </w:p>
    <w:p>
      <w:pPr>
        <w:pStyle w:val="FirstParagraph"/>
      </w:pPr>
      <w:r>
        <w:rPr>
          <w:bCs/>
          <w:b/>
        </w:rPr>
        <w:t xml:space="preserve">Assodato:</w:t>
      </w:r>
      <w:r>
        <w:t xml:space="preserve"> </w:t>
      </w:r>
      <w:r>
        <w:t xml:space="preserve">nessuno studio clinico registrato con FOXO4-DRI (ricerca di ottobre 2026). Il gruppo degli sviluppatori lavora a ulteriori sviluppi del principio; gli studi clinici sui senolitici sono in corso soprattutto con altri principi attivi.</w:t>
      </w:r>
    </w:p>
    <w:p>
      <w:pPr>
        <w:pStyle w:val="BodyText"/>
      </w:pPr>
      <w:r>
        <w:rPr>
          <w:bCs/>
          <w:b/>
        </w:rPr>
        <w:t xml:space="preserve">Valutazione:</w:t>
      </w:r>
      <w:r>
        <w:t xml:space="preserve"> </w:t>
      </w:r>
      <w:r>
        <w:t xml:space="preserve">la ricerca sui senolitici è uno dei campi più affascinanti della ricerca sull’invecchiamento, ma i primi studi controllati sull’uomo sono stati deludenti. Per il FOXO4-DRI servirebbero innanzitutto studi sistematici di tossicità e un primo cauto studio sull’uomo, idealmente in una malattia chiaramente definita, non come «anti-aging» generico.</w:t>
      </w:r>
    </w:p>
    <w:bookmarkEnd w:id="1923"/>
    <w:bookmarkStart w:id="1924" w:name="conclusione-44"/>
    <w:p>
      <w:pPr>
        <w:pStyle w:val="Heading3"/>
      </w:pPr>
      <w:r>
        <w:t xml:space="preserve">Conclusione</w:t>
      </w:r>
    </w:p>
    <w:p>
      <w:pPr>
        <w:pStyle w:val="FirstParagraph"/>
      </w:pPr>
      <w:r>
        <w:t xml:space="preserve">Il FOXO4-DRI è un peptide artificiale che in colture cellulari e nei topi ha eliminato in modo mirato le cellule senescenti e negli animali invecchiati ha migliorato forma fisica, pelo e funzione renale. Non è mai stato studiato sull’uomo. Nei modelli animali di ipertensione polmonare l’eliminazione delle cellule senescenti con FOXO4-DRI ha peggiorato il decorso della malattia, e l’intervento sulla proteina di protezione dal cancro p53 solleva questioni aperte. I dati non bastano per valutare beneficio o sicurezza nell’uomo.</w:t>
      </w:r>
    </w:p>
    <w:bookmarkEnd w:id="1924"/>
    <w:bookmarkEnd w:id="1925"/>
    <w:bookmarkStart w:id="1957" w:name="glutatione"/>
    <w:p>
      <w:pPr>
        <w:pStyle w:val="Heading2"/>
      </w:pPr>
      <w:r>
        <w:t xml:space="preserve">Glutatione</w:t>
      </w:r>
    </w:p>
    <w:bookmarkStart w:id="1926" w:name="scheda-45"/>
    <w:p>
      <w:pPr>
        <w:pStyle w:val="Heading3"/>
      </w:pPr>
      <w:r>
        <w:t xml:space="preserve">Scheda</w:t>
      </w:r>
    </w:p>
    <w:p>
      <w:pPr>
        <w:numPr>
          <w:ilvl w:val="0"/>
          <w:numId w:val="1244"/>
        </w:numPr>
        <w:pStyle w:val="Compact"/>
      </w:pPr>
      <w:r>
        <w:rPr>
          <w:bCs/>
          <w:b/>
        </w:rPr>
        <w:t xml:space="preserve">Tipo e struttura:</w:t>
      </w:r>
      <w:r>
        <w:t xml:space="preserve"> </w:t>
      </w:r>
      <w:r>
        <w:t xml:space="preserve">tripeptide di tre amminoacidi: acido glutammico, cisteina e glicina (γ-glutamil-cisteinil-glicina, abbreviato GSH). La forma ridotta (GSH) è quella attiva; nella difesa dall’ossidazione due molecole si uniscono a formare glutatione ossidato (GSSG).</w:t>
      </w:r>
    </w:p>
    <w:p>
      <w:pPr>
        <w:numPr>
          <w:ilvl w:val="0"/>
          <w:numId w:val="1244"/>
        </w:numPr>
        <w:pStyle w:val="Compact"/>
      </w:pPr>
      <w:r>
        <w:rPr>
          <w:bCs/>
          <w:b/>
        </w:rPr>
        <w:t xml:space="preserve">Origine:</w:t>
      </w:r>
      <w:r>
        <w:t xml:space="preserve"> </w:t>
      </w:r>
      <w:r>
        <w:t xml:space="preserve">viene prodotto da praticamente tutte le cellule del corpo, in quantità particolarmente elevate nel fegato. Come preparato viene ottenuto per lo più per fermentazione con lieviti.</w:t>
      </w:r>
    </w:p>
    <w:p>
      <w:pPr>
        <w:numPr>
          <w:ilvl w:val="0"/>
          <w:numId w:val="1244"/>
        </w:numPr>
        <w:pStyle w:val="Compact"/>
      </w:pPr>
      <w:r>
        <w:rPr>
          <w:bCs/>
          <w:b/>
        </w:rPr>
        <w:t xml:space="preserve">Principio d’azione:</w:t>
      </w:r>
      <w:r>
        <w:t xml:space="preserve"> </w:t>
      </w:r>
      <w:r>
        <w:t xml:space="preserve">la più importante sostanza protettiva endogena contro l’ossidazione nelle cellule; partecipa alla detossificazione di farmaci e sostanze nocive (per esempio nella degradazione del paracetamolo) e alla regolazione delle cellule immunitarie. Nella pelle sposta la produzione di pigmento dalla melanina scura a quella più chiara.</w:t>
      </w:r>
    </w:p>
    <w:p>
      <w:pPr>
        <w:numPr>
          <w:ilvl w:val="0"/>
          <w:numId w:val="1244"/>
        </w:numPr>
        <w:pStyle w:val="Compact"/>
      </w:pPr>
      <w:r>
        <w:rPr>
          <w:bCs/>
          <w:b/>
        </w:rPr>
        <w:t xml:space="preserve">Autorizzazione UE:</w:t>
      </w:r>
      <w:r>
        <w:t xml:space="preserve"> </w:t>
      </w:r>
      <w:r>
        <w:t xml:space="preserve">ampiamente in commercio come integratore alimentare; come medicinale per iniezione solo in singoli Paesi per indicazioni ben delimitate, non per schiarire la pelle.</w:t>
      </w:r>
    </w:p>
    <w:p>
      <w:pPr>
        <w:numPr>
          <w:ilvl w:val="0"/>
          <w:numId w:val="1244"/>
        </w:numPr>
        <w:pStyle w:val="Compact"/>
      </w:pPr>
      <w:r>
        <w:rPr>
          <w:bCs/>
          <w:b/>
        </w:rPr>
        <w:t xml:space="preserve">Autorizzazione USA:</w:t>
      </w:r>
      <w:r>
        <w:t xml:space="preserve"> </w:t>
      </w:r>
      <w:r>
        <w:t xml:space="preserve">nessun medicinale a base di glutatione autorizzato dalla FDA; disponibile come integratore alimentare e come preparazione magistrale in farmacia.</w:t>
      </w:r>
    </w:p>
    <w:p>
      <w:pPr>
        <w:numPr>
          <w:ilvl w:val="0"/>
          <w:numId w:val="1244"/>
        </w:numPr>
        <w:pStyle w:val="Compact"/>
      </w:pPr>
      <w:r>
        <w:rPr>
          <w:bCs/>
          <w:b/>
        </w:rPr>
        <w:t xml:space="preserve">WADA:</w:t>
      </w:r>
      <w:r>
        <w:t xml:space="preserve"> </w:t>
      </w:r>
      <w:r>
        <w:t xml:space="preserve">il glutatione in sé non è vietato. Infusioni o iniezioni di più di 100 ml nell’arco di dodici ore sono però classificate come metodo vietato (M2), salvo nell’ambito di un trattamento ospedaliero o di un esame.</w:t>
      </w:r>
    </w:p>
    <w:p>
      <w:pPr>
        <w:numPr>
          <w:ilvl w:val="0"/>
          <w:numId w:val="1244"/>
        </w:numPr>
        <w:pStyle w:val="Compact"/>
      </w:pPr>
      <w:r>
        <w:rPr>
          <w:bCs/>
          <w:b/>
        </w:rPr>
        <w:t xml:space="preserve">Livello di evidenza:</w:t>
      </w:r>
      <w:r>
        <w:t xml:space="preserve"> </w:t>
      </w:r>
      <w:r>
        <w:rPr>
          <w:bCs/>
          <w:b/>
        </w:rPr>
        <w:t xml:space="preserve">B</w:t>
      </w:r>
      <w:r>
        <w:t xml:space="preserve"> </w:t>
      </w:r>
      <w:r>
        <w:t xml:space="preserve">– numerosi studi randomizzati, prevalentemente piccoli, con risultati variabili; nessuna autorizzazione basata su grandi studi con endpoint clinici.</w:t>
      </w:r>
    </w:p>
    <w:bookmarkEnd w:id="1926"/>
    <w:bookmarkStart w:id="1927" w:name="come-dovrebbe-agire-45"/>
    <w:p>
      <w:pPr>
        <w:pStyle w:val="Heading3"/>
      </w:pPr>
      <w:r>
        <w:t xml:space="preserve">Come dovrebbe agire</w:t>
      </w:r>
    </w:p>
    <w:p>
      <w:pPr>
        <w:pStyle w:val="FirstParagraph"/>
      </w:pPr>
      <w:r>
        <w:t xml:space="preserve">Il glutatione è un componente del tutto comune di ogni cellula. Neutralizza le specie reattive dell’ossigeno, aiuta gli enzimi nella detossificazione e mantiene nella loro forma attiva altre sostanze protettive come le vitamine C ed E. In molte malattie (per esempio diabete, malattie epatiche, HIV, Parkinson) e con l’avanzare dell’età i livelli di glutatione nel sangue o nei tessuti sono più bassi. Ne è nata l’idea ovvia di somministrare glutatione dall’esterno.</w:t>
      </w:r>
    </w:p>
    <w:p>
      <w:pPr>
        <w:pStyle w:val="BodyText"/>
      </w:pPr>
      <w:r>
        <w:t xml:space="preserve">Ciò è più difficile di quanto sembri, per tre motivi:</w:t>
      </w:r>
    </w:p>
    <w:p>
      <w:pPr>
        <w:numPr>
          <w:ilvl w:val="0"/>
          <w:numId w:val="1245"/>
        </w:numPr>
        <w:pStyle w:val="Compact"/>
      </w:pPr>
      <w:r>
        <w:rPr>
          <w:bCs/>
          <w:b/>
        </w:rPr>
        <w:t xml:space="preserve">Digestione:</w:t>
      </w:r>
      <w:r>
        <w:t xml:space="preserve"> </w:t>
      </w:r>
      <w:r>
        <w:t xml:space="preserve">in quanto peptide, il glutatione viene in parte scomposto nell’intestino; per questo a lungo è stato considerato poco efficace per via orale.</w:t>
      </w:r>
    </w:p>
    <w:p>
      <w:pPr>
        <w:numPr>
          <w:ilvl w:val="0"/>
          <w:numId w:val="1245"/>
        </w:numPr>
        <w:pStyle w:val="Compact"/>
      </w:pPr>
      <w:r>
        <w:rPr>
          <w:bCs/>
          <w:b/>
        </w:rPr>
        <w:t xml:space="preserve">Assorbimento nelle cellule:</w:t>
      </w:r>
      <w:r>
        <w:t xml:space="preserve"> </w:t>
      </w:r>
      <w:r>
        <w:t xml:space="preserve">il glutatione viene prodotto prevalentemente</w:t>
      </w:r>
      <w:r>
        <w:t xml:space="preserve"> </w:t>
      </w:r>
      <w:r>
        <w:rPr>
          <w:iCs/>
          <w:i/>
        </w:rPr>
        <w:t xml:space="preserve">all’interno</w:t>
      </w:r>
      <w:r>
        <w:t xml:space="preserve"> </w:t>
      </w:r>
      <w:r>
        <w:t xml:space="preserve">delle cellule; dal sangue vi entra solo in misura limitata.</w:t>
      </w:r>
    </w:p>
    <w:p>
      <w:pPr>
        <w:numPr>
          <w:ilvl w:val="0"/>
          <w:numId w:val="1245"/>
        </w:numPr>
        <w:pStyle w:val="Compact"/>
      </w:pPr>
      <w:r>
        <w:rPr>
          <w:bCs/>
          <w:b/>
        </w:rPr>
        <w:t xml:space="preserve">Breve permanenza:</w:t>
      </w:r>
      <w:r>
        <w:t xml:space="preserve"> </w:t>
      </w:r>
      <w:r>
        <w:t xml:space="preserve">il glutatione infuso viene degradato rapidamente nel sangue.</w:t>
      </w:r>
    </w:p>
    <w:p>
      <w:pPr>
        <w:pStyle w:val="FirstParagraph"/>
      </w:pPr>
      <w:r>
        <w:t xml:space="preserve">Per questo vengono offerte diverse forme di somministrazione: capsule e compresse, glutatione</w:t>
      </w:r>
      <w:r>
        <w:t xml:space="preserve"> </w:t>
      </w:r>
      <w:r>
        <w:rPr>
          <w:bCs/>
          <w:b/>
        </w:rPr>
        <w:t xml:space="preserve">liposomiale</w:t>
      </w:r>
      <w:r>
        <w:t xml:space="preserve"> </w:t>
      </w:r>
      <w:r>
        <w:t xml:space="preserve">(racchiuso in vescicole lipidiche), compresse da sciogliere in bocca e film per la mucosa orale, spray nasale, creme e</w:t>
      </w:r>
      <w:r>
        <w:t xml:space="preserve"> </w:t>
      </w:r>
      <w:r>
        <w:rPr>
          <w:bCs/>
          <w:b/>
        </w:rPr>
        <w:t xml:space="preserve">infusioni</w:t>
      </w:r>
      <w:r>
        <w:t xml:space="preserve"> </w:t>
      </w:r>
      <w:r>
        <w:t xml:space="preserve">in vena. Esistono inoltre precursori come la N-acetilcisteina (NAC) o glicina più NAC, che l’organismo usa per la produzione propria; non sono oggetto di questo capitolo.</w:t>
      </w:r>
    </w:p>
    <w:p>
      <w:pPr>
        <w:pStyle w:val="BodyText"/>
      </w:pPr>
      <w:r>
        <w:t xml:space="preserve">Per lo schiarimento della pelle si ipotizza un ulteriore meccanismo: in esperimenti di laboratorio il glutatione inibisce l’enzima tirosinasi e devia la produzione di pigmento dall’eumelanina scura alla feomelanina più chiara.</w:t>
      </w:r>
    </w:p>
    <w:bookmarkEnd w:id="1927"/>
    <w:bookmarkStart w:id="1947" w:name="studi-sulluomo-45"/>
    <w:p>
      <w:pPr>
        <w:pStyle w:val="Heading3"/>
      </w:pPr>
      <w:r>
        <w:t xml:space="preserve">Studi sull’uomo</w:t>
      </w:r>
    </w:p>
    <w:p>
      <w:pPr>
        <w:pStyle w:val="FirstParagraph"/>
      </w:pPr>
      <w:r>
        <w:rPr>
          <w:bCs/>
          <w:b/>
        </w:rPr>
        <w:t xml:space="preserve">Dimensioni della letteratura:</w:t>
      </w:r>
      <w:r>
        <w:t xml:space="preserve"> </w:t>
      </w:r>
      <w:r>
        <w:t xml:space="preserve">la ricerca automatizzata in PubMed (ottobre 2026) ha dato 161 pubblicazioni classificate come studi sull’uomo, più 15 rassegne e meta-analisi. Su ClinicalTrials.gov erano registrati 273 studi. Entrambi i numeri sovrastimano nettamente i dati diretti: molti risultati misurano il glutatione solo come valore di laboratorio (per esempio con selenio, vitamine, sport o NAC) o riguardano l’enzima glutatione-S-transferasi. Gli studi in cui è stato somministrato il glutatione stesso sono una minoranza, ma comunque alcune decine.</w:t>
      </w:r>
    </w:p>
    <w:bookmarkStart w:id="1931" w:name="il-glutatione-ingerito-arriva-davvero"/>
    <w:p>
      <w:pPr>
        <w:pStyle w:val="Heading4"/>
      </w:pPr>
      <w:r>
        <w:t xml:space="preserve">Il glutatione ingerito arriva davvero?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Allen 2011, PMID 21875351</w:t>
            </w:r>
          </w:p>
        </w:tc>
        <w:tc>
          <w:tcPr/>
          <w:p>
            <w:pPr>
              <w:pStyle w:val="Compact"/>
              <w:jc w:val="left"/>
            </w:pPr>
            <w:r>
              <w:t xml:space="preserve">40 persone sane, capsule contro placebo, doppio cieco</w:t>
            </w:r>
          </w:p>
        </w:tc>
        <w:tc>
          <w:tcPr/>
          <w:p>
            <w:pPr>
              <w:pStyle w:val="Compact"/>
              <w:jc w:val="left"/>
            </w:pPr>
            <w:r>
              <w:t xml:space="preserve">4 settimane</w:t>
            </w:r>
          </w:p>
        </w:tc>
        <w:tc>
          <w:tcPr/>
          <w:p>
            <w:pPr>
              <w:pStyle w:val="Compact"/>
              <w:jc w:val="left"/>
            </w:pPr>
            <w:r>
              <w:t xml:space="preserve">nessuna variazione dei livelli di glutatione o dei marcatori di ossidazione</w:t>
            </w:r>
          </w:p>
        </w:tc>
      </w:tr>
      <w:tr>
        <w:tc>
          <w:tcPr/>
          <w:p>
            <w:pPr>
              <w:pStyle w:val="Compact"/>
              <w:jc w:val="left"/>
            </w:pPr>
            <w:r>
              <w:t xml:space="preserve">Richie 2015, PMID 24791752</w:t>
            </w:r>
          </w:p>
        </w:tc>
        <w:tc>
          <w:tcPr/>
          <w:p>
            <w:pPr>
              <w:pStyle w:val="Compact"/>
              <w:jc w:val="left"/>
            </w:pPr>
            <w:r>
              <w:t xml:space="preserve">54 persone sane, due dosi contro placebo, doppio cieco</w:t>
            </w:r>
          </w:p>
        </w:tc>
        <w:tc>
          <w:tcPr/>
          <w:p>
            <w:pPr>
              <w:pStyle w:val="Compact"/>
              <w:jc w:val="left"/>
            </w:pPr>
            <w:r>
              <w:t xml:space="preserve">6 mesi</w:t>
            </w:r>
          </w:p>
        </w:tc>
        <w:tc>
          <w:tcPr/>
          <w:p>
            <w:pPr>
              <w:pStyle w:val="Compact"/>
              <w:jc w:val="left"/>
            </w:pPr>
            <w:r>
              <w:t xml:space="preserve">livelli nelle cellule del sangue e nel plasma più alti del 30–35% (dose alta); ritorno ai valori iniziali dopo la sospensione</w:t>
            </w:r>
          </w:p>
        </w:tc>
      </w:tr>
      <w:tr>
        <w:tc>
          <w:tcPr/>
          <w:p>
            <w:pPr>
              <w:pStyle w:val="Compact"/>
              <w:jc w:val="left"/>
            </w:pPr>
            <w:r>
              <w:t xml:space="preserve">Sinha 2018, PMID 28853742</w:t>
            </w:r>
          </w:p>
        </w:tc>
        <w:tc>
          <w:tcPr/>
          <w:p>
            <w:pPr>
              <w:pStyle w:val="Compact"/>
              <w:jc w:val="left"/>
            </w:pPr>
            <w:r>
              <w:t xml:space="preserve">12 persone sane, glutatione liposomiale, senza placebo</w:t>
            </w:r>
          </w:p>
        </w:tc>
        <w:tc>
          <w:tcPr/>
          <w:p>
            <w:pPr>
              <w:pStyle w:val="Compact"/>
              <w:jc w:val="left"/>
            </w:pPr>
            <w:r>
              <w:t xml:space="preserve">4 settimane</w:t>
            </w:r>
          </w:p>
        </w:tc>
        <w:tc>
          <w:tcPr/>
          <w:p>
            <w:pPr>
              <w:pStyle w:val="Compact"/>
              <w:jc w:val="left"/>
            </w:pPr>
            <w:r>
              <w:t xml:space="preserve">livelli nel sangue intero fino al 40% più alti, nelle cellule immunitarie fino al 100%</w:t>
            </w:r>
          </w:p>
        </w:tc>
      </w:tr>
      <w:tr>
        <w:tc>
          <w:tcPr/>
          <w:p>
            <w:pPr>
              <w:pStyle w:val="Compact"/>
              <w:jc w:val="left"/>
            </w:pPr>
            <w:r>
              <w:t xml:space="preserve">Schmitt 2015, PMID 26262996</w:t>
            </w:r>
          </w:p>
        </w:tc>
        <w:tc>
          <w:tcPr/>
          <w:p>
            <w:pPr>
              <w:pStyle w:val="Compact"/>
              <w:jc w:val="left"/>
            </w:pPr>
            <w:r>
              <w:t xml:space="preserve">20 persone con sindrome metabolica, crossover: capsula, forma sublinguale, NAC</w:t>
            </w:r>
          </w:p>
        </w:tc>
        <w:tc>
          <w:tcPr/>
          <w:p>
            <w:pPr>
              <w:pStyle w:val="Compact"/>
              <w:jc w:val="left"/>
            </w:pPr>
            <w:r>
              <w:t xml:space="preserve">3 settimane ciascuna</w:t>
            </w:r>
          </w:p>
        </w:tc>
        <w:tc>
          <w:tcPr/>
          <w:p>
            <w:pPr>
              <w:pStyle w:val="Compact"/>
              <w:jc w:val="left"/>
            </w:pPr>
            <w:r>
              <w:t xml:space="preserve">la forma sublinguale ha aumentato i livelli plasmatici più delle capsule</w:t>
            </w:r>
          </w:p>
        </w:tc>
      </w:tr>
      <w:tr>
        <w:tc>
          <w:tcPr/>
          <w:p>
            <w:pPr>
              <w:pStyle w:val="Compact"/>
              <w:jc w:val="left"/>
            </w:pPr>
            <w:r>
              <w:t xml:space="preserve">Jung 2026, PMID 42392376</w:t>
            </w:r>
          </w:p>
        </w:tc>
        <w:tc>
          <w:tcPr/>
          <w:p>
            <w:pPr>
              <w:pStyle w:val="Compact"/>
              <w:jc w:val="left"/>
            </w:pPr>
            <w:r>
              <w:t xml:space="preserve">persone sane, film da sciogliere in bocca contro compressa</w:t>
            </w:r>
          </w:p>
        </w:tc>
        <w:tc>
          <w:tcPr/>
          <w:p>
            <w:pPr>
              <w:pStyle w:val="Compact"/>
              <w:jc w:val="left"/>
            </w:pPr>
            <w:r>
              <w:t xml:space="preserve">dose singola e 4 settimane</w:t>
            </w:r>
          </w:p>
        </w:tc>
        <w:tc>
          <w:tcPr/>
          <w:p>
            <w:pPr>
              <w:pStyle w:val="Compact"/>
              <w:jc w:val="left"/>
            </w:pPr>
            <w:r>
              <w:t xml:space="preserve">entrambe le forme hanno aumentato i livelli nel sangue; nessuna variazione dei marcatori di ossidazione</w:t>
            </w:r>
          </w:p>
        </w:tc>
      </w:tr>
    </w:tbl>
    <w:p>
      <w:pPr>
        <w:pStyle w:val="BodyText"/>
      </w:pPr>
      <w:r>
        <w:t xml:space="preserve">La questione è stata a lungo controversa. Un breve studio con 40 persone sane non ha trovato dopo quattro settimane alcuna variazione</w:t>
      </w:r>
      <w:r>
        <w:rPr>
          <w:rStyle w:val="FootnoteReference"/>
        </w:rPr>
        <w:footnoteReference w:id="1928"/>
      </w:r>
      <w:r>
        <w:t xml:space="preserve">. Uno studio più lungo, anch’esso in doppio cieco, con 54 persone sane ha invece trovato dopo sei mesi livelli di glutatione più alti, in modo dose-dipendente, nel sangue, nelle cellule del sangue e nella mucosa orale; un mese dopo la sospensione i valori erano tornati al livello iniziale</w:t>
      </w:r>
      <w:r>
        <w:rPr>
          <w:rStyle w:val="FootnoteReference"/>
        </w:rPr>
        <w:footnoteReference w:id="1929"/>
      </w:r>
      <w:r>
        <w:t xml:space="preserve">. Un piccolo studio pilota senza gruppo placebo ha riferito per il glutatione liposomiale aumenti già dopo una o due settimane</w:t>
      </w:r>
      <w:r>
        <w:rPr>
          <w:rStyle w:val="FootnoteReference"/>
        </w:rPr>
        <w:footnoteReference w:id="1930"/>
      </w:r>
      <w:r>
        <w:t xml:space="preserve">.</w:t>
      </w:r>
    </w:p>
    <w:p>
      <w:pPr>
        <w:pStyle w:val="BodyText"/>
      </w:pPr>
      <w:r>
        <w:t xml:space="preserve">In sintesi: il glutatione ingerito può aumentare in modo misurabile i livelli nel sangue, presumibilmente in funzione di dose, durata e forma di somministrazione. Se livelli più alti nel sangue portino anche a un beneficio per la salute è un’altra questione.</w:t>
      </w:r>
    </w:p>
    <w:bookmarkEnd w:id="1931"/>
    <w:bookmarkStart w:id="1939" w:name="studi-relativi-a-malattie"/>
    <w:p>
      <w:pPr>
        <w:pStyle w:val="Heading4"/>
      </w:pPr>
      <w:r>
        <w:t xml:space="preserve">Studi relativi a malattie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Leal 2014, PMID 24619793</w:t>
            </w:r>
          </w:p>
        </w:tc>
        <w:tc>
          <w:tcPr/>
          <w:p>
            <w:pPr>
              <w:pStyle w:val="Compact"/>
              <w:jc w:val="left"/>
            </w:pPr>
            <w:r>
              <w:t xml:space="preserve">185 pazienti oncologici in trattamento con paclitaxel/carboplatino, infusione contro placebo, fase 3</w:t>
            </w:r>
          </w:p>
        </w:tc>
        <w:tc>
          <w:tcPr/>
          <w:p>
            <w:pPr>
              <w:pStyle w:val="Compact"/>
              <w:jc w:val="left"/>
            </w:pPr>
            <w:r>
              <w:t xml:space="preserve">durata della chemioterapia</w:t>
            </w:r>
          </w:p>
        </w:tc>
        <w:tc>
          <w:tcPr/>
          <w:p>
            <w:pPr>
              <w:pStyle w:val="Compact"/>
              <w:jc w:val="left"/>
            </w:pPr>
            <w:r>
              <w:rPr>
                <w:bCs/>
                <w:b/>
              </w:rPr>
              <w:t xml:space="preserve">nessuna</w:t>
            </w:r>
            <w:r>
              <w:t xml:space="preserve"> </w:t>
            </w:r>
            <w:r>
              <w:t xml:space="preserve">riduzione dei danni ai nervi da chemioterapia</w:t>
            </w:r>
          </w:p>
        </w:tc>
      </w:tr>
      <w:tr>
        <w:tc>
          <w:tcPr/>
          <w:p>
            <w:pPr>
              <w:pStyle w:val="Compact"/>
              <w:jc w:val="left"/>
            </w:pPr>
            <w:r>
              <w:t xml:space="preserve">Hauser 2009, PMID 19230029</w:t>
            </w:r>
          </w:p>
        </w:tc>
        <w:tc>
          <w:tcPr/>
          <w:p>
            <w:pPr>
              <w:pStyle w:val="Compact"/>
              <w:jc w:val="left"/>
            </w:pPr>
            <w:r>
              <w:t xml:space="preserve">21 persone con Parkinson, infusione contro placebo</w:t>
            </w:r>
          </w:p>
        </w:tc>
        <w:tc>
          <w:tcPr/>
          <w:p>
            <w:pPr>
              <w:pStyle w:val="Compact"/>
              <w:jc w:val="left"/>
            </w:pPr>
            <w:r>
              <w:t xml:space="preserve">4 settimane</w:t>
            </w:r>
          </w:p>
        </w:tc>
        <w:tc>
          <w:tcPr/>
          <w:p>
            <w:pPr>
              <w:pStyle w:val="Compact"/>
              <w:jc w:val="left"/>
            </w:pPr>
            <w:r>
              <w:t xml:space="preserve">nessuna differenza significativa sulla scala del Parkinson</w:t>
            </w:r>
          </w:p>
        </w:tc>
      </w:tr>
      <w:tr>
        <w:tc>
          <w:tcPr/>
          <w:p>
            <w:pPr>
              <w:pStyle w:val="Compact"/>
              <w:jc w:val="left"/>
            </w:pPr>
            <w:r>
              <w:t xml:space="preserve">Mischley 2017, PMID 28436395</w:t>
            </w:r>
          </w:p>
        </w:tc>
        <w:tc>
          <w:tcPr/>
          <w:p>
            <w:pPr>
              <w:pStyle w:val="Compact"/>
              <w:jc w:val="left"/>
            </w:pPr>
            <w:r>
              <w:t xml:space="preserve">45 persone con Parkinson, spray nasale in due dosi contro placebo</w:t>
            </w:r>
          </w:p>
        </w:tc>
        <w:tc>
          <w:tcPr/>
          <w:p>
            <w:pPr>
              <w:pStyle w:val="Compact"/>
              <w:jc w:val="left"/>
            </w:pPr>
            <w:r>
              <w:t xml:space="preserve">3 mesi</w:t>
            </w:r>
          </w:p>
        </w:tc>
        <w:tc>
          <w:tcPr/>
          <w:p>
            <w:pPr>
              <w:pStyle w:val="Compact"/>
              <w:jc w:val="left"/>
            </w:pPr>
            <w:r>
              <w:t xml:space="preserve">tutti i gruppi sono migliorati, glutatione non migliore del placebo</w:t>
            </w:r>
          </w:p>
        </w:tc>
      </w:tr>
      <w:tr>
        <w:tc>
          <w:tcPr/>
          <w:p>
            <w:pPr>
              <w:pStyle w:val="Compact"/>
              <w:jc w:val="left"/>
            </w:pPr>
            <w:r>
              <w:t xml:space="preserve">Bozic 2020, PMID 32960827</w:t>
            </w:r>
          </w:p>
        </w:tc>
        <w:tc>
          <w:tcPr/>
          <w:p>
            <w:pPr>
              <w:pStyle w:val="Compact"/>
              <w:jc w:val="left"/>
            </w:pPr>
            <w:r>
              <w:t xml:space="preserve">58 bambini con fibrosi cistica, capsule contro placebo</w:t>
            </w:r>
          </w:p>
        </w:tc>
        <w:tc>
          <w:tcPr/>
          <w:p>
            <w:pPr>
              <w:pStyle w:val="Compact"/>
              <w:jc w:val="left"/>
            </w:pPr>
            <w:r>
              <w:t xml:space="preserve">24 settimane</w:t>
            </w:r>
          </w:p>
        </w:tc>
        <w:tc>
          <w:tcPr/>
          <w:p>
            <w:pPr>
              <w:pStyle w:val="Compact"/>
              <w:jc w:val="left"/>
            </w:pPr>
            <w:r>
              <w:t xml:space="preserve">nessun effetto su crescita e marcatori infiammatori</w:t>
            </w:r>
          </w:p>
        </w:tc>
      </w:tr>
      <w:tr>
        <w:tc>
          <w:tcPr/>
          <w:p>
            <w:pPr>
              <w:pStyle w:val="Compact"/>
              <w:jc w:val="left"/>
            </w:pPr>
            <w:r>
              <w:t xml:space="preserve">Søndergård 2021, PMID 33740389</w:t>
            </w:r>
          </w:p>
        </w:tc>
        <w:tc>
          <w:tcPr/>
          <w:p>
            <w:pPr>
              <w:pStyle w:val="Compact"/>
              <w:jc w:val="left"/>
            </w:pPr>
            <w:r>
              <w:t xml:space="preserve">20 uomini in sovrappeso con e senza diabete di tipo 2, contro placebo</w:t>
            </w:r>
          </w:p>
        </w:tc>
        <w:tc>
          <w:tcPr/>
          <w:p>
            <w:pPr>
              <w:pStyle w:val="Compact"/>
              <w:jc w:val="left"/>
            </w:pPr>
            <w:r>
              <w:t xml:space="preserve">3 settimane</w:t>
            </w:r>
          </w:p>
        </w:tc>
        <w:tc>
          <w:tcPr/>
          <w:p>
            <w:pPr>
              <w:pStyle w:val="Compact"/>
              <w:jc w:val="left"/>
            </w:pPr>
            <w:r>
              <w:t xml:space="preserve">sensibilità all’insulina migliorata; marcatori di ossidazione invariati</w:t>
            </w:r>
          </w:p>
        </w:tc>
      </w:tr>
      <w:tr>
        <w:tc>
          <w:tcPr/>
          <w:p>
            <w:pPr>
              <w:pStyle w:val="Compact"/>
              <w:jc w:val="left"/>
            </w:pPr>
            <w:r>
              <w:t xml:space="preserve">Honda 2017, PMID 28789631</w:t>
            </w:r>
          </w:p>
        </w:tc>
        <w:tc>
          <w:tcPr/>
          <w:p>
            <w:pPr>
              <w:pStyle w:val="Compact"/>
              <w:jc w:val="left"/>
            </w:pPr>
            <w:r>
              <w:t xml:space="preserve">34 persone con fegato grasso, in aperto, senza gruppo di controllo</w:t>
            </w:r>
          </w:p>
        </w:tc>
        <w:tc>
          <w:tcPr/>
          <w:p>
            <w:pPr>
              <w:pStyle w:val="Compact"/>
              <w:jc w:val="left"/>
            </w:pPr>
            <w:r>
              <w:t xml:space="preserve">4 mesi</w:t>
            </w:r>
          </w:p>
        </w:tc>
        <w:tc>
          <w:tcPr/>
          <w:p>
            <w:pPr>
              <w:pStyle w:val="Compact"/>
              <w:jc w:val="left"/>
            </w:pPr>
            <w:r>
              <w:t xml:space="preserve">valore epatico ALT diminuito</w:t>
            </w:r>
          </w:p>
        </w:tc>
      </w:tr>
      <w:tr>
        <w:tc>
          <w:tcPr/>
          <w:p>
            <w:pPr>
              <w:pStyle w:val="Compact"/>
              <w:jc w:val="left"/>
            </w:pPr>
            <w:r>
              <w:t xml:space="preserve">Arrivi 2023, PMID 36083043</w:t>
            </w:r>
          </w:p>
        </w:tc>
        <w:tc>
          <w:tcPr/>
          <w:p>
            <w:pPr>
              <w:pStyle w:val="Compact"/>
              <w:jc w:val="left"/>
            </w:pPr>
            <w:r>
              <w:t xml:space="preserve">100 persone con infarto, infusione contro placebo (analisi successiva)</w:t>
            </w:r>
          </w:p>
        </w:tc>
        <w:tc>
          <w:tcPr/>
          <w:p>
            <w:pPr>
              <w:pStyle w:val="Compact"/>
              <w:jc w:val="left"/>
            </w:pPr>
            <w:r>
              <w:t xml:space="preserve">degenza ospedaliera</w:t>
            </w:r>
          </w:p>
        </w:tc>
        <w:tc>
          <w:tcPr/>
          <w:p>
            <w:pPr>
              <w:pStyle w:val="Compact"/>
              <w:jc w:val="left"/>
            </w:pPr>
            <w:r>
              <w:t xml:space="preserve">degenza di 8,6 invece di 10,8 giorni</w:t>
            </w:r>
          </w:p>
        </w:tc>
      </w:tr>
    </w:tbl>
    <w:p>
      <w:pPr>
        <w:pStyle w:val="BodyText"/>
      </w:pPr>
      <w:r>
        <w:t xml:space="preserve">Il quadro è deludente: lo studio più grande e metodologicamente più solido, uno studio di fase 3 con 185 pazienti oncologici, non ha trovato alcuna protezione dai danni ai nervi causati dalla chemioterapia; per singoli obiettivi secondari il placebo ha persino dato risultati migliori</w:t>
      </w:r>
      <w:r>
        <w:rPr>
          <w:rStyle w:val="FootnoteReference"/>
        </w:rPr>
        <w:footnoteReference w:id="1932"/>
      </w:r>
      <w:r>
        <w:t xml:space="preserve">. Nel Parkinson il glutatione non è risultato migliore del placebo né come infusione</w:t>
      </w:r>
      <w:r>
        <w:rPr>
          <w:rStyle w:val="FootnoteReference"/>
        </w:rPr>
        <w:footnoteReference w:id="1933"/>
      </w:r>
      <w:r>
        <w:t xml:space="preserve"> </w:t>
      </w:r>
      <w:r>
        <w:t xml:space="preserve">né come spray nasale; nello studio sullo spray nasale una persona ha sviluppato con la dose più alta una malattia del muscolo cardiaco</w:t>
      </w:r>
      <w:r>
        <w:rPr>
          <w:rStyle w:val="FootnoteReference"/>
        </w:rPr>
        <w:footnoteReference w:id="1934"/>
      </w:r>
      <w:r>
        <w:t xml:space="preserve">. Nei bambini con fibrosi cistica la crescita non è stata influenzata</w:t>
      </w:r>
      <w:r>
        <w:rPr>
          <w:rStyle w:val="FootnoteReference"/>
        </w:rPr>
        <w:footnoteReference w:id="1935"/>
      </w:r>
      <w:r>
        <w:t xml:space="preserve">.</w:t>
      </w:r>
    </w:p>
    <w:p>
      <w:pPr>
        <w:pStyle w:val="BodyText"/>
      </w:pPr>
      <w:r>
        <w:t xml:space="preserve">I segnali positivi provengono da piccoli studi: in 20 uomini in sovrappeso la sensibilità all’insulina è migliorata dopo tre settimane</w:t>
      </w:r>
      <w:r>
        <w:rPr>
          <w:rStyle w:val="FootnoteReference"/>
        </w:rPr>
        <w:footnoteReference w:id="1936"/>
      </w:r>
      <w:r>
        <w:t xml:space="preserve">; nel fegato grasso i valori epatici sono diminuiti in uno studio non controllato</w:t>
      </w:r>
      <w:r>
        <w:rPr>
          <w:rStyle w:val="FootnoteReference"/>
        </w:rPr>
        <w:footnoteReference w:id="1937"/>
      </w:r>
      <w:r>
        <w:t xml:space="preserve">; dopo un infarto la durata della degenza è risultata più breve in un’analisi successiva</w:t>
      </w:r>
      <w:r>
        <w:rPr>
          <w:rStyle w:val="FootnoteReference"/>
        </w:rPr>
        <w:footnoteReference w:id="1938"/>
      </w:r>
      <w:r>
        <w:t xml:space="preserve">. Nessuno di questi risultati è stato finora confermato in uno studio più ampio.</w:t>
      </w:r>
    </w:p>
    <w:bookmarkEnd w:id="1939"/>
    <w:bookmarkStart w:id="1946" w:name="Xc8b8ab64f75920e13a805e148b083f75d7044f5"/>
    <w:p>
      <w:pPr>
        <w:pStyle w:val="Heading4"/>
      </w:pPr>
      <w:r>
        <w:t xml:space="preserve">Schiarimento della pelle: per via orale, topica, endovenosa</w:t>
      </w:r>
    </w:p>
    <w:p>
      <w:pPr>
        <w:pStyle w:val="FirstParagraph"/>
      </w:pPr>
      <w:r>
        <w:t xml:space="preserve">In parti dell’Asia, dell’Africa e sempre più anche in Europa il glutatione viene commercializzato soprattutto come «schiarente della pelle», in capsule, creme e sotto forma di infusioni in cliniche estetiche.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Arjinpathana 2012, PMID 20524875</w:t>
            </w:r>
          </w:p>
        </w:tc>
        <w:tc>
          <w:tcPr/>
          <w:p>
            <w:pPr>
              <w:pStyle w:val="Compact"/>
              <w:jc w:val="left"/>
            </w:pPr>
            <w:r>
              <w:t xml:space="preserve">60 studenti di medicina in Thailandia, capsule contro placebo</w:t>
            </w:r>
          </w:p>
        </w:tc>
        <w:tc>
          <w:tcPr/>
          <w:p>
            <w:pPr>
              <w:pStyle w:val="Compact"/>
              <w:jc w:val="left"/>
            </w:pPr>
            <w:r>
              <w:t xml:space="preserve">4 settimane</w:t>
            </w:r>
          </w:p>
        </w:tc>
        <w:tc>
          <w:tcPr/>
          <w:p>
            <w:pPr>
              <w:pStyle w:val="Compact"/>
              <w:jc w:val="left"/>
            </w:pPr>
            <w:r>
              <w:t xml:space="preserve">indice di melanina ridotto di più in 2 punti di misura su 6</w:t>
            </w:r>
          </w:p>
        </w:tc>
      </w:tr>
      <w:tr>
        <w:tc>
          <w:tcPr/>
          <w:p>
            <w:pPr>
              <w:pStyle w:val="Compact"/>
              <w:jc w:val="left"/>
            </w:pPr>
            <w:r>
              <w:t xml:space="preserve">Weschawalit 2017, PMID 28490897</w:t>
            </w:r>
          </w:p>
        </w:tc>
        <w:tc>
          <w:tcPr/>
          <w:p>
            <w:pPr>
              <w:pStyle w:val="Compact"/>
              <w:jc w:val="left"/>
            </w:pPr>
            <w:r>
              <w:t xml:space="preserve">donne sane, glutatione ridotto o ossidato contro placebo</w:t>
            </w:r>
          </w:p>
        </w:tc>
        <w:tc>
          <w:tcPr/>
          <w:p>
            <w:pPr>
              <w:pStyle w:val="Compact"/>
              <w:jc w:val="left"/>
            </w:pPr>
            <w:r>
              <w:t xml:space="preserve">12 settimane</w:t>
            </w:r>
          </w:p>
        </w:tc>
        <w:tc>
          <w:tcPr/>
          <w:p>
            <w:pPr>
              <w:pStyle w:val="Compact"/>
              <w:jc w:val="left"/>
            </w:pPr>
            <w:r>
              <w:t xml:space="preserve">indice di melanina tendenzialmente più basso; in parte meno rughe</w:t>
            </w:r>
          </w:p>
        </w:tc>
      </w:tr>
      <w:tr>
        <w:tc>
          <w:tcPr/>
          <w:p>
            <w:pPr>
              <w:pStyle w:val="Compact"/>
              <w:jc w:val="left"/>
            </w:pPr>
            <w:r>
              <w:t xml:space="preserve">Handog 2016, PMID 26148180</w:t>
            </w:r>
          </w:p>
        </w:tc>
        <w:tc>
          <w:tcPr/>
          <w:p>
            <w:pPr>
              <w:pStyle w:val="Compact"/>
              <w:jc w:val="left"/>
            </w:pPr>
            <w:r>
              <w:t xml:space="preserve">30 donne nelle Filippine, compressa da sciogliere in bocca, senza gruppo di controllo</w:t>
            </w:r>
          </w:p>
        </w:tc>
        <w:tc>
          <w:tcPr/>
          <w:p>
            <w:pPr>
              <w:pStyle w:val="Compact"/>
              <w:jc w:val="left"/>
            </w:pPr>
            <w:r>
              <w:t xml:space="preserve">8 settimane</w:t>
            </w:r>
          </w:p>
        </w:tc>
        <w:tc>
          <w:tcPr/>
          <w:p>
            <w:pPr>
              <w:pStyle w:val="Compact"/>
              <w:jc w:val="left"/>
            </w:pPr>
            <w:r>
              <w:t xml:space="preserve">indice di melanina diminuito</w:t>
            </w:r>
          </w:p>
        </w:tc>
      </w:tr>
      <w:tr>
        <w:tc>
          <w:tcPr/>
          <w:p>
            <w:pPr>
              <w:pStyle w:val="Compact"/>
              <w:jc w:val="left"/>
            </w:pPr>
            <w:r>
              <w:t xml:space="preserve">Wahab 2021, PMID 33871071</w:t>
            </w:r>
          </w:p>
        </w:tc>
        <w:tc>
          <w:tcPr/>
          <w:p>
            <w:pPr>
              <w:pStyle w:val="Compact"/>
              <w:jc w:val="left"/>
            </w:pPr>
            <w:r>
              <w:t xml:space="preserve">46 persone, combinazione crema e capsula contro placebo</w:t>
            </w:r>
          </w:p>
        </w:tc>
        <w:tc>
          <w:tcPr/>
          <w:p>
            <w:pPr>
              <w:pStyle w:val="Compact"/>
              <w:jc w:val="left"/>
            </w:pPr>
            <w:r>
              <w:t xml:space="preserve">8 settimane</w:t>
            </w:r>
          </w:p>
        </w:tc>
        <w:tc>
          <w:tcPr/>
          <w:p>
            <w:pPr>
              <w:pStyle w:val="Compact"/>
              <w:jc w:val="left"/>
            </w:pPr>
            <w:r>
              <w:t xml:space="preserve">combinazione forse più efficace dell’uso singolo</w:t>
            </w:r>
          </w:p>
        </w:tc>
      </w:tr>
    </w:tbl>
    <w:p>
      <w:pPr>
        <w:pStyle w:val="BodyText"/>
      </w:pPr>
      <w:r>
        <w:rPr>
          <w:bCs/>
          <w:b/>
        </w:rPr>
        <w:t xml:space="preserve">Per via orale e topica:</w:t>
      </w:r>
      <w:r>
        <w:t xml:space="preserve"> </w:t>
      </w:r>
      <w:r>
        <w:t xml:space="preserve">diversi piccoli studi randomizzati mostrano un lieve schiarimento, soprattutto nelle zone esposte al sole. Nel primo studio l’effetto era statisticamente significativo solo in due punti di misura su sei</w:t>
      </w:r>
      <w:r>
        <w:rPr>
          <w:rStyle w:val="FootnoteReference"/>
        </w:rPr>
        <w:footnoteReference w:id="1940"/>
      </w:r>
      <w:r>
        <w:t xml:space="preserve">. Una revisione sistematica nel 2019 ha concluso che le prove, a causa della qualità degli studi e di risultati contraddittori, erano «non ancora univoche»</w:t>
      </w:r>
      <w:r>
        <w:rPr>
          <w:rStyle w:val="FootnoteReference"/>
        </w:rPr>
        <w:footnoteReference w:id="1941"/>
      </w:r>
      <w:r>
        <w:t xml:space="preserve">. Una rassegna più recente giudica creme e capsule moderatamente efficaci, con effetti che non persistono dopo la sospensione</w:t>
      </w:r>
      <w:r>
        <w:rPr>
          <w:rStyle w:val="FootnoteReference"/>
        </w:rPr>
        <w:footnoteReference w:id="1942"/>
      </w:r>
      <w:r>
        <w:t xml:space="preserve">.</w:t>
      </w:r>
    </w:p>
    <w:p>
      <w:pPr>
        <w:pStyle w:val="BodyText"/>
      </w:pPr>
      <w:r>
        <w:rPr>
          <w:bCs/>
          <w:b/>
        </w:rPr>
        <w:t xml:space="preserve">Per via endovenosa:</w:t>
      </w:r>
      <w:r>
        <w:t xml:space="preserve"> </w:t>
      </w:r>
      <w:r>
        <w:t xml:space="preserve">per le infusioni a scopo schiarente esiste, secondo la stessa rassegna, un solo studio controllato con placebo, che non ha trovato differenze significative (37,5% contro 18,7%, p = 0,054). Le autrici e gli autori ritengono il glutatione endovenoso per schiarire la pelle</w:t>
      </w:r>
      <w:r>
        <w:t xml:space="preserve"> </w:t>
      </w:r>
      <w:r>
        <w:rPr>
          <w:bCs/>
          <w:b/>
        </w:rPr>
        <w:t xml:space="preserve">controindicato</w:t>
      </w:r>
      <w:r>
        <w:t xml:space="preserve">, cioè non giustificabile, per mancanza di efficacia ed effetti collaterali</w:t>
      </w:r>
      <w:r>
        <w:rPr>
          <w:rStyle w:val="FootnoteReference"/>
        </w:rPr>
        <w:footnoteReference w:id="1943"/>
      </w:r>
      <w:r>
        <w:t xml:space="preserve">. Una rassegna sudafricana non ha trovato nemmeno uno studio sulla sicurezza di infusioni ripetute per qualsiasi impiego</w:t>
      </w:r>
      <w:r>
        <w:rPr>
          <w:rStyle w:val="FootnoteReference"/>
        </w:rPr>
        <w:footnoteReference w:id="1944"/>
      </w:r>
      <w:r>
        <w:t xml:space="preserve">. Sul British Medical Journal la pratica è stata criticata come «sbiancamento non etico»</w:t>
      </w:r>
      <w:r>
        <w:rPr>
          <w:rStyle w:val="FootnoteReference"/>
        </w:rPr>
        <w:footnoteReference w:id="1945"/>
      </w:r>
      <w:r>
        <w:t xml:space="preserve">.</w:t>
      </w:r>
    </w:p>
    <w:bookmarkEnd w:id="1946"/>
    <w:bookmarkEnd w:id="1947"/>
    <w:bookmarkStart w:id="1948" w:name="studi-su-animali-e-in-laboratorio-45"/>
    <w:p>
      <w:pPr>
        <w:pStyle w:val="Heading3"/>
      </w:pPr>
      <w:r>
        <w:t xml:space="preserve">Studi su animali e in laboratorio</w:t>
      </w:r>
    </w:p>
    <w:p>
      <w:pPr>
        <w:pStyle w:val="FirstParagraph"/>
      </w:pPr>
      <w:r>
        <w:t xml:space="preserve">La ricerca di laboratorio sul glutatione è enormemente ampia e riguarda quasi ogni ambito della biologia cellulare. Per questo libro è rilevante soprattutto che, in esperimenti su cellule e animali, il glutatione o i suoi precursori hanno potuto proteggere da danni ossidativi, tossicità dei farmaci e reazioni infiammatorie, effetti che negli studi clinici sull’uomo si ritrovano solo in parte e per lo più in forma debole.</w:t>
      </w:r>
    </w:p>
    <w:bookmarkEnd w:id="1948"/>
    <w:bookmarkStart w:id="1952" w:name="rischi-ed-effetti-collaterali-45"/>
    <w:p>
      <w:pPr>
        <w:pStyle w:val="Heading3"/>
      </w:pPr>
      <w:r>
        <w:t xml:space="preserve">Rischi ed effetti collaterali</w:t>
      </w:r>
    </w:p>
    <w:p>
      <w:pPr>
        <w:pStyle w:val="FirstParagraph"/>
      </w:pPr>
      <w:r>
        <w:rPr>
          <w:bCs/>
          <w:b/>
        </w:rPr>
        <w:t xml:space="preserve">Assunzione orale:</w:t>
      </w:r>
      <w:r>
        <w:t xml:space="preserve"> </w:t>
      </w:r>
      <w:r>
        <w:t xml:space="preserve">negli studi ben tollerata; vengono riferiti sporadicamente disturbi gastrointestinali. Mancano in gran parte dati a lungo termine oltre i sei mesi.</w:t>
      </w:r>
    </w:p>
    <w:p>
      <w:pPr>
        <w:pStyle w:val="BodyText"/>
      </w:pPr>
      <w:r>
        <w:rPr>
          <w:bCs/>
          <w:b/>
        </w:rPr>
        <w:t xml:space="preserve">Spray nasale:</w:t>
      </w:r>
      <w:r>
        <w:t xml:space="preserve"> </w:t>
      </w:r>
      <w:r>
        <w:t xml:space="preserve">in uno studio sul Parkinson una persona ha sviluppato con la dose più alta una malattia del muscolo cardiaco; un nesso non è dimostrato</w:t>
      </w:r>
      <w:r>
        <w:rPr>
          <w:rStyle w:val="FootnoteReference"/>
        </w:rPr>
        <w:footnoteReference w:id="1949"/>
      </w:r>
      <w:r>
        <w:t xml:space="preserve">.</w:t>
      </w:r>
    </w:p>
    <w:p>
      <w:pPr>
        <w:pStyle w:val="BodyText"/>
      </w:pPr>
      <w:r>
        <w:rPr>
          <w:bCs/>
          <w:b/>
        </w:rPr>
        <w:t xml:space="preserve">Infusioni, i veri rischi:</w:t>
      </w:r>
    </w:p>
    <w:p>
      <w:pPr>
        <w:numPr>
          <w:ilvl w:val="0"/>
          <w:numId w:val="1246"/>
        </w:numPr>
        <w:pStyle w:val="Compact"/>
      </w:pPr>
      <w:r>
        <w:rPr>
          <w:bCs/>
          <w:b/>
        </w:rPr>
        <w:t xml:space="preserve">Preparazioni contaminate:</w:t>
      </w:r>
      <w:r>
        <w:t xml:space="preserve"> </w:t>
      </w:r>
      <w:r>
        <w:t xml:space="preserve">nel 2019 l’autorità statunitense dei medicinali FDA ha avvertito le farmacie di non usare per infusioni il glutatione di un determinato grossista, dopo che alcuni pazienti avevano sviluppato nausea, vomito e difficoltà respiratorie in seguito alle infusioni e dopo che erano stati misurati valori elevati di endotossine (componenti dei batteri che possono provocare febbre e shock). Nell’agosto 2026 la FDA ha di nuovo invitato le farmacie a non usare per iniezioni glutatione di qualità da integratore alimentare; dopo infusioni di un determinato lotto si erano verificati febbre, brividi, stati simili allo shock e ricoveri ospedalieri.</w:t>
      </w:r>
    </w:p>
    <w:p>
      <w:pPr>
        <w:numPr>
          <w:ilvl w:val="0"/>
          <w:numId w:val="1246"/>
        </w:numPr>
        <w:pStyle w:val="Compact"/>
      </w:pPr>
      <w:r>
        <w:rPr>
          <w:bCs/>
          <w:b/>
        </w:rPr>
        <w:t xml:space="preserve">Avvertenze delle autorità sullo schiarimento della pelle:</w:t>
      </w:r>
      <w:r>
        <w:t xml:space="preserve"> </w:t>
      </w:r>
      <w:r>
        <w:t xml:space="preserve">l’autorità filippina dei medicinali ha messo in guardia nel 2011 e nel 2019 contro le iniezioni di glutatione per schiarire la pelle; ha citato effetti collaterali che vanno dalle eruzioni cutanee alle reazioni cutanee potenzialmente letali sindrome di Stevens-Johnson e necrolisi epidermica tossica, nonché rischi legati a iniezioni non corrette come sepsi e trasmissione di infezioni. Anche la FDA statunitense ha avvertito consumatrici e consumatori che non esistono preparati iniettabili autorizzati per schiarire la pelle e che tali prodotti possono contenere componenti sconosciuti e dannosi.</w:t>
      </w:r>
    </w:p>
    <w:p>
      <w:pPr>
        <w:numPr>
          <w:ilvl w:val="0"/>
          <w:numId w:val="1246"/>
        </w:numPr>
        <w:pStyle w:val="Compact"/>
      </w:pPr>
      <w:r>
        <w:rPr>
          <w:bCs/>
          <w:b/>
        </w:rPr>
        <w:t xml:space="preserve">Cancro della pelle (teorico):</w:t>
      </w:r>
      <w:r>
        <w:t xml:space="preserve"> </w:t>
      </w:r>
      <w:r>
        <w:t xml:space="preserve">lo spostamento dalla melanina scura a quella chiara potrebbe ridurre la protezione solare naturale della pelle</w:t>
      </w:r>
      <w:r>
        <w:rPr>
          <w:rStyle w:val="FootnoteReference"/>
        </w:rPr>
        <w:footnoteReference w:id="1950"/>
      </w:r>
      <w:r>
        <w:t xml:space="preserve">.</w:t>
      </w:r>
    </w:p>
    <w:p>
      <w:pPr>
        <w:pStyle w:val="FirstParagraph"/>
      </w:pPr>
      <w:r>
        <w:rPr>
          <w:bCs/>
          <w:b/>
        </w:rPr>
        <w:t xml:space="preserve">Interazioni:</w:t>
      </w:r>
      <w:r>
        <w:t xml:space="preserve"> </w:t>
      </w:r>
      <w:r>
        <w:t xml:space="preserve">in uno studio oncologico il glutatione è stato somministrato prima della chemioterapia; il tempo fino alla progressione della malattia non differiva lì dal placebo</w:t>
      </w:r>
      <w:r>
        <w:rPr>
          <w:rStyle w:val="FootnoteReference"/>
        </w:rPr>
        <w:footnoteReference w:id="1951"/>
      </w:r>
      <w:r>
        <w:t xml:space="preserve">. In linea di principio si discute se gli antiossidanti possano attenuare l’effetto di alcune terapie antitumorali. Chi è in trattamento per un tumore dovrebbe assumere glutatione solo dopo aver consultato l’équipe curante.</w:t>
      </w:r>
    </w:p>
    <w:bookmarkEnd w:id="1952"/>
    <w:bookmarkStart w:id="1953" w:name="quadro-normativo-45"/>
    <w:p>
      <w:pPr>
        <w:pStyle w:val="Heading3"/>
      </w:pPr>
      <w:r>
        <w:t xml:space="preserve">Quadro normativo</w:t>
      </w:r>
    </w:p>
    <w:p>
      <w:pPr>
        <w:numPr>
          <w:ilvl w:val="0"/>
          <w:numId w:val="1247"/>
        </w:numPr>
        <w:pStyle w:val="Compact"/>
      </w:pPr>
      <w:r>
        <w:rPr>
          <w:bCs/>
          <w:b/>
        </w:rPr>
        <w:t xml:space="preserve">UE / Austria / Germania:</w:t>
      </w:r>
      <w:r>
        <w:t xml:space="preserve"> </w:t>
      </w:r>
      <w:r>
        <w:t xml:space="preserve">il glutatione viene venduto come integratore alimentare in capsule e polveri; le promesse sulla salute nella pubblicità non sono consentite senza indicazioni sulla salute (health claim) autorizzate. Infusioni e iniezioni sono medicinali; i preparati per lo schiarimento della pelle per infusione non sono autorizzati. In singoli Paesi (per quanto ci risulta per esempio l’Italia) esistono iniezioni di glutatione autorizzate per impieghi medici specifici; per i dettagli si veda il relativo riassunto delle caratteristiche del prodotto.</w:t>
      </w:r>
    </w:p>
    <w:p>
      <w:pPr>
        <w:numPr>
          <w:ilvl w:val="0"/>
          <w:numId w:val="1247"/>
        </w:numPr>
        <w:pStyle w:val="Compact"/>
      </w:pPr>
      <w:r>
        <w:rPr>
          <w:bCs/>
          <w:b/>
        </w:rPr>
        <w:t xml:space="preserve">USA:</w:t>
      </w:r>
      <w:r>
        <w:t xml:space="preserve"> </w:t>
      </w:r>
      <w:r>
        <w:t xml:space="preserve">nessun medicinale a base di glutatione autorizzato; gli integratori alimentari sono consentiti, le infusioni vengono preparate come preparazioni magistrali in farmacia e sono soggette ai requisiti FDA per le preparazioni sterili.</w:t>
      </w:r>
    </w:p>
    <w:p>
      <w:pPr>
        <w:numPr>
          <w:ilvl w:val="0"/>
          <w:numId w:val="1247"/>
        </w:numPr>
        <w:pStyle w:val="Compact"/>
      </w:pPr>
      <w:r>
        <w:rPr>
          <w:bCs/>
          <w:b/>
        </w:rPr>
        <w:t xml:space="preserve">Sport:</w:t>
      </w:r>
      <w:r>
        <w:t xml:space="preserve"> </w:t>
      </w:r>
      <w:r>
        <w:t xml:space="preserve">il glutatione non è vietato; le infusioni oltre 100 ml in dodici ore rientrano, al di fuori dei trattamenti clinici, nel metodo WADA M2 (aggiornato al 2026, da verificare).</w:t>
      </w:r>
    </w:p>
    <w:bookmarkEnd w:id="1953"/>
    <w:bookmarkStart w:id="1955" w:name="studi-in-corso-e-prospettive-45"/>
    <w:p>
      <w:pPr>
        <w:pStyle w:val="Heading3"/>
      </w:pPr>
      <w:r>
        <w:t xml:space="preserve">Studi in corso e prospettive</w:t>
      </w:r>
    </w:p>
    <w:p>
      <w:pPr>
        <w:pStyle w:val="FirstParagraph"/>
      </w:pPr>
      <w:r>
        <w:rPr>
          <w:bCs/>
          <w:b/>
        </w:rPr>
        <w:t xml:space="preserve">Assodato (studi registrati, aggiornato a ottobre 2026):</w:t>
      </w:r>
    </w:p>
    <w:p>
      <w:pPr>
        <w:numPr>
          <w:ilvl w:val="0"/>
          <w:numId w:val="1248"/>
        </w:numPr>
        <w:pStyle w:val="Compact"/>
      </w:pPr>
      <w:r>
        <w:t xml:space="preserve">Uno studio di fase 1 in Cina esamina il glutatione in aggiunta a immunoterapia e chemioterapia nel cancro del polmone avanzato (NCT06896422, 80 partecipanti previsti).</w:t>
      </w:r>
    </w:p>
    <w:p>
      <w:pPr>
        <w:numPr>
          <w:ilvl w:val="0"/>
          <w:numId w:val="1248"/>
        </w:numPr>
        <w:pStyle w:val="Compact"/>
      </w:pPr>
      <w:r>
        <w:t xml:space="preserve">È registrato uno studio sul microneedling assistito da glutatione nel melasma (macchie pigmentate)</w:t>
      </w:r>
      <w:r>
        <w:rPr>
          <w:rStyle w:val="FootnoteReference"/>
        </w:rPr>
        <w:footnoteReference w:id="1954"/>
      </w:r>
      <w:r>
        <w:t xml:space="preserve">.</w:t>
      </w:r>
    </w:p>
    <w:p>
      <w:pPr>
        <w:numPr>
          <w:ilvl w:val="0"/>
          <w:numId w:val="1248"/>
        </w:numPr>
        <w:pStyle w:val="Compact"/>
      </w:pPr>
      <w:r>
        <w:t xml:space="preserve">Diversi piccoli studi esaminano nuove forme di somministrazione (liposomiale, micellare) e il recupero sportivo, spesso finanziati dai produttori.</w:t>
      </w:r>
    </w:p>
    <w:p>
      <w:pPr>
        <w:pStyle w:val="FirstParagraph"/>
      </w:pPr>
      <w:r>
        <w:rPr>
          <w:bCs/>
          <w:b/>
        </w:rPr>
        <w:t xml:space="preserve">Valutazione:</w:t>
      </w:r>
      <w:r>
        <w:t xml:space="preserve"> </w:t>
      </w:r>
      <w:r>
        <w:t xml:space="preserve">la questione aperta più importante non è più se il glutatione venga assorbito, ma se livelli più alti portino un beneficio clinico. I grandi studi finora condotti depongono piuttosto contro. Nelle infusioni per schiarire la pelle o come flebo «wellness» i rischi superano un beneficio non dimostrato.</w:t>
      </w:r>
    </w:p>
    <w:bookmarkEnd w:id="1955"/>
    <w:bookmarkStart w:id="1956" w:name="conclusione-45"/>
    <w:p>
      <w:pPr>
        <w:pStyle w:val="Heading3"/>
      </w:pPr>
      <w:r>
        <w:t xml:space="preserve">Conclusione</w:t>
      </w:r>
    </w:p>
    <w:p>
      <w:pPr>
        <w:pStyle w:val="FirstParagraph"/>
      </w:pPr>
      <w:r>
        <w:t xml:space="preserve">Il glutatione è il più importante peptide protettivo endogeno contro l’ossidazione; assunto in capsule può aumentare in modo misurabile i livelli nel sangue con un’assunzione prolungata. In clinica, però, gli studi più ampi non hanno mostrato alcun beneficio, né contro i danni ai nervi da chemioterapia né nel Parkinson o nella fibrosi cistica; gli indizi positivi provengono da piccoli studi. Capsule e creme hanno schiarito la pelle in piccoli studi in modo lieve e temporaneo. Le infusioni per schiarire la pelle non hanno un’efficacia dimostrata, non sono autorizzate e diverse autorità hanno espressamente messo in guardia contro di esse a causa di gravi effetti collaterali e preparati contaminati.</w:t>
      </w:r>
    </w:p>
    <w:bookmarkEnd w:id="1956"/>
    <w:bookmarkEnd w:id="1957"/>
    <w:bookmarkEnd w:id="1958"/>
    <w:bookmarkStart w:id="2314" w:name="X812c6247d0573a362efc2b1e3c09eafa08aa531"/>
    <w:p>
      <w:pPr>
        <w:pStyle w:val="Heading1"/>
      </w:pPr>
      <w:r>
        <w:t xml:space="preserve">Parte II · E – Ormoni, sessualità e pigmentazione</w:t>
      </w:r>
    </w:p>
    <w:p>
      <w:pPr>
        <w:pStyle w:val="FirstParagraph"/>
      </w:pPr>
      <w:r>
        <w:t xml:space="preserve">I sei peptidi di questo gruppo agiscono su aspetti molto diversi: colore della pelle, desiderio sessuale, fertilità e comportamento sociale. Hanno in comune il fatto di imitare vie di segnalazione endogene del cervello e delle ghiandole endocrine, strettamente intrecciate tra loro. Tre di essi appartengono a un’unica famiglia, il sistema delle melanocortine; altri tre regolano l’asse ormonale della riproduzione o sono collegati a esso.</w:t>
      </w:r>
    </w:p>
    <w:bookmarkStart w:id="1961" w:name="il-sistema-delle-melanocortine"/>
    <w:p>
      <w:pPr>
        <w:pStyle w:val="Heading3"/>
      </w:pPr>
      <w:r>
        <w:t xml:space="preserve">Il sistema delle melanocortine</w:t>
      </w:r>
    </w:p>
    <w:p>
      <w:pPr>
        <w:pStyle w:val="FirstParagraph"/>
      </w:pPr>
      <w:r>
        <w:t xml:space="preserve">All’inizio c’è una grande proteina precursore chiamata proopiomelanocortina (POMC). Da essa alcuni enzimi ritagliano diversi peptidi più piccoli, tra cui l’ormone dello stress ACTH e gli ormoni melanocito-stimolanti (MSH), soprattutto l’alfa-MSH. Nel loro insieme questi messaggeri si chiamano melanocortine. Agiscono attraverso cinque recettori, da MC1R a MC5R, presenti in tessuti diversi:</w:t>
      </w:r>
    </w:p>
    <w:p>
      <w:pPr>
        <w:numPr>
          <w:ilvl w:val="0"/>
          <w:numId w:val="1249"/>
        </w:numPr>
        <w:pStyle w:val="Compact"/>
      </w:pPr>
      <w:r>
        <w:rPr>
          <w:bCs/>
          <w:b/>
        </w:rPr>
        <w:t xml:space="preserve">MC1R</w:t>
      </w:r>
      <w:r>
        <w:t xml:space="preserve">, sulle cellule pigmentate della pelle, determina se queste producono eumelanina scura e protettiva. Le persone con capelli rossi e pelle chiara portano spesso varianti meno efficaci di questo recettore.</w:t>
      </w:r>
    </w:p>
    <w:p>
      <w:pPr>
        <w:numPr>
          <w:ilvl w:val="0"/>
          <w:numId w:val="1249"/>
        </w:numPr>
        <w:pStyle w:val="Compact"/>
      </w:pPr>
      <w:r>
        <w:rPr>
          <w:bCs/>
          <w:b/>
        </w:rPr>
        <w:t xml:space="preserve">MC2R</w:t>
      </w:r>
      <w:r>
        <w:t xml:space="preserve">, nella ghiandola surrenale, è il recettore dell’ACTH e regola la produzione di cortisolo.</w:t>
      </w:r>
    </w:p>
    <w:p>
      <w:pPr>
        <w:numPr>
          <w:ilvl w:val="0"/>
          <w:numId w:val="1249"/>
        </w:numPr>
        <w:pStyle w:val="Compact"/>
      </w:pPr>
      <w:r>
        <w:rPr>
          <w:bCs/>
          <w:b/>
        </w:rPr>
        <w:t xml:space="preserve">MC3R e MC4R</w:t>
      </w:r>
      <w:r>
        <w:t xml:space="preserve">, nel cervello, influenzano appetito, dispendio energetico e – come si è scoperto per caso – l’eccitazione sessuale. I difetti di MC4R sono la causa genetica più frequente di obesità grave.</w:t>
      </w:r>
    </w:p>
    <w:p>
      <w:pPr>
        <w:numPr>
          <w:ilvl w:val="0"/>
          <w:numId w:val="1249"/>
        </w:numPr>
        <w:pStyle w:val="Compact"/>
      </w:pPr>
      <w:r>
        <w:rPr>
          <w:bCs/>
          <w:b/>
        </w:rPr>
        <w:t xml:space="preserve">MC5R</w:t>
      </w:r>
      <w:r>
        <w:t xml:space="preserve"> </w:t>
      </w:r>
      <w:r>
        <w:t xml:space="preserve">agisce, tra l’altro, sulle ghiandole sebacee e su altre ghiandole.</w:t>
      </w:r>
    </w:p>
    <w:p>
      <w:pPr>
        <w:pStyle w:val="FirstParagraph"/>
      </w:pPr>
      <w:r>
        <w:t xml:space="preserve">La storia dei tre peptidi melanocortinici di questa parte comincia all’Università dell’Arizona. Lì, negli anni Ottanta e Novanta, alcuni ricercatori svilupparono due varianti stabilizzate dell’alfa-MSH per ottenere un’abbronzatura senza sole: il Melanotan I lineare e il Melanotan II ciclico</w:t>
      </w:r>
      <w:r>
        <w:rPr>
          <w:rStyle w:val="FootnoteReference"/>
        </w:rPr>
        <w:footnoteReference w:id="1959"/>
      </w:r>
      <w:r>
        <w:t xml:space="preserve">. Durante le prove con il Melanotan II alcuni uomini riferirono erezioni spontanee: fu la scoperta che le melanocortine nel cervello influenzano la funzione sessuale</w:t>
      </w:r>
      <w:r>
        <w:rPr>
          <w:rStyle w:val="FootnoteReference"/>
        </w:rPr>
        <w:footnoteReference w:id="1960"/>
      </w:r>
      <w:r>
        <w:t xml:space="preserve">.</w:t>
      </w:r>
    </w:p>
    <w:p>
      <w:pPr>
        <w:pStyle w:val="BodyText"/>
      </w:pPr>
      <w:r>
        <w:t xml:space="preserve">Da questi inizi sono nate tre strade:</w:t>
      </w:r>
    </w:p>
    <w:p>
      <w:pPr>
        <w:numPr>
          <w:ilvl w:val="0"/>
          <w:numId w:val="1250"/>
        </w:numPr>
        <w:pStyle w:val="Compact"/>
      </w:pPr>
      <w:r>
        <w:rPr>
          <w:bCs/>
          <w:b/>
        </w:rPr>
        <w:t xml:space="preserve">Melanotan I</w:t>
      </w:r>
      <w:r>
        <w:t xml:space="preserve"> </w:t>
      </w:r>
      <w:r>
        <w:t xml:space="preserve">è stato sviluppato, con il nome di</w:t>
      </w:r>
      <w:r>
        <w:t xml:space="preserve"> </w:t>
      </w:r>
      <w:r>
        <w:rPr>
          <w:bCs/>
          <w:b/>
        </w:rPr>
        <w:t xml:space="preserve">afamelanotide</w:t>
      </w:r>
      <w:r>
        <w:t xml:space="preserve">, come impianto contro una rara e dolorosa fotosensibilità ed è approvato nell’UE e negli Stati Uniti.</w:t>
      </w:r>
    </w:p>
    <w:p>
      <w:pPr>
        <w:numPr>
          <w:ilvl w:val="0"/>
          <w:numId w:val="1250"/>
        </w:numPr>
        <w:pStyle w:val="Compact"/>
      </w:pPr>
      <w:r>
        <w:rPr>
          <w:bCs/>
          <w:b/>
        </w:rPr>
        <w:t xml:space="preserve">Melanotan II</w:t>
      </w:r>
      <w:r>
        <w:t xml:space="preserve"> </w:t>
      </w:r>
      <w:r>
        <w:t xml:space="preserve">non è mai stato approvato, ma è diffuso sul mercato grigio come «iniezione abbronzante».</w:t>
      </w:r>
    </w:p>
    <w:p>
      <w:pPr>
        <w:numPr>
          <w:ilvl w:val="0"/>
          <w:numId w:val="1250"/>
        </w:numPr>
        <w:pStyle w:val="Compact"/>
      </w:pPr>
      <w:r>
        <w:rPr>
          <w:bCs/>
          <w:b/>
        </w:rPr>
        <w:t xml:space="preserve">Bremelanotide</w:t>
      </w:r>
      <w:r>
        <w:t xml:space="preserve">, una variante del Melanotan II, è approvato negli Stati Uniti contro lo scarso desiderio sessuale nelle donne.</w:t>
      </w:r>
    </w:p>
    <w:p>
      <w:pPr>
        <w:pStyle w:val="FirstParagraph"/>
      </w:pPr>
      <w:r>
        <w:t xml:space="preserve">Un quarto principio attivo melanocortinico, il setmelanotide, agisce in modo mirato su MC4R ed è impiegato in rare forme genetiche di obesità; è trattato nella Parte II · A. Quanto più selettivamente un principio attivo si lega a un recettore, tanto più mirato è il suo effetto. Il Melanotan II li attiva quasi tutti e per questo riunisce in una sola molecola abbronzatura, nausea, perdita di appetito ed erezioni.</w:t>
      </w:r>
    </w:p>
    <w:bookmarkEnd w:id="1961"/>
    <w:bookmarkStart w:id="1962" w:name="lasse-ormonale-della-riproduzione"/>
    <w:p>
      <w:pPr>
        <w:pStyle w:val="Heading3"/>
      </w:pPr>
      <w:r>
        <w:t xml:space="preserve">L’asse ormonale della riproduzione</w:t>
      </w:r>
    </w:p>
    <w:p>
      <w:pPr>
        <w:pStyle w:val="FirstParagraph"/>
      </w:pPr>
      <w:r>
        <w:t xml:space="preserve">Gli altri tre peptidi di questa parte agiscono sull’asse che regola pubertà, ciclo e fertilità. La</w:t>
      </w:r>
      <w:r>
        <w:t xml:space="preserve"> </w:t>
      </w:r>
      <w:r>
        <w:rPr>
          <w:bCs/>
          <w:b/>
        </w:rPr>
        <w:t xml:space="preserve">kisspeptina</w:t>
      </w:r>
      <w:r>
        <w:t xml:space="preserve"> </w:t>
      </w:r>
      <w:r>
        <w:t xml:space="preserve">attiva nell’ipotalamo i neuroni che producono GnRH. La</w:t>
      </w:r>
      <w:r>
        <w:t xml:space="preserve"> </w:t>
      </w:r>
      <w:r>
        <w:rPr>
          <w:bCs/>
          <w:b/>
        </w:rPr>
        <w:t xml:space="preserve">gonadorelina</w:t>
      </w:r>
      <w:r>
        <w:t xml:space="preserve"> </w:t>
      </w:r>
      <w:r>
        <w:t xml:space="preserve">è la forma sintetica del GnRH stesso, che, rilasciato a impulsi, stimola l’ipofisi a secernere LH e FSH. Entrambe mostrano un principio comune: somministrate con il ritmo giusto attivano l’asse; come stimolo continuo lo frenano. L’</w:t>
      </w:r>
      <w:r>
        <w:rPr>
          <w:bCs/>
          <w:b/>
        </w:rPr>
        <w:t xml:space="preserve">ossitocina</w:t>
      </w:r>
      <w:r>
        <w:t xml:space="preserve">, infine, proviene dalle stesse regioni cerebrali, regola parto e allattamento e da due decenni viene studiata come spray nasale per il comportamento sociale – con risultati deludenti.</w:t>
      </w:r>
    </w:p>
    <w:bookmarkEnd w:id="1962"/>
    <w:bookmarkStart w:id="1963" w:name="panoramica-3"/>
    <w:p>
      <w:pPr>
        <w:pStyle w:val="Heading3"/>
      </w:pPr>
      <w:r>
        <w:t xml:space="preserve">Panoramica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Peptide</w:t>
            </w:r>
          </w:p>
        </w:tc>
        <w:tc>
          <w:tcPr/>
          <w:p>
            <w:pPr>
              <w:pStyle w:val="Compact"/>
              <w:jc w:val="left"/>
            </w:pPr>
            <w:r>
              <w:t xml:space="preserve">Evidenza</w:t>
            </w:r>
          </w:p>
        </w:tc>
        <w:tc>
          <w:tcPr/>
          <w:p>
            <w:pPr>
              <w:pStyle w:val="Compact"/>
              <w:jc w:val="left"/>
            </w:pPr>
            <w:r>
              <w:t xml:space="preserve">Approvazione</w:t>
            </w:r>
          </w:p>
        </w:tc>
        <w:tc>
          <w:tcPr/>
          <w:p>
            <w:pPr>
              <w:pStyle w:val="Compact"/>
              <w:jc w:val="left"/>
            </w:pPr>
            <w:r>
              <w:t xml:space="preserve">In breve</w:t>
            </w:r>
          </w:p>
        </w:tc>
      </w:tr>
      <w:tr>
        <w:tc>
          <w:tcPr/>
          <w:p>
            <w:pPr>
              <w:pStyle w:val="Compact"/>
              <w:jc w:val="left"/>
            </w:pPr>
            <w:r>
              <w:t xml:space="preserve">Bremelanotide (PT-141)</w:t>
            </w:r>
          </w:p>
        </w:tc>
        <w:tc>
          <w:tcPr/>
          <w:p>
            <w:pPr>
              <w:pStyle w:val="Compact"/>
              <w:jc w:val="left"/>
            </w:pPr>
            <w:r>
              <w:t xml:space="preserve">A</w:t>
            </w:r>
          </w:p>
        </w:tc>
        <w:tc>
          <w:tcPr/>
          <w:p>
            <w:pPr>
              <w:pStyle w:val="Compact"/>
              <w:jc w:val="left"/>
            </w:pPr>
            <w:r>
              <w:t xml:space="preserve">USA (Vyleesi), non UE</w:t>
            </w:r>
          </w:p>
        </w:tc>
        <w:tc>
          <w:tcPr/>
          <w:p>
            <w:pPr>
              <w:pStyle w:val="Compact"/>
              <w:jc w:val="left"/>
            </w:pPr>
            <w:r>
              <w:t xml:space="preserve">Desiderio nelle donne con HSDD; effetto piccolo, molta nausea</w:t>
            </w:r>
          </w:p>
        </w:tc>
      </w:tr>
      <w:tr>
        <w:tc>
          <w:tcPr/>
          <w:p>
            <w:pPr>
              <w:pStyle w:val="Compact"/>
              <w:jc w:val="left"/>
            </w:pPr>
            <w:r>
              <w:t xml:space="preserve">Melanotan II</w:t>
            </w:r>
          </w:p>
        </w:tc>
        <w:tc>
          <w:tcPr/>
          <w:p>
            <w:pPr>
              <w:pStyle w:val="Compact"/>
              <w:jc w:val="left"/>
            </w:pPr>
            <w:r>
              <w:t xml:space="preserve">C</w:t>
            </w:r>
          </w:p>
        </w:tc>
        <w:tc>
          <w:tcPr/>
          <w:p>
            <w:pPr>
              <w:pStyle w:val="Compact"/>
              <w:jc w:val="left"/>
            </w:pPr>
            <w:r>
              <w:t xml:space="preserve">nessuna</w:t>
            </w:r>
          </w:p>
        </w:tc>
        <w:tc>
          <w:tcPr/>
          <w:p>
            <w:pPr>
              <w:pStyle w:val="Compact"/>
              <w:jc w:val="left"/>
            </w:pPr>
            <w:r>
              <w:t xml:space="preserve">Abbronzatura da mercato grigio; casi clinici su nei e priapismo</w:t>
            </w:r>
          </w:p>
        </w:tc>
      </w:tr>
      <w:tr>
        <w:tc>
          <w:tcPr/>
          <w:p>
            <w:pPr>
              <w:pStyle w:val="Compact"/>
              <w:jc w:val="left"/>
            </w:pPr>
            <w:r>
              <w:t xml:space="preserve">Afamelanotide</w:t>
            </w:r>
          </w:p>
        </w:tc>
        <w:tc>
          <w:tcPr/>
          <w:p>
            <w:pPr>
              <w:pStyle w:val="Compact"/>
              <w:jc w:val="left"/>
            </w:pPr>
            <w:r>
              <w:t xml:space="preserve">A</w:t>
            </w:r>
          </w:p>
        </w:tc>
        <w:tc>
          <w:tcPr/>
          <w:p>
            <w:pPr>
              <w:pStyle w:val="Compact"/>
              <w:jc w:val="left"/>
            </w:pPr>
            <w:r>
              <w:t xml:space="preserve">UE e USA (Scenesse)</w:t>
            </w:r>
          </w:p>
        </w:tc>
        <w:tc>
          <w:tcPr/>
          <w:p>
            <w:pPr>
              <w:pStyle w:val="Compact"/>
              <w:jc w:val="left"/>
            </w:pPr>
            <w:r>
              <w:t xml:space="preserve">Fotoprotezione nella EPP; vitiligine in sperimentazione</w:t>
            </w:r>
          </w:p>
        </w:tc>
      </w:tr>
      <w:tr>
        <w:tc>
          <w:tcPr/>
          <w:p>
            <w:pPr>
              <w:pStyle w:val="Compact"/>
              <w:jc w:val="left"/>
            </w:pPr>
            <w:r>
              <w:t xml:space="preserve">Kisspeptina</w:t>
            </w:r>
          </w:p>
        </w:tc>
        <w:tc>
          <w:tcPr/>
          <w:p>
            <w:pPr>
              <w:pStyle w:val="Compact"/>
              <w:jc w:val="left"/>
            </w:pPr>
            <w:r>
              <w:t xml:space="preserve">B</w:t>
            </w:r>
          </w:p>
        </w:tc>
        <w:tc>
          <w:tcPr/>
          <w:p>
            <w:pPr>
              <w:pStyle w:val="Compact"/>
              <w:jc w:val="left"/>
            </w:pPr>
            <w:r>
              <w:t xml:space="preserve">nessuna</w:t>
            </w:r>
          </w:p>
        </w:tc>
        <w:tc>
          <w:tcPr/>
          <w:p>
            <w:pPr>
              <w:pStyle w:val="Compact"/>
              <w:jc w:val="left"/>
            </w:pPr>
            <w:r>
              <w:t xml:space="preserve">Maturazione degli ovociti nella FIVET, test ormonali; ricerca</w:t>
            </w:r>
          </w:p>
        </w:tc>
      </w:tr>
      <w:tr>
        <w:tc>
          <w:tcPr/>
          <w:p>
            <w:pPr>
              <w:pStyle w:val="Compact"/>
              <w:jc w:val="left"/>
            </w:pPr>
            <w:r>
              <w:t xml:space="preserve">Ossitocina (spray nasale)</w:t>
            </w:r>
          </w:p>
        </w:tc>
        <w:tc>
          <w:tcPr/>
          <w:p>
            <w:pPr>
              <w:pStyle w:val="Compact"/>
              <w:jc w:val="left"/>
            </w:pPr>
            <w:r>
              <w:t xml:space="preserve">B</w:t>
            </w:r>
          </w:p>
        </w:tc>
        <w:tc>
          <w:tcPr/>
          <w:p>
            <w:pPr>
              <w:pStyle w:val="Compact"/>
              <w:jc w:val="left"/>
            </w:pPr>
            <w:r>
              <w:t xml:space="preserve">solo come infusione (ostetricia)</w:t>
            </w:r>
          </w:p>
        </w:tc>
        <w:tc>
          <w:tcPr/>
          <w:p>
            <w:pPr>
              <w:pStyle w:val="Compact"/>
              <w:jc w:val="left"/>
            </w:pPr>
            <w:r>
              <w:t xml:space="preserve">Autismo e fiducia: grandi studi negativi</w:t>
            </w:r>
          </w:p>
        </w:tc>
      </w:tr>
      <w:tr>
        <w:tc>
          <w:tcPr/>
          <w:p>
            <w:pPr>
              <w:pStyle w:val="Compact"/>
              <w:jc w:val="left"/>
            </w:pPr>
            <w:r>
              <w:t xml:space="preserve">Gonadorelina</w:t>
            </w:r>
          </w:p>
        </w:tc>
        <w:tc>
          <w:tcPr/>
          <w:p>
            <w:pPr>
              <w:pStyle w:val="Compact"/>
              <w:jc w:val="left"/>
            </w:pPr>
            <w:r>
              <w:t xml:space="preserve">B</w:t>
            </w:r>
          </w:p>
        </w:tc>
        <w:tc>
          <w:tcPr/>
          <w:p>
            <w:pPr>
              <w:pStyle w:val="Compact"/>
              <w:jc w:val="left"/>
            </w:pPr>
            <w:r>
              <w:t xml:space="preserve">nazionale (UE), non più negli USA</w:t>
            </w:r>
          </w:p>
        </w:tc>
        <w:tc>
          <w:tcPr/>
          <w:p>
            <w:pPr>
              <w:pStyle w:val="Compact"/>
              <w:jc w:val="left"/>
            </w:pPr>
            <w:r>
              <w:t xml:space="preserve">Test al GnRH e pompa per il desiderio di figli; vietata come doping</w:t>
            </w:r>
          </w:p>
        </w:tc>
      </w:tr>
    </w:tbl>
    <w:p>
      <w:pPr>
        <w:pStyle w:val="BodyText"/>
      </w:pPr>
      <w:r>
        <w:t xml:space="preserve">Le informazioni sulle approvazioni corrispondono alla situazione del 2026 e andrebbero verificate.</w:t>
      </w:r>
    </w:p>
    <w:bookmarkEnd w:id="1963"/>
    <w:bookmarkStart w:id="1964" w:name="nota-di-lettura"/>
    <w:p>
      <w:pPr>
        <w:pStyle w:val="Heading3"/>
      </w:pPr>
      <w:r>
        <w:t xml:space="preserve">Nota di lettura</w:t>
      </w:r>
    </w:p>
    <w:p>
      <w:pPr>
        <w:pStyle w:val="FirstParagraph"/>
      </w:pPr>
      <w:r>
        <w:t xml:space="preserve">Chi è interessato agli abbronzanti dovrebbe leggere insieme i capitoli sul Melanotan II e sull’afamelanotide: mostrano quanto diversamente possa svilupparsi la stessa idea di fondo – da una parte come farmaco sperimentato in un ambulatorio specialistico, dall’altra come polvere non verificata acquistata su internet. Per il tema della sessualità vale la pena confrontare bremelanotide, kisspeptina e ossitocina; tutti e tre mostrano quanto siano forti gli effetti placebo in questo campo. Kisspeptina e gonadorelina spiegano insieme l’asse ormonale della fertilità. Le informazioni generali sui prodotti del mercato grigio si trovano nella Parte I, il confronto dei rischi nella Parte IV.</w:t>
      </w:r>
    </w:p>
    <w:bookmarkEnd w:id="1964"/>
    <w:bookmarkStart w:id="2021" w:name="bremelanotide-pt-141"/>
    <w:p>
      <w:pPr>
        <w:pStyle w:val="Heading2"/>
      </w:pPr>
      <w:r>
        <w:t xml:space="preserve">Bremelanotide (PT-141)</w:t>
      </w:r>
    </w:p>
    <w:bookmarkStart w:id="1967" w:name="scheda-46"/>
    <w:p>
      <w:pPr>
        <w:pStyle w:val="Heading3"/>
      </w:pPr>
      <w:r>
        <w:t xml:space="preserve">Scheda</w:t>
      </w:r>
    </w:p>
    <w:p>
      <w:pPr>
        <w:numPr>
          <w:ilvl w:val="0"/>
          <w:numId w:val="1251"/>
        </w:numPr>
        <w:pStyle w:val="Compact"/>
      </w:pPr>
      <w:r>
        <w:rPr>
          <w:bCs/>
          <w:b/>
        </w:rPr>
        <w:t xml:space="preserve">Tipo/struttura:</w:t>
      </w:r>
      <w:r>
        <w:t xml:space="preserve"> </w:t>
      </w:r>
      <w:r>
        <w:t xml:space="preserve">peptide ad anello (ciclico) di sette aminoacidi, prodotto per sintesi. Deriva dall’ormone endogeno alfa-MSH (ormone alfa-melanocito-stimolante) ed è uno stretto parente del Melanotan II (capitolo 2E02). In letteratura è chiamato anche PT-141.</w:t>
      </w:r>
    </w:p>
    <w:p>
      <w:pPr>
        <w:numPr>
          <w:ilvl w:val="0"/>
          <w:numId w:val="1251"/>
        </w:numPr>
        <w:pStyle w:val="Compact"/>
      </w:pPr>
      <w:r>
        <w:rPr>
          <w:bCs/>
          <w:b/>
        </w:rPr>
        <w:t xml:space="preserve">Origine:</w:t>
      </w:r>
      <w:r>
        <w:t xml:space="preserve"> </w:t>
      </w:r>
      <w:r>
        <w:t xml:space="preserve">nato dallo sviluppo del Melanotan II all’Università dell’Arizona; sviluppato ulteriormente dall’azienda Palatin Technologies</w:t>
      </w:r>
      <w:r>
        <w:rPr>
          <w:rStyle w:val="FootnoteReference"/>
        </w:rPr>
        <w:footnoteReference w:id="1965"/>
      </w:r>
      <w:r>
        <w:t xml:space="preserve">.</w:t>
      </w:r>
    </w:p>
    <w:p>
      <w:pPr>
        <w:numPr>
          <w:ilvl w:val="0"/>
          <w:numId w:val="1251"/>
        </w:numPr>
        <w:pStyle w:val="Compact"/>
      </w:pPr>
      <w:r>
        <w:rPr>
          <w:bCs/>
          <w:b/>
        </w:rPr>
        <w:t xml:space="preserve">Principio d’azione:</w:t>
      </w:r>
      <w:r>
        <w:t xml:space="preserve"> </w:t>
      </w:r>
      <w:r>
        <w:t xml:space="preserve">agonista dei recettori delle melanocortine, soprattutto di MC4R nel cervello. Non agisce sui vasi sanguigni degli organi genitali come il sildenafil, ma sulle regioni cerebrali coinvolte nel desiderio sessuale.</w:t>
      </w:r>
    </w:p>
    <w:p>
      <w:pPr>
        <w:numPr>
          <w:ilvl w:val="0"/>
          <w:numId w:val="1251"/>
        </w:numPr>
        <w:pStyle w:val="Compact"/>
      </w:pPr>
      <w:r>
        <w:rPr>
          <w:bCs/>
          <w:b/>
        </w:rPr>
        <w:t xml:space="preserve">Forma farmaceutica:</w:t>
      </w:r>
      <w:r>
        <w:t xml:space="preserve"> </w:t>
      </w:r>
      <w:r>
        <w:t xml:space="preserve">siringa preriempita (autoiniettore) per uso sottocutaneo al bisogno, circa 45 minuti prima dell’attività sessuale. I primi studi usavano uno spray nasale.</w:t>
      </w:r>
    </w:p>
    <w:p>
      <w:pPr>
        <w:numPr>
          <w:ilvl w:val="0"/>
          <w:numId w:val="1251"/>
        </w:numPr>
        <w:pStyle w:val="Compact"/>
      </w:pPr>
      <w:r>
        <w:rPr>
          <w:bCs/>
          <w:b/>
        </w:rPr>
        <w:t xml:space="preserve">Approvazione UE:</w:t>
      </w:r>
      <w:r>
        <w:t xml:space="preserve"> </w:t>
      </w:r>
      <w:r>
        <w:t xml:space="preserve">no.</w:t>
      </w:r>
    </w:p>
    <w:p>
      <w:pPr>
        <w:numPr>
          <w:ilvl w:val="0"/>
          <w:numId w:val="1251"/>
        </w:numPr>
        <w:pStyle w:val="Compact"/>
      </w:pPr>
      <w:r>
        <w:rPr>
          <w:bCs/>
          <w:b/>
        </w:rPr>
        <w:t xml:space="preserve">Approvazione USA:</w:t>
      </w:r>
      <w:r>
        <w:t xml:space="preserve"> </w:t>
      </w:r>
      <w:r>
        <w:t xml:space="preserve">sì, dal 2019 come Vyleesi per le donne in premenopausa con disturbo acquisito e generalizzato del desiderio sessuale (disturbo da desiderio sessuale ipoattivo, HSDD)</w:t>
      </w:r>
      <w:r>
        <w:rPr>
          <w:rStyle w:val="FootnoteReference"/>
        </w:rPr>
        <w:footnoteReference w:id="1966"/>
      </w:r>
      <w:r>
        <w:t xml:space="preserve">. Uso solo su prescrizione medica e secondo il riassunto delle caratteristiche del prodotto.</w:t>
      </w:r>
    </w:p>
    <w:p>
      <w:pPr>
        <w:numPr>
          <w:ilvl w:val="0"/>
          <w:numId w:val="1251"/>
        </w:numPr>
        <w:pStyle w:val="Compact"/>
      </w:pPr>
      <w:r>
        <w:rPr>
          <w:bCs/>
          <w:b/>
        </w:rPr>
        <w:t xml:space="preserve">WADA:</w:t>
      </w:r>
      <w:r>
        <w:t xml:space="preserve"> </w:t>
      </w:r>
      <w:r>
        <w:t xml:space="preserve">non elencato per nome.</w:t>
      </w:r>
    </w:p>
    <w:p>
      <w:pPr>
        <w:numPr>
          <w:ilvl w:val="0"/>
          <w:numId w:val="1251"/>
        </w:numPr>
        <w:pStyle w:val="Compact"/>
      </w:pPr>
      <w:r>
        <w:rPr>
          <w:bCs/>
          <w:b/>
        </w:rPr>
        <w:t xml:space="preserve">Livello di evidenza:</w:t>
      </w:r>
      <w:r>
        <w:t xml:space="preserve"> </w:t>
      </w:r>
      <w:r>
        <w:rPr>
          <w:bCs/>
          <w:b/>
        </w:rPr>
        <w:t xml:space="preserve">A</w:t>
      </w:r>
      <w:r>
        <w:t xml:space="preserve"> </w:t>
      </w:r>
      <w:r>
        <w:t xml:space="preserve">– due grandi studi randomizzati di fase 3 con complessivamente oltre 1.200 partecipanti, approvazione negli Stati Uniti. Il beneficio clinico è però piccolo e controverso (vedi sotto).</w:t>
      </w:r>
    </w:p>
    <w:bookmarkEnd w:id="1967"/>
    <w:bookmarkStart w:id="1972" w:name="come-dovrebbe-agire-46"/>
    <w:p>
      <w:pPr>
        <w:pStyle w:val="Heading3"/>
      </w:pPr>
      <w:r>
        <w:t xml:space="preserve">Come dovrebbe agire</w:t>
      </w:r>
    </w:p>
    <w:p>
      <w:pPr>
        <w:pStyle w:val="FirstParagraph"/>
      </w:pPr>
      <w:r>
        <w:t xml:space="preserve">Il sistema delle melanocortine è una rete di messaggeri e cinque recettori (da MC1R a MC5R), descritta più in dettaglio nell’introduzione a questa parte. Per il bremelanotide è importante soprattutto il recettore MC4R. Si trova, tra l’altro, nell’ipotalamo, una centrale di controllo del diencefalo, dove influenza appetito, dispendio energetico e – come si è scoperto per caso – l’eccitazione sessuale.</w:t>
      </w:r>
    </w:p>
    <w:p>
      <w:pPr>
        <w:pStyle w:val="BodyText"/>
      </w:pPr>
      <w:r>
        <w:t xml:space="preserve">La scoperta fu un sottoprodotto della ricerca sull’abbronzatura: uomini che negli anni Novanta ricevevano il Melanotan II per abbronzare la pelle riferirono erezioni spontanee</w:t>
      </w:r>
      <w:r>
        <w:rPr>
          <w:rStyle w:val="FootnoteReference"/>
        </w:rPr>
        <w:footnoteReference w:id="1968"/>
      </w:r>
      <w:r>
        <w:t xml:space="preserve">. Il bremelanotide è una forma leggermente modificata di questa molecola. Attiva diversi recettori delle melanocortine, ma alle dosi impiegate il più importante è MC4R</w:t>
      </w:r>
      <w:r>
        <w:rPr>
          <w:rStyle w:val="FootnoteReference"/>
        </w:rPr>
        <w:footnoteReference w:id="1969"/>
      </w:r>
      <w:r>
        <w:t xml:space="preserve">. Non è però del tutto privo di effetti sulla pelle: questo spiega le macchie pigmentate osservate.</w:t>
      </w:r>
    </w:p>
    <w:p>
      <w:pPr>
        <w:pStyle w:val="BodyText"/>
      </w:pPr>
      <w:r>
        <w:t xml:space="preserve">Come esattamente l’attivazione di MC4R influenzi il desiderio sessuale è compreso solo in parte. Gli esperimenti sugli animali indicano che il bremelanotide, in una determinata regione dell’ipotalamo (l’area preottica mediale), stimola il rilascio del messaggero dopamina, che favorisce il desiderio sessuale</w:t>
      </w:r>
      <w:r>
        <w:rPr>
          <w:rStyle w:val="FootnoteReference"/>
        </w:rPr>
        <w:footnoteReference w:id="1970"/>
      </w:r>
      <w:r>
        <w:t xml:space="preserve">. Uno studio britannico con risonanza magnetica funzionale (fMRI) su 31 donne con HSDD ha rilevato, sotto un agonista di MC4R, un’attività modificata nelle regioni cerebrali che elaborano gli stimoli erotici</w:t>
      </w:r>
      <w:r>
        <w:rPr>
          <w:rStyle w:val="FootnoteReference"/>
        </w:rPr>
        <w:footnoteReference w:id="1971"/>
      </w:r>
      <w:r>
        <w:t xml:space="preserve">. Gli autori interpretano questo dato come una ridotta auto-osservazione e una maggiore ricettività agli stimoli erotici: un’interpretazione, non una spiegazione dimostrata.</w:t>
      </w:r>
    </w:p>
    <w:p>
      <w:pPr>
        <w:pStyle w:val="BodyText"/>
      </w:pPr>
      <w:r>
        <w:t xml:space="preserve">Un punto importante per la comprensione: l’approvazione non riguarda «più desiderio» nelle persone sane, ma una diagnosi definita. HSDD significa un desiderio sessuale persistentemente scarso, che causa sofferenza e non è spiegato da un’altra malattia, da farmaci o da problemi di coppia.</w:t>
      </w:r>
    </w:p>
    <w:bookmarkEnd w:id="1972"/>
    <w:bookmarkStart w:id="1998" w:name="studi-sulluomo-46"/>
    <w:p>
      <w:pPr>
        <w:pStyle w:val="Heading3"/>
      </w:pPr>
      <w:r>
        <w:t xml:space="preserve">Studi sull’uomo</w:t>
      </w:r>
    </w:p>
    <w:p>
      <w:pPr>
        <w:pStyle w:val="FirstParagraph"/>
      </w:pPr>
      <w:r>
        <w:rPr>
          <w:bCs/>
          <w:b/>
        </w:rPr>
        <w:t xml:space="preserve">Entità degli studi disponibili (ricerca di ottobre 2026):</w:t>
      </w:r>
      <w:r>
        <w:t xml:space="preserve"> </w:t>
      </w:r>
      <w:r>
        <w:t xml:space="preserve">la ricerca automatizzata di questo libro ha trovato</w:t>
      </w:r>
      <w:r>
        <w:t xml:space="preserve"> </w:t>
      </w:r>
      <w:r>
        <w:rPr>
          <w:bCs/>
          <w:b/>
        </w:rPr>
        <w:t xml:space="preserve">16</w:t>
      </w:r>
      <w:r>
        <w:t xml:space="preserve"> </w:t>
      </w:r>
      <w:r>
        <w:t xml:space="preserve">studi sull’uomo in PubMed (</w:t>
      </w:r>
      <w:r>
        <w:rPr>
          <w:rStyle w:val="VerbatimChar"/>
        </w:rPr>
        <w:t xml:space="preserve">humanstudien_alle</w:t>
      </w:r>
      <w:r>
        <w:t xml:space="preserve">) e</w:t>
      </w:r>
      <w:r>
        <w:t xml:space="preserve"> </w:t>
      </w:r>
      <w:r>
        <w:rPr>
          <w:bCs/>
          <w:b/>
        </w:rPr>
        <w:t xml:space="preserve">10</w:t>
      </w:r>
      <w:r>
        <w:t xml:space="preserve"> </w:t>
      </w:r>
      <w:r>
        <w:t xml:space="preserve">voci su ClinicalTrials.gov. A questi si aggiungono diverse revisioni e meta-analisi. Per la valutazione contano soprattutto i due studi registrativi RECONNECT, la loro estensione e l’analisi di sicurezza dell’intero programma di sviluppo.</w:t>
      </w:r>
    </w:p>
    <w:bookmarkStart w:id="1978" w:name="primi-studi-negli-uomini"/>
    <w:p>
      <w:pPr>
        <w:pStyle w:val="Heading4"/>
      </w:pPr>
      <w:r>
        <w:t xml:space="preserve">Primi studi negli uomini</w:t>
      </w:r>
    </w:p>
    <w:p>
      <w:pPr>
        <w:pStyle w:val="FirstParagraph"/>
      </w:pPr>
      <w:r>
        <w:t xml:space="preserve">Il bremelanotide fu sviluppato inizialmente come farmaco contro i disturbi dell’erezione. In studi di fase 1 con spray nasale</w:t>
      </w:r>
      <w:r>
        <w:rPr>
          <w:rStyle w:val="FootnoteReference"/>
        </w:rPr>
        <w:footnoteReference w:id="1973"/>
      </w:r>
      <w:r>
        <w:t xml:space="preserve"> </w:t>
      </w:r>
      <w:r>
        <w:t xml:space="preserve">e iniezione</w:t>
      </w:r>
      <w:r>
        <w:rPr>
          <w:rStyle w:val="FootnoteReference"/>
        </w:rPr>
        <w:footnoteReference w:id="1974"/>
      </w:r>
      <w:r>
        <w:t xml:space="preserve"> </w:t>
      </w:r>
      <w:r>
        <w:t xml:space="preserve">provocò erezioni misurabili in uomini sani e in uomini con disfunzione erettile, anche in quelli che rispondevano in modo insufficiente al Viagra. In un piccolo studio con 19 pazienti una dose bassa di bremelanotide rafforzò l’effetto di una dose bassa di sildenafil</w:t>
      </w:r>
      <w:r>
        <w:rPr>
          <w:rStyle w:val="FootnoteReference"/>
        </w:rPr>
        <w:footnoteReference w:id="1975"/>
      </w:r>
      <w:r>
        <w:t xml:space="preserve">.</w:t>
      </w:r>
    </w:p>
    <w:p>
      <w:pPr>
        <w:pStyle w:val="BodyText"/>
      </w:pPr>
      <w:r>
        <w:t xml:space="preserve">Uno studio con 342 uomini nei quali il sildenafil non aveva funzionato riportò un esito positivo nel 33,5% con lo spray nasale di bremelanotide contro l’8,5% con placebo</w:t>
      </w:r>
      <w:r>
        <w:rPr>
          <w:rStyle w:val="FootnoteReference"/>
        </w:rPr>
        <w:footnoteReference w:id="1976"/>
      </w:r>
      <w:r>
        <w:t xml:space="preserve">. Questo lavoro va letto con cautela: un secondo studio sul bremelanotide dello stesso primo autore, condotto su donne, è stato ritirato dalla rivista scientifica perché metodi e risultati non erano verificabili</w:t>
      </w:r>
      <w:r>
        <w:rPr>
          <w:rStyle w:val="FootnoteReference"/>
        </w:rPr>
        <w:footnoteReference w:id="1977"/>
      </w:r>
      <w:r>
        <w:t xml:space="preserve">; anche altri lavori dell’autore sono stati ritirati.</w:t>
      </w:r>
    </w:p>
    <w:p>
      <w:pPr>
        <w:pStyle w:val="BodyText"/>
      </w:pPr>
      <w:r>
        <w:t xml:space="preserve">Lo sviluppo dello spray nasale fu interrotto dopo che negli studi erano emersi aumenti della pressione arteriosa. L’azienda passò all’iniezione e alle donne come gruppo di destinatari.</w:t>
      </w:r>
    </w:p>
    <w:bookmarkEnd w:id="1978"/>
    <w:bookmarkStart w:id="1982" w:name="ricerca-della-dose-nelle-donne"/>
    <w:p>
      <w:pPr>
        <w:pStyle w:val="Heading4"/>
      </w:pPr>
      <w:r>
        <w:t xml:space="preserve">Ricerca della dose nelle donne</w:t>
      </w:r>
    </w:p>
    <w:p>
      <w:pPr>
        <w:pStyle w:val="FirstParagraph"/>
      </w:pPr>
      <w:r>
        <w:t xml:space="preserve">Un primo piccolo studio di laboratorio con 18 donne con disturbo dell’eccitazione mostrò, dopo una singola somministrazione, un desiderio da moderato a elevato più frequente che dopo placebo, ma nessuna variazione misurabile dell’irrorazione sanguigna della vagina durante la visione di filmati erotici</w:t>
      </w:r>
      <w:r>
        <w:rPr>
          <w:rStyle w:val="FootnoteReference"/>
        </w:rPr>
        <w:footnoteReference w:id="1979"/>
      </w:r>
      <w:r>
        <w:t xml:space="preserve">.</w:t>
      </w:r>
    </w:p>
    <w:p>
      <w:pPr>
        <w:pStyle w:val="BodyText"/>
      </w:pPr>
      <w:r>
        <w:t xml:space="preserve">Il decisivo studio di fase 2b</w:t>
      </w:r>
      <w:r>
        <w:rPr>
          <w:rStyle w:val="FootnoteReference"/>
        </w:rPr>
        <w:footnoteReference w:id="1980"/>
      </w:r>
      <w:r>
        <w:t xml:space="preserve"> </w:t>
      </w:r>
      <w:r>
        <w:t xml:space="preserve">ha confrontato tre dosaggi con placebo per dodici settimane in donne in premenopausa. Sono state analizzate 327 partecipanti. Considerando insieme le due dosi più alte, il numero di «eventi sessuali soddisfacenti» è aumentato di 0,7 al mese contro 0,2 con placebo. Nel questionario FSFI (Female Sexual Function Index, un punteggio della funzione sessuale) l’aumento è stato di 3,6 contro 1,9 punti. Un’analisi successiva ha stabilito da quale variazione un effetto sia da considerare clinicamente rilevante; queste soglie sono poi state adottate per gli studi di fase 3</w:t>
      </w:r>
      <w:r>
        <w:rPr>
          <w:rStyle w:val="FootnoteReference"/>
        </w:rPr>
        <w:footnoteReference w:id="1981"/>
      </w:r>
      <w:r>
        <w:t xml:space="preserve">.</w:t>
      </w:r>
    </w:p>
    <w:bookmarkEnd w:id="1982"/>
    <w:bookmarkStart w:id="1986" w:name="gli-studi-registrativi-reconnect"/>
    <w:p>
      <w:pPr>
        <w:pStyle w:val="Heading4"/>
      </w:pPr>
      <w:r>
        <w:t xml:space="preserve">Gli studi registrativi RECONNECT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RECONNECT 301 e 302 (Kingsberg 2019), PMID 31599840</w:t>
            </w:r>
          </w:p>
        </w:tc>
        <w:tc>
          <w:tcPr/>
          <w:p>
            <w:pPr>
              <w:pStyle w:val="Compact"/>
              <w:jc w:val="left"/>
            </w:pPr>
            <w:r>
              <w:t xml:space="preserve">1.267 donne in premenopausa con HSDD, due RCT contro placebo, uso al bisogno</w:t>
            </w:r>
          </w:p>
        </w:tc>
        <w:tc>
          <w:tcPr/>
          <w:p>
            <w:pPr>
              <w:pStyle w:val="Compact"/>
              <w:jc w:val="left"/>
            </w:pPr>
            <w:r>
              <w:t xml:space="preserve">24 settimane</w:t>
            </w:r>
          </w:p>
        </w:tc>
        <w:tc>
          <w:tcPr/>
          <w:p>
            <w:pPr>
              <w:pStyle w:val="Compact"/>
              <w:jc w:val="left"/>
            </w:pPr>
            <w:r>
              <w:t xml:space="preserve">Desiderio (FSFI-Desire) +0,35 punti in più rispetto al placebo; sofferenza ridotta di −0,33 punti in più</w:t>
            </w:r>
          </w:p>
        </w:tc>
      </w:tr>
      <w:tr>
        <w:tc>
          <w:tcPr/>
          <w:p>
            <w:pPr>
              <w:pStyle w:val="Compact"/>
              <w:jc w:val="left"/>
            </w:pPr>
            <w:r>
              <w:t xml:space="preserve">Estensione in aperto (Simon 2019), PMID 31599847</w:t>
            </w:r>
          </w:p>
        </w:tc>
        <w:tc>
          <w:tcPr/>
          <w:p>
            <w:pPr>
              <w:pStyle w:val="Compact"/>
              <w:jc w:val="left"/>
            </w:pPr>
            <w:r>
              <w:t xml:space="preserve">684 donne da entrambi gli studi, tutte con bremelanotide</w:t>
            </w:r>
          </w:p>
        </w:tc>
        <w:tc>
          <w:tcPr/>
          <w:p>
            <w:pPr>
              <w:pStyle w:val="Compact"/>
              <w:jc w:val="left"/>
            </w:pPr>
            <w:r>
              <w:t xml:space="preserve">52 settimane</w:t>
            </w:r>
          </w:p>
        </w:tc>
        <w:tc>
          <w:tcPr/>
          <w:p>
            <w:pPr>
              <w:pStyle w:val="Compact"/>
              <w:jc w:val="left"/>
            </w:pPr>
            <w:r>
              <w:t xml:space="preserve">272 hanno completato l’estensione; nessun nuovo segnale di sicurezza</w:t>
            </w:r>
          </w:p>
        </w:tc>
      </w:tr>
      <w:tr>
        <w:tc>
          <w:tcPr/>
          <w:p>
            <w:pPr>
              <w:pStyle w:val="Compact"/>
              <w:jc w:val="left"/>
            </w:pPr>
            <w:r>
              <w:t xml:space="preserve">Analisi per sottogruppi (Simon 2022), PMID 35230162</w:t>
            </w:r>
          </w:p>
        </w:tc>
        <w:tc>
          <w:tcPr/>
          <w:p>
            <w:pPr>
              <w:pStyle w:val="Compact"/>
              <w:jc w:val="left"/>
            </w:pPr>
            <w:r>
              <w:t xml:space="preserve">1.202 donne da entrambi gli studi</w:t>
            </w:r>
          </w:p>
        </w:tc>
        <w:tc>
          <w:tcPr/>
          <w:p>
            <w:pPr>
              <w:pStyle w:val="Compact"/>
              <w:jc w:val="left"/>
            </w:pPr>
            <w:r>
              <w:t xml:space="preserve">24 settimane</w:t>
            </w:r>
          </w:p>
        </w:tc>
        <w:tc>
          <w:tcPr/>
          <w:p>
            <w:pPr>
              <w:pStyle w:val="Compact"/>
              <w:jc w:val="left"/>
            </w:pPr>
            <w:r>
              <w:t xml:space="preserve">Effetto simile in quasi tutti i sottogruppi per età, peso e stato ormonale</w:t>
            </w:r>
          </w:p>
        </w:tc>
      </w:tr>
      <w:tr>
        <w:tc>
          <w:tcPr/>
          <w:p>
            <w:pPr>
              <w:pStyle w:val="Compact"/>
              <w:jc w:val="left"/>
            </w:pPr>
            <w:r>
              <w:t xml:space="preserve">Analisi di sicurezza (Clayton 2022), PMID 35147466</w:t>
            </w:r>
          </w:p>
        </w:tc>
        <w:tc>
          <w:tcPr/>
          <w:p>
            <w:pPr>
              <w:pStyle w:val="Compact"/>
              <w:jc w:val="left"/>
            </w:pPr>
            <w:r>
              <w:t xml:space="preserve">circa 3.500 persone in 43 studi</w:t>
            </w:r>
          </w:p>
        </w:tc>
        <w:tc>
          <w:tcPr/>
          <w:p>
            <w:pPr>
              <w:pStyle w:val="Compact"/>
              <w:jc w:val="left"/>
            </w:pPr>
            <w:r>
              <w:t xml:space="preserve">fino a 18 mesi</w:t>
            </w:r>
          </w:p>
        </w:tc>
        <w:tc>
          <w:tcPr/>
          <w:p>
            <w:pPr>
              <w:pStyle w:val="Compact"/>
              <w:jc w:val="left"/>
            </w:pPr>
            <w:r>
              <w:t xml:space="preserve">Nausea 40,0% vs. 1,3%, vampate 20,3% vs. 1,3%</w:t>
            </w:r>
          </w:p>
        </w:tc>
      </w:tr>
    </w:tbl>
    <w:p>
      <w:pPr>
        <w:pStyle w:val="BodyText"/>
      </w:pPr>
      <w:r>
        <w:t xml:space="preserve">I due studi identici 301 e 302</w:t>
      </w:r>
      <w:r>
        <w:rPr>
          <w:rStyle w:val="FootnoteReference"/>
        </w:rPr>
        <w:footnoteReference w:id="1983"/>
      </w:r>
      <w:r>
        <w:t xml:space="preserve"> </w:t>
      </w:r>
      <w:r>
        <w:t xml:space="preserve">si sono svolti nel 2015 e nel 2016, prevalentemente negli Stati Uniti. Le partecipanti si iniettavano al bisogno, prima dell’attività sessuale, 1,75 mg di bremelanotide o placebo con un autoiniettore. Sono stati misurati due endpoint primari: il desiderio sessuale (dominio Desire del FSFI, scala da 1,2 a 6) e la sofferenza dovuta allo scarso desiderio (una singola domanda del questionario FSDS-DAO, scala da 0 a 4).</w:t>
      </w:r>
    </w:p>
    <w:p>
      <w:pPr>
        <w:pStyle w:val="BodyText"/>
      </w:pPr>
      <w:r>
        <w:t xml:space="preserve">Entrambi gli studi hanno raggiunto i loro obiettivi primari. Nell’analisi congiunta il desiderio è aumentato di 0,35 punti in più rispetto al placebo e la sofferenza è diminuita di 0,33 punti in più</w:t>
      </w:r>
      <w:r>
        <w:rPr>
          <w:rStyle w:val="FootnoteReference"/>
        </w:rPr>
        <w:footnoteReference w:id="1984"/>
      </w:r>
      <w:r>
        <w:t xml:space="preserve">. Questi numeri sono statisticamente chiari, ma piccoli: su una scala fino a 6, un terzo di punto rappresenta una differenza modesta. Anche con il placebo i valori sono migliorati nettamente: un andamento ben noto in medicina sessuale.</w:t>
      </w:r>
    </w:p>
    <w:p>
      <w:pPr>
        <w:pStyle w:val="BodyText"/>
      </w:pPr>
      <w:r>
        <w:t xml:space="preserve">In interviste di uscita con 242 partecipanti che non sapevano ancora che cosa avessero ricevuto, le donne trattate con bremelanotide descrivevano più spesso eccitazione fisica e maggiore desiderio; con il placebo citavano piuttosto una migliore comunicazione nella coppia</w:t>
      </w:r>
      <w:r>
        <w:rPr>
          <w:rStyle w:val="FootnoteReference"/>
        </w:rPr>
        <w:footnoteReference w:id="1985"/>
      </w:r>
      <w:r>
        <w:t xml:space="preserve">.</w:t>
      </w:r>
    </w:p>
    <w:bookmarkEnd w:id="1986"/>
    <w:bookmarkStart w:id="1989" w:name="le-critiche-agli-studi-registrativi"/>
    <w:p>
      <w:pPr>
        <w:pStyle w:val="Heading4"/>
      </w:pPr>
      <w:r>
        <w:t xml:space="preserve">Le critiche agli studi registrativi</w:t>
      </w:r>
    </w:p>
    <w:p>
      <w:pPr>
        <w:pStyle w:val="FirstParagraph"/>
      </w:pPr>
      <w:r>
        <w:t xml:space="preserve">Una rianalisi indipendente basata sulla documentazione presentata all’autorità statunitense per i farmaci FDA è giunta a un giudizio complessivo diverso</w:t>
      </w:r>
      <w:r>
        <w:rPr>
          <w:rStyle w:val="FootnoteReference"/>
        </w:rPr>
        <w:footnoteReference w:id="1987"/>
      </w:r>
      <w:r>
        <w:t xml:space="preserve">. L’autore conferma gli effetti piccoli, ma critica il fatto che circa il 73% dei risultati previsti nel protocollo di studio non sia stato pubblicato. Due dati mancavano nella pubblicazione principale:</w:t>
      </w:r>
    </w:p>
    <w:p>
      <w:pPr>
        <w:numPr>
          <w:ilvl w:val="0"/>
          <w:numId w:val="1252"/>
        </w:numPr>
        <w:pStyle w:val="Compact"/>
      </w:pPr>
      <w:r>
        <w:t xml:space="preserve">Le interruzioni dovute agli effetti collaterali erano nettamente più frequenti con il bremelanotide (odds ratio 11,98). In termini di calcolo, circa una donna trattata su sei ha interrotto a causa di effetti collaterali, cosa che con il placebo non avrebbe fatto.</w:t>
      </w:r>
    </w:p>
    <w:p>
      <w:pPr>
        <w:numPr>
          <w:ilvl w:val="0"/>
          <w:numId w:val="1252"/>
        </w:numPr>
        <w:pStyle w:val="Compact"/>
      </w:pPr>
      <w:r>
        <w:t xml:space="preserve">Chi completava lo studio e poi passava all’estensione in aperto proveniva più spesso dal gruppo placebo. Anche l’analisi di sicurezza del produttore riporta queste cifre: il 70% del gruppo bremelanotide contro l’87% del gruppo placebo è passato all’estensione</w:t>
      </w:r>
      <w:r>
        <w:rPr>
          <w:rStyle w:val="FootnoteReference"/>
        </w:rPr>
        <w:footnoteReference w:id="1988"/>
      </w:r>
      <w:r>
        <w:t xml:space="preserve">.</w:t>
      </w:r>
    </w:p>
    <w:p>
      <w:pPr>
        <w:pStyle w:val="FirstParagraph"/>
      </w:pPr>
      <w:r>
        <w:t xml:space="preserve">Spielmans conclude che il farmaco non è utile per la maggior parte delle donne. È un’opinione isolata e netta, che però si basa su dati pubblicati anche dal produttore.</w:t>
      </w:r>
    </w:p>
    <w:bookmarkEnd w:id="1989"/>
    <w:bookmarkStart w:id="1993" w:name="meta-analisi-1"/>
    <w:p>
      <w:pPr>
        <w:pStyle w:val="Heading4"/>
      </w:pPr>
      <w:r>
        <w:t xml:space="preserve">Meta-analisi</w:t>
      </w:r>
    </w:p>
    <w:p>
      <w:pPr>
        <w:pStyle w:val="FirstParagraph"/>
      </w:pPr>
      <w:r>
        <w:t xml:space="preserve">Una meta-analisi sui farmaci contro le disfunzioni sessuali femminili (tra cui bremelanotide, flibanserina e ossitocina intranasale) ha rilevato che circa il 67,7% del miglioramento nei gruppi di trattamento si verificava anche con il placebo</w:t>
      </w:r>
      <w:r>
        <w:rPr>
          <w:rStyle w:val="FootnoteReference"/>
        </w:rPr>
        <w:footnoteReference w:id="1990"/>
      </w:r>
      <w:r>
        <w:t xml:space="preserve">. Una meta-analisi più recente conferma per il bremelanotide piccoli miglioramenti del desiderio e dell’eccitazione e una riduzione della sofferenza, senza confronto con la psicoterapia</w:t>
      </w:r>
      <w:r>
        <w:rPr>
          <w:rStyle w:val="FootnoteReference"/>
        </w:rPr>
        <w:footnoteReference w:id="1991"/>
      </w:r>
      <w:r>
        <w:t xml:space="preserve">. Una rassegna degli studi conclusi registrati su ClinicalTrials.gov lamenta endpoint disomogenei e resoconti incompleti</w:t>
      </w:r>
      <w:r>
        <w:rPr>
          <w:rStyle w:val="FootnoteReference"/>
        </w:rPr>
        <w:footnoteReference w:id="1992"/>
      </w:r>
      <w:r>
        <w:t xml:space="preserve">.</w:t>
      </w:r>
    </w:p>
    <w:bookmarkEnd w:id="1993"/>
    <w:bookmarkStart w:id="1997" w:name="altre-questioni"/>
    <w:p>
      <w:pPr>
        <w:pStyle w:val="Heading4"/>
      </w:pPr>
      <w:r>
        <w:t xml:space="preserve">Altre questioni</w:t>
      </w:r>
    </w:p>
    <w:p>
      <w:pPr>
        <w:numPr>
          <w:ilvl w:val="0"/>
          <w:numId w:val="1253"/>
        </w:numPr>
        <w:pStyle w:val="Compact"/>
      </w:pPr>
      <w:r>
        <w:rPr>
          <w:bCs/>
          <w:b/>
        </w:rPr>
        <w:t xml:space="preserve">Alcol:</w:t>
      </w:r>
      <w:r>
        <w:t xml:space="preserve"> </w:t>
      </w:r>
      <w:r>
        <w:t xml:space="preserve">in uno studio di fase 1 con 24 persone sane non si sono verificate interazioni rilevanti con il consumo contemporaneo di alcol</w:t>
      </w:r>
      <w:r>
        <w:rPr>
          <w:rStyle w:val="FootnoteReference"/>
        </w:rPr>
        <w:footnoteReference w:id="1994"/>
      </w:r>
      <w:r>
        <w:t xml:space="preserve">.</w:t>
      </w:r>
    </w:p>
    <w:p>
      <w:pPr>
        <w:numPr>
          <w:ilvl w:val="0"/>
          <w:numId w:val="1253"/>
        </w:numPr>
        <w:pStyle w:val="Compact"/>
      </w:pPr>
      <w:r>
        <w:rPr>
          <w:bCs/>
          <w:b/>
        </w:rPr>
        <w:t xml:space="preserve">Peso:</w:t>
      </w:r>
      <w:r>
        <w:t xml:space="preserve"> </w:t>
      </w:r>
      <w:r>
        <w:t xml:space="preserve">poiché MC4R regola anche l’appetito, il bremelanotide è stato testato in donne con obesità. In due piccoli studi di fase 1 l’apporto calorico è diminuito di circa 400 kcal al giorno; dopo 16 giorni il peso era inferiore di 1,3 kg rispetto al gruppo placebo</w:t>
      </w:r>
      <w:r>
        <w:rPr>
          <w:rStyle w:val="FootnoteReference"/>
        </w:rPr>
        <w:footnoteReference w:id="1995"/>
      </w:r>
      <w:r>
        <w:t xml:space="preserve">. Si tratta di dati a breve termine, che non dicono nulla su un trattamento prolungato.</w:t>
      </w:r>
    </w:p>
    <w:p>
      <w:pPr>
        <w:numPr>
          <w:ilvl w:val="0"/>
          <w:numId w:val="1253"/>
        </w:numPr>
        <w:pStyle w:val="Compact"/>
      </w:pPr>
      <w:r>
        <w:rPr>
          <w:bCs/>
          <w:b/>
        </w:rPr>
        <w:t xml:space="preserve">Cervello:</w:t>
      </w:r>
      <w:r>
        <w:t xml:space="preserve"> </w:t>
      </w:r>
      <w:r>
        <w:t xml:space="preserve">lo studio fMRI già citato</w:t>
      </w:r>
      <w:r>
        <w:rPr>
          <w:rStyle w:val="FootnoteReference"/>
        </w:rPr>
        <w:footnoteReference w:id="1996"/>
      </w:r>
      <w:r>
        <w:t xml:space="preserve"> </w:t>
      </w:r>
      <w:r>
        <w:t xml:space="preserve">è uno dei pochi lavori non condotti dal produttore.</w:t>
      </w:r>
    </w:p>
    <w:bookmarkEnd w:id="1997"/>
    <w:bookmarkEnd w:id="1998"/>
    <w:bookmarkStart w:id="2002" w:name="studi-su-animali-e-in-laboratorio-46"/>
    <w:p>
      <w:pPr>
        <w:pStyle w:val="Heading3"/>
      </w:pPr>
      <w:r>
        <w:t xml:space="preserve">Studi su animali e in laboratorio</w:t>
      </w:r>
    </w:p>
    <w:p>
      <w:pPr>
        <w:pStyle w:val="FirstParagraph"/>
      </w:pPr>
      <w:r>
        <w:t xml:space="preserve">La ricerca sugli animali sul bremelanotide proviene prevalentemente dai ratti. Una rassegna la riassume così: il bremelanotide attiva MC4R sulle cellule nervose dell’ipotalamo, che di conseguenza rilasciano più dopamina; nei ratti femmina sono aumentati i comportamenti con cui le femmine mostrano interesse sessuale</w:t>
      </w:r>
      <w:r>
        <w:rPr>
          <w:rStyle w:val="FootnoteReference"/>
        </w:rPr>
        <w:footnoteReference w:id="1999"/>
      </w:r>
      <w:r>
        <w:t xml:space="preserve">. La rassegna è firmata da ricercatori legati allo sviluppo del farmaco.</w:t>
      </w:r>
    </w:p>
    <w:p>
      <w:pPr>
        <w:pStyle w:val="BodyText"/>
      </w:pPr>
      <w:r>
        <w:t xml:space="preserve">Uno studio indipendente su criceti femmina è giunto a un risultato deludente: il bremelanotide non ha modificato i recettori del sistema di ricompensa né ha rafforzato il «valore di ricompensa» degli incontri sessuali in un test comportamentale</w:t>
      </w:r>
      <w:r>
        <w:rPr>
          <w:rStyle w:val="FootnoteReference"/>
        </w:rPr>
        <w:footnoteReference w:id="2000"/>
      </w:r>
      <w:r>
        <w:t xml:space="preserve">. Gli autori concludono che il farmaco non agisce attraverso il classico circuito della ricompensa. Come agisca esattamente resta quindi una questione aperta.</w:t>
      </w:r>
    </w:p>
    <w:p>
      <w:pPr>
        <w:pStyle w:val="BodyText"/>
      </w:pPr>
      <w:r>
        <w:t xml:space="preserve">In colture cellulari il bremelanotide ha inibito la crescita di cellule di glioblastoma, un tipo di tumore cerebrale</w:t>
      </w:r>
      <w:r>
        <w:rPr>
          <w:rStyle w:val="FootnoteReference"/>
        </w:rPr>
        <w:footnoteReference w:id="2001"/>
      </w:r>
      <w:r>
        <w:t xml:space="preserve">. È un dato puramente di laboratorio, senza rilevanza clinica.</w:t>
      </w:r>
    </w:p>
    <w:bookmarkEnd w:id="2002"/>
    <w:bookmarkStart w:id="2013" w:name="rischi-ed-effetti-collaterali-46"/>
    <w:p>
      <w:pPr>
        <w:pStyle w:val="Heading3"/>
      </w:pPr>
      <w:r>
        <w:t xml:space="preserve">Rischi ed effetti collaterali</w:t>
      </w:r>
    </w:p>
    <w:bookmarkStart w:id="2008" w:name="dimostrati"/>
    <w:p>
      <w:pPr>
        <w:pStyle w:val="Heading4"/>
      </w:pPr>
      <w:r>
        <w:t xml:space="preserve">Dimostrati</w:t>
      </w:r>
    </w:p>
    <w:p>
      <w:pPr>
        <w:numPr>
          <w:ilvl w:val="0"/>
          <w:numId w:val="1254"/>
        </w:numPr>
        <w:pStyle w:val="Compact"/>
      </w:pPr>
      <w:r>
        <w:rPr>
          <w:bCs/>
          <w:b/>
        </w:rPr>
        <w:t xml:space="preserve">Nausea:</w:t>
      </w:r>
      <w:r>
        <w:t xml:space="preserve"> </w:t>
      </w:r>
      <w:r>
        <w:t xml:space="preserve">l’effetto collaterale più frequente. Negli studi di fase 3 ha riguardato il 40,0% contro l’1,3% con placebo ed è stata il motivo di interruzione più frequente</w:t>
      </w:r>
      <w:r>
        <w:rPr>
          <w:rStyle w:val="FootnoteReference"/>
        </w:rPr>
        <w:footnoteReference w:id="2003"/>
      </w:r>
      <w:r>
        <w:t xml:space="preserve">. Uno studio dedicato con 228 donne sane ha verificato se l’antinausea ondansetron aiuti in via preventiva</w:t>
      </w:r>
      <w:r>
        <w:rPr>
          <w:rStyle w:val="FootnoteReference"/>
        </w:rPr>
        <w:footnoteReference w:id="2004"/>
      </w:r>
      <w:r>
        <w:t xml:space="preserve">.</w:t>
      </w:r>
    </w:p>
    <w:p>
      <w:pPr>
        <w:numPr>
          <w:ilvl w:val="0"/>
          <w:numId w:val="1254"/>
        </w:numPr>
        <w:pStyle w:val="Compact"/>
      </w:pPr>
      <w:r>
        <w:rPr>
          <w:bCs/>
          <w:b/>
        </w:rPr>
        <w:t xml:space="preserve">Vampate di calore (flushing)</w:t>
      </w:r>
      <w:r>
        <w:t xml:space="preserve"> </w:t>
      </w:r>
      <w:r>
        <w:t xml:space="preserve">nel 20,3%,</w:t>
      </w:r>
      <w:r>
        <w:t xml:space="preserve"> </w:t>
      </w:r>
      <w:r>
        <w:rPr>
          <w:bCs/>
          <w:b/>
        </w:rPr>
        <w:t xml:space="preserve">mal di testa</w:t>
      </w:r>
      <w:r>
        <w:t xml:space="preserve"> </w:t>
      </w:r>
      <w:r>
        <w:t xml:space="preserve">nell’11,3%,</w:t>
      </w:r>
      <w:r>
        <w:t xml:space="preserve"> </w:t>
      </w:r>
      <w:r>
        <w:rPr>
          <w:bCs/>
          <w:b/>
        </w:rPr>
        <w:t xml:space="preserve">reazioni nel punto di iniezione</w:t>
      </w:r>
      <w:r>
        <w:t xml:space="preserve"> </w:t>
      </w:r>
      <w:r>
        <w:t xml:space="preserve">nel 5,4% (contro l’1,3%, l’1,9% e lo 0,5% con placebo).</w:t>
      </w:r>
    </w:p>
    <w:p>
      <w:pPr>
        <w:numPr>
          <w:ilvl w:val="0"/>
          <w:numId w:val="1254"/>
        </w:numPr>
        <w:pStyle w:val="Compact"/>
      </w:pPr>
      <w:r>
        <w:rPr>
          <w:bCs/>
          <w:b/>
        </w:rPr>
        <w:t xml:space="preserve">Pressione arteriosa:</w:t>
      </w:r>
      <w:r>
        <w:t xml:space="preserve"> </w:t>
      </w:r>
      <w:r>
        <w:t xml:space="preserve">in uno studio con misurazione nelle 24 ore su 397 donne, la pressione sistolica è aumentata temporaneamente dopo la somministrazione di 2,4–3,2 mmHg; i picchi duravano per lo più meno di 15 minuti. Contemporaneamente la frequenza cardiaca è diminuita di circa 4,6 battiti al minuto</w:t>
      </w:r>
      <w:r>
        <w:rPr>
          <w:rStyle w:val="FootnoteReference"/>
        </w:rPr>
        <w:footnoteReference w:id="2005"/>
      </w:r>
      <w:r>
        <w:t xml:space="preserve">. Il riassunto delle caratteristiche del prodotto sconsiglia quindi l’uso in caso di ipertensione non controllata o di malattia cardiovascolare nota.</w:t>
      </w:r>
    </w:p>
    <w:p>
      <w:pPr>
        <w:numPr>
          <w:ilvl w:val="0"/>
          <w:numId w:val="1254"/>
        </w:numPr>
        <w:pStyle w:val="Compact"/>
      </w:pPr>
      <w:r>
        <w:rPr>
          <w:bCs/>
          <w:b/>
        </w:rPr>
        <w:t xml:space="preserve">Macchie pigmentate:</w:t>
      </w:r>
      <w:r>
        <w:t xml:space="preserve"> </w:t>
      </w:r>
      <w:r>
        <w:t xml:space="preserve">rare con l’uso secondo il riassunto delle caratteristiche del prodotto. Quando però il bremelanotide è stato somministrato fino a 16 giorni consecutivi, più di un terzo dei partecipanti ha sviluppato macchie scure circoscritte</w:t>
      </w:r>
      <w:r>
        <w:rPr>
          <w:rStyle w:val="FootnoteReference"/>
        </w:rPr>
        <w:footnoteReference w:id="2006"/>
      </w:r>
      <w:r>
        <w:t xml:space="preserve">: un indizio dell’effetto residuo sul recettore del pigmento.</w:t>
      </w:r>
    </w:p>
    <w:p>
      <w:pPr>
        <w:numPr>
          <w:ilvl w:val="0"/>
          <w:numId w:val="1254"/>
        </w:numPr>
        <w:pStyle w:val="Compact"/>
      </w:pPr>
      <w:r>
        <w:rPr>
          <w:bCs/>
          <w:b/>
        </w:rPr>
        <w:t xml:space="preserve">Interazioni:</w:t>
      </w:r>
      <w:r>
        <w:t xml:space="preserve"> </w:t>
      </w:r>
      <w:r>
        <w:t xml:space="preserve">il bremelanotide rallenta brevemente lo svuotamento gastrico e negli studi ha ridotto i livelli ematici di indometacina e naltrexone</w:t>
      </w:r>
      <w:r>
        <w:rPr>
          <w:rStyle w:val="FootnoteReference"/>
        </w:rPr>
        <w:footnoteReference w:id="2007"/>
      </w:r>
      <w:r>
        <w:t xml:space="preserve">.</w:t>
      </w:r>
    </w:p>
    <w:bookmarkEnd w:id="2008"/>
    <w:bookmarkStart w:id="2010" w:name="aperti"/>
    <w:p>
      <w:pPr>
        <w:pStyle w:val="Heading4"/>
      </w:pPr>
      <w:r>
        <w:t xml:space="preserve">Aperti</w:t>
      </w:r>
    </w:p>
    <w:p>
      <w:pPr>
        <w:pStyle w:val="FirstParagraph"/>
      </w:pPr>
      <w:r>
        <w:t xml:space="preserve">Per la gravidanza non sono disponibili dati sufficienti. Un piccolo studio sta attualmente misurando il passaggio nel latte materno</w:t>
      </w:r>
      <w:r>
        <w:rPr>
          <w:rStyle w:val="FootnoteReference"/>
        </w:rPr>
        <w:footnoteReference w:id="2009"/>
      </w:r>
      <w:r>
        <w:t xml:space="preserve">. Mancano dati a lungo termine oltre i 18 mesi.</w:t>
      </w:r>
    </w:p>
    <w:bookmarkEnd w:id="2010"/>
    <w:bookmarkStart w:id="2012" w:name="mercato-grigio-1"/>
    <w:p>
      <w:pPr>
        <w:pStyle w:val="Heading4"/>
      </w:pPr>
      <w:r>
        <w:t xml:space="preserve">Mercato grigio</w:t>
      </w:r>
    </w:p>
    <w:p>
      <w:pPr>
        <w:pStyle w:val="FirstParagraph"/>
      </w:pPr>
      <w:r>
        <w:t xml:space="preserve">Con il nome «PT-141» il bremelanotide viene offerto su internet come polvere per l’autoiniezione, spesso insieme al Melanotan II. Laboratori forensi hanno identificato entrambe le sostanze in campioni sequestrati dalla polizia nell’ambiente del bodybuilding</w:t>
      </w:r>
      <w:r>
        <w:rPr>
          <w:rStyle w:val="FootnoteReference"/>
        </w:rPr>
        <w:footnoteReference w:id="2011"/>
      </w:r>
      <w:r>
        <w:t xml:space="preserve">. Per questi prodotti valgono gli stessi rischi degli altri peptidi del mercato grigio (Parte I, capitolo «Il mercato grigio»): purezza sconosciuta, quantità errate, contaminazioni, produzione non sterile. Dello spray nasale di bremelanotide è noto che agiva più fortemente sulla pressione arteriosa; gli spray del mercato grigio non sono verificati.</w:t>
      </w:r>
    </w:p>
    <w:bookmarkEnd w:id="2012"/>
    <w:bookmarkEnd w:id="2013"/>
    <w:bookmarkStart w:id="2015" w:name="quadro-normativo-46"/>
    <w:p>
      <w:pPr>
        <w:pStyle w:val="Heading3"/>
      </w:pPr>
      <w:r>
        <w:t xml:space="preserve">Quadro normativo</w:t>
      </w:r>
    </w:p>
    <w:p>
      <w:pPr>
        <w:pStyle w:val="FirstParagraph"/>
      </w:pPr>
      <w:r>
        <w:rPr>
          <w:iCs/>
          <w:i/>
        </w:rPr>
        <w:t xml:space="preserve">Aggiornato al 2026, da verificare.</w:t>
      </w:r>
    </w:p>
    <w:p>
      <w:pPr>
        <w:numPr>
          <w:ilvl w:val="0"/>
          <w:numId w:val="1255"/>
        </w:numPr>
        <w:pStyle w:val="Compact"/>
      </w:pPr>
      <w:r>
        <w:rPr>
          <w:bCs/>
          <w:b/>
        </w:rPr>
        <w:t xml:space="preserve">UE:</w:t>
      </w:r>
      <w:r>
        <w:t xml:space="preserve"> </w:t>
      </w:r>
      <w:r>
        <w:t xml:space="preserve">nessuna approvazione e nessuna procedura di autorizzazione in corso nota. La vendita per uso umano nell’UE non è consentita.</w:t>
      </w:r>
    </w:p>
    <w:p>
      <w:pPr>
        <w:numPr>
          <w:ilvl w:val="0"/>
          <w:numId w:val="1255"/>
        </w:numPr>
        <w:pStyle w:val="Compact"/>
      </w:pPr>
      <w:r>
        <w:rPr>
          <w:bCs/>
          <w:b/>
        </w:rPr>
        <w:t xml:space="preserve">Germania e Austria:</w:t>
      </w:r>
      <w:r>
        <w:t xml:space="preserve"> </w:t>
      </w:r>
      <w:r>
        <w:t xml:space="preserve">nessuna approvazione. L’importazione individuale di un farmaco approvato negli Stati Uniti su prescrizione medica è giuridicamente possibile entro limiti ristretti; i prodotti del mercato grigio non vi rientrano.</w:t>
      </w:r>
    </w:p>
    <w:p>
      <w:pPr>
        <w:numPr>
          <w:ilvl w:val="0"/>
          <w:numId w:val="1255"/>
        </w:numPr>
        <w:pStyle w:val="Compact"/>
      </w:pPr>
      <w:r>
        <w:rPr>
          <w:bCs/>
          <w:b/>
        </w:rPr>
        <w:t xml:space="preserve">USA:</w:t>
      </w:r>
      <w:r>
        <w:t xml:space="preserve"> </w:t>
      </w:r>
      <w:r>
        <w:t xml:space="preserve">approvato da giugno 2019 (Vyleesi) per le donne in premenopausa con HSDD acquisito e generalizzato. Non approvato per gli uomini, per le donne in postmenopausa o per aumentare il desiderio nelle persone sane. I diritti di commercializzazione sono passati di mano più volte; secondo le voci di registro ne è ora responsabile l’azienda Cosette Pharmaceuticals.</w:t>
      </w:r>
    </w:p>
    <w:p>
      <w:pPr>
        <w:numPr>
          <w:ilvl w:val="0"/>
          <w:numId w:val="1255"/>
        </w:numPr>
        <w:pStyle w:val="Compact"/>
      </w:pPr>
      <w:r>
        <w:rPr>
          <w:bCs/>
          <w:b/>
        </w:rPr>
        <w:t xml:space="preserve">Altri Paesi:</w:t>
      </w:r>
      <w:r>
        <w:t xml:space="preserve"> </w:t>
      </w:r>
      <w:r>
        <w:t xml:space="preserve">in Corea del Sud si è svolto uno studio ponte con 193 donne per un’approvazione locale</w:t>
      </w:r>
      <w:r>
        <w:rPr>
          <w:rStyle w:val="FootnoteReference"/>
        </w:rPr>
        <w:footnoteReference w:id="2014"/>
      </w:r>
      <w:r>
        <w:t xml:space="preserve">.</w:t>
      </w:r>
    </w:p>
    <w:p>
      <w:pPr>
        <w:numPr>
          <w:ilvl w:val="0"/>
          <w:numId w:val="1255"/>
        </w:numPr>
        <w:pStyle w:val="Compact"/>
      </w:pPr>
      <w:r>
        <w:rPr>
          <w:bCs/>
          <w:b/>
        </w:rPr>
        <w:t xml:space="preserve">WADA:</w:t>
      </w:r>
      <w:r>
        <w:t xml:space="preserve"> </w:t>
      </w:r>
      <w:r>
        <w:t xml:space="preserve">non elencato per nome. Si prega di consultare l’elenco aggiornato delle sostanze proibite.</w:t>
      </w:r>
    </w:p>
    <w:bookmarkEnd w:id="2015"/>
    <w:bookmarkStart w:id="2019" w:name="studi-in-corso-e-prospettive-46"/>
    <w:p>
      <w:pPr>
        <w:pStyle w:val="Heading3"/>
      </w:pPr>
      <w:r>
        <w:t xml:space="preserve">Studi in corso e prospettive</w:t>
      </w:r>
    </w:p>
    <w:p>
      <w:pPr>
        <w:pStyle w:val="FirstParagraph"/>
      </w:pPr>
      <w:r>
        <w:rPr>
          <w:bCs/>
          <w:b/>
        </w:rPr>
        <w:t xml:space="preserve">Dati certi (studi registrati):</w:t>
      </w:r>
    </w:p>
    <w:p>
      <w:pPr>
        <w:numPr>
          <w:ilvl w:val="0"/>
          <w:numId w:val="1256"/>
        </w:numPr>
        <w:pStyle w:val="Compact"/>
      </w:pPr>
      <w:r>
        <w:t xml:space="preserve">Uno studio di fase 2 con 108 persone valuta il bremelanotide in aggiunta alla tirzepatide nell’obesità</w:t>
      </w:r>
      <w:r>
        <w:rPr>
          <w:rStyle w:val="FootnoteReference"/>
        </w:rPr>
        <w:footnoteReference w:id="2016"/>
      </w:r>
      <w:r>
        <w:t xml:space="preserve">. Alla base c’è l’effetto di riduzione dell’appetito tramite MC4R. Alla chiusura redazionale non erano disponibili in PubMed risultati pubblicati e sottoposti a revisione paritaria.</w:t>
      </w:r>
    </w:p>
    <w:p>
      <w:pPr>
        <w:numPr>
          <w:ilvl w:val="0"/>
          <w:numId w:val="1256"/>
        </w:numPr>
        <w:pStyle w:val="Compact"/>
      </w:pPr>
      <w:r>
        <w:t xml:space="preserve">Un piccolo studio di fase 2 in aperto con 16 persone nella malattia renale diabetica è concluso</w:t>
      </w:r>
      <w:r>
        <w:rPr>
          <w:rStyle w:val="FootnoteReference"/>
        </w:rPr>
        <w:footnoteReference w:id="2017"/>
      </w:r>
      <w:r>
        <w:t xml:space="preserve">, anch’esso senza risultati pubblicati in PubMed.</w:t>
      </w:r>
    </w:p>
    <w:p>
      <w:pPr>
        <w:numPr>
          <w:ilvl w:val="0"/>
          <w:numId w:val="1256"/>
        </w:numPr>
        <w:pStyle w:val="Compact"/>
      </w:pPr>
      <w:r>
        <w:t xml:space="preserve">Lo studio sull’allattamento</w:t>
      </w:r>
      <w:r>
        <w:rPr>
          <w:rStyle w:val="FootnoteReference"/>
        </w:rPr>
        <w:footnoteReference w:id="2018"/>
      </w:r>
      <w:r>
        <w:t xml:space="preserve"> </w:t>
      </w:r>
      <w:r>
        <w:t xml:space="preserve">con 10 donne si è concluso nel 2025.</w:t>
      </w:r>
    </w:p>
    <w:p>
      <w:pPr>
        <w:pStyle w:val="FirstParagraph"/>
      </w:pPr>
      <w:r>
        <w:rPr>
          <w:bCs/>
          <w:b/>
        </w:rPr>
        <w:t xml:space="preserve">Valutazione dell’autore:</w:t>
      </w:r>
      <w:r>
        <w:t xml:space="preserve"> </w:t>
      </w:r>
      <w:r>
        <w:t xml:space="preserve">allo stato attuale manca l’interesse economico per un’approvazione in Europa; non è nota alcuna domanda. Più interessante è il ruolo di MC4R nella ricerca sull’obesità, dove con il setmelanotide (capitolo nella Parte II · A) è già approvato un agonista di MC4R per rare forme genetiche. Se il bremelanotide troverà qui una nicchia dipenderà dai risultati degli studi ancora attesi.</w:t>
      </w:r>
    </w:p>
    <w:bookmarkEnd w:id="2019"/>
    <w:bookmarkStart w:id="2020" w:name="conclusione-46"/>
    <w:p>
      <w:pPr>
        <w:pStyle w:val="Heading3"/>
      </w:pPr>
      <w:r>
        <w:t xml:space="preserve">Conclusione</w:t>
      </w:r>
    </w:p>
    <w:p>
      <w:pPr>
        <w:pStyle w:val="FirstParagraph"/>
      </w:pPr>
      <w:r>
        <w:t xml:space="preserve">Il bremelanotide è l’unico farmaco approvato che, attraverso il sistema delle melanocortine nel cervello, punta al desiderio sessuale – però solo negli Stati Uniti e solo per un gruppo di donne ben delimitato. In due grandi studi di fase 3 desiderio e sofferenza sono migliorati in modo statisticamente chiaro, ma in misura ridotta e con un forte effetto placebo. La nausea colpisce quasi la metà delle utilizzatrici e porta spesso all’interruzione; i brevi aumenti della pressione arteriosa richiedono cautela in presenza di rischi cardiovascolari. I prodotti del mercato grigio venduti come «PT-141» non sono verificati, e per gli uomini o per le persone senza diagnosi manca qualsiasi evidenza sufficiente per un’approvazione.</w:t>
      </w:r>
    </w:p>
    <w:bookmarkEnd w:id="2020"/>
    <w:bookmarkEnd w:id="2021"/>
    <w:bookmarkStart w:id="2076" w:name="melanotan-ii"/>
    <w:p>
      <w:pPr>
        <w:pStyle w:val="Heading2"/>
      </w:pPr>
      <w:r>
        <w:t xml:space="preserve">Melanotan II</w:t>
      </w:r>
    </w:p>
    <w:bookmarkStart w:id="2024" w:name="scheda-47"/>
    <w:p>
      <w:pPr>
        <w:pStyle w:val="Heading3"/>
      </w:pPr>
      <w:r>
        <w:t xml:space="preserve">Scheda</w:t>
      </w:r>
    </w:p>
    <w:p>
      <w:pPr>
        <w:numPr>
          <w:ilvl w:val="0"/>
          <w:numId w:val="1257"/>
        </w:numPr>
        <w:pStyle w:val="Compact"/>
      </w:pPr>
      <w:r>
        <w:rPr>
          <w:bCs/>
          <w:b/>
        </w:rPr>
        <w:t xml:space="preserve">Tipo/struttura:</w:t>
      </w:r>
      <w:r>
        <w:t xml:space="preserve"> </w:t>
      </w:r>
      <w:r>
        <w:t xml:space="preserve">peptide ad anello (ciclico) di sette aminoacidi, una variante accorciata e chimicamente stabilizzata dell’ormone endogeno alfa-MSH. La struttura ad anello protegge da una rapida degradazione e rende la molecola molto più potente del modello naturale</w:t>
      </w:r>
      <w:r>
        <w:rPr>
          <w:rStyle w:val="FootnoteReference"/>
        </w:rPr>
        <w:footnoteReference w:id="2022"/>
      </w:r>
      <w:r>
        <w:t xml:space="preserve">.</w:t>
      </w:r>
    </w:p>
    <w:p>
      <w:pPr>
        <w:numPr>
          <w:ilvl w:val="0"/>
          <w:numId w:val="1257"/>
        </w:numPr>
        <w:pStyle w:val="Compact"/>
      </w:pPr>
      <w:r>
        <w:rPr>
          <w:bCs/>
          <w:b/>
        </w:rPr>
        <w:t xml:space="preserve">Origine:</w:t>
      </w:r>
      <w:r>
        <w:t xml:space="preserve"> </w:t>
      </w:r>
      <w:r>
        <w:t xml:space="preserve">sviluppato tra la fine degli anni Ottanta e l’inizio degli anni Novanta all’Università dell’Arizona a Tucson, in origine con l’obiettivo di produrre un’abbronzatura senza sole e prevenire così il cancro della pelle</w:t>
      </w:r>
      <w:r>
        <w:rPr>
          <w:rStyle w:val="FootnoteReference"/>
        </w:rPr>
        <w:footnoteReference w:id="2023"/>
      </w:r>
      <w:r>
        <w:t xml:space="preserve">.</w:t>
      </w:r>
    </w:p>
    <w:p>
      <w:pPr>
        <w:numPr>
          <w:ilvl w:val="0"/>
          <w:numId w:val="1257"/>
        </w:numPr>
        <w:pStyle w:val="Compact"/>
      </w:pPr>
      <w:r>
        <w:rPr>
          <w:bCs/>
          <w:b/>
        </w:rPr>
        <w:t xml:space="preserve">Principio d’azione:</w:t>
      </w:r>
      <w:r>
        <w:t xml:space="preserve"> </w:t>
      </w:r>
      <w:r>
        <w:t xml:space="preserve">agonista non selettivo dei recettori delle melanocortine: MC1R (formazione del pigmento nella pelle), MC3R e MC4R (appetito, funzione sessuale) e altri.</w:t>
      </w:r>
    </w:p>
    <w:p>
      <w:pPr>
        <w:numPr>
          <w:ilvl w:val="0"/>
          <w:numId w:val="1257"/>
        </w:numPr>
        <w:pStyle w:val="Compact"/>
      </w:pPr>
      <w:r>
        <w:rPr>
          <w:bCs/>
          <w:b/>
        </w:rPr>
        <w:t xml:space="preserve">Approvazione UE:</w:t>
      </w:r>
      <w:r>
        <w:t xml:space="preserve"> </w:t>
      </w:r>
      <w:r>
        <w:t xml:space="preserve">no.</w:t>
      </w:r>
    </w:p>
    <w:p>
      <w:pPr>
        <w:numPr>
          <w:ilvl w:val="0"/>
          <w:numId w:val="1257"/>
        </w:numPr>
        <w:pStyle w:val="Compact"/>
      </w:pPr>
      <w:r>
        <w:rPr>
          <w:bCs/>
          <w:b/>
        </w:rPr>
        <w:t xml:space="preserve">Approvazione USA:</w:t>
      </w:r>
      <w:r>
        <w:t xml:space="preserve"> </w:t>
      </w:r>
      <w:r>
        <w:t xml:space="preserve">no.</w:t>
      </w:r>
    </w:p>
    <w:p>
      <w:pPr>
        <w:numPr>
          <w:ilvl w:val="0"/>
          <w:numId w:val="1257"/>
        </w:numPr>
        <w:pStyle w:val="Compact"/>
      </w:pPr>
      <w:r>
        <w:rPr>
          <w:bCs/>
          <w:b/>
        </w:rPr>
        <w:t xml:space="preserve">WADA:</w:t>
      </w:r>
      <w:r>
        <w:t xml:space="preserve"> </w:t>
      </w:r>
      <w:r>
        <w:t xml:space="preserve">non citato per nome; in quanto principio attivo non approvato in nessun Paese rientra nel gruppo S0 (sostanze non approvate) ed è quindi sempre vietato.</w:t>
      </w:r>
    </w:p>
    <w:p>
      <w:pPr>
        <w:numPr>
          <w:ilvl w:val="0"/>
          <w:numId w:val="1257"/>
        </w:numPr>
        <w:pStyle w:val="Compact"/>
      </w:pPr>
      <w:r>
        <w:rPr>
          <w:bCs/>
          <w:b/>
        </w:rPr>
        <w:t xml:space="preserve">Livello di evidenza:</w:t>
      </w:r>
      <w:r>
        <w:t xml:space="preserve"> </w:t>
      </w:r>
      <w:r>
        <w:rPr>
          <w:bCs/>
          <w:b/>
        </w:rPr>
        <w:t xml:space="preserve">C</w:t>
      </w:r>
      <w:r>
        <w:t xml:space="preserve"> </w:t>
      </w:r>
      <w:r>
        <w:t xml:space="preserve">– solo studi pilota molto piccoli degli anni Novanta con complessivamente circa due dozzine di partecipanti, integrati da numerosi casi clinici su effetti collaterali in caso di autosomministrazione incontrollata.</w:t>
      </w:r>
    </w:p>
    <w:bookmarkEnd w:id="2024"/>
    <w:bookmarkStart w:id="2026" w:name="come-dovrebbe-agire-47"/>
    <w:p>
      <w:pPr>
        <w:pStyle w:val="Heading3"/>
      </w:pPr>
      <w:r>
        <w:t xml:space="preserve">Come dovrebbe agire</w:t>
      </w:r>
    </w:p>
    <w:p>
      <w:pPr>
        <w:pStyle w:val="FirstParagraph"/>
      </w:pPr>
      <w:r>
        <w:t xml:space="preserve">La pelle si abbronza quando le cellule pigmentate (melanociti) producono più melanina. Il segnale per questo proviene, tra l’altro, dall’ormone alfa-MSH, che si lega al recettore MC1R sulle cellule pigmentate. Dopo un’esposizione al sole aumenta la produzione di alfa-MSH nella pelle e le cellule pigmentate passano all’eumelanina scura e protettiva.</w:t>
      </w:r>
    </w:p>
    <w:p>
      <w:pPr>
        <w:pStyle w:val="BodyText"/>
      </w:pPr>
      <w:r>
        <w:t xml:space="preserve">Il Melanotan II imita questo segnale, senza che la radiazione UV debba prima danneggiare la pelle. Questa era l’idea originaria: un’«abbronzatura in siringa» che protegga dalle scottature. Il problema: il Melanotan II non si lega solo a MC1R, ma anche ai recettori MC3R e MC4R nel cervello. Questi regolano appetito, dispendio energetico ed eccitazione sessuale. Da qui derivano gli effetti concomitanti tipici: nausea, sbadigli e stiramenti, appetito ridotto ed erezioni spontanee.</w:t>
      </w:r>
    </w:p>
    <w:p>
      <w:pPr>
        <w:pStyle w:val="BodyText"/>
      </w:pPr>
      <w:r>
        <w:t xml:space="preserve">Dallo studio di questo «effetto collaterale» sono nati due altri principi attivi che, a differenza del Melanotan II, hanno proseguito lo sviluppo clinico:</w:t>
      </w:r>
    </w:p>
    <w:p>
      <w:pPr>
        <w:numPr>
          <w:ilvl w:val="0"/>
          <w:numId w:val="1258"/>
        </w:numPr>
        <w:pStyle w:val="Compact"/>
      </w:pPr>
      <w:r>
        <w:rPr>
          <w:bCs/>
          <w:b/>
        </w:rPr>
        <w:t xml:space="preserve">Afamelanotide</w:t>
      </w:r>
      <w:r>
        <w:t xml:space="preserve">, un tempo chiamato Melanotan I, è una molecola lineare più lunga che agisce preferibilmente sulla pelle ed è approvata come impianto per una rara malattia da fotosensibilità (capitolo 2E03).</w:t>
      </w:r>
    </w:p>
    <w:p>
      <w:pPr>
        <w:numPr>
          <w:ilvl w:val="0"/>
          <w:numId w:val="1258"/>
        </w:numPr>
        <w:pStyle w:val="Compact"/>
      </w:pPr>
      <w:r>
        <w:rPr>
          <w:bCs/>
          <w:b/>
        </w:rPr>
        <w:t xml:space="preserve">Bremelanotide</w:t>
      </w:r>
      <w:r>
        <w:t xml:space="preserve"> </w:t>
      </w:r>
      <w:r>
        <w:t xml:space="preserve">(PT-141) è una forma leggermente modificata del Melanotan II, approvata negli Stati Uniti per il trattamento dello scarso desiderio sessuale nelle donne (capitolo 2E01).</w:t>
      </w:r>
    </w:p>
    <w:p>
      <w:pPr>
        <w:pStyle w:val="FirstParagraph"/>
      </w:pPr>
      <w:r>
        <w:t xml:space="preserve">Su internet questi nomi vengono spesso confusi. «Melanotan» senza altre indicazioni può designare, a seconda del venditore, l’uno o l’altro – o qualcosa di completamente diverso</w:t>
      </w:r>
      <w:r>
        <w:rPr>
          <w:rStyle w:val="FootnoteReference"/>
        </w:rPr>
        <w:footnoteReference w:id="2025"/>
      </w:r>
      <w:r>
        <w:t xml:space="preserve">.</w:t>
      </w:r>
    </w:p>
    <w:bookmarkEnd w:id="2026"/>
    <w:bookmarkStart w:id="2040" w:name="studi-sulluomo-47"/>
    <w:p>
      <w:pPr>
        <w:pStyle w:val="Heading3"/>
      </w:pPr>
      <w:r>
        <w:t xml:space="preserve">Studi sull’uomo</w:t>
      </w:r>
    </w:p>
    <w:p>
      <w:pPr>
        <w:pStyle w:val="FirstParagraph"/>
      </w:pPr>
      <w:r>
        <w:rPr>
          <w:bCs/>
          <w:b/>
        </w:rPr>
        <w:t xml:space="preserve">Entità degli studi disponibili (ricerca di ottobre 2026):</w:t>
      </w:r>
      <w:r>
        <w:t xml:space="preserve"> </w:t>
      </w:r>
      <w:r>
        <w:t xml:space="preserve">la ricerca automatizzata di questo libro ha trovato</w:t>
      </w:r>
      <w:r>
        <w:t xml:space="preserve"> </w:t>
      </w:r>
      <w:r>
        <w:rPr>
          <w:bCs/>
          <w:b/>
        </w:rPr>
        <w:t xml:space="preserve">8</w:t>
      </w:r>
      <w:r>
        <w:t xml:space="preserve"> </w:t>
      </w:r>
      <w:r>
        <w:t xml:space="preserve">studi sull’uomo in PubMed (</w:t>
      </w:r>
      <w:r>
        <w:rPr>
          <w:rStyle w:val="VerbatimChar"/>
        </w:rPr>
        <w:t xml:space="preserve">humanstudien_alle</w:t>
      </w:r>
      <w:r>
        <w:t xml:space="preserve">) e un’unica voce su ClinicalTrials.gov, che a un controllo si è rivelata non affidabile (vedi prospettive): non esistono quindi</w:t>
      </w:r>
      <w:r>
        <w:t xml:space="preserve"> </w:t>
      </w:r>
      <w:r>
        <w:rPr>
          <w:bCs/>
          <w:b/>
        </w:rPr>
        <w:t xml:space="preserve">0</w:t>
      </w:r>
      <w:r>
        <w:t xml:space="preserve"> </w:t>
      </w:r>
      <w:r>
        <w:t xml:space="preserve">studi registrati solidi. Anche il numero di PubMed trae in inganno: quattro degli otto studi riguardavano il Melanotan I, cioè il futuro afamelanotide, non il Melanotan II. Sul Melanotan II stesso esistono solo tre piccoli studi originali e una sintesi dello stesso gruppo di ricerca. Molto più ampia è la letteratura sugli effetti collaterali: casi clinici, serie di casi, analisi di forum online e analisi di laboratorio di prodotti del mercato grigio.</w:t>
      </w:r>
    </w:p>
    <w:bookmarkStart w:id="2030" w:name="gli-studi-clinici-degli-anni-novanta"/>
    <w:p>
      <w:pPr>
        <w:pStyle w:val="Heading4"/>
      </w:pPr>
      <w:r>
        <w:t xml:space="preserve">Gli studi clinici degli anni Novanta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Dorr 1996, PMID 8637402</w:t>
            </w:r>
          </w:p>
        </w:tc>
        <w:tc>
          <w:tcPr/>
          <w:p>
            <w:pPr>
              <w:pStyle w:val="Compact"/>
              <w:jc w:val="left"/>
            </w:pPr>
            <w:r>
              <w:t xml:space="preserve">3 uomini sani, in singolo cieco, alternanza di principio attivo e soluzione salina</w:t>
            </w:r>
          </w:p>
        </w:tc>
        <w:tc>
          <w:tcPr/>
          <w:p>
            <w:pPr>
              <w:pStyle w:val="Compact"/>
              <w:jc w:val="left"/>
            </w:pPr>
            <w:r>
              <w:t xml:space="preserve">2 settimane</w:t>
            </w:r>
          </w:p>
        </w:tc>
        <w:tc>
          <w:tcPr/>
          <w:p>
            <w:pPr>
              <w:pStyle w:val="Compact"/>
              <w:jc w:val="left"/>
            </w:pPr>
            <w:r>
              <w:t xml:space="preserve">Abbronzatura di viso, tronco e glutei in 2 su 3; erezioni spontanee; nausea, stanchezza</w:t>
            </w:r>
          </w:p>
        </w:tc>
      </w:tr>
      <w:tr>
        <w:tc>
          <w:tcPr/>
          <w:p>
            <w:pPr>
              <w:pStyle w:val="Compact"/>
              <w:jc w:val="left"/>
            </w:pPr>
            <w:r>
              <w:t xml:space="preserve">Wessells 1998, PMID 9679884</w:t>
            </w:r>
          </w:p>
        </w:tc>
        <w:tc>
          <w:tcPr/>
          <w:p>
            <w:pPr>
              <w:pStyle w:val="Compact"/>
              <w:jc w:val="left"/>
            </w:pPr>
            <w:r>
              <w:t xml:space="preserve">10 uomini con disfunzione erettile psicogena, studio crossover in doppio cieco contro placebo</w:t>
            </w:r>
          </w:p>
        </w:tc>
        <w:tc>
          <w:tcPr/>
          <w:p>
            <w:pPr>
              <w:pStyle w:val="Compact"/>
              <w:jc w:val="left"/>
            </w:pPr>
            <w:r>
              <w:t xml:space="preserve">Dosi singole</w:t>
            </w:r>
          </w:p>
        </w:tc>
        <w:tc>
          <w:tcPr/>
          <w:p>
            <w:pPr>
              <w:pStyle w:val="Compact"/>
              <w:jc w:val="left"/>
            </w:pPr>
            <w:r>
              <w:t xml:space="preserve">Erezioni in 8 su 10; durata di rigidità elevata 38,0 vs. 3,0 minuti</w:t>
            </w:r>
          </w:p>
        </w:tc>
      </w:tr>
      <w:tr>
        <w:tc>
          <w:tcPr/>
          <w:p>
            <w:pPr>
              <w:pStyle w:val="Compact"/>
              <w:jc w:val="left"/>
            </w:pPr>
            <w:r>
              <w:t xml:space="preserve">Wessells 2000, PMID 11018622</w:t>
            </w:r>
          </w:p>
        </w:tc>
        <w:tc>
          <w:tcPr/>
          <w:p>
            <w:pPr>
              <w:pStyle w:val="Compact"/>
              <w:jc w:val="left"/>
            </w:pPr>
            <w:r>
              <w:t xml:space="preserve">10 uomini con disfunzione erettile organica, studio crossover in doppio cieco</w:t>
            </w:r>
          </w:p>
        </w:tc>
        <w:tc>
          <w:tcPr/>
          <w:p>
            <w:pPr>
              <w:pStyle w:val="Compact"/>
              <w:jc w:val="left"/>
            </w:pPr>
            <w:r>
              <w:t xml:space="preserve">Dosi singole</w:t>
            </w:r>
          </w:p>
        </w:tc>
        <w:tc>
          <w:tcPr/>
          <w:p>
            <w:pPr>
              <w:pStyle w:val="Compact"/>
              <w:jc w:val="left"/>
            </w:pPr>
            <w:r>
              <w:t xml:space="preserve">Erezioni dopo 12 su 19 iniezioni vs. 1 su 21 dosi di placebo; 4 su 19 iniezioni con nausea intensa</w:t>
            </w:r>
          </w:p>
        </w:tc>
      </w:tr>
      <w:tr>
        <w:tc>
          <w:tcPr/>
          <w:p>
            <w:pPr>
              <w:pStyle w:val="Compact"/>
              <w:jc w:val="left"/>
            </w:pPr>
            <w:r>
              <w:t xml:space="preserve">Wessells 2000 (sintesi), PMID 11035391</w:t>
            </w:r>
          </w:p>
        </w:tc>
        <w:tc>
          <w:tcPr/>
          <w:p>
            <w:pPr>
              <w:pStyle w:val="Compact"/>
              <w:jc w:val="left"/>
            </w:pPr>
            <w:r>
              <w:t xml:space="preserve">entrambi gli studi insieme, 20 uomini</w:t>
            </w:r>
          </w:p>
        </w:tc>
        <w:tc>
          <w:tcPr/>
          <w:p>
            <w:pPr>
              <w:pStyle w:val="Compact"/>
              <w:jc w:val="left"/>
            </w:pPr>
            <w:r>
              <w:t xml:space="preserve">Dosi singole</w:t>
            </w:r>
          </w:p>
        </w:tc>
        <w:tc>
          <w:tcPr/>
          <w:p>
            <w:pPr>
              <w:pStyle w:val="Compact"/>
              <w:jc w:val="left"/>
            </w:pPr>
            <w:r>
              <w:t xml:space="preserve">Erezioni senza stimoli sessuali in 17 su 20; desiderio maggiore dopo il 68% vs. il 19% delle dosi</w:t>
            </w:r>
          </w:p>
        </w:tc>
      </w:tr>
    </w:tbl>
    <w:p>
      <w:pPr>
        <w:pStyle w:val="BodyText"/>
      </w:pPr>
      <w:r>
        <w:t xml:space="preserve">Il primo studio sull’uomo</w:t>
      </w:r>
      <w:r>
        <w:rPr>
          <w:rStyle w:val="FootnoteReference"/>
        </w:rPr>
        <w:footnoteReference w:id="2027"/>
      </w:r>
      <w:r>
        <w:t xml:space="preserve"> </w:t>
      </w:r>
      <w:r>
        <w:t xml:space="preserve">era uno studio pilota con soli tre uomini. Già qui emersero tutti gli effetti che in seguito gli utilizzatori avrebbero descritto su internet: due dei tre uomini si abbronzarono visibilmente, una lieve nausea si manifestò alla maggior parte dei livelli di dose, uno ebbe una stanchezza più marcata. Un «complesso di stiramento e sbadiglio» si accompagnava a erezioni spontanee, che a seconda della dose si ripresentavano per una-cinque ore.</w:t>
      </w:r>
    </w:p>
    <w:p>
      <w:pPr>
        <w:pStyle w:val="BodyText"/>
      </w:pPr>
      <w:r>
        <w:t xml:space="preserve">Il gruppo di lavoro dell’urologo Hunter Wessells approfondì quindi l’effetto sull’erezione. In due piccoli studi crossover (ogni partecipante riceveva in ordine casuale principio attivo e placebo) il Melanotan II provocò erezioni nella maggior parte degli uomini con disfunzione erettile, anche senza stimoli sessuali</w:t>
      </w:r>
      <w:r>
        <w:rPr>
          <w:rStyle w:val="FootnoteReference"/>
        </w:rPr>
        <w:footnoteReference w:id="2028"/>
      </w:r>
      <w:r>
        <w:t xml:space="preserve">. Nella sintesi di entrambi gli studi gli uomini riferirono un desiderio aumentato dopo il 68% delle dosi di Melanotan, dopo placebo nel 19%. Nel 12,9% si verificò nausea intensa</w:t>
      </w:r>
      <w:r>
        <w:rPr>
          <w:rStyle w:val="FootnoteReference"/>
        </w:rPr>
        <w:footnoteReference w:id="2029"/>
      </w:r>
      <w:r>
        <w:t xml:space="preserve">.</w:t>
      </w:r>
    </w:p>
    <w:p>
      <w:pPr>
        <w:pStyle w:val="BodyText"/>
      </w:pPr>
      <w:r>
        <w:t xml:space="preserve">Dopo di ciò la ricerca clinica sul Melanotan II si interruppe. Lo sviluppo passò al bremelanotide, testato come spray nasale e poi come iniezione. Per l’abbronzatura nelle persone sane non esiste un solo studio controllato con il Melanotan II.</w:t>
      </w:r>
    </w:p>
    <w:bookmarkEnd w:id="2030"/>
    <w:bookmarkStart w:id="2033" w:name="gli-studi-sul-melanotan-i"/>
    <w:p>
      <w:pPr>
        <w:pStyle w:val="Heading4"/>
      </w:pPr>
      <w:r>
        <w:t xml:space="preserve">Gli studi sul Melanotan I</w:t>
      </w:r>
    </w:p>
    <w:p>
      <w:pPr>
        <w:pStyle w:val="FirstParagraph"/>
      </w:pPr>
      <w:r>
        <w:t xml:space="preserve">Per inquadrare: gli altri studi della ricerca in banca dati riguardano il Melanotan I. In essi alcuni volontari, dopo le iniezioni, producevano più eumelanina, nella pelle dell’avambraccio quasi il doppio di prima</w:t>
      </w:r>
      <w:r>
        <w:rPr>
          <w:rStyle w:val="FootnoteReference"/>
        </w:rPr>
        <w:footnoteReference w:id="2031"/>
      </w:r>
      <w:r>
        <w:t xml:space="preserve">. In combinazione con la luce solare l’abbronzatura risultava più intensa e duratura</w:t>
      </w:r>
      <w:r>
        <w:rPr>
          <w:rStyle w:val="FootnoteReference"/>
        </w:rPr>
        <w:footnoteReference w:id="2032"/>
      </w:r>
      <w:r>
        <w:t xml:space="preserve">. Questi risultati appartengono alla storia dell’afamelanotide e non possono essere trasferiti al Melanotan II, che agisce più fortemente sul cervello.</w:t>
      </w:r>
    </w:p>
    <w:bookmarkEnd w:id="2033"/>
    <w:bookmarkStart w:id="2039" w:name="chi-usa-il-melanotan-ii"/>
    <w:p>
      <w:pPr>
        <w:pStyle w:val="Heading4"/>
      </w:pPr>
      <w:r>
        <w:t xml:space="preserve">Chi usa il Melanotan II</w:t>
      </w:r>
    </w:p>
    <w:p>
      <w:pPr>
        <w:pStyle w:val="FirstParagraph"/>
      </w:pPr>
      <w:r>
        <w:t xml:space="preserve">Poiché il Melanotan II non è mai stato approvato, quasi tutte le conoscenze sul suo uso attuale derivano da osservazioni al di fuori degli studi. Già nel 2009 esperti britannici descrissero sul British Medical Journal la diffusione di Melanotan I e II nella popolazione generale</w:t>
      </w:r>
      <w:r>
        <w:rPr>
          <w:rStyle w:val="FootnoteReference"/>
        </w:rPr>
        <w:footnoteReference w:id="2034"/>
      </w:r>
      <w:r>
        <w:t xml:space="preserve">. Una revisione sistematica ha incluso il Melanotan tra le sostanze iniettate di frequente per ottimizzare il corpo e le prestazioni, accanto agli steroidi anabolizzanti e all’ormone della crescita</w:t>
      </w:r>
      <w:r>
        <w:rPr>
          <w:rStyle w:val="FootnoteReference"/>
        </w:rPr>
        <w:footnoteReference w:id="2035"/>
      </w:r>
      <w:r>
        <w:t xml:space="preserve">.</w:t>
      </w:r>
    </w:p>
    <w:p>
      <w:pPr>
        <w:pStyle w:val="BodyText"/>
      </w:pPr>
      <w:r>
        <w:t xml:space="preserve">Un’analisi di forum online britannici e irlandesi degli anni 2016 e 2017 ha esaminato 623 messaggi di 205 persone</w:t>
      </w:r>
      <w:r>
        <w:rPr>
          <w:rStyle w:val="FootnoteReference"/>
        </w:rPr>
        <w:footnoteReference w:id="2036"/>
      </w:r>
      <w:r>
        <w:t xml:space="preserve">. Come motivazioni gli utenti citavano soprattutto una carnagione abbronzata prima delle vacanze e prima delle gare di bodybuilding. I forum mostravano disinformazione, schemi di dosaggio elaborati in proprio, la combinazione con i lettini abbronzanti e altre pratiche rischiose. Un sondaggio online tra gli utilizzatori descrive quanto fosse facile procurarsi la sostanza</w:t>
      </w:r>
      <w:r>
        <w:rPr>
          <w:rStyle w:val="FootnoteReference"/>
        </w:rPr>
        <w:footnoteReference w:id="2037"/>
      </w:r>
      <w:r>
        <w:t xml:space="preserve">.</w:t>
      </w:r>
    </w:p>
    <w:p>
      <w:pPr>
        <w:pStyle w:val="BodyText"/>
      </w:pPr>
      <w:r>
        <w:t xml:space="preserve">Negli ultimi anni la pubblicità si è spostata sempre più sui social media come TikTok, dove il Melanotan viene promosso come «Barbie Drug». Diverse riviste dermatologiche hanno analizzato questi contenuti e mettono in guardia dalla loro banalizzazione</w:t>
      </w:r>
      <w:r>
        <w:rPr>
          <w:rStyle w:val="FootnoteReference"/>
        </w:rPr>
        <w:footnoteReference w:id="2038"/>
      </w:r>
      <w:r>
        <w:t xml:space="preserve">.</w:t>
      </w:r>
    </w:p>
    <w:bookmarkEnd w:id="2039"/>
    <w:bookmarkEnd w:id="2040"/>
    <w:bookmarkStart w:id="2044" w:name="studi-su-animali-e-in-laboratorio-47"/>
    <w:p>
      <w:pPr>
        <w:pStyle w:val="Heading3"/>
      </w:pPr>
      <w:r>
        <w:t xml:space="preserve">Studi su animali e in laboratorio</w:t>
      </w:r>
    </w:p>
    <w:p>
      <w:pPr>
        <w:pStyle w:val="FirstParagraph"/>
      </w:pPr>
      <w:r>
        <w:t xml:space="preserve">Nella ricerca di base il Melanotan II è uno strumento standard per attivare i recettori delle melanocortine. Di conseguenza sono numerosi gli esperimenti sugli animali, che però rispondono per lo più a domande delle neuroscienze e non riguardano la sicurezza nell’uomo:</w:t>
      </w:r>
    </w:p>
    <w:p>
      <w:pPr>
        <w:numPr>
          <w:ilvl w:val="0"/>
          <w:numId w:val="1259"/>
        </w:numPr>
        <w:pStyle w:val="Compact"/>
      </w:pPr>
      <w:r>
        <w:rPr>
          <w:bCs/>
          <w:b/>
        </w:rPr>
        <w:t xml:space="preserve">Peso e grasso:</w:t>
      </w:r>
      <w:r>
        <w:t xml:space="preserve"> </w:t>
      </w:r>
      <w:r>
        <w:t xml:space="preserve">in topi e ratti in sovrappeso sottoposti a dieta ricca di grassi, il Melanotan II ha ridotto peso e massa grassa, soprattutto attraverso una minore assunzione di cibo</w:t>
      </w:r>
      <w:r>
        <w:rPr>
          <w:rStyle w:val="FootnoteReference"/>
        </w:rPr>
        <w:footnoteReference w:id="2041"/>
      </w:r>
      <w:r>
        <w:t xml:space="preserve">.</w:t>
      </w:r>
    </w:p>
    <w:p>
      <w:pPr>
        <w:numPr>
          <w:ilvl w:val="0"/>
          <w:numId w:val="1259"/>
        </w:numPr>
        <w:pStyle w:val="Compact"/>
      </w:pPr>
      <w:r>
        <w:rPr>
          <w:bCs/>
          <w:b/>
        </w:rPr>
        <w:t xml:space="preserve">Temperatura corporea:</w:t>
      </w:r>
      <w:r>
        <w:t xml:space="preserve"> </w:t>
      </w:r>
      <w:r>
        <w:t xml:space="preserve">nei topi ha provocato un’ipotermia marcata e transitoria, mediata da mastociti e istamina</w:t>
      </w:r>
      <w:r>
        <w:rPr>
          <w:rStyle w:val="FootnoteReference"/>
        </w:rPr>
        <w:footnoteReference w:id="2042"/>
      </w:r>
      <w:r>
        <w:t xml:space="preserve">.</w:t>
      </w:r>
    </w:p>
    <w:p>
      <w:pPr>
        <w:numPr>
          <w:ilvl w:val="0"/>
          <w:numId w:val="1259"/>
        </w:numPr>
        <w:pStyle w:val="Compact"/>
      </w:pPr>
      <w:r>
        <w:rPr>
          <w:bCs/>
          <w:b/>
        </w:rPr>
        <w:t xml:space="preserve">Comportamento sociale:</w:t>
      </w:r>
      <w:r>
        <w:t xml:space="preserve"> </w:t>
      </w:r>
      <w:r>
        <w:t xml:space="preserve">in un modello murino di autismo una somministrazione di una settimana ha migliorato le misure del comportamento sociale</w:t>
      </w:r>
      <w:r>
        <w:rPr>
          <w:rStyle w:val="FootnoteReference"/>
        </w:rPr>
        <w:footnoteReference w:id="2043"/>
      </w:r>
      <w:r>
        <w:t xml:space="preserve">. Il meccanismo ipotizzato passa per un’attivazione del sistema dell’ossitocina (capitolo 2E05).</w:t>
      </w:r>
    </w:p>
    <w:p>
      <w:pPr>
        <w:pStyle w:val="FirstParagraph"/>
      </w:pPr>
      <w:r>
        <w:t xml:space="preserve">Nessuno di questi risultati è stato confermato nell’uomo.</w:t>
      </w:r>
    </w:p>
    <w:bookmarkEnd w:id="2044"/>
    <w:bookmarkStart w:id="2070" w:name="rischi-ed-effetti-collaterali-47"/>
    <w:p>
      <w:pPr>
        <w:pStyle w:val="Heading3"/>
      </w:pPr>
      <w:r>
        <w:t xml:space="preserve">Rischi ed effetti collaterali</w:t>
      </w:r>
    </w:p>
    <w:p>
      <w:pPr>
        <w:pStyle w:val="FirstParagraph"/>
      </w:pPr>
      <w:r>
        <w:t xml:space="preserve">I rischi del Melanotan II si possono suddividere in tre gruppi: gli effetti prevedibili attraverso i recettori delle melanocortine, le alterazioni cutanee con la questione aperta del cancro della pelle, e singoli casi gravi.</w:t>
      </w:r>
    </w:p>
    <w:bookmarkStart w:id="2049" w:name="effetti-prevedibili"/>
    <w:p>
      <w:pPr>
        <w:pStyle w:val="Heading4"/>
      </w:pPr>
      <w:r>
        <w:t xml:space="preserve">Effetti prevedibili</w:t>
      </w:r>
    </w:p>
    <w:p>
      <w:pPr>
        <w:pStyle w:val="FirstParagraph"/>
      </w:pPr>
      <w:r>
        <w:t xml:space="preserve">Nausea, arrossamento del viso, sbadigli e stiramenti, perdita di appetito, stanchezza ed erezioni spontanee si erano già manifestati negli studi</w:t>
      </w:r>
      <w:r>
        <w:rPr>
          <w:rStyle w:val="FootnoteReference"/>
        </w:rPr>
        <w:footnoteReference w:id="2045"/>
      </w:r>
      <w:r>
        <w:t xml:space="preserve">. La pigmentazione non riguarda solo la pelle: casi clinici descrivono strisce scure trasversali nelle unghie delle dita</w:t>
      </w:r>
      <w:r>
        <w:rPr>
          <w:rStyle w:val="FootnoteReference"/>
        </w:rPr>
        <w:footnoteReference w:id="2046"/>
      </w:r>
      <w:r>
        <w:t xml:space="preserve"> </w:t>
      </w:r>
      <w:r>
        <w:t xml:space="preserve">e alterazioni del pigmento della mucosa orale</w:t>
      </w:r>
      <w:r>
        <w:rPr>
          <w:rStyle w:val="FootnoteReference"/>
        </w:rPr>
        <w:footnoteReference w:id="2047"/>
      </w:r>
      <w:r>
        <w:t xml:space="preserve">. Paradossalmente sono descritte anche macchie chiare, depigmentate</w:t>
      </w:r>
      <w:r>
        <w:rPr>
          <w:rStyle w:val="FootnoteReference"/>
        </w:rPr>
        <w:footnoteReference w:id="2048"/>
      </w:r>
      <w:r>
        <w:t xml:space="preserve">.</w:t>
      </w:r>
    </w:p>
    <w:bookmarkEnd w:id="2049"/>
    <w:bookmarkStart w:id="2057" w:name="nei-e-melanoma"/>
    <w:p>
      <w:pPr>
        <w:pStyle w:val="Heading4"/>
      </w:pPr>
      <w:r>
        <w:t xml:space="preserve">Nei e melanoma</w:t>
      </w:r>
    </w:p>
    <w:p>
      <w:pPr>
        <w:pStyle w:val="FirstParagraph"/>
      </w:pPr>
      <w:r>
        <w:t xml:space="preserve">È questa la preoccupazione che impegna di più i dermatologi. Il Melanotan II stimola tutte le cellule pigmentate, anche quelle dei nei esistenti (nevi). Diversi casi clinici descrivono:</w:t>
      </w:r>
    </w:p>
    <w:p>
      <w:pPr>
        <w:numPr>
          <w:ilvl w:val="0"/>
          <w:numId w:val="1260"/>
        </w:numPr>
        <w:pStyle w:val="Compact"/>
      </w:pPr>
      <w:r>
        <w:rPr>
          <w:bCs/>
          <w:b/>
        </w:rPr>
        <w:t xml:space="preserve">comparsa di numerosi nuovi nei</w:t>
      </w:r>
      <w:r>
        <w:t xml:space="preserve"> </w:t>
      </w:r>
      <w:r>
        <w:t xml:space="preserve">(nevi eruttivi) dopo iniezioni di Melanotan</w:t>
      </w:r>
      <w:r>
        <w:rPr>
          <w:rStyle w:val="FootnoteReference"/>
        </w:rPr>
        <w:footnoteReference w:id="2050"/>
      </w:r>
      <w:r>
        <w:t xml:space="preserve">, in parte con aspetto vistoso e atipico</w:t>
      </w:r>
      <w:r>
        <w:rPr>
          <w:rStyle w:val="FootnoteReference"/>
        </w:rPr>
        <w:footnoteReference w:id="2051"/>
      </w:r>
      <w:r>
        <w:t xml:space="preserve">;</w:t>
      </w:r>
    </w:p>
    <w:p>
      <w:pPr>
        <w:numPr>
          <w:ilvl w:val="0"/>
          <w:numId w:val="1260"/>
        </w:numPr>
        <w:pStyle w:val="Compact"/>
      </w:pPr>
      <w:r>
        <w:rPr>
          <w:bCs/>
          <w:b/>
        </w:rPr>
        <w:t xml:space="preserve">nei esistenti che si scuriscono e si modificano</w:t>
      </w:r>
      <w:r>
        <w:t xml:space="preserve">;</w:t>
      </w:r>
    </w:p>
    <w:p>
      <w:pPr>
        <w:numPr>
          <w:ilvl w:val="0"/>
          <w:numId w:val="1260"/>
        </w:numPr>
        <w:pStyle w:val="Compact"/>
      </w:pPr>
      <w:r>
        <w:rPr>
          <w:bCs/>
          <w:b/>
        </w:rPr>
        <w:t xml:space="preserve">melanomi</w:t>
      </w:r>
      <w:r>
        <w:t xml:space="preserve">, cioè tumori maligni della pelle, durante o poco dopo l’uso</w:t>
      </w:r>
      <w:r>
        <w:rPr>
          <w:rStyle w:val="FootnoteReference"/>
        </w:rPr>
        <w:footnoteReference w:id="2052"/>
      </w:r>
      <w:r>
        <w:t xml:space="preserve">. Una donna di 20 anni con pelle chiara sviluppò un melanoma sul gluteo tre mesi dopo un’autosomministrazione di tre-quattro settimane, combinata con sedute al solarium</w:t>
      </w:r>
      <w:r>
        <w:rPr>
          <w:rStyle w:val="FootnoteReference"/>
        </w:rPr>
        <w:footnoteReference w:id="2053"/>
      </w:r>
      <w:r>
        <w:t xml:space="preserve">. Un caso pubblicato nel 2025 descrive un melanoma della mucosa orale in una ventiduenne che aveva usato uno spray nasale di Melanotan II</w:t>
      </w:r>
      <w:r>
        <w:rPr>
          <w:rStyle w:val="FootnoteReference"/>
        </w:rPr>
        <w:footnoteReference w:id="2054"/>
      </w:r>
      <w:r>
        <w:t xml:space="preserve">.</w:t>
      </w:r>
    </w:p>
    <w:p>
      <w:pPr>
        <w:pStyle w:val="FirstParagraph"/>
      </w:pPr>
      <w:r>
        <w:t xml:space="preserve">Una rassegna di tutti i casi pubblicati di nei a comparsa improvvisa (179 persone) ha individuato tra i fattori scatenanti, oltre a immunosoppressione e chemioterapia, anche il Melanotan; il 16% dei casi presentava almeno un neo displastico, cioè vistosamente alterato</w:t>
      </w:r>
      <w:r>
        <w:rPr>
          <w:rStyle w:val="FootnoteReference"/>
        </w:rPr>
        <w:footnoteReference w:id="2055"/>
      </w:r>
      <w:r>
        <w:t xml:space="preserve">.</w:t>
      </w:r>
    </w:p>
    <w:p>
      <w:pPr>
        <w:pStyle w:val="BodyText"/>
      </w:pPr>
      <w:r>
        <w:rPr>
          <w:bCs/>
          <w:b/>
        </w:rPr>
        <w:t xml:space="preserve">Che cosa significano questi dati:</w:t>
      </w:r>
      <w:r>
        <w:t xml:space="preserve"> </w:t>
      </w:r>
      <w:r>
        <w:t xml:space="preserve">i casi clinici non dimostrano un nesso causale. Molte delle persone coinvolte usavano contemporaneamente lettini abbronzanti o si esponevano intensamente al sole, il che aumenta il rischio di melanoma in modo indipendente. Una rassegna conclude che un nesso non è dimostrato in modo convincente, ma che l’accumulo di casi invita alla cautela</w:t>
      </w:r>
      <w:r>
        <w:rPr>
          <w:rStyle w:val="FootnoteReference"/>
        </w:rPr>
        <w:footnoteReference w:id="2056"/>
      </w:r>
      <w:r>
        <w:t xml:space="preserve">. Poiché il Melanotan II non è mai stato studiato sistematicamente, nessuno può dire quanto sia elevato un eventuale rischio. Per confronto: per l’affine afamelanotide, che è approvato, un’indagine con dermatoscopia ha rilevato solo alterazioni transitorie dei nei, senza indizi di trasformazione maligna (capitolo 2E03) – questi dati però non valgono per il Melanotan II.</w:t>
      </w:r>
    </w:p>
    <w:bookmarkEnd w:id="2057"/>
    <w:bookmarkStart w:id="2065" w:name="singoli-casi-gravi"/>
    <w:p>
      <w:pPr>
        <w:pStyle w:val="Heading4"/>
      </w:pPr>
      <w:r>
        <w:t xml:space="preserve">Singoli casi gravi</w:t>
      </w:r>
    </w:p>
    <w:p>
      <w:pPr>
        <w:numPr>
          <w:ilvl w:val="0"/>
          <w:numId w:val="1261"/>
        </w:numPr>
        <w:pStyle w:val="Compact"/>
      </w:pPr>
      <w:r>
        <w:rPr>
          <w:bCs/>
          <w:b/>
        </w:rPr>
        <w:t xml:space="preserve">Priapismo:</w:t>
      </w:r>
      <w:r>
        <w:t xml:space="preserve"> </w:t>
      </w:r>
      <w:r>
        <w:t xml:space="preserve">erezione dolorosa e prolungata, un’emergenza urologica. Diversi casi clinici la descrivono dopo iniezioni di Melanotan</w:t>
      </w:r>
      <w:r>
        <w:rPr>
          <w:rStyle w:val="FootnoteReference"/>
        </w:rPr>
        <w:footnoteReference w:id="2058"/>
      </w:r>
      <w:r>
        <w:t xml:space="preserve">. In un caso è stato necessario un intervento chirurgico di decompressione</w:t>
      </w:r>
      <w:r>
        <w:rPr>
          <w:rStyle w:val="FootnoteReference"/>
        </w:rPr>
        <w:footnoteReference w:id="2059"/>
      </w:r>
      <w:r>
        <w:t xml:space="preserve">; in un altro la capacità erettile non si era ancora ripristinata quattro settimane dopo</w:t>
      </w:r>
      <w:r>
        <w:rPr>
          <w:rStyle w:val="FootnoteReference"/>
        </w:rPr>
        <w:footnoteReference w:id="2060"/>
      </w:r>
      <w:r>
        <w:t xml:space="preserve">.</w:t>
      </w:r>
    </w:p>
    <w:p>
      <w:pPr>
        <w:numPr>
          <w:ilvl w:val="0"/>
          <w:numId w:val="1261"/>
        </w:numPr>
        <w:pStyle w:val="Compact"/>
      </w:pPr>
      <w:r>
        <w:rPr>
          <w:bCs/>
          <w:b/>
        </w:rPr>
        <w:t xml:space="preserve">Distruzione muscolare e danno renale:</w:t>
      </w:r>
      <w:r>
        <w:t xml:space="preserve"> </w:t>
      </w:r>
      <w:r>
        <w:t xml:space="preserve">un uomo di 39 anni si era iniettato, secondo quanto da lui riferito, sei volte la quantità iniziale raccomandata. Sviluppò tachicardia, agitazione e una grave distruzione muscolare (rabdomiolisi) con un aumento dell’enzima muscolare CK a 17.773 IU/L e un danno renale transitorio; la sostanza è stata confermata in laboratorio come Melanotan II</w:t>
      </w:r>
      <w:r>
        <w:rPr>
          <w:rStyle w:val="FootnoteReference"/>
        </w:rPr>
        <w:footnoteReference w:id="2061"/>
      </w:r>
      <w:r>
        <w:t xml:space="preserve">.</w:t>
      </w:r>
    </w:p>
    <w:p>
      <w:pPr>
        <w:numPr>
          <w:ilvl w:val="0"/>
          <w:numId w:val="1261"/>
        </w:numPr>
        <w:pStyle w:val="Compact"/>
      </w:pPr>
      <w:r>
        <w:rPr>
          <w:bCs/>
          <w:b/>
        </w:rPr>
        <w:t xml:space="preserve">Infarto renale:</w:t>
      </w:r>
      <w:r>
        <w:t xml:space="preserve"> </w:t>
      </w:r>
      <w:r>
        <w:t xml:space="preserve">un caso clinico con rassegna della letteratura ipotizza il Melanotan II come causa di un’occlusione dei vasi renali</w:t>
      </w:r>
      <w:r>
        <w:rPr>
          <w:rStyle w:val="FootnoteReference"/>
        </w:rPr>
        <w:footnoteReference w:id="2062"/>
      </w:r>
      <w:r>
        <w:t xml:space="preserve">.</w:t>
      </w:r>
    </w:p>
    <w:p>
      <w:pPr>
        <w:numPr>
          <w:ilvl w:val="0"/>
          <w:numId w:val="1261"/>
        </w:numPr>
        <w:pStyle w:val="Compact"/>
      </w:pPr>
      <w:r>
        <w:rPr>
          <w:bCs/>
          <w:b/>
        </w:rPr>
        <w:t xml:space="preserve">Edema cerebrale:</w:t>
      </w:r>
      <w:r>
        <w:t xml:space="preserve"> </w:t>
      </w:r>
      <w:r>
        <w:t xml:space="preserve">un caso clinico descrive una sindrome da encefalopatia posteriore reversibile (PRES), un rigonfiamento nella regione occipitale del cervello, in relazione al Melanotan</w:t>
      </w:r>
      <w:r>
        <w:rPr>
          <w:rStyle w:val="FootnoteReference"/>
        </w:rPr>
        <w:footnoteReference w:id="2063"/>
      </w:r>
      <w:r>
        <w:t xml:space="preserve">.</w:t>
      </w:r>
    </w:p>
    <w:p>
      <w:pPr>
        <w:numPr>
          <w:ilvl w:val="0"/>
          <w:numId w:val="1261"/>
        </w:numPr>
        <w:pStyle w:val="Compact"/>
      </w:pPr>
      <w:r>
        <w:rPr>
          <w:bCs/>
          <w:b/>
        </w:rPr>
        <w:t xml:space="preserve">Infiammazione cutanea:</w:t>
      </w:r>
      <w:r>
        <w:t xml:space="preserve"> </w:t>
      </w:r>
      <w:r>
        <w:t xml:space="preserve">è descritto anche un pioderma gangrenoso, una grave malattia ulcerativa della pelle</w:t>
      </w:r>
      <w:r>
        <w:rPr>
          <w:rStyle w:val="FootnoteReference"/>
        </w:rPr>
        <w:footnoteReference w:id="2064"/>
      </w:r>
      <w:r>
        <w:t xml:space="preserve">.</w:t>
      </w:r>
    </w:p>
    <w:bookmarkEnd w:id="2065"/>
    <w:bookmarkStart w:id="2069" w:name="rischi-del-mercato-grigio-1"/>
    <w:p>
      <w:pPr>
        <w:pStyle w:val="Heading4"/>
      </w:pPr>
      <w:r>
        <w:t xml:space="preserve">Rischi del mercato grigio</w:t>
      </w:r>
    </w:p>
    <w:p>
      <w:pPr>
        <w:pStyle w:val="FirstParagraph"/>
      </w:pPr>
      <w:r>
        <w:t xml:space="preserve">Un laboratorio ha acquistato flaconi di Melanotan II da tre negozi online. Tutti promettevano 10 mg per flacone; in realtà contenevano tra 4,32 e 8,84 mg. Nei prodotti di due negozi sono stati trovati dal 4,1 al 5,9% di impurità sconosciute</w:t>
      </w:r>
      <w:r>
        <w:rPr>
          <w:rStyle w:val="FootnoteReference"/>
        </w:rPr>
        <w:footnoteReference w:id="2066"/>
      </w:r>
      <w:r>
        <w:t xml:space="preserve">. Un laboratorio forense ha determinato in un campione sequestrato una purezza del 30%</w:t>
      </w:r>
      <w:r>
        <w:rPr>
          <w:rStyle w:val="FootnoteReference"/>
        </w:rPr>
        <w:footnoteReference w:id="2067"/>
      </w:r>
      <w:r>
        <w:t xml:space="preserve">. A ciò si aggiungono i rischi di una preparazione non sterile e di aghi condivisi, sui quali gli esperti richiamano espressamente l’attenzione</w:t>
      </w:r>
      <w:r>
        <w:rPr>
          <w:rStyle w:val="FootnoteReference"/>
        </w:rPr>
        <w:footnoteReference w:id="2068"/>
      </w:r>
      <w:r>
        <w:t xml:space="preserve">. Maggiori informazioni su purezza e contraffazioni nel mercato grigio si trovano nella Parte I e nella Parte IV.</w:t>
      </w:r>
    </w:p>
    <w:bookmarkEnd w:id="2069"/>
    <w:bookmarkEnd w:id="2070"/>
    <w:bookmarkStart w:id="2073" w:name="quadro-normativo-47"/>
    <w:p>
      <w:pPr>
        <w:pStyle w:val="Heading3"/>
      </w:pPr>
      <w:r>
        <w:t xml:space="preserve">Quadro normativo</w:t>
      </w:r>
    </w:p>
    <w:p>
      <w:pPr>
        <w:pStyle w:val="FirstParagraph"/>
      </w:pPr>
      <w:r>
        <w:rPr>
          <w:iCs/>
          <w:i/>
        </w:rPr>
        <w:t xml:space="preserve">Aggiornato al 2026, da verificare.</w:t>
      </w:r>
    </w:p>
    <w:p>
      <w:pPr>
        <w:numPr>
          <w:ilvl w:val="0"/>
          <w:numId w:val="1262"/>
        </w:numPr>
        <w:pStyle w:val="Compact"/>
      </w:pPr>
      <w:r>
        <w:rPr>
          <w:bCs/>
          <w:b/>
        </w:rPr>
        <w:t xml:space="preserve">UE:</w:t>
      </w:r>
      <w:r>
        <w:t xml:space="preserve"> </w:t>
      </w:r>
      <w:r>
        <w:t xml:space="preserve">il Melanotan II non è approvato in nessuno Stato membro. Poiché viene offerto per l’uso umano con effetti sulle funzioni corporee, dal punto di vista giuridico è considerato un medicinale; produzione, importazione e vendita senza autorizzazione sono vietate. La dicitura «solo a scopo di ricerca» non cambia nulla.</w:t>
      </w:r>
    </w:p>
    <w:p>
      <w:pPr>
        <w:numPr>
          <w:ilvl w:val="0"/>
          <w:numId w:val="1262"/>
        </w:numPr>
        <w:pStyle w:val="Compact"/>
      </w:pPr>
      <w:r>
        <w:rPr>
          <w:bCs/>
          <w:b/>
        </w:rPr>
        <w:t xml:space="preserve">Germania e Austria:</w:t>
      </w:r>
      <w:r>
        <w:t xml:space="preserve"> </w:t>
      </w:r>
      <w:r>
        <w:t xml:space="preserve">non approvato. La cessione per l’uso umano viola la rispettiva legge sui medicinali. Autorità e dogane sequestrano le spedizioni.</w:t>
      </w:r>
    </w:p>
    <w:p>
      <w:pPr>
        <w:numPr>
          <w:ilvl w:val="0"/>
          <w:numId w:val="1262"/>
        </w:numPr>
        <w:pStyle w:val="Compact"/>
      </w:pPr>
      <w:r>
        <w:rPr>
          <w:bCs/>
          <w:b/>
        </w:rPr>
        <w:t xml:space="preserve">Avvertenze delle autorità:</w:t>
      </w:r>
      <w:r>
        <w:t xml:space="preserve"> </w:t>
      </w:r>
      <w:r>
        <w:t xml:space="preserve">diverse autorità nazionali per i farmaci e la salute hanno messo in guardia da Melanotan I e II</w:t>
      </w:r>
      <w:r>
        <w:rPr>
          <w:rStyle w:val="FootnoteReference"/>
        </w:rPr>
        <w:footnoteReference w:id="2071"/>
      </w:r>
      <w:r>
        <w:t xml:space="preserve">. Per quanto noto all’autore, le autorità del Regno Unito e dell’Irlanda sono state dal 2008 tra le prime; in seguito si sono aggiunti altri Paesi europei e l’Australia. Nel Regno Unito la vendita è espressamente illegale</w:t>
      </w:r>
      <w:r>
        <w:rPr>
          <w:rStyle w:val="FootnoteReference"/>
        </w:rPr>
        <w:footnoteReference w:id="2072"/>
      </w:r>
      <w:r>
        <w:t xml:space="preserve">.</w:t>
      </w:r>
    </w:p>
    <w:p>
      <w:pPr>
        <w:numPr>
          <w:ilvl w:val="0"/>
          <w:numId w:val="1262"/>
        </w:numPr>
        <w:pStyle w:val="Compact"/>
      </w:pPr>
      <w:r>
        <w:rPr>
          <w:bCs/>
          <w:b/>
        </w:rPr>
        <w:t xml:space="preserve">USA:</w:t>
      </w:r>
      <w:r>
        <w:t xml:space="preserve"> </w:t>
      </w:r>
      <w:r>
        <w:t xml:space="preserve">nessuna approvazione FDA; la distribuzione come farmaco per uso umano non è consentita.</w:t>
      </w:r>
    </w:p>
    <w:p>
      <w:pPr>
        <w:numPr>
          <w:ilvl w:val="0"/>
          <w:numId w:val="1262"/>
        </w:numPr>
        <w:pStyle w:val="Compact"/>
      </w:pPr>
      <w:r>
        <w:rPr>
          <w:bCs/>
          <w:b/>
        </w:rPr>
        <w:t xml:space="preserve">WADA:</w:t>
      </w:r>
      <w:r>
        <w:t xml:space="preserve"> </w:t>
      </w:r>
      <w:r>
        <w:t xml:space="preserve">vietato come sostanza non approvata (S0).</w:t>
      </w:r>
    </w:p>
    <w:bookmarkEnd w:id="2073"/>
    <w:bookmarkStart w:id="2074" w:name="studi-in-corso-e-prospettive-47"/>
    <w:p>
      <w:pPr>
        <w:pStyle w:val="Heading3"/>
      </w:pPr>
      <w:r>
        <w:t xml:space="preserve">Studi in corso e prospettive</w:t>
      </w:r>
    </w:p>
    <w:p>
      <w:pPr>
        <w:pStyle w:val="FirstParagraph"/>
      </w:pPr>
      <w:r>
        <w:rPr>
          <w:bCs/>
          <w:b/>
        </w:rPr>
        <w:t xml:space="preserve">Dati certi (studi registrati):</w:t>
      </w:r>
      <w:r>
        <w:t xml:space="preserve"> </w:t>
      </w:r>
      <w:r>
        <w:t xml:space="preserve">nessuno. Su ClinicalTrials.gov si trovava sì una voce sul Melanotan II nella vitiligine; lo sponsor di questa voce ha però registrato anche voci che si definiscono esse stesse fittizie. Per questo la voce non viene considerata qui come uno studio reale. Ciò dimostra, tra l’altro, che anche una voce di registro non prova che uno studio si svolga davvero.</w:t>
      </w:r>
    </w:p>
    <w:p>
      <w:pPr>
        <w:pStyle w:val="BodyText"/>
      </w:pPr>
      <w:r>
        <w:rPr>
          <w:bCs/>
          <w:b/>
        </w:rPr>
        <w:t xml:space="preserve">Valutazione dell’autore:</w:t>
      </w:r>
      <w:r>
        <w:t xml:space="preserve"> </w:t>
      </w:r>
      <w:r>
        <w:t xml:space="preserve">per un’approvazione come abbronzante nelle persone sane non esiste una via realistica: il beneficio è cosmetico, gli effetti collaterali attraverso il cervello sono marcati e la questione di nei e melanoma dovrebbe essere chiarita in studi ampi e lunghi. Le applicazioni mediche sensate degli agonisti delle melanocortine vengono perseguite con molecole più selettive – afamelanotide per la pelle, bremelanotide e setmelanotide per il cervello. La popolarità sui social media farà probabilmente aumentare ancora il numero dei casi clinici.</w:t>
      </w:r>
    </w:p>
    <w:bookmarkEnd w:id="2074"/>
    <w:bookmarkStart w:id="2075" w:name="conclusione-47"/>
    <w:p>
      <w:pPr>
        <w:pStyle w:val="Heading3"/>
      </w:pPr>
      <w:r>
        <w:t xml:space="preserve">Conclusione</w:t>
      </w:r>
    </w:p>
    <w:p>
      <w:pPr>
        <w:pStyle w:val="FirstParagraph"/>
      </w:pPr>
      <w:r>
        <w:t xml:space="preserve">Il Melanotan II è un peptide di ricerca degli anni Novanta, testato solo su circa due dozzine di persone in piccoli studi e mai approvato. Abbronza la pelle, ma attraverso i recettori del cervello provoca regolarmente nausea ed erezioni spontanee. I casi clinici descrivono nei nuovi e alterati, melanomi, priapismo e distruzione muscolare; un nesso causale con il cancro della pelle non è dimostrato, ma nemmeno escluso. Nelle analisi di laboratorio i prodotti del mercato grigio contenevano meno principio attivo di quanto dichiarato e impurità sconosciute. I dati non bastano per definire sicuro il Melanotan II.</w:t>
      </w:r>
    </w:p>
    <w:bookmarkEnd w:id="2075"/>
    <w:bookmarkEnd w:id="2076"/>
    <w:bookmarkStart w:id="2136" w:name="afamelanotide"/>
    <w:p>
      <w:pPr>
        <w:pStyle w:val="Heading2"/>
      </w:pPr>
      <w:r>
        <w:t xml:space="preserve">Afamelanotide</w:t>
      </w:r>
    </w:p>
    <w:bookmarkStart w:id="2079" w:name="scheda-48"/>
    <w:p>
      <w:pPr>
        <w:pStyle w:val="Heading3"/>
      </w:pPr>
      <w:r>
        <w:t xml:space="preserve">Scheda</w:t>
      </w:r>
    </w:p>
    <w:p>
      <w:pPr>
        <w:numPr>
          <w:ilvl w:val="0"/>
          <w:numId w:val="1263"/>
        </w:numPr>
        <w:pStyle w:val="Compact"/>
      </w:pPr>
      <w:r>
        <w:rPr>
          <w:bCs/>
          <w:b/>
        </w:rPr>
        <w:t xml:space="preserve">Tipo/struttura:</w:t>
      </w:r>
      <w:r>
        <w:t xml:space="preserve"> </w:t>
      </w:r>
      <w:r>
        <w:t xml:space="preserve">peptide lineare di 13 aminoacidi. Corrisponde all’ormone endogeno alfa-MSH, in cui sono stati sostituiti due elementi (in posizione 4 la norleucina, in posizione 7 la forma speculare D della fenilalanina). Queste modifiche lo rendono più stabile e più potente. Nomi precedenti: Melanotan I, MT-I, NDP-MSH, CUV1647.</w:t>
      </w:r>
    </w:p>
    <w:p>
      <w:pPr>
        <w:numPr>
          <w:ilvl w:val="0"/>
          <w:numId w:val="1263"/>
        </w:numPr>
        <w:pStyle w:val="Compact"/>
      </w:pPr>
      <w:r>
        <w:rPr>
          <w:bCs/>
          <w:b/>
        </w:rPr>
        <w:t xml:space="preserve">Origine:</w:t>
      </w:r>
      <w:r>
        <w:t xml:space="preserve"> </w:t>
      </w:r>
      <w:r>
        <w:t xml:space="preserve">sviluppato all’Università dell’Arizona insieme al Melanotan II</w:t>
      </w:r>
      <w:r>
        <w:rPr>
          <w:rStyle w:val="FootnoteReference"/>
        </w:rPr>
        <w:footnoteReference w:id="2077"/>
      </w:r>
      <w:r>
        <w:t xml:space="preserve">; in seguito trasformato in farmaco dall’azienda australiana Clinuvel.</w:t>
      </w:r>
    </w:p>
    <w:p>
      <w:pPr>
        <w:numPr>
          <w:ilvl w:val="0"/>
          <w:numId w:val="1263"/>
        </w:numPr>
        <w:pStyle w:val="Compact"/>
      </w:pPr>
      <w:r>
        <w:rPr>
          <w:bCs/>
          <w:b/>
        </w:rPr>
        <w:t xml:space="preserve">Principio d’azione:</w:t>
      </w:r>
      <w:r>
        <w:t xml:space="preserve"> </w:t>
      </w:r>
      <w:r>
        <w:t xml:space="preserve">agonista del recettore 1 delle melanocortine (MC1R) delle cellule pigmentate. Stimola la produzione del pigmento scuro e fotoprotettivo eumelanina – senza una precedente esposizione ai raggi UV.</w:t>
      </w:r>
    </w:p>
    <w:p>
      <w:pPr>
        <w:numPr>
          <w:ilvl w:val="0"/>
          <w:numId w:val="1263"/>
        </w:numPr>
        <w:pStyle w:val="Compact"/>
      </w:pPr>
      <w:r>
        <w:rPr>
          <w:bCs/>
          <w:b/>
        </w:rPr>
        <w:t xml:space="preserve">Forma farmaceutica:</w:t>
      </w:r>
      <w:r>
        <w:t xml:space="preserve"> </w:t>
      </w:r>
      <w:r>
        <w:t xml:space="preserve">piccolo impianto che si dissolve da solo (16 mg), inserito sotto la pelle, che rilascia il principio attivo nell’arco di settimane. Viene inserito in centri specializzati.</w:t>
      </w:r>
    </w:p>
    <w:p>
      <w:pPr>
        <w:numPr>
          <w:ilvl w:val="0"/>
          <w:numId w:val="1263"/>
        </w:numPr>
        <w:pStyle w:val="Compact"/>
      </w:pPr>
      <w:r>
        <w:rPr>
          <w:bCs/>
          <w:b/>
        </w:rPr>
        <w:t xml:space="preserve">Approvazione UE:</w:t>
      </w:r>
      <w:r>
        <w:t xml:space="preserve"> </w:t>
      </w:r>
      <w:r>
        <w:t xml:space="preserve">sì, dal 2014 (Scenesse) per la prevenzione dei danni da luce negli adulti con protoporfiria eritropoietica (EPP). L’approvazione era subordinata a condizioni, tra cui uno studio di sicurezza dopo l’approvazione e un registro dei pazienti</w:t>
      </w:r>
      <w:r>
        <w:rPr>
          <w:rStyle w:val="FootnoteReference"/>
        </w:rPr>
        <w:footnoteReference w:id="2078"/>
      </w:r>
      <w:r>
        <w:t xml:space="preserve">.</w:t>
      </w:r>
    </w:p>
    <w:p>
      <w:pPr>
        <w:numPr>
          <w:ilvl w:val="0"/>
          <w:numId w:val="1263"/>
        </w:numPr>
        <w:pStyle w:val="Compact"/>
      </w:pPr>
      <w:r>
        <w:rPr>
          <w:bCs/>
          <w:b/>
        </w:rPr>
        <w:t xml:space="preserve">Approvazione USA:</w:t>
      </w:r>
      <w:r>
        <w:t xml:space="preserve"> </w:t>
      </w:r>
      <w:r>
        <w:t xml:space="preserve">sì, dal 2019 per gli adulti con EPP.</w:t>
      </w:r>
    </w:p>
    <w:p>
      <w:pPr>
        <w:numPr>
          <w:ilvl w:val="0"/>
          <w:numId w:val="1263"/>
        </w:numPr>
        <w:pStyle w:val="Compact"/>
      </w:pPr>
      <w:r>
        <w:rPr>
          <w:bCs/>
          <w:b/>
        </w:rPr>
        <w:t xml:space="preserve">WADA:</w:t>
      </w:r>
      <w:r>
        <w:t xml:space="preserve"> </w:t>
      </w:r>
      <w:r>
        <w:t xml:space="preserve">non elencato.</w:t>
      </w:r>
    </w:p>
    <w:p>
      <w:pPr>
        <w:numPr>
          <w:ilvl w:val="0"/>
          <w:numId w:val="1263"/>
        </w:numPr>
        <w:pStyle w:val="Compact"/>
      </w:pPr>
      <w:r>
        <w:rPr>
          <w:bCs/>
          <w:b/>
        </w:rPr>
        <w:t xml:space="preserve">Livello di evidenza:</w:t>
      </w:r>
      <w:r>
        <w:t xml:space="preserve"> </w:t>
      </w:r>
      <w:r>
        <w:rPr>
          <w:bCs/>
          <w:b/>
        </w:rPr>
        <w:t xml:space="preserve">A</w:t>
      </w:r>
      <w:r>
        <w:t xml:space="preserve"> </w:t>
      </w:r>
      <w:r>
        <w:t xml:space="preserve">– approvazione nell’UE e negli USA sulla base di due studi randomizzati controllati con placebo, integrati da diverse coorti a lungo termine. A causa della rarità della malattia gli studi sono più piccoli che per le malattie diffuse.</w:t>
      </w:r>
    </w:p>
    <w:bookmarkEnd w:id="2079"/>
    <w:bookmarkStart w:id="2082" w:name="come-dovrebbe-agire-48"/>
    <w:p>
      <w:pPr>
        <w:pStyle w:val="Heading3"/>
      </w:pPr>
      <w:r>
        <w:t xml:space="preserve">Come dovrebbe agire</w:t>
      </w:r>
    </w:p>
    <w:p>
      <w:pPr>
        <w:pStyle w:val="FirstParagraph"/>
      </w:pPr>
      <w:r>
        <w:t xml:space="preserve">La protoporfiria eritropoietica (EPP) è una rara malattia ereditaria. In Europa ne è colpita almeno una persona su 140.000</w:t>
      </w:r>
      <w:r>
        <w:rPr>
          <w:rStyle w:val="FootnoteReference"/>
        </w:rPr>
        <w:footnoteReference w:id="2080"/>
      </w:r>
      <w:r>
        <w:t xml:space="preserve">. A causa di un difetto enzimatico nella produzione del pigmento rosso del sangue, un precursore, la protoporfirina IX, si accumula nel sangue e nella pelle. Questa sostanza viene attivata dalla luce visibile e danneggia quindi i tessuti e i piccoli vasi sanguigni della pelle.</w:t>
      </w:r>
    </w:p>
    <w:p>
      <w:pPr>
        <w:pStyle w:val="BodyText"/>
      </w:pPr>
      <w:r>
        <w:t xml:space="preserve">Le conseguenze sono dolori brucianti, spesso persistenti per giorni, dopo pochi minuti alla luce del sole – spesso senza alterazioni visibili della pelle. Le persone colpite evitano la luce del giorno fin dall’infanzia. La protezione solare convenzionale aiuta poco, perché a scatenare la reazione è soprattutto la luce visibile e non la radiazione UV. Una parte dei pazienti sviluppa inoltre danni al fegato, perché la protoporfirina in eccesso viene eliminata attraverso la bile</w:t>
      </w:r>
      <w:r>
        <w:rPr>
          <w:rStyle w:val="FootnoteReference"/>
        </w:rPr>
        <w:footnoteReference w:id="2081"/>
      </w:r>
      <w:r>
        <w:t xml:space="preserve">.</w:t>
      </w:r>
    </w:p>
    <w:p>
      <w:pPr>
        <w:pStyle w:val="BodyText"/>
      </w:pPr>
      <w:r>
        <w:t xml:space="preserve">L’afamelanotide non agisce sulla causa, ma sulla pelle: la abbronza, e l’eumelanina aggiuntiva intercetta una parte della luce prima che raggiunga la protoporfirina. Gli esperimenti di laboratorio suggeriscono inoltre effetti antinfiammatori e antiossidanti. Quanto di ciò abbia un ruolo nell’uomo non è chiaro.</w:t>
      </w:r>
    </w:p>
    <w:p>
      <w:pPr>
        <w:pStyle w:val="BodyText"/>
      </w:pPr>
      <w:r>
        <w:t xml:space="preserve">A differenza del Melanotan II (capitolo 2E02), l’afamelanotide agisce prevalentemente sul recettore del pigmento MC1R e solo poco sui recettori nel cervello. Per questo nausea ed effetti concomitanti di tipo sessuale sono molto più rari.</w:t>
      </w:r>
    </w:p>
    <w:bookmarkEnd w:id="2082"/>
    <w:bookmarkStart w:id="2110" w:name="studi-sulluomo-48"/>
    <w:p>
      <w:pPr>
        <w:pStyle w:val="Heading3"/>
      </w:pPr>
      <w:r>
        <w:t xml:space="preserve">Studi sull’uomo</w:t>
      </w:r>
    </w:p>
    <w:p>
      <w:pPr>
        <w:pStyle w:val="FirstParagraph"/>
      </w:pPr>
      <w:r>
        <w:rPr>
          <w:bCs/>
          <w:b/>
        </w:rPr>
        <w:t xml:space="preserve">Entità degli studi disponibili (ricerca di ottobre 2026):</w:t>
      </w:r>
      <w:r>
        <w:t xml:space="preserve"> </w:t>
      </w:r>
      <w:r>
        <w:t xml:space="preserve">la ricerca automatizzata di questo libro ha trovato</w:t>
      </w:r>
      <w:r>
        <w:t xml:space="preserve"> </w:t>
      </w:r>
      <w:r>
        <w:rPr>
          <w:bCs/>
          <w:b/>
        </w:rPr>
        <w:t xml:space="preserve">10</w:t>
      </w:r>
      <w:r>
        <w:t xml:space="preserve"> </w:t>
      </w:r>
      <w:r>
        <w:t xml:space="preserve">studi sull’uomo in PubMed (</w:t>
      </w:r>
      <w:r>
        <w:rPr>
          <w:rStyle w:val="VerbatimChar"/>
        </w:rPr>
        <w:t xml:space="preserve">humanstudien_alle</w:t>
      </w:r>
      <w:r>
        <w:t xml:space="preserve">) e</w:t>
      </w:r>
      <w:r>
        <w:t xml:space="preserve"> </w:t>
      </w:r>
      <w:r>
        <w:rPr>
          <w:bCs/>
          <w:b/>
        </w:rPr>
        <w:t xml:space="preserve">23</w:t>
      </w:r>
      <w:r>
        <w:t xml:space="preserve"> </w:t>
      </w:r>
      <w:r>
        <w:t xml:space="preserve">voci su ClinicalTrials.gov. La ricerca registra però solo il nome «afamelanotide»; gli studi più vecchi con i nomi Melanotan I o NDP-MSH e diversi studi di coorte non vi sono compresi e vengono discussi qui in aggiunta.</w:t>
      </w:r>
    </w:p>
    <w:bookmarkStart w:id="2086" w:name="Xe77ef4a4f8d1eab2c4a0a7cee7463e077711a6a"/>
    <w:p>
      <w:pPr>
        <w:pStyle w:val="Heading4"/>
      </w:pPr>
      <w:r>
        <w:t xml:space="preserve">Antefatti: il Melanotan I nelle persone sane</w:t>
      </w:r>
    </w:p>
    <w:p>
      <w:pPr>
        <w:pStyle w:val="FirstParagraph"/>
      </w:pPr>
      <w:r>
        <w:t xml:space="preserve">Negli anni Novanta e nei primi anni Duemila volontari sani in Arizona ricevettero iniezioni quotidiane. La loro pelle si scurì su viso, collo e avambracci; il contenuto di eumelanina della pelle dell’avambraccio aumentò in media del 98%</w:t>
      </w:r>
      <w:r>
        <w:rPr>
          <w:rStyle w:val="FootnoteReference"/>
        </w:rPr>
        <w:footnoteReference w:id="2083"/>
      </w:r>
      <w:r>
        <w:t xml:space="preserve">. In combinazione con la luce solare la pelle si abbronzava più intensamente e più a lungo, e i partecipanti senza principio attivo avevano bisogno del 50% di tempo al sole in più per la stessa abbronzatura</w:t>
      </w:r>
      <w:r>
        <w:rPr>
          <w:rStyle w:val="FootnoteReference"/>
        </w:rPr>
        <w:footnoteReference w:id="2084"/>
      </w:r>
      <w:r>
        <w:t xml:space="preserve">. In uno studio con 77 persone di carnagione chiara l’effetto era persino più forte nei portatori di determinate varianti genetiche di MC1R – cioè nelle persone con pelle particolarmente sensibile al sole</w:t>
      </w:r>
      <w:r>
        <w:rPr>
          <w:rStyle w:val="FootnoteReference"/>
        </w:rPr>
        <w:footnoteReference w:id="2085"/>
      </w:r>
      <w:r>
        <w:t xml:space="preserve">. Il progetto di ricavarne una protezione dal cancro della pelle per la popolazione generale non fu portato avanti.</w:t>
      </w:r>
    </w:p>
    <w:bookmarkEnd w:id="2086"/>
    <w:bookmarkStart w:id="2090" w:name="gli-studi-registrativi-nella-epp"/>
    <w:p>
      <w:pPr>
        <w:pStyle w:val="Heading4"/>
      </w:pPr>
      <w:r>
        <w:t xml:space="preserve">Gli studi registrativi nella EPP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Harms 2009, PMID 19656325</w:t>
            </w:r>
          </w:p>
        </w:tc>
        <w:tc>
          <w:tcPr/>
          <w:p>
            <w:pPr>
              <w:pStyle w:val="Compact"/>
              <w:jc w:val="left"/>
            </w:pPr>
            <w:r>
              <w:t xml:space="preserve">5 persone con EPP, studio pilota in aperto</w:t>
            </w:r>
          </w:p>
        </w:tc>
        <w:tc>
          <w:tcPr/>
          <w:p>
            <w:pPr>
              <w:pStyle w:val="Compact"/>
              <w:jc w:val="left"/>
            </w:pPr>
            <w:r>
              <w:t xml:space="preserve">120 giorni</w:t>
            </w:r>
          </w:p>
        </w:tc>
        <w:tc>
          <w:tcPr/>
          <w:p>
            <w:pPr>
              <w:pStyle w:val="Compact"/>
              <w:jc w:val="left"/>
            </w:pPr>
            <w:r>
              <w:t xml:space="preserve">Tolleranza alla luce nettamente aumentata</w:t>
            </w:r>
          </w:p>
        </w:tc>
      </w:tr>
      <w:tr>
        <w:tc>
          <w:tcPr/>
          <w:p>
            <w:pPr>
              <w:pStyle w:val="Compact"/>
              <w:jc w:val="left"/>
            </w:pPr>
            <w:r>
              <w:t xml:space="preserve">Studio UE (Langendonk 2015), PMID 26132941</w:t>
            </w:r>
          </w:p>
        </w:tc>
        <w:tc>
          <w:tcPr/>
          <w:p>
            <w:pPr>
              <w:pStyle w:val="Compact"/>
              <w:jc w:val="left"/>
            </w:pPr>
            <w:r>
              <w:t xml:space="preserve">74 persone, RCT contro impianto placebo</w:t>
            </w:r>
          </w:p>
        </w:tc>
        <w:tc>
          <w:tcPr/>
          <w:p>
            <w:pPr>
              <w:pStyle w:val="Compact"/>
              <w:jc w:val="left"/>
            </w:pPr>
            <w:r>
              <w:t xml:space="preserve">9 mesi</w:t>
            </w:r>
          </w:p>
        </w:tc>
        <w:tc>
          <w:tcPr/>
          <w:p>
            <w:pPr>
              <w:pStyle w:val="Compact"/>
              <w:jc w:val="left"/>
            </w:pPr>
            <w:r>
              <w:t xml:space="preserve">tempo senza dolore al sole diretto, mediana 6,0 vs. 0,8 ore; 77 vs. 146 reazioni alla luce</w:t>
            </w:r>
          </w:p>
        </w:tc>
      </w:tr>
      <w:tr>
        <w:tc>
          <w:tcPr/>
          <w:p>
            <w:pPr>
              <w:pStyle w:val="Compact"/>
              <w:jc w:val="left"/>
            </w:pPr>
            <w:r>
              <w:t xml:space="preserve">Studio USA (Langendonk 2015), PMID 26132941</w:t>
            </w:r>
          </w:p>
        </w:tc>
        <w:tc>
          <w:tcPr/>
          <w:p>
            <w:pPr>
              <w:pStyle w:val="Compact"/>
              <w:jc w:val="left"/>
            </w:pPr>
            <w:r>
              <w:t xml:space="preserve">94 persone, RCT contro impianto placebo</w:t>
            </w:r>
          </w:p>
        </w:tc>
        <w:tc>
          <w:tcPr/>
          <w:p>
            <w:pPr>
              <w:pStyle w:val="Compact"/>
              <w:jc w:val="left"/>
            </w:pPr>
            <w:r>
              <w:t xml:space="preserve">6 mesi</w:t>
            </w:r>
          </w:p>
        </w:tc>
        <w:tc>
          <w:tcPr/>
          <w:p>
            <w:pPr>
              <w:pStyle w:val="Compact"/>
              <w:jc w:val="left"/>
            </w:pPr>
            <w:r>
              <w:t xml:space="preserve">tempo senza dolore al sole diretto, mediana 69,4 vs. 40,8 ore</w:t>
            </w:r>
          </w:p>
        </w:tc>
      </w:tr>
      <w:tr>
        <w:tc>
          <w:tcPr/>
          <w:p>
            <w:pPr>
              <w:pStyle w:val="Compact"/>
              <w:jc w:val="left"/>
            </w:pPr>
            <w:r>
              <w:t xml:space="preserve">Revisione sistematica (Heerfordt 2023), PMID 36525819</w:t>
            </w:r>
          </w:p>
        </w:tc>
        <w:tc>
          <w:tcPr/>
          <w:p>
            <w:pPr>
              <w:pStyle w:val="Compact"/>
              <w:jc w:val="left"/>
            </w:pPr>
            <w:r>
              <w:t xml:space="preserve">40 studi su 18 trattamenti nella EPP</w:t>
            </w:r>
          </w:p>
        </w:tc>
        <w:tc>
          <w:tcPr/>
          <w:p>
            <w:pPr>
              <w:pStyle w:val="Compact"/>
              <w:jc w:val="left"/>
            </w:pPr>
            <w:r>
              <w:t xml:space="preserve">–</w:t>
            </w:r>
          </w:p>
        </w:tc>
        <w:tc>
          <w:tcPr/>
          <w:p>
            <w:pPr>
              <w:pStyle w:val="Compact"/>
              <w:jc w:val="left"/>
            </w:pPr>
            <w:r>
              <w:t xml:space="preserve">effetto positivo moderato per afamelanotide e protezione solare minerale; nessun effetto per beta-carotene e altri</w:t>
            </w:r>
          </w:p>
        </w:tc>
      </w:tr>
    </w:tbl>
    <w:p>
      <w:pPr>
        <w:pStyle w:val="BodyText"/>
      </w:pPr>
      <w:r>
        <w:t xml:space="preserve">Nel primo studio pilota cinque pazienti ricevettero due impianti a distanza di 60 giorni. In seguito, in un test standardizzato alla luce, tolleravano molta più luce e la densità di melanina della pelle era aumentata</w:t>
      </w:r>
      <w:r>
        <w:rPr>
          <w:rStyle w:val="FootnoteReference"/>
        </w:rPr>
        <w:footnoteReference w:id="2087"/>
      </w:r>
      <w:r>
        <w:t xml:space="preserve">.</w:t>
      </w:r>
    </w:p>
    <w:p>
      <w:pPr>
        <w:pStyle w:val="BodyText"/>
      </w:pPr>
      <w:r>
        <w:t xml:space="preserve">L’approvazione si basa su due studi in doppio cieco pubblicati insieme sul New England Journal of Medicine</w:t>
      </w:r>
      <w:r>
        <w:rPr>
          <w:rStyle w:val="FootnoteReference"/>
        </w:rPr>
        <w:footnoteReference w:id="2088"/>
      </w:r>
      <w:r>
        <w:t xml:space="preserve">. Ogni 60 giorni i partecipanti ricevevano un impianto con afamelanotide o un impianto fittizio. L’endpoint primario era il numero di ore trascorse al sole diretto senza dolore, annotate dai partecipanti in un diario.</w:t>
      </w:r>
    </w:p>
    <w:p>
      <w:pPr>
        <w:pStyle w:val="BodyText"/>
      </w:pPr>
      <w:r>
        <w:t xml:space="preserve">Entrambi gli studi hanno mostrato un vantaggio per l’afamelanotide e in entrambi è migliorata la qualità della vita. I numeri assoluti sono però deludenti: nello studio europeo i partecipanti hanno trascorso in nove mesi, in mediana, sei ore senza dolore al sole diretto, con il placebo poco meno di un’ora. Il fatto che i valori siano così bassi dipende anche dalla malattia stessa: chi ha sofferto dolori per anni continua a evitare il sole, anche quando lo tollera meglio. Una misurazione tramite diario di questo tipo dipende inoltre molto dal tempo atmosferico e dalla stagione, il che rende gli studi difficilmente confrontabili</w:t>
      </w:r>
      <w:r>
        <w:rPr>
          <w:rStyle w:val="FootnoteReference"/>
        </w:rPr>
        <w:footnoteReference w:id="2089"/>
      </w:r>
      <w:r>
        <w:t xml:space="preserve">.</w:t>
      </w:r>
    </w:p>
    <w:bookmarkEnd w:id="2090"/>
    <w:bookmarkStart w:id="2094" w:name="dati-a-lungo-termine-dalla-pratica"/>
    <w:p>
      <w:pPr>
        <w:pStyle w:val="Heading4"/>
      </w:pPr>
      <w:r>
        <w:t xml:space="preserve">Dati a lungo termine dalla pratica</w:t>
      </w:r>
    </w:p>
    <w:p>
      <w:pPr>
        <w:pStyle w:val="FirstParagraph"/>
      </w:pPr>
      <w:r>
        <w:t xml:space="preserve">Poiché gli studi registrativi erano brevi e piccoli, le osservazioni dalla pratica clinica di routine sono particolarmente importanti.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Biolcati 2015, PMID 25494545</w:t>
            </w:r>
          </w:p>
        </w:tc>
        <w:tc>
          <w:tcPr/>
          <w:p>
            <w:pPr>
              <w:pStyle w:val="Compact"/>
              <w:jc w:val="left"/>
            </w:pPr>
            <w:r>
              <w:t xml:space="preserve">115 persone a Roma e Zurigo, 1.023 impianti, studio osservazionale</w:t>
            </w:r>
          </w:p>
        </w:tc>
        <w:tc>
          <w:tcPr/>
          <w:p>
            <w:pPr>
              <w:pStyle w:val="Compact"/>
              <w:jc w:val="left"/>
            </w:pPr>
            <w:r>
              <w:t xml:space="preserve">fino a 8 anni</w:t>
            </w:r>
          </w:p>
        </w:tc>
        <w:tc>
          <w:tcPr/>
          <w:p>
            <w:pPr>
              <w:pStyle w:val="Compact"/>
              <w:jc w:val="left"/>
            </w:pPr>
            <w:r>
              <w:t xml:space="preserve">Qualità della vita dal 31% al 74% del valore massimo</w:t>
            </w:r>
          </w:p>
        </w:tc>
      </w:tr>
      <w:tr>
        <w:tc>
          <w:tcPr/>
          <w:p>
            <w:pPr>
              <w:pStyle w:val="Compact"/>
              <w:jc w:val="left"/>
            </w:pPr>
            <w:r>
              <w:t xml:space="preserve">Wensink 2020, PMID 32186677</w:t>
            </w:r>
          </w:p>
        </w:tc>
        <w:tc>
          <w:tcPr/>
          <w:p>
            <w:pPr>
              <w:pStyle w:val="Compact"/>
              <w:jc w:val="left"/>
            </w:pPr>
            <w:r>
              <w:t xml:space="preserve">117 persone a Rotterdam, coorte prospettica</w:t>
            </w:r>
          </w:p>
        </w:tc>
        <w:tc>
          <w:tcPr/>
          <w:p>
            <w:pPr>
              <w:pStyle w:val="Compact"/>
              <w:jc w:val="left"/>
            </w:pPr>
            <w:r>
              <w:t xml:space="preserve">mediana 2 anni</w:t>
            </w:r>
          </w:p>
        </w:tc>
        <w:tc>
          <w:tcPr/>
          <w:p>
            <w:pPr>
              <w:pStyle w:val="Compact"/>
              <w:jc w:val="left"/>
            </w:pPr>
            <w:r>
              <w:t xml:space="preserve">6,1 ore a settimana in più all’aperto; il 98% ha proseguito</w:t>
            </w:r>
          </w:p>
        </w:tc>
      </w:tr>
      <w:tr>
        <w:tc>
          <w:tcPr/>
          <w:p>
            <w:pPr>
              <w:pStyle w:val="Compact"/>
              <w:jc w:val="left"/>
            </w:pPr>
            <w:r>
              <w:t xml:space="preserve">Homey 2025, PMID 40082741</w:t>
            </w:r>
          </w:p>
        </w:tc>
        <w:tc>
          <w:tcPr/>
          <w:p>
            <w:pPr>
              <w:pStyle w:val="Compact"/>
              <w:jc w:val="left"/>
            </w:pPr>
            <w:r>
              <w:t xml:space="preserve">200 persone in Germania, studio di sicurezza post-approvazione</w:t>
            </w:r>
          </w:p>
        </w:tc>
        <w:tc>
          <w:tcPr/>
          <w:p>
            <w:pPr>
              <w:pStyle w:val="Compact"/>
              <w:jc w:val="left"/>
            </w:pPr>
            <w:r>
              <w:t xml:space="preserve">in corso</w:t>
            </w:r>
          </w:p>
        </w:tc>
        <w:tc>
          <w:tcPr/>
          <w:p>
            <w:pPr>
              <w:pStyle w:val="Compact"/>
              <w:jc w:val="left"/>
            </w:pPr>
            <w:r>
              <w:t xml:space="preserve">Qualità della vita significativamente migliore; il 91,0% ha proseguito</w:t>
            </w:r>
          </w:p>
        </w:tc>
      </w:tr>
      <w:tr>
        <w:tc>
          <w:tcPr/>
          <w:p>
            <w:pPr>
              <w:pStyle w:val="Compact"/>
              <w:jc w:val="left"/>
            </w:pPr>
            <w:r>
              <w:t xml:space="preserve">Seidl-Philipp 2026, PMID 41793078</w:t>
            </w:r>
          </w:p>
        </w:tc>
        <w:tc>
          <w:tcPr/>
          <w:p>
            <w:pPr>
              <w:pStyle w:val="Compact"/>
              <w:jc w:val="left"/>
            </w:pPr>
            <w:r>
              <w:t xml:space="preserve">20 persone in Austria</w:t>
            </w:r>
          </w:p>
        </w:tc>
        <w:tc>
          <w:tcPr/>
          <w:p>
            <w:pPr>
              <w:pStyle w:val="Compact"/>
              <w:jc w:val="left"/>
            </w:pPr>
            <w:r>
              <w:t xml:space="preserve">2023</w:t>
            </w:r>
          </w:p>
        </w:tc>
        <w:tc>
          <w:tcPr/>
          <w:p>
            <w:pPr>
              <w:pStyle w:val="Compact"/>
              <w:jc w:val="left"/>
            </w:pPr>
            <w:r>
              <w:t xml:space="preserve">Tolleranza alla luce, mediana da 15 a 250 minuti; reazioni alla luce nell’88% vs. 33%</w:t>
            </w:r>
          </w:p>
        </w:tc>
      </w:tr>
    </w:tbl>
    <w:p>
      <w:pPr>
        <w:pStyle w:val="BodyText"/>
      </w:pPr>
      <w:r>
        <w:t xml:space="preserve">Lo studio osservazionale italo-svizzero comprendeva trattamenti a partire dal 2006. Solo tre persone hanno dichiarato che l’effetto non corrispondeva alle loro aspettative; il 23% ha interrotto per altri motivi, per esempio gravidanza o costi</w:t>
      </w:r>
      <w:r>
        <w:rPr>
          <w:rStyle w:val="FootnoteReference"/>
        </w:rPr>
        <w:footnoteReference w:id="2091"/>
      </w:r>
      <w:r>
        <w:t xml:space="preserve">. Nella coorte olandese le reazioni alla luce sono diventate meno dolorose, ma il loro numero e la loro durata non sono cambiati in modo significativo</w:t>
      </w:r>
      <w:r>
        <w:rPr>
          <w:rStyle w:val="FootnoteReference"/>
        </w:rPr>
        <w:footnoteReference w:id="2092"/>
      </w:r>
      <w:r>
        <w:t xml:space="preserve">. L’analisi austriaca di tutte le 20 persone trattate nel 2023 mostra miglioramenti particolarmente netti della qualità della vita</w:t>
      </w:r>
      <w:r>
        <w:rPr>
          <w:rStyle w:val="FootnoteReference"/>
        </w:rPr>
        <w:footnoteReference w:id="2093"/>
      </w:r>
      <w:r>
        <w:t xml:space="preserve">.</w:t>
      </w:r>
    </w:p>
    <w:p>
      <w:pPr>
        <w:pStyle w:val="BodyText"/>
      </w:pPr>
      <w:r>
        <w:t xml:space="preserve">Queste coorti non hanno un gruppo di controllo. Chi risponde bene tende a restare in trattamento, e l’aspettativa nei confronti di un farmaco costoso influenza le autovalutazioni. I tassi di prosecuzione costantemente elevati per un trattamento che richiede una visita medica ogni due mesi sono comunque un segnale notevole.</w:t>
      </w:r>
    </w:p>
    <w:bookmarkEnd w:id="2094"/>
    <w:bookmarkStart w:id="2098" w:name="altre-osservazioni-nella-epp"/>
    <w:p>
      <w:pPr>
        <w:pStyle w:val="Heading4"/>
      </w:pPr>
      <w:r>
        <w:t xml:space="preserve">Altre osservazioni nella EPP</w:t>
      </w:r>
    </w:p>
    <w:p>
      <w:pPr>
        <w:numPr>
          <w:ilvl w:val="0"/>
          <w:numId w:val="1264"/>
        </w:numPr>
        <w:pStyle w:val="Compact"/>
      </w:pPr>
      <w:r>
        <w:rPr>
          <w:bCs/>
          <w:b/>
        </w:rPr>
        <w:t xml:space="preserve">Fegato:</w:t>
      </w:r>
      <w:r>
        <w:t xml:space="preserve"> </w:t>
      </w:r>
      <w:r>
        <w:t xml:space="preserve">in un’analisi svizzera di 70 persone trattate con quasi 3.000 valori epatici, il valore epatico ALT e la bilirubina diminuivano quanto più numerosi erano gli impianti inseriti nell’anno precedente</w:t>
      </w:r>
      <w:r>
        <w:rPr>
          <w:rStyle w:val="FootnoteReference"/>
        </w:rPr>
        <w:footnoteReference w:id="2095"/>
      </w:r>
      <w:r>
        <w:t xml:space="preserve">. Si tratta di una correlazione da dati osservazionali, non della prova di una protezione epatica.</w:t>
      </w:r>
    </w:p>
    <w:p>
      <w:pPr>
        <w:numPr>
          <w:ilvl w:val="0"/>
          <w:numId w:val="1264"/>
        </w:numPr>
        <w:pStyle w:val="Compact"/>
      </w:pPr>
      <w:r>
        <w:rPr>
          <w:bCs/>
          <w:b/>
        </w:rPr>
        <w:t xml:space="preserve">Vitamina D:</w:t>
      </w:r>
      <w:r>
        <w:t xml:space="preserve"> </w:t>
      </w:r>
      <w:r>
        <w:t xml:space="preserve">l’afamelanotide non ha modificato il livello di vitamina D. In uno studio con 230 persone una carenza è persistita nel 71,8%; solo la somministrazione di vitamina D3 ha aumentato i valori</w:t>
      </w:r>
      <w:r>
        <w:rPr>
          <w:rStyle w:val="FootnoteReference"/>
        </w:rPr>
        <w:footnoteReference w:id="2096"/>
      </w:r>
      <w:r>
        <w:t xml:space="preserve">.</w:t>
      </w:r>
    </w:p>
    <w:p>
      <w:pPr>
        <w:numPr>
          <w:ilvl w:val="0"/>
          <w:numId w:val="1264"/>
        </w:numPr>
        <w:pStyle w:val="Compact"/>
      </w:pPr>
      <w:r>
        <w:rPr>
          <w:bCs/>
          <w:b/>
        </w:rPr>
        <w:t xml:space="preserve">Anticorpi:</w:t>
      </w:r>
      <w:r>
        <w:t xml:space="preserve"> </w:t>
      </w:r>
      <w:r>
        <w:t xml:space="preserve">in 23 persone su 26 non si sono formati anticorpi contro il principio attivo nell’arco di fino a sei anni; tre avevano già prima del trattamento anticorpi misurabili, che non si sono modificati</w:t>
      </w:r>
      <w:r>
        <w:rPr>
          <w:rStyle w:val="FootnoteReference"/>
        </w:rPr>
        <w:footnoteReference w:id="2097"/>
      </w:r>
      <w:r>
        <w:t xml:space="preserve">.</w:t>
      </w:r>
    </w:p>
    <w:bookmarkEnd w:id="2098"/>
    <w:bookmarkStart w:id="2103" w:name="vitiligine"/>
    <w:p>
      <w:pPr>
        <w:pStyle w:val="Heading4"/>
      </w:pPr>
      <w:r>
        <w:t xml:space="preserve">Vitiligine</w:t>
      </w:r>
    </w:p>
    <w:p>
      <w:pPr>
        <w:pStyle w:val="FirstParagraph"/>
      </w:pPr>
      <w:r>
        <w:t xml:space="preserve">Nella vitiligine il sistema immunitario distrugge le cellule pigmentate; si formano macchie chiare. Il trattamento standard è una fototerapia con UVB a banda stretta. L’afamelanotide dovrebbe stimolare in aggiunta le cellule pigmentate rimaste.</w:t>
      </w:r>
    </w:p>
    <w:p>
      <w:pPr>
        <w:pStyle w:val="BodyText"/>
      </w:pPr>
      <w:r>
        <w:t xml:space="preserve">Dopo una serie di casi con quattro persone</w:t>
      </w:r>
      <w:r>
        <w:rPr>
          <w:rStyle w:val="FootnoteReference"/>
        </w:rPr>
        <w:footnoteReference w:id="2099"/>
      </w:r>
      <w:r>
        <w:t xml:space="preserve"> </w:t>
      </w:r>
      <w:r>
        <w:t xml:space="preserve">è seguito uno studio randomizzato con 55 partecipanti</w:t>
      </w:r>
      <w:r>
        <w:rPr>
          <w:rStyle w:val="FootnoteReference"/>
        </w:rPr>
        <w:footnoteReference w:id="2100"/>
      </w:r>
      <w:r>
        <w:t xml:space="preserve">. La combinazione di fototerapia e impianti mensili ha portato a una nuova pigmentazione più rapidamente della sola fototerapia. Dopo 168 giorni nel braccio di combinazione era ripigmentato il 48,64% della superficie, con la sola fototerapia il 33,26%. Il vantaggio si è manifestato soprattutto nei fototipi più scuri (da IV a VI). Uno svantaggio, segnalato dagli esperti: anche la pelle sana si scurisce, per cui il contrasto con le macchie chiare può inizialmente aumentare</w:t>
      </w:r>
      <w:r>
        <w:rPr>
          <w:rStyle w:val="FootnoteReference"/>
        </w:rPr>
        <w:footnoteReference w:id="2101"/>
      </w:r>
      <w:r>
        <w:t xml:space="preserve">. È stato pubblicato anche uno studio su pazienti asiatici</w:t>
      </w:r>
      <w:r>
        <w:rPr>
          <w:rStyle w:val="FootnoteReference"/>
        </w:rPr>
        <w:footnoteReference w:id="2102"/>
      </w:r>
      <w:r>
        <w:t xml:space="preserve">.</w:t>
      </w:r>
    </w:p>
    <w:bookmarkEnd w:id="2103"/>
    <w:bookmarkStart w:id="2109" w:name="altri-impieghi-in-studi-pilota"/>
    <w:p>
      <w:pPr>
        <w:pStyle w:val="Heading4"/>
      </w:pPr>
      <w:r>
        <w:t xml:space="preserve">Altri impieghi in studi pilota</w:t>
      </w:r>
    </w:p>
    <w:p>
      <w:pPr>
        <w:pStyle w:val="FirstParagraph"/>
      </w:pPr>
      <w:r>
        <w:t xml:space="preserve">I seguenti risultati provengono da studi molto piccoli, per lo più in aperto, e vanno intesi come ipotesi:</w:t>
      </w:r>
    </w:p>
    <w:p>
      <w:pPr>
        <w:numPr>
          <w:ilvl w:val="0"/>
          <w:numId w:val="1265"/>
        </w:numPr>
        <w:pStyle w:val="Compact"/>
      </w:pPr>
      <w:r>
        <w:rPr>
          <w:bCs/>
          <w:b/>
        </w:rPr>
        <w:t xml:space="preserve">Orticaria solare</w:t>
      </w:r>
      <w:r>
        <w:t xml:space="preserve"> </w:t>
      </w:r>
      <w:r>
        <w:t xml:space="preserve">(orticaria provocata dalla luce): in 5 persone, dopo un impianto, minore formazione di pomfi</w:t>
      </w:r>
      <w:r>
        <w:rPr>
          <w:rStyle w:val="FootnoteReference"/>
        </w:rPr>
        <w:footnoteReference w:id="2104"/>
      </w:r>
      <w:r>
        <w:t xml:space="preserve">.</w:t>
      </w:r>
    </w:p>
    <w:p>
      <w:pPr>
        <w:numPr>
          <w:ilvl w:val="0"/>
          <w:numId w:val="1265"/>
        </w:numPr>
        <w:pStyle w:val="Compact"/>
      </w:pPr>
      <w:r>
        <w:rPr>
          <w:bCs/>
          <w:b/>
        </w:rPr>
        <w:t xml:space="preserve">Acne:</w:t>
      </w:r>
      <w:r>
        <w:t xml:space="preserve"> </w:t>
      </w:r>
      <w:r>
        <w:t xml:space="preserve">in 3 persone meno lesioni infiammatorie</w:t>
      </w:r>
      <w:r>
        <w:rPr>
          <w:rStyle w:val="FootnoteReference"/>
        </w:rPr>
        <w:footnoteReference w:id="2105"/>
      </w:r>
      <w:r>
        <w:t xml:space="preserve">.</w:t>
      </w:r>
    </w:p>
    <w:p>
      <w:pPr>
        <w:numPr>
          <w:ilvl w:val="0"/>
          <w:numId w:val="1265"/>
        </w:numPr>
        <w:pStyle w:val="Compact"/>
      </w:pPr>
      <w:r>
        <w:rPr>
          <w:bCs/>
          <w:b/>
        </w:rPr>
        <w:t xml:space="preserve">Malattia di Hailey-Hailey</w:t>
      </w:r>
      <w:r>
        <w:t xml:space="preserve"> </w:t>
      </w:r>
      <w:r>
        <w:t xml:space="preserve">(malattia bollosa ereditaria): guarigione delle lesioni cutanee in 2 persone</w:t>
      </w:r>
      <w:r>
        <w:rPr>
          <w:rStyle w:val="FootnoteReference"/>
        </w:rPr>
        <w:footnoteReference w:id="2106"/>
      </w:r>
      <w:r>
        <w:t xml:space="preserve">.</w:t>
      </w:r>
    </w:p>
    <w:p>
      <w:pPr>
        <w:numPr>
          <w:ilvl w:val="0"/>
          <w:numId w:val="1265"/>
        </w:numPr>
        <w:pStyle w:val="Compact"/>
      </w:pPr>
      <w:r>
        <w:rPr>
          <w:bCs/>
          <w:b/>
        </w:rPr>
        <w:t xml:space="preserve">Ictus:</w:t>
      </w:r>
      <w:r>
        <w:t xml:space="preserve"> </w:t>
      </w:r>
      <w:r>
        <w:t xml:space="preserve">in uno studio di fattibilità in aperto con 6 persone la somministrazione è risultata praticabile; una persona è morta per un nuovo ictus, che i ricercatori non hanno attribuito al farmaco</w:t>
      </w:r>
      <w:r>
        <w:rPr>
          <w:rStyle w:val="FootnoteReference"/>
        </w:rPr>
        <w:footnoteReference w:id="2107"/>
      </w:r>
      <w:r>
        <w:t xml:space="preserve">.</w:t>
      </w:r>
    </w:p>
    <w:p>
      <w:pPr>
        <w:numPr>
          <w:ilvl w:val="0"/>
          <w:numId w:val="1265"/>
        </w:numPr>
        <w:pStyle w:val="Compact"/>
      </w:pPr>
      <w:r>
        <w:rPr>
          <w:bCs/>
          <w:b/>
        </w:rPr>
        <w:t xml:space="preserve">Pelle sana:</w:t>
      </w:r>
      <w:r>
        <w:t xml:space="preserve"> </w:t>
      </w:r>
      <w:r>
        <w:t xml:space="preserve">in 9 volontari sani l’arrossamento della pelle dopo irradiazione UV è risultato minore sei giorni dopo l’impianto</w:t>
      </w:r>
      <w:r>
        <w:rPr>
          <w:rStyle w:val="FootnoteReference"/>
        </w:rPr>
        <w:footnoteReference w:id="2108"/>
      </w:r>
      <w:r>
        <w:t xml:space="preserve">.</w:t>
      </w:r>
    </w:p>
    <w:bookmarkEnd w:id="2109"/>
    <w:bookmarkEnd w:id="2110"/>
    <w:bookmarkStart w:id="2113" w:name="studi-su-animali-e-in-laboratorio-48"/>
    <w:p>
      <w:pPr>
        <w:pStyle w:val="Heading3"/>
      </w:pPr>
      <w:r>
        <w:t xml:space="preserve">Studi su animali e in laboratorio</w:t>
      </w:r>
    </w:p>
    <w:p>
      <w:pPr>
        <w:pStyle w:val="FirstParagraph"/>
      </w:pPr>
      <w:r>
        <w:t xml:space="preserve">In colture cellulari l’afamelanotide ha effetti antiossidanti. In cellule cutanee di persone con malattia di Hailey-Hailey ha attivato il fattore protettivo Nrf2 e ha ripristinato in parte la divisione cellulare alterata</w:t>
      </w:r>
      <w:r>
        <w:rPr>
          <w:rStyle w:val="FootnoteReference"/>
        </w:rPr>
        <w:footnoteReference w:id="2111"/>
      </w:r>
      <w:r>
        <w:t xml:space="preserve">. Le indagini sulla stabilità e sui prodotti di degradazione del principio attivo riguardano la qualità del farmaco</w:t>
      </w:r>
      <w:r>
        <w:rPr>
          <w:rStyle w:val="FootnoteReference"/>
        </w:rPr>
        <w:footnoteReference w:id="2112"/>
      </w:r>
      <w:r>
        <w:t xml:space="preserve">. Per la valutazione nell’uomo i dati sugli animali hanno oggi un ruolo secondario, perché i dati clinici sono più significativi.</w:t>
      </w:r>
    </w:p>
    <w:bookmarkEnd w:id="2113"/>
    <w:bookmarkStart w:id="2124" w:name="rischi-ed-effetti-collaterali-48"/>
    <w:p>
      <w:pPr>
        <w:pStyle w:val="Heading3"/>
      </w:pPr>
      <w:r>
        <w:t xml:space="preserve">Rischi ed effetti collaterali</w:t>
      </w:r>
    </w:p>
    <w:bookmarkStart w:id="2118" w:name="dimostrati-1"/>
    <w:p>
      <w:pPr>
        <w:pStyle w:val="Heading4"/>
      </w:pPr>
      <w:r>
        <w:t xml:space="preserve">Dimostrati</w:t>
      </w:r>
    </w:p>
    <w:p>
      <w:pPr>
        <w:numPr>
          <w:ilvl w:val="0"/>
          <w:numId w:val="1266"/>
        </w:numPr>
        <w:pStyle w:val="Compact"/>
      </w:pPr>
      <w:r>
        <w:rPr>
          <w:bCs/>
          <w:b/>
        </w:rPr>
        <w:t xml:space="preserve">Effetti collaterali frequenti, per lo più lievi:</w:t>
      </w:r>
      <w:r>
        <w:t xml:space="preserve"> </w:t>
      </w:r>
      <w:r>
        <w:t xml:space="preserve">nausea, mal di testa, stanchezza e reazioni nel punto di inserimento dell’impianto</w:t>
      </w:r>
      <w:r>
        <w:rPr>
          <w:rStyle w:val="FootnoteReference"/>
        </w:rPr>
        <w:footnoteReference w:id="2114"/>
      </w:r>
      <w:r>
        <w:t xml:space="preserve">. Negli studi registrativi nessun evento avverso grave è stato attribuito al principio attivo.</w:t>
      </w:r>
    </w:p>
    <w:p>
      <w:pPr>
        <w:numPr>
          <w:ilvl w:val="0"/>
          <w:numId w:val="1266"/>
        </w:numPr>
        <w:pStyle w:val="Compact"/>
      </w:pPr>
      <w:r>
        <w:rPr>
          <w:bCs/>
          <w:b/>
        </w:rPr>
        <w:t xml:space="preserve">Pelle più scura e nei:</w:t>
      </w:r>
      <w:r>
        <w:t xml:space="preserve"> </w:t>
      </w:r>
      <w:r>
        <w:t xml:space="preserve">l’abbronzatura è l’effetto voluto. Anche nei e lentiggini si scuriscono. In uno studio con 15 persone e 103 nei sono emerse alla dermatoscopia alterazioni transitorie, regredite dopo un anno; non sono comparsi nuovi nei né indizi di malignità</w:t>
      </w:r>
      <w:r>
        <w:rPr>
          <w:rStyle w:val="FootnoteReference"/>
        </w:rPr>
        <w:footnoteReference w:id="2115"/>
      </w:r>
      <w:r>
        <w:t xml:space="preserve">. Il riassunto delle caratteristiche del prodotto prevede controlli regolari della pelle.</w:t>
      </w:r>
    </w:p>
    <w:p>
      <w:pPr>
        <w:numPr>
          <w:ilvl w:val="0"/>
          <w:numId w:val="1266"/>
        </w:numPr>
        <w:pStyle w:val="Compact"/>
      </w:pPr>
      <w:r>
        <w:rPr>
          <w:bCs/>
          <w:b/>
        </w:rPr>
        <w:t xml:space="preserve">Alterazioni del pigmento della mucosa orale</w:t>
      </w:r>
      <w:r>
        <w:t xml:space="preserve"> </w:t>
      </w:r>
      <w:r>
        <w:t xml:space="preserve">sono descritte (de Baat 2020, PMID 32459219; la rassegna mescola però dati sull’impianto approvato con dati sul Melanotan del mercato grigio), così come un caso di apparente depigmentazione in presenza di dermatite atopica</w:t>
      </w:r>
      <w:r>
        <w:rPr>
          <w:rStyle w:val="FootnoteReference"/>
        </w:rPr>
        <w:footnoteReference w:id="2116"/>
      </w:r>
      <w:r>
        <w:t xml:space="preserve">.</w:t>
      </w:r>
    </w:p>
    <w:p>
      <w:pPr>
        <w:numPr>
          <w:ilvl w:val="0"/>
          <w:numId w:val="1266"/>
        </w:numPr>
        <w:pStyle w:val="Compact"/>
      </w:pPr>
      <w:r>
        <w:rPr>
          <w:bCs/>
          <w:b/>
        </w:rPr>
        <w:t xml:space="preserve">Nessun effetto sulla vitamina D:</w:t>
      </w:r>
      <w:r>
        <w:t xml:space="preserve"> </w:t>
      </w:r>
      <w:r>
        <w:t xml:space="preserve">vedi sopra</w:t>
      </w:r>
      <w:r>
        <w:rPr>
          <w:rStyle w:val="FootnoteReference"/>
        </w:rPr>
        <w:footnoteReference w:id="2117"/>
      </w:r>
      <w:r>
        <w:t xml:space="preserve">.</w:t>
      </w:r>
    </w:p>
    <w:bookmarkEnd w:id="2118"/>
    <w:bookmarkStart w:id="2121" w:name="aperti-1"/>
    <w:p>
      <w:pPr>
        <w:pStyle w:val="Heading4"/>
      </w:pPr>
      <w:r>
        <w:t xml:space="preserve">Aperti</w:t>
      </w:r>
    </w:p>
    <w:p>
      <w:pPr>
        <w:pStyle w:val="FirstParagraph"/>
      </w:pPr>
      <w:r>
        <w:t xml:space="preserve">I dati sulla gravidanza mancano in gran parte; nella pratica il trattamento viene sospeso. Per bambini e adolescenti l’afamelanotide non è approvato</w:t>
      </w:r>
      <w:r>
        <w:rPr>
          <w:rStyle w:val="FootnoteReference"/>
        </w:rPr>
        <w:footnoteReference w:id="2119"/>
      </w:r>
      <w:r>
        <w:t xml:space="preserve">, sebbene la EPP inizi per lo più nella prima infanzia. Singoli trattamenti di bambini al di fuori dell’indicazione approvata sono pubblicati come casi clinici</w:t>
      </w:r>
      <w:r>
        <w:rPr>
          <w:rStyle w:val="FootnoteReference"/>
        </w:rPr>
        <w:footnoteReference w:id="2120"/>
      </w:r>
      <w:r>
        <w:t xml:space="preserve">. Se la stimolazione delle cellule pigmentate per decenni influenzi il rischio di cancro della pelle non si può dire in modo definitivo con i periodi di osservazione finora disponibili.</w:t>
      </w:r>
    </w:p>
    <w:bookmarkEnd w:id="2121"/>
    <w:bookmarkStart w:id="2123" w:name="distinzione-dal-mercato-grigio"/>
    <w:p>
      <w:pPr>
        <w:pStyle w:val="Heading4"/>
      </w:pPr>
      <w:r>
        <w:t xml:space="preserve">Distinzione dal mercato grigio</w:t>
      </w:r>
    </w:p>
    <w:p>
      <w:pPr>
        <w:pStyle w:val="FirstParagraph"/>
      </w:pPr>
      <w:r>
        <w:t xml:space="preserve">Su internet il «Melanotan I» viene offerto come abbronzante. Questi prodotti hanno in comune con l’impianto approvato solo il nome del principio attivo: vengono venduti come polvere per l’autoiniezione, purezza e contenuto non sono verificati e non c’è alcun controllo medico della pelle. I dati di sicurezza del trattamento della EPP non possono essere trasferiti a essi</w:t>
      </w:r>
      <w:r>
        <w:rPr>
          <w:rStyle w:val="FootnoteReference"/>
        </w:rPr>
        <w:footnoteReference w:id="2122"/>
      </w:r>
      <w:r>
        <w:t xml:space="preserve">.</w:t>
      </w:r>
    </w:p>
    <w:bookmarkEnd w:id="2123"/>
    <w:bookmarkEnd w:id="2124"/>
    <w:bookmarkStart w:id="2128" w:name="quadro-normativo-48"/>
    <w:p>
      <w:pPr>
        <w:pStyle w:val="Heading3"/>
      </w:pPr>
      <w:r>
        <w:t xml:space="preserve">Quadro normativo</w:t>
      </w:r>
    </w:p>
    <w:p>
      <w:pPr>
        <w:pStyle w:val="FirstParagraph"/>
      </w:pPr>
      <w:r>
        <w:rPr>
          <w:iCs/>
          <w:i/>
        </w:rPr>
        <w:t xml:space="preserve">Aggiornato al 2026, da verificare.</w:t>
      </w:r>
    </w:p>
    <w:p>
      <w:pPr>
        <w:numPr>
          <w:ilvl w:val="0"/>
          <w:numId w:val="1267"/>
        </w:numPr>
        <w:pStyle w:val="Compact"/>
      </w:pPr>
      <w:r>
        <w:rPr>
          <w:bCs/>
          <w:b/>
        </w:rPr>
        <w:t xml:space="preserve">UE:</w:t>
      </w:r>
      <w:r>
        <w:t xml:space="preserve"> </w:t>
      </w:r>
      <w:r>
        <w:t xml:space="preserve">approvato con procedura centralizzata dal 2014 come medicinale orfano (Scenesse) per gli adulti con EPP. Il trattamento avviene in centri specializzati; uno studio di sicurezza e un registro europeo fanno parte delle condizioni</w:t>
      </w:r>
      <w:r>
        <w:rPr>
          <w:rStyle w:val="FootnoteReference"/>
        </w:rPr>
        <w:footnoteReference w:id="2125"/>
      </w:r>
      <w:r>
        <w:t xml:space="preserve">.</w:t>
      </w:r>
    </w:p>
    <w:p>
      <w:pPr>
        <w:numPr>
          <w:ilvl w:val="0"/>
          <w:numId w:val="1267"/>
        </w:numPr>
        <w:pStyle w:val="Compact"/>
      </w:pPr>
      <w:r>
        <w:rPr>
          <w:bCs/>
          <w:b/>
        </w:rPr>
        <w:t xml:space="preserve">Germania e Austria:</w:t>
      </w:r>
      <w:r>
        <w:t xml:space="preserve"> </w:t>
      </w:r>
      <w:r>
        <w:t xml:space="preserve">disponibile tramite cliniche specializzate in porfirie e dermatologia; la copertura dei costi va chiarita caso per caso. Esistono coorti di trattamento pubblicate in entrambi i Paesi</w:t>
      </w:r>
      <w:r>
        <w:rPr>
          <w:rStyle w:val="FootnoteReference"/>
        </w:rPr>
        <w:footnoteReference w:id="2126"/>
      </w:r>
      <w:r>
        <w:t xml:space="preserve">.</w:t>
      </w:r>
    </w:p>
    <w:p>
      <w:pPr>
        <w:numPr>
          <w:ilvl w:val="0"/>
          <w:numId w:val="1267"/>
        </w:numPr>
        <w:pStyle w:val="Compact"/>
      </w:pPr>
      <w:r>
        <w:rPr>
          <w:bCs/>
          <w:b/>
        </w:rPr>
        <w:t xml:space="preserve">USA:</w:t>
      </w:r>
      <w:r>
        <w:t xml:space="preserve"> </w:t>
      </w:r>
      <w:r>
        <w:t xml:space="preserve">approvato dal 2019 per gli adulti con EPP e reazioni alla luce.</w:t>
      </w:r>
    </w:p>
    <w:p>
      <w:pPr>
        <w:numPr>
          <w:ilvl w:val="0"/>
          <w:numId w:val="1267"/>
        </w:numPr>
        <w:pStyle w:val="Compact"/>
      </w:pPr>
      <w:r>
        <w:rPr>
          <w:bCs/>
          <w:b/>
        </w:rPr>
        <w:t xml:space="preserve">Costi:</w:t>
      </w:r>
      <w:r>
        <w:t xml:space="preserve"> </w:t>
      </w:r>
      <w:r>
        <w:t xml:space="preserve">l’afamelanotide è tra i farmaci costosi per le malattie rare. In Inghilterra l’ente di valutazione NICE ha respinto il finanziamento – finora unica terapia nel suo programma per le malattie molto rare. I rappresentanti dei pazienti criticano il calcolo utilizzato</w:t>
      </w:r>
      <w:r>
        <w:rPr>
          <w:rStyle w:val="FootnoteReference"/>
        </w:rPr>
        <w:footnoteReference w:id="2127"/>
      </w:r>
      <w:r>
        <w:t xml:space="preserve">.</w:t>
      </w:r>
    </w:p>
    <w:p>
      <w:pPr>
        <w:numPr>
          <w:ilvl w:val="0"/>
          <w:numId w:val="1267"/>
        </w:numPr>
        <w:pStyle w:val="Compact"/>
      </w:pPr>
      <w:r>
        <w:rPr>
          <w:bCs/>
          <w:b/>
        </w:rPr>
        <w:t xml:space="preserve">WADA:</w:t>
      </w:r>
      <w:r>
        <w:t xml:space="preserve"> </w:t>
      </w:r>
      <w:r>
        <w:t xml:space="preserve">non elencato.</w:t>
      </w:r>
    </w:p>
    <w:bookmarkEnd w:id="2128"/>
    <w:bookmarkStart w:id="2134" w:name="studi-in-corso-e-prospettive-48"/>
    <w:p>
      <w:pPr>
        <w:pStyle w:val="Heading3"/>
      </w:pPr>
      <w:r>
        <w:t xml:space="preserve">Studi in corso e prospettive</w:t>
      </w:r>
    </w:p>
    <w:p>
      <w:pPr>
        <w:pStyle w:val="FirstParagraph"/>
      </w:pPr>
      <w:r>
        <w:rPr>
          <w:bCs/>
          <w:b/>
        </w:rPr>
        <w:t xml:space="preserve">Dati certi (studi registrati):</w:t>
      </w:r>
    </w:p>
    <w:p>
      <w:pPr>
        <w:numPr>
          <w:ilvl w:val="0"/>
          <w:numId w:val="1268"/>
        </w:numPr>
        <w:pStyle w:val="Compact"/>
      </w:pPr>
      <w:r>
        <w:rPr>
          <w:bCs/>
          <w:b/>
        </w:rPr>
        <w:t xml:space="preserve">Vitiligine, fase 3:</w:t>
      </w:r>
      <w:r>
        <w:t xml:space="preserve"> </w:t>
      </w:r>
      <w:r>
        <w:t xml:space="preserve">uno studio con 200 persone confronta afamelanotide più UVB a banda stretta con la sola fototerapia</w:t>
      </w:r>
      <w:r>
        <w:rPr>
          <w:rStyle w:val="FootnoteReference"/>
        </w:rPr>
        <w:footnoteReference w:id="2129"/>
      </w:r>
      <w:r>
        <w:t xml:space="preserve">. La conclusione prevista era a giugno 2026; alla chiusura redazionale non erano pubblicati in PubMed risultati sottoposti a revisione paritaria. È registrato un piccolo studio sulla vitiligine del viso</w:t>
      </w:r>
      <w:r>
        <w:rPr>
          <w:rStyle w:val="FootnoteReference"/>
        </w:rPr>
        <w:footnoteReference w:id="2130"/>
      </w:r>
      <w:r>
        <w:t xml:space="preserve">.</w:t>
      </w:r>
    </w:p>
    <w:p>
      <w:pPr>
        <w:numPr>
          <w:ilvl w:val="0"/>
          <w:numId w:val="1268"/>
        </w:numPr>
        <w:pStyle w:val="Compact"/>
      </w:pPr>
      <w:r>
        <w:rPr>
          <w:bCs/>
          <w:b/>
        </w:rPr>
        <w:t xml:space="preserve">Altre rare malattie da fotosensibilità:</w:t>
      </w:r>
      <w:r>
        <w:t xml:space="preserve"> </w:t>
      </w:r>
      <w:r>
        <w:t xml:space="preserve">piccoli studi di fase 2 sulla porfiria variegata (NCT05854784, concluso) e sullo xeroderma pigmentoso, una malattia ereditaria con alterata riparazione dei danni da UV</w:t>
      </w:r>
      <w:r>
        <w:rPr>
          <w:rStyle w:val="FootnoteReference"/>
        </w:rPr>
        <w:footnoteReference w:id="2131"/>
      </w:r>
      <w:r>
        <w:t xml:space="preserve">.</w:t>
      </w:r>
    </w:p>
    <w:p>
      <w:pPr>
        <w:numPr>
          <w:ilvl w:val="0"/>
          <w:numId w:val="1268"/>
        </w:numPr>
        <w:pStyle w:val="Compact"/>
      </w:pPr>
      <w:r>
        <w:rPr>
          <w:bCs/>
          <w:b/>
        </w:rPr>
        <w:t xml:space="preserve">Farmacologia:</w:t>
      </w:r>
      <w:r>
        <w:t xml:space="preserve"> </w:t>
      </w:r>
      <w:r>
        <w:t xml:space="preserve">è concluso uno studio di farmacocinetica nella EPP con 28 persone</w:t>
      </w:r>
      <w:r>
        <w:rPr>
          <w:rStyle w:val="FootnoteReference"/>
        </w:rPr>
        <w:footnoteReference w:id="2132"/>
      </w:r>
      <w:r>
        <w:t xml:space="preserve">.</w:t>
      </w:r>
    </w:p>
    <w:p>
      <w:pPr>
        <w:pStyle w:val="FirstParagraph"/>
      </w:pPr>
      <w:r>
        <w:rPr>
          <w:bCs/>
          <w:b/>
        </w:rPr>
        <w:t xml:space="preserve">Nuova concorrenza:</w:t>
      </w:r>
      <w:r>
        <w:t xml:space="preserve"> </w:t>
      </w:r>
      <w:r>
        <w:t xml:space="preserve">per la EPP si stanno sviluppando due compresse: il dersimelagon, un agonista non peptidico di MC1R, e il bitopertin, che agisce sulla produzione del pigmento rosso del sangue. Entrambi hanno mostrato effetti rispetto al placebo negli studi; mancano ancora confronti con l’afamelanotide</w:t>
      </w:r>
      <w:r>
        <w:rPr>
          <w:rStyle w:val="FootnoteReference"/>
        </w:rPr>
        <w:footnoteReference w:id="2133"/>
      </w:r>
      <w:r>
        <w:t xml:space="preserve">.</w:t>
      </w:r>
    </w:p>
    <w:p>
      <w:pPr>
        <w:pStyle w:val="BodyText"/>
      </w:pPr>
      <w:r>
        <w:rPr>
          <w:bCs/>
          <w:b/>
        </w:rPr>
        <w:t xml:space="preserve">Valutazione dell’autore:</w:t>
      </w:r>
      <w:r>
        <w:t xml:space="preserve"> </w:t>
      </w:r>
      <w:r>
        <w:t xml:space="preserve">l’afamelanotide resterà per ora il riferimento per la EPP. Se avrà un ruolo nella vitiligine dipende dall’esito dello studio di fase 3; la combinazione con la fototerapia è impegnativa, e con le creme a base di inibitori JAK esistono ormai altre opzioni. Un’approvazione per gli adolescenti sarebbe particolarmente importante per la EPP, perché la malattia inizia nell’infanzia.</w:t>
      </w:r>
    </w:p>
    <w:bookmarkEnd w:id="2134"/>
    <w:bookmarkStart w:id="2135" w:name="conclusione-48"/>
    <w:p>
      <w:pPr>
        <w:pStyle w:val="Heading3"/>
      </w:pPr>
      <w:r>
        <w:t xml:space="preserve">Conclusione</w:t>
      </w:r>
    </w:p>
    <w:p>
      <w:pPr>
        <w:pStyle w:val="FirstParagraph"/>
      </w:pPr>
      <w:r>
        <w:t xml:space="preserve">L’afamelanotide è il peptide meglio studiato e l’unico approvato nell’UE che stimola l’abbronzatura attraverso il sistema delle melanocortine. Negli adulti con protoporfiria eritropoietica ha prolungato in due studi randomizzati il tempo senza dolore alla luce del sole e ha migliorato la qualità della vita; coorti a lungo termine di diversi Paesi mostrano tassi di prosecuzione elevati con effetti collaterali prevalentemente lievi. Nella vitiligine ha accelerato in uno studio randomizzato la ripigmentazione durante la fototerapia; i risultati di fase 3 sono attesi. Con il «Melanotan I» del mercato grigio per l’abbronzatura cosmetica, l’impianto controllato dell’ambulatorio specialistico non ha praticamente nulla in comune.</w:t>
      </w:r>
    </w:p>
    <w:bookmarkEnd w:id="2135"/>
    <w:bookmarkEnd w:id="2136"/>
    <w:bookmarkStart w:id="2195" w:name="kisspeptina"/>
    <w:p>
      <w:pPr>
        <w:pStyle w:val="Heading2"/>
      </w:pPr>
      <w:r>
        <w:t xml:space="preserve">Kisspeptina</w:t>
      </w:r>
    </w:p>
    <w:bookmarkStart w:id="2139" w:name="scheda-49"/>
    <w:p>
      <w:pPr>
        <w:pStyle w:val="Heading3"/>
      </w:pPr>
      <w:r>
        <w:t xml:space="preserve">Scheda</w:t>
      </w:r>
    </w:p>
    <w:p>
      <w:pPr>
        <w:numPr>
          <w:ilvl w:val="0"/>
          <w:numId w:val="1269"/>
        </w:numPr>
        <w:pStyle w:val="Compact"/>
      </w:pPr>
      <w:r>
        <w:rPr>
          <w:bCs/>
          <w:b/>
        </w:rPr>
        <w:t xml:space="preserve">Tipo/struttura:</w:t>
      </w:r>
      <w:r>
        <w:t xml:space="preserve"> </w:t>
      </w:r>
      <w:r>
        <w:t xml:space="preserve">famiglia di peptidi endogeni. Il gene KISS1 fornisce una proteina precursore da cui si formano frammenti di lunghezza diversa: kisspeptina-54 (54 aminoacidi, la forma prevalente nel sangue), kisspeptina-14, -13 e -10. La forma più corta, la kisspeptina-10, contiene già la parte pienamente attiva. Negli studi si impiegano le forme naturali e varianti sintetiche più stabili (per esempio MVT-602 e TAK-448).</w:t>
      </w:r>
    </w:p>
    <w:p>
      <w:pPr>
        <w:numPr>
          <w:ilvl w:val="0"/>
          <w:numId w:val="1269"/>
        </w:numPr>
        <w:pStyle w:val="Compact"/>
      </w:pPr>
      <w:r>
        <w:rPr>
          <w:bCs/>
          <w:b/>
        </w:rPr>
        <w:t xml:space="preserve">Origine:</w:t>
      </w:r>
      <w:r>
        <w:t xml:space="preserve"> </w:t>
      </w:r>
      <w:r>
        <w:t xml:space="preserve">scoperta nel 1996 dapprima come gene che frena la formazione di metastasi delle cellule di melanoma</w:t>
      </w:r>
      <w:r>
        <w:rPr>
          <w:rStyle w:val="FootnoteReference"/>
        </w:rPr>
        <w:footnoteReference w:id="2137"/>
      </w:r>
      <w:r>
        <w:t xml:space="preserve">. Il nome deriva dalla città di Hershey in Pennsylvania, patria dei cioccolatini «Kisses». Nel 2001 il peptide fu identificato come messaggero di un recettore fino ad allora «orfano» e chiamato inizialmente metastina</w:t>
      </w:r>
      <w:r>
        <w:rPr>
          <w:rStyle w:val="FootnoteReference"/>
        </w:rPr>
        <w:footnoteReference w:id="2138"/>
      </w:r>
      <w:r>
        <w:t xml:space="preserve">.</w:t>
      </w:r>
    </w:p>
    <w:p>
      <w:pPr>
        <w:numPr>
          <w:ilvl w:val="0"/>
          <w:numId w:val="1269"/>
        </w:numPr>
        <w:pStyle w:val="Compact"/>
      </w:pPr>
      <w:r>
        <w:rPr>
          <w:bCs/>
          <w:b/>
        </w:rPr>
        <w:t xml:space="preserve">Principio d’azione:</w:t>
      </w:r>
      <w:r>
        <w:t xml:space="preserve"> </w:t>
      </w:r>
      <w:r>
        <w:t xml:space="preserve">agonista del recettore della kisspeptina (KISS1R, in precedenza GPR54) sui neuroni che producono GnRH nell’ipotalamo. La kisspeptina è il più importante fattore scatenante noto del rilascio di GnRH e quindi dell’intero asse ormonale della riproduzione.</w:t>
      </w:r>
    </w:p>
    <w:p>
      <w:pPr>
        <w:numPr>
          <w:ilvl w:val="0"/>
          <w:numId w:val="1269"/>
        </w:numPr>
        <w:pStyle w:val="Compact"/>
      </w:pPr>
      <w:r>
        <w:rPr>
          <w:bCs/>
          <w:b/>
        </w:rPr>
        <w:t xml:space="preserve">Approvazione UE:</w:t>
      </w:r>
      <w:r>
        <w:t xml:space="preserve"> </w:t>
      </w:r>
      <w:r>
        <w:t xml:space="preserve">no.</w:t>
      </w:r>
    </w:p>
    <w:p>
      <w:pPr>
        <w:numPr>
          <w:ilvl w:val="0"/>
          <w:numId w:val="1269"/>
        </w:numPr>
        <w:pStyle w:val="Compact"/>
      </w:pPr>
      <w:r>
        <w:rPr>
          <w:bCs/>
          <w:b/>
        </w:rPr>
        <w:t xml:space="preserve">Approvazione USA:</w:t>
      </w:r>
      <w:r>
        <w:t xml:space="preserve"> </w:t>
      </w:r>
      <w:r>
        <w:t xml:space="preserve">no.</w:t>
      </w:r>
    </w:p>
    <w:p>
      <w:pPr>
        <w:numPr>
          <w:ilvl w:val="0"/>
          <w:numId w:val="1269"/>
        </w:numPr>
        <w:pStyle w:val="Compact"/>
      </w:pPr>
      <w:r>
        <w:rPr>
          <w:bCs/>
          <w:b/>
        </w:rPr>
        <w:t xml:space="preserve">WADA:</w:t>
      </w:r>
      <w:r>
        <w:t xml:space="preserve"> </w:t>
      </w:r>
      <w:r>
        <w:t xml:space="preserve">non citata per nome. In quanto principio attivo non approvato, la kisspeptina rientra in S0; negli uomini il gruppo S2 comprende inoltre i fattori di rilascio dell’ormone luteinizzante.</w:t>
      </w:r>
    </w:p>
    <w:p>
      <w:pPr>
        <w:numPr>
          <w:ilvl w:val="0"/>
          <w:numId w:val="1269"/>
        </w:numPr>
        <w:pStyle w:val="Compact"/>
      </w:pPr>
      <w:r>
        <w:rPr>
          <w:bCs/>
          <w:b/>
        </w:rPr>
        <w:t xml:space="preserve">Livello di evidenza:</w:t>
      </w:r>
      <w:r>
        <w:t xml:space="preserve"> </w:t>
      </w:r>
      <w:r>
        <w:rPr>
          <w:bCs/>
          <w:b/>
        </w:rPr>
        <w:t xml:space="preserve">B</w:t>
      </w:r>
      <w:r>
        <w:t xml:space="preserve"> </w:t>
      </w:r>
      <w:r>
        <w:t xml:space="preserve">– numerosi piccoli studi, in parte randomizzati, e diversi studi randomizzati di fase 2, soprattutto da Londra e Boston. Nessuno studio di fase 3, nessuna approvazione.</w:t>
      </w:r>
    </w:p>
    <w:bookmarkEnd w:id="2139"/>
    <w:bookmarkStart w:id="2141" w:name="come-dovrebbe-agire-49"/>
    <w:p>
      <w:pPr>
        <w:pStyle w:val="Heading3"/>
      </w:pPr>
      <w:r>
        <w:t xml:space="preserve">Come dovrebbe agire</w:t>
      </w:r>
    </w:p>
    <w:p>
      <w:pPr>
        <w:pStyle w:val="FirstParagraph"/>
      </w:pPr>
      <w:r>
        <w:t xml:space="preserve">La riproduzione umana è regolata da una catena di ormoni. Al vertice c’è l’ormone GnRH (ormone di rilascio delle gonadotropine) dell’ipotalamo, che viene secreto a impulsi. Esso induce l’ipofisi a rilasciare gli ormoni LH (ormone luteinizzante) e FSH (ormone follicolo-stimolante). Questi a loro volta regolano ovaie e testicoli: maturazione degli ovociti e ovulazione, produzione di spermatozoi, produzione di estrogeni e testosterone. Il capitolo sulla gonadorelina (2E06) descrive questo asse più in dettaglio.</w:t>
      </w:r>
    </w:p>
    <w:p>
      <w:pPr>
        <w:pStyle w:val="BodyText"/>
      </w:pPr>
      <w:r>
        <w:t xml:space="preserve">La kisspeptina si trova un gradino sopra il GnRH. Neuroni specializzati dell’ipotalamo la secernono e con essa «accendono» le cellule che producono GnRH. Quanto sia centrale questa funzione è emerso nel 2003: le persone con un recettore della kisspeptina difettoso non entrano nella pubertà e restano infertili</w:t>
      </w:r>
      <w:r>
        <w:rPr>
          <w:rStyle w:val="FootnoteReference"/>
        </w:rPr>
        <w:footnoteReference w:id="2140"/>
      </w:r>
      <w:r>
        <w:t xml:space="preserve">.</w:t>
      </w:r>
    </w:p>
    <w:p>
      <w:pPr>
        <w:pStyle w:val="BodyText"/>
      </w:pPr>
      <w:r>
        <w:t xml:space="preserve">Per la medicina la kisspeptina è interessante per due motivi:</w:t>
      </w:r>
    </w:p>
    <w:p>
      <w:pPr>
        <w:numPr>
          <w:ilvl w:val="0"/>
          <w:numId w:val="1270"/>
        </w:numPr>
        <w:pStyle w:val="Compact"/>
      </w:pPr>
      <w:r>
        <w:rPr>
          <w:bCs/>
          <w:b/>
        </w:rPr>
        <w:t xml:space="preserve">Agisce «dall’alto».</w:t>
      </w:r>
      <w:r>
        <w:t xml:space="preserve"> </w:t>
      </w:r>
      <w:r>
        <w:t xml:space="preserve">A differenza dei farmaci che sostituiscono direttamente LH o FSH, la kisspeptina stimola la secrezione endogena di GnRH. Il successivo rilascio ormonale resta soggetto ai meccanismi naturali di retroazione. Questo rende meno probabile una iperstimolazione delle ovaie.</w:t>
      </w:r>
    </w:p>
    <w:p>
      <w:pPr>
        <w:numPr>
          <w:ilvl w:val="0"/>
          <w:numId w:val="1270"/>
        </w:numPr>
        <w:pStyle w:val="Compact"/>
      </w:pPr>
      <w:r>
        <w:rPr>
          <w:bCs/>
          <w:b/>
        </w:rPr>
        <w:t xml:space="preserve">Per breve tempo stimola, a lungo termine frena.</w:t>
      </w:r>
      <w:r>
        <w:t xml:space="preserve"> </w:t>
      </w:r>
      <w:r>
        <w:t xml:space="preserve">Con una somministrazione ininterrotta i recettori si abituano al segnale (tachifilassi) e l’asse ormonale si spegne. Questo è un problema se si vuole favorire la fertilità – e un’opportunità se si vogliono abbassare gli ormoni, per esempio nel cancro della prostata.</w:t>
      </w:r>
    </w:p>
    <w:p>
      <w:pPr>
        <w:pStyle w:val="FirstParagraph"/>
      </w:pPr>
      <w:r>
        <w:t xml:space="preserve">I recettori della kisspeptina si trovano anche in regioni cerebrali che elaborano emozioni e stimoli sessuali. Da qui è nata l’idea che la kisspeptina possa influenzare il desiderio sessuale.</w:t>
      </w:r>
    </w:p>
    <w:bookmarkEnd w:id="2141"/>
    <w:bookmarkStart w:id="2176" w:name="studi-sulluomo-49"/>
    <w:p>
      <w:pPr>
        <w:pStyle w:val="Heading3"/>
      </w:pPr>
      <w:r>
        <w:t xml:space="preserve">Studi sull’uomo</w:t>
      </w:r>
    </w:p>
    <w:p>
      <w:pPr>
        <w:pStyle w:val="FirstParagraph"/>
      </w:pPr>
      <w:r>
        <w:rPr>
          <w:bCs/>
          <w:b/>
        </w:rPr>
        <w:t xml:space="preserve">Entità degli studi disponibili (ricerca di ottobre 2026):</w:t>
      </w:r>
      <w:r>
        <w:t xml:space="preserve"> </w:t>
      </w:r>
      <w:r>
        <w:t xml:space="preserve">la ricerca automatizzata di questo libro ha trovato</w:t>
      </w:r>
      <w:r>
        <w:t xml:space="preserve"> </w:t>
      </w:r>
      <w:r>
        <w:rPr>
          <w:bCs/>
          <w:b/>
        </w:rPr>
        <w:t xml:space="preserve">37</w:t>
      </w:r>
      <w:r>
        <w:t xml:space="preserve"> </w:t>
      </w:r>
      <w:r>
        <w:t xml:space="preserve">studi sull’uomo in PubMed (</w:t>
      </w:r>
      <w:r>
        <w:rPr>
          <w:rStyle w:val="VerbatimChar"/>
        </w:rPr>
        <w:t xml:space="preserve">humanstudien_alle</w:t>
      </w:r>
      <w:r>
        <w:t xml:space="preserve">) e</w:t>
      </w:r>
      <w:r>
        <w:t xml:space="preserve"> </w:t>
      </w:r>
      <w:r>
        <w:rPr>
          <w:bCs/>
          <w:b/>
        </w:rPr>
        <w:t xml:space="preserve">36</w:t>
      </w:r>
      <w:r>
        <w:t xml:space="preserve"> </w:t>
      </w:r>
      <w:r>
        <w:t xml:space="preserve">voci su ClinicalTrials.gov. Non in tutti la kisspeptina viene somministrata come principio attivo: alcuni studi misurano solo i livelli di kisspeptina nel sangue, per esempio in gravidanza. La somministrazione di kisspeptina nell’uomo è stata portata avanti da pochi gruppi di lavoro, soprattutto all’Imperial College London e al Massachusetts General Hospital di Boston. La maggior parte degli studi ha meno di 50 partecipanti.</w:t>
      </w:r>
    </w:p>
    <w:bookmarkStart w:id="2146" w:name="prime-somministrazioni-e-basi"/>
    <w:p>
      <w:pPr>
        <w:pStyle w:val="Heading4"/>
      </w:pPr>
      <w:r>
        <w:t xml:space="preserve">Prime somministrazioni e basi</w:t>
      </w:r>
    </w:p>
    <w:p>
      <w:pPr>
        <w:pStyle w:val="FirstParagraph"/>
      </w:pPr>
      <w:r>
        <w:t xml:space="preserve">Il primo studio sull’uomo coinvolse nel 2005 sei uomini sani. Un’infusione di 90 minuti di kisspeptina-54 aumentò in modo significativo LH, FSH e testosterone rispetto alla soluzione salina</w:t>
      </w:r>
      <w:r>
        <w:rPr>
          <w:rStyle w:val="FootnoteReference"/>
        </w:rPr>
        <w:footnoteReference w:id="2142"/>
      </w:r>
      <w:r>
        <w:t xml:space="preserve">. L’emivita nel sangue era di poco meno di 28 minuti. Nelle donne l’effetto dipende fortemente dalla fase del ciclo ed è massimo poco prima dell’ovulazione</w:t>
      </w:r>
      <w:r>
        <w:rPr>
          <w:rStyle w:val="FootnoteReference"/>
        </w:rPr>
        <w:footnoteReference w:id="2143"/>
      </w:r>
      <w:r>
        <w:t xml:space="preserve">.</w:t>
      </w:r>
    </w:p>
    <w:p>
      <w:pPr>
        <w:pStyle w:val="BodyText"/>
      </w:pPr>
      <w:r>
        <w:t xml:space="preserve">La kisspeptina-10 ha provocato rapidamente negli uomini sani un aumento di LH dipendente dalla dose e, in infusione continua, ha aumentato la frequenza degli impulsi di LH</w:t>
      </w:r>
      <w:r>
        <w:rPr>
          <w:rStyle w:val="FootnoteReference"/>
        </w:rPr>
        <w:footnoteReference w:id="2144"/>
      </w:r>
      <w:r>
        <w:t xml:space="preserve">. I bambini con pubertà ritardata reagivano in modo molto diverso: alcuni avevano una risposta netta, altri nessuna</w:t>
      </w:r>
      <w:r>
        <w:rPr>
          <w:rStyle w:val="FootnoteReference"/>
        </w:rPr>
        <w:footnoteReference w:id="2145"/>
      </w:r>
      <w:r>
        <w:t xml:space="preserve">. Questo potrebbe in futuro aiutare a distinguere una pubertà semplicemente in ritardo da una carenza ormonale permanente.</w:t>
      </w:r>
    </w:p>
    <w:bookmarkEnd w:id="2146"/>
    <w:bookmarkStart w:id="2153" w:name="X4e63858d28b82127eddfe9e4674a340e19d9a8d"/>
    <w:p>
      <w:pPr>
        <w:pStyle w:val="Heading4"/>
      </w:pPr>
      <w:r>
        <w:t xml:space="preserve">Trattamento dell’infertilità: maturazione degli ovociti</w:t>
      </w:r>
    </w:p>
    <w:p>
      <w:pPr>
        <w:pStyle w:val="FirstParagraph"/>
      </w:pPr>
      <w:r>
        <w:t xml:space="preserve">L’applicazione finora più avanzata è l’induzione della maturazione degli ovociti nella fecondazione in vitro (FIVET). Normalmente a questo scopo si inietta l’ormone hCG. L’hCG agisce a lungo e nelle donne predisposte può provocare una sindrome da iperstimolazione ovarica (OHSS) – uno spostamento di liquidi che in casi estremi è potenzialmente letale. La kisspeptina provoca invece un picco di LH endogeno più breve.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Jayasena 2014, PMID 25036713</w:t>
            </w:r>
          </w:p>
        </w:tc>
        <w:tc>
          <w:tcPr/>
          <w:p>
            <w:pPr>
              <w:pStyle w:val="Compact"/>
              <w:jc w:val="left"/>
            </w:pPr>
            <w:r>
              <w:t xml:space="preserve">53 donne in trattamento FIVET, studio di dose senza gruppo di controllo</w:t>
            </w:r>
          </w:p>
        </w:tc>
        <w:tc>
          <w:tcPr/>
          <w:p>
            <w:pPr>
              <w:pStyle w:val="Compact"/>
              <w:jc w:val="left"/>
            </w:pPr>
            <w:r>
              <w:t xml:space="preserve">un ciclo</w:t>
            </w:r>
          </w:p>
        </w:tc>
        <w:tc>
          <w:tcPr/>
          <w:p>
            <w:pPr>
              <w:pStyle w:val="Compact"/>
              <w:jc w:val="left"/>
            </w:pPr>
            <w:r>
              <w:t xml:space="preserve">Maturazione degli ovociti a tutte le dosi; gravidanza clinica 23%</w:t>
            </w:r>
          </w:p>
        </w:tc>
      </w:tr>
      <w:tr>
        <w:tc>
          <w:tcPr/>
          <w:p>
            <w:pPr>
              <w:pStyle w:val="Compact"/>
              <w:jc w:val="left"/>
            </w:pPr>
            <w:r>
              <w:t xml:space="preserve">Abbara 2015, PMID 26192876</w:t>
            </w:r>
          </w:p>
        </w:tc>
        <w:tc>
          <w:tcPr/>
          <w:p>
            <w:pPr>
              <w:pStyle w:val="Compact"/>
              <w:jc w:val="left"/>
            </w:pPr>
            <w:r>
              <w:t xml:space="preserve">60 donne ad alto rischio di OHSS, studio di dose randomizzato</w:t>
            </w:r>
          </w:p>
        </w:tc>
        <w:tc>
          <w:tcPr/>
          <w:p>
            <w:pPr>
              <w:pStyle w:val="Compact"/>
              <w:jc w:val="left"/>
            </w:pPr>
            <w:r>
              <w:t xml:space="preserve">un ciclo</w:t>
            </w:r>
          </w:p>
        </w:tc>
        <w:tc>
          <w:tcPr/>
          <w:p>
            <w:pPr>
              <w:pStyle w:val="Compact"/>
              <w:jc w:val="left"/>
            </w:pPr>
            <w:r>
              <w:t xml:space="preserve">Maturazione degli ovociti nel 95%; nati vivi 45% per transfer; nessuna OHSS moderata o grave</w:t>
            </w:r>
          </w:p>
        </w:tc>
      </w:tr>
      <w:tr>
        <w:tc>
          <w:tcPr/>
          <w:p>
            <w:pPr>
              <w:pStyle w:val="Compact"/>
              <w:jc w:val="left"/>
            </w:pPr>
            <w:r>
              <w:t xml:space="preserve">Abbara 2017, PMID 28854728</w:t>
            </w:r>
          </w:p>
        </w:tc>
        <w:tc>
          <w:tcPr/>
          <w:p>
            <w:pPr>
              <w:pStyle w:val="Compact"/>
              <w:jc w:val="left"/>
            </w:pPr>
            <w:r>
              <w:t xml:space="preserve">62 donne ad alto rischio di OHSS, RCT: seconda dose vs. soluzione salina</w:t>
            </w:r>
          </w:p>
        </w:tc>
        <w:tc>
          <w:tcPr/>
          <w:p>
            <w:pPr>
              <w:pStyle w:val="Compact"/>
              <w:jc w:val="left"/>
            </w:pPr>
            <w:r>
              <w:t xml:space="preserve">un ciclo</w:t>
            </w:r>
          </w:p>
        </w:tc>
        <w:tc>
          <w:tcPr/>
          <w:p>
            <w:pPr>
              <w:pStyle w:val="Compact"/>
              <w:jc w:val="left"/>
            </w:pPr>
            <w:r>
              <w:t xml:space="preserve">resa sufficiente di ovociti nel 71% vs. 45%</w:t>
            </w:r>
          </w:p>
        </w:tc>
      </w:tr>
      <w:tr>
        <w:tc>
          <w:tcPr/>
          <w:p>
            <w:pPr>
              <w:pStyle w:val="Compact"/>
              <w:jc w:val="left"/>
            </w:pPr>
            <w:r>
              <w:t xml:space="preserve">Abbara 2024, PMID 37925096</w:t>
            </w:r>
          </w:p>
        </w:tc>
        <w:tc>
          <w:tcPr/>
          <w:p>
            <w:pPr>
              <w:pStyle w:val="Compact"/>
              <w:jc w:val="left"/>
            </w:pPr>
            <w:r>
              <w:t xml:space="preserve">24 e 75 donne sane, due RCT con l’analogo MVT-602</w:t>
            </w:r>
          </w:p>
        </w:tc>
        <w:tc>
          <w:tcPr/>
          <w:p>
            <w:pPr>
              <w:pStyle w:val="Compact"/>
              <w:jc w:val="left"/>
            </w:pPr>
            <w:r>
              <w:t xml:space="preserve">dose singola</w:t>
            </w:r>
          </w:p>
        </w:tc>
        <w:tc>
          <w:tcPr/>
          <w:p>
            <w:pPr>
              <w:pStyle w:val="Compact"/>
              <w:jc w:val="left"/>
            </w:pPr>
            <w:r>
              <w:t xml:space="preserve">Aumento di LH simile a quello naturale di metà ciclo; ovulazione entro 5 giorni fino al 100%</w:t>
            </w:r>
          </w:p>
        </w:tc>
      </w:tr>
    </w:tbl>
    <w:p>
      <w:pPr>
        <w:pStyle w:val="BodyText"/>
      </w:pPr>
      <w:r>
        <w:t xml:space="preserve">Nel primo studio</w:t>
      </w:r>
      <w:r>
        <w:rPr>
          <w:rStyle w:val="FootnoteReference"/>
        </w:rPr>
        <w:footnoteReference w:id="2147"/>
      </w:r>
      <w:r>
        <w:t xml:space="preserve"> </w:t>
      </w:r>
      <w:r>
        <w:t xml:space="preserve">53 donne ricevettero una singola iniezione di kisspeptina. A tutte le dosi testate gli ovociti maturarono; in 49 donne furono trasferiti embrioni, dodici ebbero una gravidanza clinica. Per la prima volta era così dimostrato che dopo una maturazione degli ovociti guidata dalla kisspeptina una gravidanza è possibile.</w:t>
      </w:r>
    </w:p>
    <w:p>
      <w:pPr>
        <w:pStyle w:val="BodyText"/>
      </w:pPr>
      <w:r>
        <w:t xml:space="preserve">Lo studio successivo si è concentrato sulle donne ad alto rischio di iperstimolazione</w:t>
      </w:r>
      <w:r>
        <w:rPr>
          <w:rStyle w:val="FootnoteReference"/>
        </w:rPr>
        <w:footnoteReference w:id="2148"/>
      </w:r>
      <w:r>
        <w:t xml:space="preserve">. Nessuna delle 60 donne ha sviluppato una OHSS moderata o grave; il tasso di nati vivi per transfer embrionale è stato del 45%. Una seconda dose di kisspeptina dieci ore dopo la prima ha migliorato la resa di ovociti maturi</w:t>
      </w:r>
      <w:r>
        <w:rPr>
          <w:rStyle w:val="FootnoteReference"/>
        </w:rPr>
        <w:footnoteReference w:id="2149"/>
      </w:r>
      <w:r>
        <w:t xml:space="preserve">.</w:t>
      </w:r>
    </w:p>
    <w:p>
      <w:pPr>
        <w:pStyle w:val="BodyText"/>
      </w:pPr>
      <w:r>
        <w:rPr>
          <w:bCs/>
          <w:b/>
        </w:rPr>
        <w:t xml:space="preserve">Inquadramento:</w:t>
      </w:r>
      <w:r>
        <w:t xml:space="preserve"> </w:t>
      </w:r>
      <w:r>
        <w:t xml:space="preserve">questi studi dimostrano che il principio funziona. Non erano però concepiti per confrontare direttamente la kisspeptina con le alternative consolidate – oltre all’hCG esiste già per le pazienti ad alto rischio l’induzione con un agonista del GnRH. Gli stessi autori chiedono studi comparativi di questo tipo</w:t>
      </w:r>
      <w:r>
        <w:rPr>
          <w:rStyle w:val="FootnoteReference"/>
        </w:rPr>
        <w:footnoteReference w:id="2150"/>
      </w:r>
      <w:r>
        <w:t xml:space="preserve">.</w:t>
      </w:r>
    </w:p>
    <w:p>
      <w:pPr>
        <w:pStyle w:val="BodyText"/>
      </w:pPr>
      <w:r>
        <w:t xml:space="preserve">L’analogo sintetico MVT-602 agisce molto più a lungo della kisspeptina naturale: il picco di LH nelle donne sane arrivava dopo circa 21 ore anziché 5, e la quantità totale di LH secreto era circa quattro volte maggiore</w:t>
      </w:r>
      <w:r>
        <w:rPr>
          <w:rStyle w:val="FootnoteReference"/>
        </w:rPr>
        <w:footnoteReference w:id="2151"/>
      </w:r>
      <w:r>
        <w:t xml:space="preserve">. In due studi randomizzati con complessivamente 99 donne MVT-602 è stato ben tollerato e nel secondo studio ha provocato entro cinque giorni un’ovulazione, a seconda della dose nel 75–100% delle donne – però anche nel 60% con placebo, perché le partecipanti erano sane</w:t>
      </w:r>
      <w:r>
        <w:rPr>
          <w:rStyle w:val="FootnoteReference"/>
        </w:rPr>
        <w:footnoteReference w:id="2152"/>
      </w:r>
      <w:r>
        <w:t xml:space="preserve">.</w:t>
      </w:r>
    </w:p>
    <w:bookmarkEnd w:id="2153"/>
    <w:bookmarkStart w:id="2159" w:name="assenza-delle-mestruazioni-e-pcos"/>
    <w:p>
      <w:pPr>
        <w:pStyle w:val="Heading4"/>
      </w:pPr>
      <w:r>
        <w:t xml:space="preserve">Assenza delle mestruazioni e PCOS</w:t>
      </w:r>
    </w:p>
    <w:p>
      <w:pPr>
        <w:pStyle w:val="FirstParagraph"/>
      </w:pPr>
      <w:r>
        <w:t xml:space="preserve">Nell’amenorrea ipotalamica le mestruazioni si interrompono perché il cervello – spesso a causa di sottopeso, sport intenso o stress – secerne troppo poco GnRH. Una singola iniezione di kisspeptina ha aumentato fortemente LH e FSH nelle donne colpite. Con una somministrazione due volte al giorno per due settimane l’effetto era però quasi scomparso</w:t>
      </w:r>
      <w:r>
        <w:rPr>
          <w:rStyle w:val="FootnoteReference"/>
        </w:rPr>
        <w:footnoteReference w:id="2154"/>
      </w:r>
      <w:r>
        <w:t xml:space="preserve">. Somministrazioni due volte alla settimana hanno portato solo a un’abitudine parziale</w:t>
      </w:r>
      <w:r>
        <w:rPr>
          <w:rStyle w:val="FootnoteReference"/>
        </w:rPr>
        <w:footnoteReference w:id="2155"/>
      </w:r>
      <w:r>
        <w:t xml:space="preserve">, e un’infusione continua ha triplicato temporaneamente il numero di impulsi di LH</w:t>
      </w:r>
      <w:r>
        <w:rPr>
          <w:rStyle w:val="FootnoteReference"/>
        </w:rPr>
        <w:footnoteReference w:id="2156"/>
      </w:r>
      <w:r>
        <w:t xml:space="preserve">. In persone con un difetto genetico del sistema della neurochinina B un’infusione di kisspeptina ha ripristinato la secrezione ormonale pulsatile</w:t>
      </w:r>
      <w:r>
        <w:rPr>
          <w:rStyle w:val="FootnoteReference"/>
        </w:rPr>
        <w:footnoteReference w:id="2157"/>
      </w:r>
      <w:r>
        <w:t xml:space="preserve">.</w:t>
      </w:r>
    </w:p>
    <w:p>
      <w:pPr>
        <w:pStyle w:val="BodyText"/>
      </w:pPr>
      <w:r>
        <w:t xml:space="preserve">Nella sindrome dell’ovaio policistico (PCOS) la situazione è più complicata. In uno studio pilota con 12 donne la kisspeptina ha aumentato il livello di LH solo leggermente; due donne hanno avuto un’ovulazione, nella maggior parte non è successo nulla</w:t>
      </w:r>
      <w:r>
        <w:rPr>
          <w:rStyle w:val="FootnoteReference"/>
        </w:rPr>
        <w:footnoteReference w:id="2158"/>
      </w:r>
      <w:r>
        <w:t xml:space="preserve">.</w:t>
      </w:r>
    </w:p>
    <w:bookmarkEnd w:id="2159"/>
    <w:bookmarkStart w:id="2162" w:name="uomini-testosterone-e-diabete"/>
    <w:p>
      <w:pPr>
        <w:pStyle w:val="Heading4"/>
      </w:pPr>
      <w:r>
        <w:t xml:space="preserve">Uomini: testosterone e diabete</w:t>
      </w:r>
    </w:p>
    <w:p>
      <w:pPr>
        <w:pStyle w:val="FirstParagraph"/>
      </w:pPr>
      <w:r>
        <w:t xml:space="preserve">In cinque uomini con diabete di tipo 2 e testosterone basso un’infusione di kisspeptina-10 ha aumentato LH, la frequenza degli impulsi di LH e il testosterone</w:t>
      </w:r>
      <w:r>
        <w:rPr>
          <w:rStyle w:val="FootnoteReference"/>
        </w:rPr>
        <w:footnoteReference w:id="2160"/>
      </w:r>
      <w:r>
        <w:t xml:space="preserve">. Un nuovo studio con 15 uomini sani ha mostrato che infusioni sottocutanee di otto ore al giorno mantenevano la secrezione ormonale per dodici giorni, mentre un’infusione continua dopo cinque giorni non aveva più alcun effetto su LH e FSH</w:t>
      </w:r>
      <w:r>
        <w:rPr>
          <w:rStyle w:val="FootnoteReference"/>
        </w:rPr>
        <w:footnoteReference w:id="2161"/>
      </w:r>
      <w:r>
        <w:t xml:space="preserve">. È un passo importante verso un possibile trattamento a lungo termine.</w:t>
      </w:r>
    </w:p>
    <w:bookmarkEnd w:id="2162"/>
    <w:bookmarkStart w:id="2166" w:name="desiderio-sessuale-e-cervello"/>
    <w:p>
      <w:pPr>
        <w:pStyle w:val="Heading4"/>
      </w:pPr>
      <w:r>
        <w:t xml:space="preserve">Desiderio sessuale e cervello</w:t>
      </w:r>
    </w:p>
    <w:p>
      <w:pPr>
        <w:pStyle w:val="FirstParagraph"/>
      </w:pPr>
      <w:r>
        <w:t xml:space="preserve">Il gruppo londinese ha studiato con la risonanza magnetica funzionale (fMRI) come la kisspeptina modifichi l’elaborazione di immagini erotiche.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Comninos 2017, PMID 28112678</w:t>
            </w:r>
          </w:p>
        </w:tc>
        <w:tc>
          <w:tcPr/>
          <w:p>
            <w:pPr>
              <w:pStyle w:val="Compact"/>
              <w:jc w:val="left"/>
            </w:pPr>
            <w:r>
              <w:t xml:space="preserve">29 giovani uomini sani, studio crossover contro placebo</w:t>
            </w:r>
          </w:p>
        </w:tc>
        <w:tc>
          <w:tcPr/>
          <w:p>
            <w:pPr>
              <w:pStyle w:val="Compact"/>
              <w:jc w:val="left"/>
            </w:pPr>
            <w:r>
              <w:t xml:space="preserve">infusione singola</w:t>
            </w:r>
          </w:p>
        </w:tc>
        <w:tc>
          <w:tcPr/>
          <w:p>
            <w:pPr>
              <w:pStyle w:val="Compact"/>
              <w:jc w:val="left"/>
            </w:pPr>
            <w:r>
              <w:t xml:space="preserve">più attività nelle regioni limbiche del cervello con stimoli sessuali; meno umore negativo</w:t>
            </w:r>
          </w:p>
        </w:tc>
      </w:tr>
      <w:tr>
        <w:tc>
          <w:tcPr/>
          <w:p>
            <w:pPr>
              <w:pStyle w:val="Compact"/>
              <w:jc w:val="left"/>
            </w:pPr>
            <w:r>
              <w:t xml:space="preserve">Thurston 2022, PMID 36287566</w:t>
            </w:r>
          </w:p>
        </w:tc>
        <w:tc>
          <w:tcPr/>
          <w:p>
            <w:pPr>
              <w:pStyle w:val="Compact"/>
              <w:jc w:val="left"/>
            </w:pPr>
            <w:r>
              <w:t xml:space="preserve">32 donne con HSDD, studio crossover in doppio cieco</w:t>
            </w:r>
          </w:p>
        </w:tc>
        <w:tc>
          <w:tcPr/>
          <w:p>
            <w:pPr>
              <w:pStyle w:val="Compact"/>
              <w:jc w:val="left"/>
            </w:pPr>
            <w:r>
              <w:t xml:space="preserve">75 minuti</w:t>
            </w:r>
          </w:p>
        </w:tc>
        <w:tc>
          <w:tcPr/>
          <w:p>
            <w:pPr>
              <w:pStyle w:val="Compact"/>
              <w:jc w:val="left"/>
            </w:pPr>
            <w:r>
              <w:t xml:space="preserve">attività modificata nelle regioni cerebrali per stimoli sessuali e attrattività; nessun effetto collaterale</w:t>
            </w:r>
          </w:p>
        </w:tc>
      </w:tr>
      <w:tr>
        <w:tc>
          <w:tcPr/>
          <w:p>
            <w:pPr>
              <w:pStyle w:val="Compact"/>
              <w:jc w:val="left"/>
            </w:pPr>
            <w:r>
              <w:t xml:space="preserve">Mills 2023, PMID 36735255</w:t>
            </w:r>
          </w:p>
        </w:tc>
        <w:tc>
          <w:tcPr/>
          <w:p>
            <w:pPr>
              <w:pStyle w:val="Compact"/>
              <w:jc w:val="left"/>
            </w:pPr>
            <w:r>
              <w:t xml:space="preserve">32 uomini con HSDD, studio crossover in doppio cieco</w:t>
            </w:r>
          </w:p>
        </w:tc>
        <w:tc>
          <w:tcPr/>
          <w:p>
            <w:pPr>
              <w:pStyle w:val="Compact"/>
              <w:jc w:val="left"/>
            </w:pPr>
            <w:r>
              <w:t xml:space="preserve">75 minuti</w:t>
            </w:r>
          </w:p>
        </w:tc>
        <w:tc>
          <w:tcPr/>
          <w:p>
            <w:pPr>
              <w:pStyle w:val="Compact"/>
              <w:jc w:val="left"/>
            </w:pPr>
            <w:r>
              <w:t xml:space="preserve">attività cerebrale modificata; tumescenza peniena durante video erotici fino al 56% più forte che con placebo</w:t>
            </w:r>
          </w:p>
        </w:tc>
      </w:tr>
    </w:tbl>
    <w:p>
      <w:pPr>
        <w:pStyle w:val="BodyText"/>
      </w:pPr>
      <w:r>
        <w:t xml:space="preserve">HSDD (disturbo da desiderio sessuale ipoattivo) significa desiderio sessuale persistentemente scarso con sofferenza. Negli uomini con HSDD una singola infusione di kisspeptina ha rafforzato non solo l’attività delle regioni cerebrali sessuali, ma anche l’eccitazione fisica misurabile e singole indicazioni sul desiderio, per esempio la «voglia di sesso»</w:t>
      </w:r>
      <w:r>
        <w:rPr>
          <w:rStyle w:val="FootnoteReference"/>
        </w:rPr>
        <w:footnoteReference w:id="2163"/>
      </w:r>
      <w:r>
        <w:t xml:space="preserve">. Nelle donne con HSDD le variazioni dell’attività cerebrale erano correlate con la sofferenza e con l’avversione sessuale</w:t>
      </w:r>
      <w:r>
        <w:rPr>
          <w:rStyle w:val="FootnoteReference"/>
        </w:rPr>
        <w:footnoteReference w:id="2164"/>
      </w:r>
      <w:r>
        <w:t xml:space="preserve">.</w:t>
      </w:r>
    </w:p>
    <w:p>
      <w:pPr>
        <w:pStyle w:val="BodyText"/>
      </w:pPr>
      <w:r>
        <w:rPr>
          <w:bCs/>
          <w:b/>
        </w:rPr>
        <w:t xml:space="preserve">Inquadramento:</w:t>
      </w:r>
      <w:r>
        <w:t xml:space="preserve"> </w:t>
      </w:r>
      <w:r>
        <w:t xml:space="preserve">questi studi valutano una singola infusione in laboratorio, con l’attività cerebrale come endpoint primario. Non dicono nulla sul fatto che la kisspeptina migliori l’esperienza sessuale nella vita quotidiana nell’arco di settimane. La somministrazione per infusione non è adatta a un trattamento quotidiano. Uno studio con 95 persone non ha trovato effetti su ansia, cortisolo, pressione arteriosa o frequenza cardiaca</w:t>
      </w:r>
      <w:r>
        <w:rPr>
          <w:rStyle w:val="FootnoteReference"/>
        </w:rPr>
        <w:footnoteReference w:id="2165"/>
      </w:r>
      <w:r>
        <w:t xml:space="preserve"> </w:t>
      </w:r>
      <w:r>
        <w:t xml:space="preserve">– un segnale rassicurante sulla tollerabilità, non una prova di efficacia.</w:t>
      </w:r>
    </w:p>
    <w:bookmarkEnd w:id="2166"/>
    <w:bookmarkStart w:id="2168" w:name="spray-nasale"/>
    <w:p>
      <w:pPr>
        <w:pStyle w:val="Heading4"/>
      </w:pPr>
      <w:r>
        <w:t xml:space="preserve">Spray nasale</w:t>
      </w:r>
    </w:p>
    <w:p>
      <w:pPr>
        <w:pStyle w:val="FirstParagraph"/>
      </w:pPr>
      <w:r>
        <w:t xml:space="preserve">Uno spray nasale con kisspeptina-54 ha aumentato l’LH in uomini e donne sani e in donne con amenorrea ipotalamica, senza effetti collaterali</w:t>
      </w:r>
      <w:r>
        <w:rPr>
          <w:rStyle w:val="FootnoteReference"/>
        </w:rPr>
        <w:footnoteReference w:id="2167"/>
      </w:r>
      <w:r>
        <w:t xml:space="preserve">. Questo indica una possibile strada verso un trattamento senza ago. Nei topi la kisspeptina è stata rilevata nella mucosa olfattiva, il che suggerisce una via attraverso il sistema olfattivo.</w:t>
      </w:r>
    </w:p>
    <w:bookmarkEnd w:id="2168"/>
    <w:bookmarkStart w:id="2172" w:name="altri-risultati"/>
    <w:p>
      <w:pPr>
        <w:pStyle w:val="Heading4"/>
      </w:pPr>
      <w:r>
        <w:t xml:space="preserve">Altri risultati</w:t>
      </w:r>
    </w:p>
    <w:p>
      <w:pPr>
        <w:numPr>
          <w:ilvl w:val="0"/>
          <w:numId w:val="1271"/>
        </w:numPr>
        <w:pStyle w:val="Compact"/>
      </w:pPr>
      <w:r>
        <w:rPr>
          <w:bCs/>
          <w:b/>
        </w:rPr>
        <w:t xml:space="preserve">Ossa:</w:t>
      </w:r>
      <w:r>
        <w:t xml:space="preserve"> </w:t>
      </w:r>
      <w:r>
        <w:t xml:space="preserve">in 26 uomini sani, dopo una somministrazione di kisspeptina, il marcatore di formazione ossea osteocalcina è aumentato fino al 20,3%</w:t>
      </w:r>
      <w:r>
        <w:rPr>
          <w:rStyle w:val="FootnoteReference"/>
        </w:rPr>
        <w:footnoteReference w:id="2169"/>
      </w:r>
      <w:r>
        <w:t xml:space="preserve">.</w:t>
      </w:r>
    </w:p>
    <w:p>
      <w:pPr>
        <w:numPr>
          <w:ilvl w:val="0"/>
          <w:numId w:val="1271"/>
        </w:numPr>
        <w:pStyle w:val="Compact"/>
      </w:pPr>
      <w:r>
        <w:rPr>
          <w:bCs/>
          <w:b/>
        </w:rPr>
        <w:t xml:space="preserve">Metabolismo:</w:t>
      </w:r>
      <w:r>
        <w:t xml:space="preserve"> </w:t>
      </w:r>
      <w:r>
        <w:t xml:space="preserve">in 15 uomini sani la kisspeptina ha aumentato la secrezione di insulina dopo un carico di glucosio, senza modificare appetito o quantità di cibo assunta</w:t>
      </w:r>
      <w:r>
        <w:rPr>
          <w:rStyle w:val="FootnoteReference"/>
        </w:rPr>
        <w:footnoteReference w:id="2170"/>
      </w:r>
      <w:r>
        <w:t xml:space="preserve">.</w:t>
      </w:r>
    </w:p>
    <w:p>
      <w:pPr>
        <w:numPr>
          <w:ilvl w:val="0"/>
          <w:numId w:val="1271"/>
        </w:numPr>
        <w:pStyle w:val="Compact"/>
      </w:pPr>
      <w:r>
        <w:rPr>
          <w:bCs/>
          <w:b/>
        </w:rPr>
        <w:t xml:space="preserve">Ossitocina:</w:t>
      </w:r>
      <w:r>
        <w:t xml:space="preserve"> </w:t>
      </w:r>
      <w:r>
        <w:t xml:space="preserve">dopo un’iniezione di kisspeptina il livello di ossitocina nel sangue è aumentato, negli uomini più che nelle donne</w:t>
      </w:r>
      <w:r>
        <w:rPr>
          <w:rStyle w:val="FootnoteReference"/>
        </w:rPr>
        <w:footnoteReference w:id="2171"/>
      </w:r>
      <w:r>
        <w:t xml:space="preserve">. Questo viene studiato come possibile test per una carenza di ossitocina (capitolo 2E05).</w:t>
      </w:r>
    </w:p>
    <w:bookmarkEnd w:id="2172"/>
    <w:bookmarkStart w:id="2175" w:name="lopposto-abbassare-gli-ormoni"/>
    <w:p>
      <w:pPr>
        <w:pStyle w:val="Heading4"/>
      </w:pPr>
      <w:r>
        <w:t xml:space="preserve">L’opposto: abbassare gli ormoni</w:t>
      </w:r>
    </w:p>
    <w:p>
      <w:pPr>
        <w:pStyle w:val="FirstParagraph"/>
      </w:pPr>
      <w:r>
        <w:t xml:space="preserve">L’analogo sintetico TAK-448, in somministrazione continua, è diventato un bloccante ormonale. In uomini sani oltre i 50 anni, dopo una settimana di infusione continua, il testosterone è sceso a livelli di castrazione; in uomini con cancro della prostata un’iniezione depot ha abbassato il testosterone e il marcatore tumorale PSA</w:t>
      </w:r>
      <w:r>
        <w:rPr>
          <w:rStyle w:val="FootnoteReference"/>
        </w:rPr>
        <w:footnoteReference w:id="2173"/>
      </w:r>
      <w:r>
        <w:t xml:space="preserve">. Altri due studi di fase 2 del produttore sono stati interrotti anticipatamente</w:t>
      </w:r>
      <w:r>
        <w:rPr>
          <w:rStyle w:val="FootnoteReference"/>
        </w:rPr>
        <w:footnoteReference w:id="2174"/>
      </w:r>
      <w:r>
        <w:t xml:space="preserve">.</w:t>
      </w:r>
    </w:p>
    <w:bookmarkEnd w:id="2175"/>
    <w:bookmarkEnd w:id="2176"/>
    <w:bookmarkStart w:id="2181" w:name="studi-su-animali-e-in-laboratorio-49"/>
    <w:p>
      <w:pPr>
        <w:pStyle w:val="Heading3"/>
      </w:pPr>
      <w:r>
        <w:t xml:space="preserve">Studi su animali e in laboratorio</w:t>
      </w:r>
    </w:p>
    <w:p>
      <w:pPr>
        <w:pStyle w:val="FirstParagraph"/>
      </w:pPr>
      <w:r>
        <w:t xml:space="preserve">Il ruolo della kisspeptina per pubertà e riproduzione è stato dimostrato per la prima volta in topi con il gene del recettore disattivato; gli animali restano sessualmente immaturi</w:t>
      </w:r>
      <w:r>
        <w:rPr>
          <w:rStyle w:val="FootnoteReference"/>
        </w:rPr>
        <w:footnoteReference w:id="2177"/>
      </w:r>
      <w:r>
        <w:t xml:space="preserve">. In origine il peptide era stato descritto come freno della metastatizzazione: in coltura cellulare e nei topi ha inibito la diffusione delle cellule di melanoma</w:t>
      </w:r>
      <w:r>
        <w:rPr>
          <w:rStyle w:val="FootnoteReference"/>
        </w:rPr>
        <w:footnoteReference w:id="2178"/>
      </w:r>
      <w:r>
        <w:t xml:space="preserve">. Se ciò sia sfruttabile a fini terapeutici è una questione aperta.</w:t>
      </w:r>
    </w:p>
    <w:p>
      <w:pPr>
        <w:pStyle w:val="BodyText"/>
      </w:pPr>
      <w:r>
        <w:t xml:space="preserve">In modelli di PCOS nel ratto la kisspeptina ha ripristinato l’ovulazione in una parte degli animali, in altri no</w:t>
      </w:r>
      <w:r>
        <w:rPr>
          <w:rStyle w:val="FootnoteReference"/>
        </w:rPr>
        <w:footnoteReference w:id="2179"/>
      </w:r>
      <w:r>
        <w:t xml:space="preserve">. La ricerca di base su kisspeptina e neurochinina B è riassunta in una rassegna</w:t>
      </w:r>
      <w:r>
        <w:rPr>
          <w:rStyle w:val="FootnoteReference"/>
        </w:rPr>
        <w:footnoteReference w:id="2180"/>
      </w:r>
      <w:r>
        <w:t xml:space="preserve">.</w:t>
      </w:r>
    </w:p>
    <w:bookmarkEnd w:id="2181"/>
    <w:bookmarkStart w:id="2189" w:name="rischi-ed-effetti-collaterali-49"/>
    <w:p>
      <w:pPr>
        <w:pStyle w:val="Heading3"/>
      </w:pPr>
      <w:r>
        <w:t xml:space="preserve">Rischi ed effetti collaterali</w:t>
      </w:r>
    </w:p>
    <w:bookmarkStart w:id="2186" w:name="dimostrati-2"/>
    <w:p>
      <w:pPr>
        <w:pStyle w:val="Heading4"/>
      </w:pPr>
      <w:r>
        <w:t xml:space="preserve">Dimostrati</w:t>
      </w:r>
    </w:p>
    <w:p>
      <w:pPr>
        <w:pStyle w:val="FirstParagraph"/>
      </w:pPr>
      <w:r>
        <w:t xml:space="preserve">In tutti gli studi pubblicati la kisspeptina è stata ben tollerata. Diversi studi riportano espressamente l’assenza di effetti collaterali</w:t>
      </w:r>
      <w:r>
        <w:rPr>
          <w:rStyle w:val="FootnoteReference"/>
        </w:rPr>
        <w:footnoteReference w:id="2182"/>
      </w:r>
      <w:r>
        <w:t xml:space="preserve">. La kisspeptina non ha modificato né l’ormone della crescita né la prolattina né il TSH che regola la tiroide</w:t>
      </w:r>
      <w:r>
        <w:rPr>
          <w:rStyle w:val="FootnoteReference"/>
        </w:rPr>
        <w:footnoteReference w:id="2183"/>
      </w:r>
      <w:r>
        <w:t xml:space="preserve"> </w:t>
      </w:r>
      <w:r>
        <w:t xml:space="preserve">e non ha avuto effetti su ansia, pressione arteriosa o frequenza cardiaca</w:t>
      </w:r>
      <w:r>
        <w:rPr>
          <w:rStyle w:val="FootnoteReference"/>
        </w:rPr>
        <w:footnoteReference w:id="2184"/>
      </w:r>
      <w:r>
        <w:t xml:space="preserve">. Con l’analogo TAK-448 si sono verificati effetti collaterali da lievi a moderati nel 26% delle persone trattate</w:t>
      </w:r>
      <w:r>
        <w:rPr>
          <w:rStyle w:val="FootnoteReference"/>
        </w:rPr>
        <w:footnoteReference w:id="2185"/>
      </w:r>
      <w:r>
        <w:t xml:space="preserve">.</w:t>
      </w:r>
    </w:p>
    <w:bookmarkEnd w:id="2186"/>
    <w:bookmarkStart w:id="2187" w:name="teorici-e-aperti"/>
    <w:p>
      <w:pPr>
        <w:pStyle w:val="Heading4"/>
      </w:pPr>
      <w:r>
        <w:t xml:space="preserve">Teorici e aperti</w:t>
      </w:r>
    </w:p>
    <w:p>
      <w:pPr>
        <w:numPr>
          <w:ilvl w:val="0"/>
          <w:numId w:val="1272"/>
        </w:numPr>
        <w:pStyle w:val="Compact"/>
      </w:pPr>
      <w:r>
        <w:rPr>
          <w:bCs/>
          <w:b/>
        </w:rPr>
        <w:t xml:space="preserve">Abitudine e calo ormonale:</w:t>
      </w:r>
      <w:r>
        <w:t xml:space="preserve"> </w:t>
      </w:r>
      <w:r>
        <w:t xml:space="preserve">con la somministrazione continua può verificarsi l’opposto dell’effetto desiderato, come mostrano gli studi su TAK-448. Chi usa la kisspeptina senza controllo medico rischia quindi una soppressione del proprio asse ormonale.</w:t>
      </w:r>
    </w:p>
    <w:p>
      <w:pPr>
        <w:numPr>
          <w:ilvl w:val="0"/>
          <w:numId w:val="1272"/>
        </w:numPr>
        <w:pStyle w:val="Compact"/>
      </w:pPr>
      <w:r>
        <w:rPr>
          <w:bCs/>
          <w:b/>
        </w:rPr>
        <w:t xml:space="preserve">Dati a lungo termine</w:t>
      </w:r>
      <w:r>
        <w:t xml:space="preserve"> </w:t>
      </w:r>
      <w:r>
        <w:t xml:space="preserve">mancano. Gli studi più lunghi sono durati otto settimane.</w:t>
      </w:r>
    </w:p>
    <w:p>
      <w:pPr>
        <w:numPr>
          <w:ilvl w:val="0"/>
          <w:numId w:val="1272"/>
        </w:numPr>
        <w:pStyle w:val="Compact"/>
      </w:pPr>
      <w:r>
        <w:rPr>
          <w:bCs/>
          <w:b/>
        </w:rPr>
        <w:t xml:space="preserve">Gravidanza:</w:t>
      </w:r>
      <w:r>
        <w:t xml:space="preserve"> </w:t>
      </w:r>
      <w:r>
        <w:t xml:space="preserve">con l’uso nella FIVET sono nati bambini; dati sistematici sulla salute di questi bambini non sono stati pubblicati.</w:t>
      </w:r>
    </w:p>
    <w:bookmarkEnd w:id="2187"/>
    <w:bookmarkStart w:id="2188" w:name="mercato-grigio-2"/>
    <w:p>
      <w:pPr>
        <w:pStyle w:val="Heading4"/>
      </w:pPr>
      <w:r>
        <w:t xml:space="preserve">Mercato grigio</w:t>
      </w:r>
    </w:p>
    <w:p>
      <w:pPr>
        <w:pStyle w:val="FirstParagraph"/>
      </w:pPr>
      <w:r>
        <w:t xml:space="preserve">La kisspeptina-10 viene offerta su internet come «Research Peptide» e pubblicizzata nei forum per aumentare testosterone o libido. Non esistono studi su questi prodotti. A causa della breve emivita e dell’abitudine in caso di somministrazione frequente, un effetto duraturo con l’autosomministrazione non è dimostrato; purezza e contenuto non sono verificati (vedi Parte I e Parte IV).</w:t>
      </w:r>
    </w:p>
    <w:bookmarkEnd w:id="2188"/>
    <w:bookmarkEnd w:id="2189"/>
    <w:bookmarkStart w:id="2190" w:name="quadro-normativo-49"/>
    <w:p>
      <w:pPr>
        <w:pStyle w:val="Heading3"/>
      </w:pPr>
      <w:r>
        <w:t xml:space="preserve">Quadro normativo</w:t>
      </w:r>
    </w:p>
    <w:p>
      <w:pPr>
        <w:pStyle w:val="FirstParagraph"/>
      </w:pPr>
      <w:r>
        <w:rPr>
          <w:iCs/>
          <w:i/>
        </w:rPr>
        <w:t xml:space="preserve">Aggiornato al 2026, da verificare.</w:t>
      </w:r>
    </w:p>
    <w:p>
      <w:pPr>
        <w:numPr>
          <w:ilvl w:val="0"/>
          <w:numId w:val="1273"/>
        </w:numPr>
        <w:pStyle w:val="Compact"/>
      </w:pPr>
      <w:r>
        <w:rPr>
          <w:bCs/>
          <w:b/>
        </w:rPr>
        <w:t xml:space="preserve">UE, Germania, Austria:</w:t>
      </w:r>
      <w:r>
        <w:t xml:space="preserve"> </w:t>
      </w:r>
      <w:r>
        <w:t xml:space="preserve">nessuna approvazione. La kisspeptina può essere usata nell’uomo solo nell’ambito di studi clinici autorizzati. La vendita per uso umano non è consentita.</w:t>
      </w:r>
    </w:p>
    <w:p>
      <w:pPr>
        <w:numPr>
          <w:ilvl w:val="0"/>
          <w:numId w:val="1273"/>
        </w:numPr>
        <w:pStyle w:val="Compact"/>
      </w:pPr>
      <w:r>
        <w:rPr>
          <w:bCs/>
          <w:b/>
        </w:rPr>
        <w:t xml:space="preserve">USA:</w:t>
      </w:r>
      <w:r>
        <w:t xml:space="preserve"> </w:t>
      </w:r>
      <w:r>
        <w:t xml:space="preserve">nessuna approvazione; uso solo in studi autorizzati dalla FDA.</w:t>
      </w:r>
    </w:p>
    <w:p>
      <w:pPr>
        <w:numPr>
          <w:ilvl w:val="0"/>
          <w:numId w:val="1273"/>
        </w:numPr>
        <w:pStyle w:val="Compact"/>
      </w:pPr>
      <w:r>
        <w:rPr>
          <w:bCs/>
          <w:b/>
        </w:rPr>
        <w:t xml:space="preserve">WADA:</w:t>
      </w:r>
      <w:r>
        <w:t xml:space="preserve"> </w:t>
      </w:r>
      <w:r>
        <w:t xml:space="preserve">negli uomini i fattori di rilascio dell’LH sono vietati secondo S2, i principi attivi non approvati in generale secondo S0. La kisspeptina non è citata per nome, ma secondo la valutazione dell’autore rientra in questi gruppi.</w:t>
      </w:r>
    </w:p>
    <w:bookmarkEnd w:id="2190"/>
    <w:bookmarkStart w:id="2193" w:name="studi-in-corso-e-prospettive-49"/>
    <w:p>
      <w:pPr>
        <w:pStyle w:val="Heading3"/>
      </w:pPr>
      <w:r>
        <w:t xml:space="preserve">Studi in corso e prospettive</w:t>
      </w:r>
    </w:p>
    <w:p>
      <w:pPr>
        <w:pStyle w:val="FirstParagraph"/>
      </w:pPr>
      <w:r>
        <w:rPr>
          <w:bCs/>
          <w:b/>
        </w:rPr>
        <w:t xml:space="preserve">Dati certi (studi registrati):</w:t>
      </w:r>
    </w:p>
    <w:p>
      <w:pPr>
        <w:numPr>
          <w:ilvl w:val="0"/>
          <w:numId w:val="1274"/>
        </w:numPr>
        <w:pStyle w:val="Compact"/>
      </w:pPr>
      <w:r>
        <w:rPr>
          <w:bCs/>
          <w:b/>
        </w:rPr>
        <w:t xml:space="preserve">Massachusetts General Hospital, Boston:</w:t>
      </w:r>
      <w:r>
        <w:t xml:space="preserve"> </w:t>
      </w:r>
      <w:r>
        <w:t xml:space="preserve">diversi studi di fase 1 e fase 2 con somministrazione sottocutanea ripetuta di kisspeptina nella carenza ormonale congenita (ipogonadismo ipogonadotropo idiopatico, NCT05896293, 36 persone, fino al 2028) e nell’amenorrea ipotalamica (NCT07224438, 20 persone, fino al 2030). Un altro studio usa la kisspeptina come test della funzione dei neuroni che producono GnRH</w:t>
      </w:r>
      <w:r>
        <w:rPr>
          <w:rStyle w:val="FootnoteReference"/>
        </w:rPr>
        <w:footnoteReference w:id="2191"/>
      </w:r>
      <w:r>
        <w:t xml:space="preserve">.</w:t>
      </w:r>
    </w:p>
    <w:p>
      <w:pPr>
        <w:numPr>
          <w:ilvl w:val="0"/>
          <w:numId w:val="1274"/>
        </w:numPr>
        <w:pStyle w:val="Compact"/>
      </w:pPr>
      <w:r>
        <w:rPr>
          <w:bCs/>
          <w:b/>
        </w:rPr>
        <w:t xml:space="preserve">Imperial College London:</w:t>
      </w:r>
      <w:r>
        <w:t xml:space="preserve"> </w:t>
      </w:r>
      <w:r>
        <w:t xml:space="preserve">uno studio in corso dal 2014 sulla secrezione ormonale con somministrazione prolungata di kisspeptina (NCT02081924, 76 persone).</w:t>
      </w:r>
    </w:p>
    <w:p>
      <w:pPr>
        <w:numPr>
          <w:ilvl w:val="0"/>
          <w:numId w:val="1274"/>
        </w:numPr>
        <w:pStyle w:val="Compact"/>
      </w:pPr>
      <w:r>
        <w:t xml:space="preserve">Uno studio di fase 2 con somministrazione pulsatile di kisspeptina nell’ipogonadismo è concluso</w:t>
      </w:r>
      <w:r>
        <w:rPr>
          <w:rStyle w:val="FootnoteReference"/>
        </w:rPr>
        <w:footnoteReference w:id="2192"/>
      </w:r>
      <w:r>
        <w:t xml:space="preserve">; alla chiusura redazionale i risultati non erano pubblicati in PubMed.</w:t>
      </w:r>
    </w:p>
    <w:p>
      <w:pPr>
        <w:pStyle w:val="FirstParagraph"/>
      </w:pPr>
      <w:r>
        <w:rPr>
          <w:bCs/>
          <w:b/>
        </w:rPr>
        <w:t xml:space="preserve">Valutazione dell’autore:</w:t>
      </w:r>
      <w:r>
        <w:t xml:space="preserve"> </w:t>
      </w:r>
      <w:r>
        <w:t xml:space="preserve">la kisspeptina è, per quanto riguarda le basi, uno dei peptidi scientificamente più solidi di questo libro – il ruolo nella pubertà è dimostrato geneticamente. Lo sviluppo clinico è però lento, perché è sostenuto prevalentemente dalle università. L’ipotesi più realistica appare un’approvazione per la maturazione degli ovociti nelle donne a rischio di OHSS o come test diagnostico per i disturbi della pubertà; a tale scopo sarebbero però necessari studi comparativi più ampi. Per il trattamento della mancanza di desiderio sessuale manca finora qualsiasi prova di un beneficio nella vita quotidiana.</w:t>
      </w:r>
    </w:p>
    <w:bookmarkEnd w:id="2193"/>
    <w:bookmarkStart w:id="2194" w:name="conclusione-49"/>
    <w:p>
      <w:pPr>
        <w:pStyle w:val="Heading3"/>
      </w:pPr>
      <w:r>
        <w:t xml:space="preserve">Conclusione</w:t>
      </w:r>
    </w:p>
    <w:p>
      <w:pPr>
        <w:pStyle w:val="FirstParagraph"/>
      </w:pPr>
      <w:r>
        <w:t xml:space="preserve">La kisspeptina è l’interruttore principale endogeno degli ormoni della riproduzione, come dimostrano in modo eloquente le persone con un difetto del recettore. In piccoli studi ha provocato in modo affidabile la secrezione di LH e, nelle donne ad alto rischio di iperstimolazione, ha permesso una maturazione degli ovociti senza OHSS grave. Gli studi di laboratorio con neuroimaging indicano effetti sull’elaborazione degli stimoli sessuali, ma non sono una prova di un beneficio nella vita quotidiana. Il maggiore ostacolo pratico è l’abitudine con la somministrazione frequente, che può arrivare fino alla soppressione dell’asse ormonale. La kisspeptina non è approvata da nessuna parte; al di fuori degli studi non esiste un impiego verificato.</w:t>
      </w:r>
    </w:p>
    <w:bookmarkEnd w:id="2194"/>
    <w:bookmarkEnd w:id="2195"/>
    <w:bookmarkStart w:id="2275" w:name="ossitocina-spray-nasale"/>
    <w:p>
      <w:pPr>
        <w:pStyle w:val="Heading2"/>
      </w:pPr>
      <w:r>
        <w:t xml:space="preserve">Ossitocina (spray nasale)</w:t>
      </w:r>
    </w:p>
    <w:bookmarkStart w:id="2196" w:name="scheda-50"/>
    <w:p>
      <w:pPr>
        <w:pStyle w:val="Heading3"/>
      </w:pPr>
      <w:r>
        <w:t xml:space="preserve">Scheda</w:t>
      </w:r>
    </w:p>
    <w:p>
      <w:pPr>
        <w:numPr>
          <w:ilvl w:val="0"/>
          <w:numId w:val="1275"/>
        </w:numPr>
        <w:pStyle w:val="Compact"/>
      </w:pPr>
      <w:r>
        <w:rPr>
          <w:bCs/>
          <w:b/>
        </w:rPr>
        <w:t xml:space="preserve">Tipo/struttura:</w:t>
      </w:r>
      <w:r>
        <w:t xml:space="preserve"> </w:t>
      </w:r>
      <w:r>
        <w:t xml:space="preserve">ormone peptidico endogeno di nove aminoacidi. Due ponti disolfuro chiudono sei di essi in un anello. L’ossitocina è strettamente imparentata con l’ormone vasopressina (ormone antidiuretico), da cui differisce solo per due elementi.</w:t>
      </w:r>
    </w:p>
    <w:p>
      <w:pPr>
        <w:numPr>
          <w:ilvl w:val="0"/>
          <w:numId w:val="1275"/>
        </w:numPr>
        <w:pStyle w:val="Compact"/>
      </w:pPr>
      <w:r>
        <w:rPr>
          <w:bCs/>
          <w:b/>
        </w:rPr>
        <w:t xml:space="preserve">Origine:</w:t>
      </w:r>
      <w:r>
        <w:t xml:space="preserve"> </w:t>
      </w:r>
      <w:r>
        <w:t xml:space="preserve">prodotta nei neuroni dell’ipotalamo e rilasciata nel sangue dall’ipofisi posteriore; al tempo stesso è un messaggero all’interno del cervello. Nel 1953 l’ossitocina fu il primo ormone peptidico riprodotto in laboratorio; Vincent du Vigneaud ricevette per questo il premio Nobel per la chimica nel 1955.</w:t>
      </w:r>
    </w:p>
    <w:p>
      <w:pPr>
        <w:numPr>
          <w:ilvl w:val="0"/>
          <w:numId w:val="1275"/>
        </w:numPr>
        <w:pStyle w:val="Compact"/>
      </w:pPr>
      <w:r>
        <w:rPr>
          <w:bCs/>
          <w:b/>
        </w:rPr>
        <w:t xml:space="preserve">Principio d’azione:</w:t>
      </w:r>
      <w:r>
        <w:t xml:space="preserve"> </w:t>
      </w:r>
      <w:r>
        <w:t xml:space="preserve">agonista del recettore dell’ossitocina. Nel corpo provoca le contrazioni del travaglio e il riflesso di eiezione del latte; nel cervello è coinvolta nel legame affettivo, nel comportamento sociale e nella regolazione dello stress.</w:t>
      </w:r>
    </w:p>
    <w:p>
      <w:pPr>
        <w:numPr>
          <w:ilvl w:val="0"/>
          <w:numId w:val="1275"/>
        </w:numPr>
        <w:pStyle w:val="Compact"/>
      </w:pPr>
      <w:r>
        <w:rPr>
          <w:bCs/>
          <w:b/>
        </w:rPr>
        <w:t xml:space="preserve">Approvazione UE e USA (iniezione/infusione):</w:t>
      </w:r>
      <w:r>
        <w:t xml:space="preserve"> </w:t>
      </w:r>
      <w:r>
        <w:t xml:space="preserve">sì, da decenni in ostetricia, per l’induzione e il sostegno del travaglio e per la prevenzione delle emorragie gravi dopo il parto.</w:t>
      </w:r>
    </w:p>
    <w:p>
      <w:pPr>
        <w:numPr>
          <w:ilvl w:val="0"/>
          <w:numId w:val="1275"/>
        </w:numPr>
        <w:pStyle w:val="Compact"/>
      </w:pPr>
      <w:r>
        <w:rPr>
          <w:bCs/>
          <w:b/>
        </w:rPr>
        <w:t xml:space="preserve">Approvazione come spray nasale:</w:t>
      </w:r>
      <w:r>
        <w:t xml:space="preserve"> </w:t>
      </w:r>
      <w:r>
        <w:t xml:space="preserve">uno spray nasale di ossitocina era un tempo approvato in diversi Paesi europei per favorire il flusso del latte durante l’allattamento, ma in molti luoghi non è più in commercio. Per impieghi psichici, sociali o sessuali l’ossitocina non è approvata da nessuna parte.</w:t>
      </w:r>
    </w:p>
    <w:p>
      <w:pPr>
        <w:numPr>
          <w:ilvl w:val="0"/>
          <w:numId w:val="1275"/>
        </w:numPr>
        <w:pStyle w:val="Compact"/>
      </w:pPr>
      <w:r>
        <w:rPr>
          <w:bCs/>
          <w:b/>
        </w:rPr>
        <w:t xml:space="preserve">WADA:</w:t>
      </w:r>
      <w:r>
        <w:t xml:space="preserve"> </w:t>
      </w:r>
      <w:r>
        <w:t xml:space="preserve">non elencata.</w:t>
      </w:r>
    </w:p>
    <w:p>
      <w:pPr>
        <w:numPr>
          <w:ilvl w:val="0"/>
          <w:numId w:val="1275"/>
        </w:numPr>
        <w:pStyle w:val="Compact"/>
      </w:pPr>
      <w:r>
        <w:rPr>
          <w:bCs/>
          <w:b/>
        </w:rPr>
        <w:t xml:space="preserve">Livello di evidenza:</w:t>
      </w:r>
      <w:r>
        <w:t xml:space="preserve"> </w:t>
      </w:r>
      <w:r>
        <w:rPr>
          <w:bCs/>
          <w:b/>
        </w:rPr>
        <w:t xml:space="preserve">B</w:t>
      </w:r>
      <w:r>
        <w:t xml:space="preserve"> </w:t>
      </w:r>
      <w:r>
        <w:t xml:space="preserve">per l’uso come spray nasale – centinaia di studi randomizzati, ma per lo più piccoli e con dosi singole; i pochi grandi studi di trattamento sono stati negativi. Per l’ostetricia (infusione, iniezione) vale il livello A; non è il tema centrale di questo capitolo.</w:t>
      </w:r>
    </w:p>
    <w:bookmarkEnd w:id="2196"/>
    <w:bookmarkStart w:id="2208" w:name="come-dovrebbe-agire-50"/>
    <w:p>
      <w:pPr>
        <w:pStyle w:val="Heading3"/>
      </w:pPr>
      <w:r>
        <w:t xml:space="preserve">Come dovrebbe agire</w:t>
      </w:r>
    </w:p>
    <w:bookmarkStart w:id="2197" w:name="X34b3abacba11f8d05b1ddcae21052101d758c79"/>
    <w:p>
      <w:pPr>
        <w:pStyle w:val="Heading4"/>
      </w:pPr>
      <w:r>
        <w:t xml:space="preserve">Dall’ormone del parto all’«ormone delle coccole»</w:t>
      </w:r>
    </w:p>
    <w:p>
      <w:pPr>
        <w:pStyle w:val="FirstParagraph"/>
      </w:pPr>
      <w:r>
        <w:t xml:space="preserve">L’ossitocina prende il nome dall’espressione greca per «parto rapido». I suoi compiti classici sono fisici: fa contrarre l’utero e spinge il latte fuori dalle ghiandole mammarie. Dagli anni Novanta è emerso un secondo ruolo. Nelle arvicole della prateria, che formano coppie per tutta la vita, il legame di coppia dipende dal sistema dell’ossitocina nel cervello (esperimenti sugli animali). Nelle pecore e nei roditori regola il comportamento di accudimento delle madri verso la prole.</w:t>
      </w:r>
    </w:p>
    <w:p>
      <w:pPr>
        <w:pStyle w:val="BodyText"/>
      </w:pPr>
      <w:r>
        <w:t xml:space="preserve">Da questi dati sugli animali è nata dal 2005 un’ondata di studi sull’uomo che somministravano l’ossitocina come spray nasale e misuravano il comportamento sociale. I media hanno coniato etichette come «ormone delle coccole», «ormone della fiducia» o «ormone dell’amore». Come mostra questo capitolo, i dati disponibili oggi sono molto più deludenti di questi slogan.</w:t>
      </w:r>
    </w:p>
    <w:bookmarkEnd w:id="2197"/>
    <w:bookmarkStart w:id="2205" w:name="il-problema-del-naso"/>
    <w:p>
      <w:pPr>
        <w:pStyle w:val="Heading4"/>
      </w:pPr>
      <w:r>
        <w:t xml:space="preserve">Il problema del naso</w:t>
      </w:r>
    </w:p>
    <w:p>
      <w:pPr>
        <w:pStyle w:val="FirstParagraph"/>
      </w:pPr>
      <w:r>
        <w:t xml:space="preserve">L’ossitocina, in quanto peptide, è troppo grande e troppo idrosolubile per superare in quantità apprezzabile la barriera ematoencefalica. Lo spray nasale dovrebbe trovare una via diretta verso il cervello attraverso i nervi olfattivi e trigeminali della mucosa nasale. Se ciò funzioni e in quale misura è una delle questioni aperte centrali del settore:</w:t>
      </w:r>
    </w:p>
    <w:p>
      <w:pPr>
        <w:numPr>
          <w:ilvl w:val="0"/>
          <w:numId w:val="1276"/>
        </w:numPr>
        <w:pStyle w:val="Compact"/>
      </w:pPr>
      <w:r>
        <w:rPr>
          <w:bCs/>
          <w:b/>
        </w:rPr>
        <w:t xml:space="preserve">Visione scettica:</w:t>
      </w:r>
      <w:r>
        <w:t xml:space="preserve"> </w:t>
      </w:r>
      <w:r>
        <w:t xml:space="preserve">solo una minima frazione della quantità spruzzata raggiunge il liquido cerebrospinale, mentre il livello nel sangue sale molto oltre i valori naturali. Molti effetti osservati potrebbero quindi derivare da azioni nel corpo, per esempio sul cuore o sull’intestino, che poi influenzano indirettamente il cervello</w:t>
      </w:r>
      <w:r>
        <w:rPr>
          <w:rStyle w:val="FootnoteReference"/>
        </w:rPr>
        <w:footnoteReference w:id="2198"/>
      </w:r>
      <w:r>
        <w:t xml:space="preserve">.</w:t>
      </w:r>
    </w:p>
    <w:p>
      <w:pPr>
        <w:numPr>
          <w:ilvl w:val="0"/>
          <w:numId w:val="1276"/>
        </w:numPr>
        <w:pStyle w:val="Compact"/>
      </w:pPr>
      <w:r>
        <w:rPr>
          <w:bCs/>
          <w:b/>
        </w:rPr>
        <w:t xml:space="preserve">Dati nelle scimmie:</w:t>
      </w:r>
      <w:r>
        <w:t xml:space="preserve"> </w:t>
      </w:r>
      <w:r>
        <w:t xml:space="preserve">nei macachi rhesus l’ossitocina marcata ha raggiunto il liquido cerebrospinale dopo somministrazione nasale e dopo somministrazione endovenosa; il naso non si è dimostrato superiore</w:t>
      </w:r>
      <w:r>
        <w:rPr>
          <w:rStyle w:val="FootnoteReference"/>
        </w:rPr>
        <w:footnoteReference w:id="2199"/>
      </w:r>
      <w:r>
        <w:t xml:space="preserve">. In un secondo studio l’ossitocina marcata è stata trovata dopo somministrazione nasale – non dopo somministrazione endovenosa – in regioni cerebrali lungo le vie olfattive e trigeminali</w:t>
      </w:r>
      <w:r>
        <w:rPr>
          <w:rStyle w:val="FootnoteReference"/>
        </w:rPr>
        <w:footnoteReference w:id="2200"/>
      </w:r>
      <w:r>
        <w:t xml:space="preserve">.</w:t>
      </w:r>
    </w:p>
    <w:p>
      <w:pPr>
        <w:numPr>
          <w:ilvl w:val="0"/>
          <w:numId w:val="1276"/>
        </w:numPr>
        <w:pStyle w:val="Compact"/>
      </w:pPr>
      <w:r>
        <w:rPr>
          <w:bCs/>
          <w:b/>
        </w:rPr>
        <w:t xml:space="preserve">Dati nell’uomo:</w:t>
      </w:r>
      <w:r>
        <w:t xml:space="preserve"> </w:t>
      </w:r>
      <w:r>
        <w:t xml:space="preserve">uno studio ha confrontato spray nasale, nebulizzatore e infusione. La diminuzione dell’irrorazione sanguigna dell’amigdala si poteva spiegare interamente con l’aumento nel sangue; al tempo stesso c’erano indizi di effetti diretti attraverso il naso in altre regioni</w:t>
      </w:r>
      <w:r>
        <w:rPr>
          <w:rStyle w:val="FootnoteReference"/>
        </w:rPr>
        <w:footnoteReference w:id="2201"/>
      </w:r>
      <w:r>
        <w:t xml:space="preserve">.</w:t>
      </w:r>
    </w:p>
    <w:p>
      <w:pPr>
        <w:numPr>
          <w:ilvl w:val="0"/>
          <w:numId w:val="1276"/>
        </w:numPr>
        <w:pStyle w:val="Compact"/>
      </w:pPr>
      <w:r>
        <w:rPr>
          <w:bCs/>
          <w:b/>
        </w:rPr>
        <w:t xml:space="preserve">Problemi di misurazione:</w:t>
      </w:r>
      <w:r>
        <w:t xml:space="preserve"> </w:t>
      </w:r>
      <w:r>
        <w:t xml:space="preserve">i livelli di ossitocina nel sangue non rispecchiano i valori nel cervello in condizioni di riposo</w:t>
      </w:r>
      <w:r>
        <w:rPr>
          <w:rStyle w:val="FootnoteReference"/>
        </w:rPr>
        <w:footnoteReference w:id="2202"/>
      </w:r>
      <w:r>
        <w:t xml:space="preserve">. Molti studi meno recenti hanno inoltre usato metodi di misurazione oggi considerati inaffidabili</w:t>
      </w:r>
      <w:r>
        <w:rPr>
          <w:rStyle w:val="FootnoteReference"/>
        </w:rPr>
        <w:footnoteReference w:id="2203"/>
      </w:r>
      <w:r>
        <w:t xml:space="preserve">.</w:t>
      </w:r>
    </w:p>
    <w:p>
      <w:pPr>
        <w:pStyle w:val="FirstParagraph"/>
      </w:pPr>
      <w:r>
        <w:t xml:space="preserve">Gli esperti che valutano il settore complessivamente in modo positivo ritengono ormai dimostrata una via diretta dal naso al cervello, ma sottolineano che dose, tecnica di spruzzo e sesso dei partecipanti influenzano fortemente i risultati</w:t>
      </w:r>
      <w:r>
        <w:rPr>
          <w:rStyle w:val="FootnoteReference"/>
        </w:rPr>
        <w:footnoteReference w:id="2204"/>
      </w:r>
      <w:r>
        <w:t xml:space="preserve">. Per i lettori ciò significa: se uno spray nasale di ossitocina arrivi al cervello dipende da molti dettagli, e persino gli esperti non sono d’accordo sull’ordine di grandezza.</w:t>
      </w:r>
    </w:p>
    <w:bookmarkEnd w:id="2205"/>
    <w:bookmarkStart w:id="2207" w:name="in-breve-lossitocina-in-ostetricia"/>
    <w:p>
      <w:pPr>
        <w:pStyle w:val="Heading4"/>
      </w:pPr>
      <w:r>
        <w:t xml:space="preserve">In breve: l’ossitocina in ostetricia</w:t>
      </w:r>
    </w:p>
    <w:p>
      <w:pPr>
        <w:pStyle w:val="FirstParagraph"/>
      </w:pPr>
      <w:r>
        <w:t xml:space="preserve">Come infusione o iniezione l’ossitocina è uno dei farmaci più importanti al mondo; l’Organizzazione mondiale della sanità la include nel suo elenco dei medicinali essenziali. Viene impiegata per indurre o rafforzare le contrazioni e per prevenire le emorragie gravi dopo il parto. Una revisione Cochrane con 24 studi ha concluso che l’ossitocina somministrata a scopo preventivo dimezza circa il rischio di una perdita di sangue di 500 ml o più (rischio relativo 0,51), con una qualità in parte bassa dei singoli studi</w:t>
      </w:r>
      <w:r>
        <w:rPr>
          <w:rStyle w:val="FootnoteReference"/>
        </w:rPr>
        <w:footnoteReference w:id="2206"/>
      </w:r>
      <w:r>
        <w:t xml:space="preserve">. Questo impiego spetta esclusivamente a ostetriche e medici; dosaggio e monitoraggio sono regolati dal riassunto delle caratteristiche del prodotto. Per la valutazione dello spray nasale in ambito psichico non ha alcun ruolo.</w:t>
      </w:r>
    </w:p>
    <w:bookmarkEnd w:id="2207"/>
    <w:bookmarkEnd w:id="2208"/>
    <w:bookmarkStart w:id="2253" w:name="studi-sulluomo-50"/>
    <w:p>
      <w:pPr>
        <w:pStyle w:val="Heading3"/>
      </w:pPr>
      <w:r>
        <w:t xml:space="preserve">Studi sull’uomo</w:t>
      </w:r>
    </w:p>
    <w:p>
      <w:pPr>
        <w:pStyle w:val="FirstParagraph"/>
      </w:pPr>
      <w:r>
        <w:rPr>
          <w:bCs/>
          <w:b/>
        </w:rPr>
        <w:t xml:space="preserve">Entità degli studi disponibili (ricerca di ottobre 2026):</w:t>
      </w:r>
      <w:r>
        <w:t xml:space="preserve"> </w:t>
      </w:r>
      <w:r>
        <w:t xml:space="preserve">la ricerca automatizzata di questo libro (termine «intranasal oxytocin» nel titolo o nell’abstract) ha trovato</w:t>
      </w:r>
      <w:r>
        <w:t xml:space="preserve"> </w:t>
      </w:r>
      <w:r>
        <w:rPr>
          <w:bCs/>
          <w:b/>
        </w:rPr>
        <w:t xml:space="preserve">349</w:t>
      </w:r>
      <w:r>
        <w:t xml:space="preserve"> </w:t>
      </w:r>
      <w:r>
        <w:t xml:space="preserve">studi sull’uomo in PubMed (</w:t>
      </w:r>
      <w:r>
        <w:rPr>
          <w:rStyle w:val="VerbatimChar"/>
        </w:rPr>
        <w:t xml:space="preserve">humanstudien_alle</w:t>
      </w:r>
      <w:r>
        <w:t xml:space="preserve">) e</w:t>
      </w:r>
      <w:r>
        <w:t xml:space="preserve"> </w:t>
      </w:r>
      <w:r>
        <w:rPr>
          <w:bCs/>
          <w:b/>
        </w:rPr>
        <w:t xml:space="preserve">263</w:t>
      </w:r>
      <w:r>
        <w:t xml:space="preserve"> </w:t>
      </w:r>
      <w:r>
        <w:t xml:space="preserve">voci su ClinicalTrials.gov, di cui circa 20 ancora in fase di reclutamento. A questi si aggiungono almeno 15 meta-analisi e revisioni sistematiche. L’ossitocina è quindi il peptide più studiato nell’uomo in questa parte del libro. La grande maggioranza degli studi ha però somministrato una sola dose a, per lo più, 20–60 giovani uomini sani e ha misurato variazioni a breve termine in test di laboratorio o allo scanner cerebrale.</w:t>
      </w:r>
    </w:p>
    <w:p>
      <w:pPr>
        <w:pStyle w:val="BodyText"/>
      </w:pPr>
      <w:r>
        <w:t xml:space="preserve">Questo capitolo suddivide gli studi in quattro gruppi: studi di base su persone sane con la successiva crisi della replicabilità, l’autismo come principale campo di trattamento, altri disturbi psichiatrici e infine metabolismo, dolore e sessualità.</w:t>
      </w:r>
    </w:p>
    <w:bookmarkStart w:id="2212" w:name="X0192c36e55e92c3fb29334d1699daacecb672ad"/>
    <w:p>
      <w:pPr>
        <w:pStyle w:val="Heading4"/>
      </w:pPr>
      <w:r>
        <w:t xml:space="preserve">Comportamento sociale nelle persone sane: fiducia, stress, emozioni</w:t>
      </w:r>
    </w:p>
    <w:p>
      <w:pPr>
        <w:pStyle w:val="FirstParagraph"/>
      </w:pPr>
      <w:r>
        <w:rPr>
          <w:bCs/>
          <w:b/>
        </w:rPr>
        <w:t xml:space="preserve">Fiducia.</w:t>
      </w:r>
      <w:r>
        <w:t xml:space="preserve"> </w:t>
      </w:r>
      <w:r>
        <w:t xml:space="preserve">Lo studio che ha fondato il settore è uscito nel 2005 su Nature: uomini che avevano inalato ossitocina affidavano a uno sconosciuto più denaro in un gioco economico</w:t>
      </w:r>
      <w:r>
        <w:rPr>
          <w:rStyle w:val="FootnoteReference"/>
        </w:rPr>
        <w:footnoteReference w:id="2209"/>
      </w:r>
      <w:r>
        <w:t xml:space="preserve">. In questo «gioco della fiducia» un investitore decide quanto denaro lasciare a un fiduciario; la somma viene moltiplicata e il fiduciario decide quanto restituire. L’ossitocina non aumentava la propensione al rischio in generale, ma specificamente la disponibilità ad assumersi rischi sociali.</w:t>
      </w:r>
    </w:p>
    <w:p>
      <w:pPr>
        <w:pStyle w:val="BodyText"/>
      </w:pPr>
      <w:r>
        <w:rPr>
          <w:bCs/>
          <w:b/>
        </w:rPr>
        <w:t xml:space="preserve">Stress.</w:t>
      </w:r>
      <w:r>
        <w:t xml:space="preserve"> </w:t>
      </w:r>
      <w:r>
        <w:t xml:space="preserve">In uno studio con 37 uomini sani l’ossitocina ha attenuato l’ansia durante un test di stress standardizzato (discorso pubblico e calcolo mentale davanti a un pubblico). I valori più bassi dell’ormone dello stress cortisolo si sono registrati negli uomini che ricevevano ossitocina e in più erano sostenuti dal loro migliore amico</w:t>
      </w:r>
      <w:r>
        <w:rPr>
          <w:rStyle w:val="FootnoteReference"/>
        </w:rPr>
        <w:footnoteReference w:id="2210"/>
      </w:r>
      <w:r>
        <w:t xml:space="preserve">.</w:t>
      </w:r>
    </w:p>
    <w:p>
      <w:pPr>
        <w:pStyle w:val="BodyText"/>
      </w:pPr>
      <w:r>
        <w:rPr>
          <w:bCs/>
          <w:b/>
        </w:rPr>
        <w:t xml:space="preserve">Riconoscere le emozioni.</w:t>
      </w:r>
      <w:r>
        <w:t xml:space="preserve"> </w:t>
      </w:r>
      <w:r>
        <w:t xml:space="preserve">Una meta-analisi di 33 studi ha rilevato che una dose singola nelle persone sane migliorava leggermente il riconoscimento delle emozioni di base, soprattutto della paura. Nelle persone con disturbi psichici non è invece emerso alcun effetto</w:t>
      </w:r>
      <w:r>
        <w:rPr>
          <w:rStyle w:val="FootnoteReference"/>
        </w:rPr>
        <w:footnoteReference w:id="2211"/>
      </w:r>
      <w:r>
        <w:t xml:space="preserve">.</w:t>
      </w:r>
    </w:p>
    <w:p>
      <w:pPr>
        <w:pStyle w:val="BodyText"/>
      </w:pPr>
      <w:r>
        <w:t xml:space="preserve">Centinaia di altri studi hanno riportato effetti su direzione dello sguardo, empatia, memoria per i volti, appartenenza al gruppo, menzogna, generosità, gelosia e molto altro. Molti di questi risultati comparivano solo in sottogruppi, per esempio solo negli uomini, solo nelle persone ansiose o solo con determinate varianti genetiche del recettore dell’ossitocina.</w:t>
      </w:r>
    </w:p>
    <w:bookmarkEnd w:id="2212"/>
    <w:bookmarkStart w:id="2218" w:name="la-crisi-della-replicabilità"/>
    <w:p>
      <w:pPr>
        <w:pStyle w:val="Heading4"/>
      </w:pPr>
      <w:r>
        <w:t xml:space="preserve">La crisi della replicabilità</w:t>
      </w:r>
    </w:p>
    <w:p>
      <w:pPr>
        <w:pStyle w:val="FirstParagraph"/>
      </w:pPr>
      <w:r>
        <w:t xml:space="preserve">Dal 2015 circa si sono moltiplicati i dubbi. Il termine crisi della replicabilità descrive il problema per cui molti risultati pubblicati in psicologia e medicina non vengono confermati quando altri ricercatori li ripetono. L’ossitocina è diventata un esempio emblematico.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Studio</w:t>
            </w:r>
          </w:p>
        </w:tc>
        <w:tc>
          <w:tcPr/>
          <w:p>
            <w:pPr>
              <w:pStyle w:val="Compact"/>
              <w:jc w:val="left"/>
            </w:pPr>
            <w:r>
              <w:t xml:space="preserve">Tipo</w:t>
            </w:r>
          </w:p>
        </w:tc>
        <w:tc>
          <w:tcPr/>
          <w:p>
            <w:pPr>
              <w:pStyle w:val="Compact"/>
              <w:jc w:val="left"/>
            </w:pPr>
            <w:r>
              <w:t xml:space="preserve">Messaggio chiave</w:t>
            </w:r>
          </w:p>
        </w:tc>
      </w:tr>
      <w:tr>
        <w:tc>
          <w:tcPr/>
          <w:p>
            <w:pPr>
              <w:pStyle w:val="Compact"/>
              <w:jc w:val="left"/>
            </w:pPr>
            <w:r>
              <w:t xml:space="preserve">Kosfeld 2005, PMID 15931222</w:t>
            </w:r>
          </w:p>
        </w:tc>
        <w:tc>
          <w:tcPr/>
          <w:p>
            <w:pPr>
              <w:pStyle w:val="Compact"/>
              <w:jc w:val="left"/>
            </w:pPr>
            <w:r>
              <w:t xml:space="preserve">Studio originale, gioco della fiducia</w:t>
            </w:r>
          </w:p>
        </w:tc>
        <w:tc>
          <w:tcPr/>
          <w:p>
            <w:pPr>
              <w:pStyle w:val="Compact"/>
              <w:jc w:val="left"/>
            </w:pPr>
            <w:r>
              <w:t xml:space="preserve">L’ossitocina aumenta la fiducia</w:t>
            </w:r>
          </w:p>
        </w:tc>
      </w:tr>
      <w:tr>
        <w:tc>
          <w:tcPr/>
          <w:p>
            <w:pPr>
              <w:pStyle w:val="Compact"/>
              <w:jc w:val="left"/>
            </w:pPr>
            <w:r>
              <w:t xml:space="preserve">Nave 2015, PMID 26581735</w:t>
            </w:r>
          </w:p>
        </w:tc>
        <w:tc>
          <w:tcPr/>
          <w:p>
            <w:pPr>
              <w:pStyle w:val="Compact"/>
              <w:jc w:val="left"/>
            </w:pPr>
            <w:r>
              <w:t xml:space="preserve">rassegna critica</w:t>
            </w:r>
          </w:p>
        </w:tc>
        <w:tc>
          <w:tcPr/>
          <w:p>
            <w:pPr>
              <w:pStyle w:val="Compact"/>
              <w:jc w:val="left"/>
            </w:pPr>
            <w:r>
              <w:t xml:space="preserve">L’effetto sulla fiducia non si è potuto replicare in modo affidabile</w:t>
            </w:r>
          </w:p>
        </w:tc>
      </w:tr>
      <w:tr>
        <w:tc>
          <w:tcPr/>
          <w:p>
            <w:pPr>
              <w:pStyle w:val="Compact"/>
              <w:jc w:val="left"/>
            </w:pPr>
            <w:r>
              <w:t xml:space="preserve">Lane 2015, PMID 26368396</w:t>
            </w:r>
          </w:p>
        </w:tc>
        <w:tc>
          <w:tcPr/>
          <w:p>
            <w:pPr>
              <w:pStyle w:val="Compact"/>
              <w:jc w:val="left"/>
            </w:pPr>
            <w:r>
              <w:t xml:space="preserve">due studi di replica (95 e 61 persone)</w:t>
            </w:r>
          </w:p>
        </w:tc>
        <w:tc>
          <w:tcPr/>
          <w:p>
            <w:pPr>
              <w:pStyle w:val="Compact"/>
              <w:jc w:val="left"/>
            </w:pPr>
            <w:r>
              <w:t xml:space="preserve">grande effetto in un altro test di fiducia non confermato</w:t>
            </w:r>
          </w:p>
        </w:tc>
      </w:tr>
      <w:tr>
        <w:tc>
          <w:tcPr/>
          <w:p>
            <w:pPr>
              <w:pStyle w:val="Compact"/>
              <w:jc w:val="left"/>
            </w:pPr>
            <w:r>
              <w:t xml:space="preserve">Walum 2016, PMID 26210057</w:t>
            </w:r>
          </w:p>
        </w:tc>
        <w:tc>
          <w:tcPr/>
          <w:p>
            <w:pPr>
              <w:pStyle w:val="Compact"/>
              <w:jc w:val="left"/>
            </w:pPr>
            <w:r>
              <w:t xml:space="preserve">analisi statistica del settore</w:t>
            </w:r>
          </w:p>
        </w:tc>
        <w:tc>
          <w:tcPr/>
          <w:p>
            <w:pPr>
              <w:pStyle w:val="Compact"/>
              <w:jc w:val="left"/>
            </w:pPr>
            <w:r>
              <w:t xml:space="preserve">studi per lo più troppo piccoli; la maggior parte dei risultati pubblicati probabilmente non sono effetti reali</w:t>
            </w:r>
          </w:p>
        </w:tc>
      </w:tr>
      <w:tr>
        <w:tc>
          <w:tcPr/>
          <w:p>
            <w:pPr>
              <w:pStyle w:val="Compact"/>
              <w:jc w:val="left"/>
            </w:pPr>
            <w:r>
              <w:t xml:space="preserve">Mierop 2020, PMID 32633663</w:t>
            </w:r>
          </w:p>
        </w:tc>
        <w:tc>
          <w:tcPr/>
          <w:p>
            <w:pPr>
              <w:pStyle w:val="Compact"/>
              <w:jc w:val="left"/>
            </w:pPr>
            <w:r>
              <w:t xml:space="preserve">revisione sistematica</w:t>
            </w:r>
          </w:p>
        </w:tc>
        <w:tc>
          <w:tcPr/>
          <w:p>
            <w:pPr>
              <w:pStyle w:val="Compact"/>
              <w:jc w:val="left"/>
            </w:pPr>
            <w:r>
              <w:t xml:space="preserve">tentativi di replica sulle interazioni per lo più falliti; potenza statistica criticamente bassa</w:t>
            </w:r>
          </w:p>
        </w:tc>
      </w:tr>
      <w:tr>
        <w:tc>
          <w:tcPr/>
          <w:p>
            <w:pPr>
              <w:pStyle w:val="Compact"/>
              <w:jc w:val="left"/>
            </w:pPr>
            <w:r>
              <w:t xml:space="preserve">Declerck 2020, PMID 32514040</w:t>
            </w:r>
          </w:p>
        </w:tc>
        <w:tc>
          <w:tcPr/>
          <w:p>
            <w:pPr>
              <w:pStyle w:val="Compact"/>
              <w:jc w:val="left"/>
            </w:pPr>
            <w:r>
              <w:t xml:space="preserve">studio di replica preregistrato</w:t>
            </w:r>
          </w:p>
        </w:tc>
        <w:tc>
          <w:tcPr/>
          <w:p>
            <w:pPr>
              <w:pStyle w:val="Compact"/>
              <w:jc w:val="left"/>
            </w:pPr>
            <w:r>
              <w:t xml:space="preserve">nessun effetto sulla fiducia nella condizione originale</w:t>
            </w:r>
          </w:p>
        </w:tc>
      </w:tr>
      <w:tr>
        <w:tc>
          <w:tcPr/>
          <w:p>
            <w:pPr>
              <w:pStyle w:val="Compact"/>
              <w:jc w:val="left"/>
            </w:pPr>
            <w:r>
              <w:t xml:space="preserve">Vogt 2026, PMID 42561025</w:t>
            </w:r>
          </w:p>
        </w:tc>
        <w:tc>
          <w:tcPr/>
          <w:p>
            <w:pPr>
              <w:pStyle w:val="Compact"/>
              <w:jc w:val="left"/>
            </w:pPr>
            <w:r>
              <w:t xml:space="preserve">studio preregistrato, 359 uomini con bassa fiducia di base</w:t>
            </w:r>
          </w:p>
        </w:tc>
        <w:tc>
          <w:tcPr/>
          <w:p>
            <w:pPr>
              <w:pStyle w:val="Compact"/>
              <w:jc w:val="left"/>
            </w:pPr>
            <w:r>
              <w:t xml:space="preserve">fiducia aumentata di circa il 15%</w:t>
            </w:r>
          </w:p>
        </w:tc>
      </w:tr>
    </w:tbl>
    <w:p>
      <w:pPr>
        <w:pStyle w:val="BodyText"/>
      </w:pPr>
      <w:r>
        <w:t xml:space="preserve">Una rassegna del 2015 ha concluso che l’insieme dei dati non dimostra che la fiducia umana sia legata in modo affidabile all’ossitocina o causata da essa</w:t>
      </w:r>
      <w:r>
        <w:rPr>
          <w:rStyle w:val="FootnoteReference"/>
        </w:rPr>
        <w:footnoteReference w:id="2213"/>
      </w:r>
      <w:r>
        <w:t xml:space="preserve">. Un’analisi statistica di tutti gli studi sullo spray nasale è andata oltre: gli studi sarebbero di regola troppo piccoli per trovare effetti realistici, e con alta probabilità la maggior parte dei risultati pubblicati non rappresenterebbe effetti reali</w:t>
      </w:r>
      <w:r>
        <w:rPr>
          <w:rStyle w:val="FootnoteReference"/>
        </w:rPr>
        <w:footnoteReference w:id="2214"/>
      </w:r>
      <w:r>
        <w:t xml:space="preserve">.</w:t>
      </w:r>
    </w:p>
    <w:p>
      <w:pPr>
        <w:pStyle w:val="BodyText"/>
      </w:pPr>
      <w:r>
        <w:t xml:space="preserve">La prova decisiva è stata una grande replica preregistrata dello studio sulla fiducia, con una potenza statistica superiore al 95%. Nella condizione corrispondente allo studio originale l’ossitocina non ha mostrato alcun effetto. Un’analisi successiva indicava un effetto solo nelle persone con bassa fiducia di base</w:t>
      </w:r>
      <w:r>
        <w:rPr>
          <w:rStyle w:val="FootnoteReference"/>
        </w:rPr>
        <w:footnoteReference w:id="2215"/>
      </w:r>
      <w:r>
        <w:t xml:space="preserve">. Proprio questa ipotesi è stata verificata nel 2026 da un altro studio preregistrato con 359 uomini con bassa fiducia di base, che ha trovato un aumento della fiducia di circa il 15%</w:t>
      </w:r>
      <w:r>
        <w:rPr>
          <w:rStyle w:val="FootnoteReference"/>
        </w:rPr>
        <w:footnoteReference w:id="2216"/>
      </w:r>
      <w:r>
        <w:t xml:space="preserve">.</w:t>
      </w:r>
    </w:p>
    <w:p>
      <w:pPr>
        <w:pStyle w:val="BodyText"/>
      </w:pPr>
      <w:r>
        <w:rPr>
          <w:bCs/>
          <w:b/>
        </w:rPr>
        <w:t xml:space="preserve">Che cosa significa:</w:t>
      </w:r>
      <w:r>
        <w:t xml:space="preserve"> </w:t>
      </w:r>
      <w:r>
        <w:t xml:space="preserve">l’effetto originario e ampio «l’ossitocina rende più fiduciosi» non si è confermato. Forse esiste un effetto minore in un determinato sottogruppo e in determinate condizioni. Questo è scientificamente interessante, ma molto lontano da un beneficio pratico. L’esperienza ha cambiato il settore: oggi gli studi vengono più spesso preregistrati, sono più grandi e riportano anche risultati negativi. Una piattaforma online presentata nel 2026 dovrebbe analizzare in modo continuo i dati disponibili</w:t>
      </w:r>
      <w:r>
        <w:rPr>
          <w:rStyle w:val="FootnoteReference"/>
        </w:rPr>
        <w:footnoteReference w:id="2217"/>
      </w:r>
      <w:r>
        <w:t xml:space="preserve">.</w:t>
      </w:r>
    </w:p>
    <w:bookmarkEnd w:id="2218"/>
    <w:bookmarkStart w:id="2231" w:name="autismo"/>
    <w:p>
      <w:pPr>
        <w:pStyle w:val="Heading4"/>
      </w:pPr>
      <w:r>
        <w:t xml:space="preserve">Autismo</w:t>
      </w:r>
    </w:p>
    <w:p>
      <w:pPr>
        <w:pStyle w:val="FirstParagraph"/>
      </w:pPr>
      <w:r>
        <w:t xml:space="preserve">I disturbi dello spettro autistico sono caratterizzati da difficoltà nella comunicazione sociale e da comportamenti ristretti e ripetitivi. Non esistono farmaci che modifichino queste caratteristiche centrali. L’ossitocina è stata quindi a lungo considerata una grande speranza, e in alcuni Paesi veniva già prescritta a bambini con autismo al di fuori degli studi</w:t>
      </w:r>
      <w:r>
        <w:rPr>
          <w:rStyle w:val="FootnoteReference"/>
        </w:rPr>
        <w:footnoteReference w:id="2219"/>
      </w:r>
      <w:r>
        <w:t xml:space="preserve">.</w:t>
      </w:r>
    </w:p>
    <w:p>
      <w:pPr>
        <w:pStyle w:val="BodyText"/>
      </w:pPr>
      <w:r>
        <w:rPr>
          <w:bCs/>
          <w:b/>
        </w:rPr>
        <w:t xml:space="preserve">Primi studi.</w:t>
      </w:r>
      <w:r>
        <w:t xml:space="preserve"> </w:t>
      </w:r>
      <w:r>
        <w:t xml:space="preserve">Una revisione sistematica del 2014 ha trovato sette studi randomizzati con complessivamente 101 persone con autismo, quasi tutte di sesso maschile. Gli studi erano piccoli (in mediana 15 partecipanti) e avevano un rischio di distorsione da medio ad alto. Quasi tutti riportavano almeno un risultato positivo, per lo più nella direzione dello sguardo o nel riconoscimento delle emozioni</w:t>
      </w:r>
      <w:r>
        <w:rPr>
          <w:rStyle w:val="FootnoteReference"/>
        </w:rPr>
        <w:footnoteReference w:id="2220"/>
      </w:r>
      <w:r>
        <w:t xml:space="preserve">.</w:t>
      </w:r>
    </w:p>
    <w:p>
      <w:pPr>
        <w:pStyle w:val="BodyText"/>
      </w:pPr>
      <w:r>
        <w:rPr>
          <w:bCs/>
          <w:b/>
        </w:rPr>
        <w:t xml:space="preserve">Studi di trattamento della durata di settimane.</w:t>
      </w:r>
      <w:r>
        <w:t xml:space="preserve"> </w:t>
      </w:r>
      <w:r>
        <w:t xml:space="preserve">Sono seguiti studi in cui bambini e adulti ricevevano ossitocina per diverse settimane: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Anagnostou 2012, PMID 23216716</w:t>
            </w:r>
          </w:p>
        </w:tc>
        <w:tc>
          <w:tcPr/>
          <w:p>
            <w:pPr>
              <w:pStyle w:val="Compact"/>
              <w:jc w:val="left"/>
            </w:pPr>
            <w:r>
              <w:t xml:space="preserve">19 adulti, RCT</w:t>
            </w:r>
          </w:p>
        </w:tc>
        <w:tc>
          <w:tcPr/>
          <w:p>
            <w:pPr>
              <w:pStyle w:val="Compact"/>
              <w:jc w:val="left"/>
            </w:pPr>
            <w:r>
              <w:t xml:space="preserve">6 settimane</w:t>
            </w:r>
          </w:p>
        </w:tc>
        <w:tc>
          <w:tcPr/>
          <w:p>
            <w:pPr>
              <w:pStyle w:val="Compact"/>
              <w:jc w:val="left"/>
            </w:pPr>
            <w:r>
              <w:t xml:space="preserve">obiettivi primari non raggiunti; miglioramento negli obiettivi secondari</w:t>
            </w:r>
          </w:p>
        </w:tc>
      </w:tr>
      <w:tr>
        <w:tc>
          <w:tcPr/>
          <w:p>
            <w:pPr>
              <w:pStyle w:val="Compact"/>
              <w:jc w:val="left"/>
            </w:pPr>
            <w:r>
              <w:t xml:space="preserve">Guastella 2015, PMID 25087908</w:t>
            </w:r>
          </w:p>
        </w:tc>
        <w:tc>
          <w:tcPr/>
          <w:p>
            <w:pPr>
              <w:pStyle w:val="Compact"/>
              <w:jc w:val="left"/>
            </w:pPr>
            <w:r>
              <w:t xml:space="preserve">50 adolescenti maschi (12–18 anni), RCT</w:t>
            </w:r>
          </w:p>
        </w:tc>
        <w:tc>
          <w:tcPr/>
          <w:p>
            <w:pPr>
              <w:pStyle w:val="Compact"/>
              <w:jc w:val="left"/>
            </w:pPr>
            <w:r>
              <w:t xml:space="preserve">8 settimane</w:t>
            </w:r>
          </w:p>
        </w:tc>
        <w:tc>
          <w:tcPr/>
          <w:p>
            <w:pPr>
              <w:pStyle w:val="Compact"/>
              <w:jc w:val="left"/>
            </w:pPr>
            <w:r>
              <w:t xml:space="preserve">nessun beneficio negli obiettivi primari o secondari</w:t>
            </w:r>
          </w:p>
        </w:tc>
      </w:tr>
      <w:tr>
        <w:tc>
          <w:tcPr/>
          <w:p>
            <w:pPr>
              <w:pStyle w:val="Compact"/>
              <w:jc w:val="left"/>
            </w:pPr>
            <w:r>
              <w:t xml:space="preserve">Yatawara 2016, PMID 26503762</w:t>
            </w:r>
          </w:p>
        </w:tc>
        <w:tc>
          <w:tcPr/>
          <w:p>
            <w:pPr>
              <w:pStyle w:val="Compact"/>
              <w:jc w:val="left"/>
            </w:pPr>
            <w:r>
              <w:t xml:space="preserve">31 bambini piccoli, studio crossover contro placebo</w:t>
            </w:r>
          </w:p>
        </w:tc>
        <w:tc>
          <w:tcPr/>
          <w:p>
            <w:pPr>
              <w:pStyle w:val="Compact"/>
              <w:jc w:val="left"/>
            </w:pPr>
            <w:r>
              <w:t xml:space="preserve">5 settimane ciascuna</w:t>
            </w:r>
          </w:p>
        </w:tc>
        <w:tc>
          <w:tcPr/>
          <w:p>
            <w:pPr>
              <w:pStyle w:val="Compact"/>
              <w:jc w:val="left"/>
            </w:pPr>
            <w:r>
              <w:t xml:space="preserve">reattività sociale migliorata secondo i genitori</w:t>
            </w:r>
          </w:p>
        </w:tc>
      </w:tr>
      <w:tr>
        <w:tc>
          <w:tcPr/>
          <w:p>
            <w:pPr>
              <w:pStyle w:val="Compact"/>
              <w:jc w:val="left"/>
            </w:pPr>
            <w:r>
              <w:t xml:space="preserve">Parker 2017, PMID 28696286</w:t>
            </w:r>
          </w:p>
        </w:tc>
        <w:tc>
          <w:tcPr/>
          <w:p>
            <w:pPr>
              <w:pStyle w:val="Compact"/>
              <w:jc w:val="left"/>
            </w:pPr>
            <w:r>
              <w:t xml:space="preserve">32 bambini (6–12 anni), RCT</w:t>
            </w:r>
          </w:p>
        </w:tc>
        <w:tc>
          <w:tcPr/>
          <w:p>
            <w:pPr>
              <w:pStyle w:val="Compact"/>
              <w:jc w:val="left"/>
            </w:pPr>
            <w:r>
              <w:t xml:space="preserve">4 settimane</w:t>
            </w:r>
          </w:p>
        </w:tc>
        <w:tc>
          <w:tcPr/>
          <w:p>
            <w:pPr>
              <w:pStyle w:val="Compact"/>
              <w:jc w:val="left"/>
            </w:pPr>
            <w:r>
              <w:t xml:space="preserve">abilità sociali migliorate considerando i valori ematici iniziali; un livello iniziale basso prediceva la risposta</w:t>
            </w:r>
          </w:p>
        </w:tc>
      </w:tr>
      <w:tr>
        <w:tc>
          <w:tcPr/>
          <w:p>
            <w:pPr>
              <w:pStyle w:val="Compact"/>
              <w:jc w:val="left"/>
            </w:pPr>
            <w:r>
              <w:t xml:space="preserve">SOARS-B (Sikich 2021), PMID 34644471</w:t>
            </w:r>
          </w:p>
        </w:tc>
        <w:tc>
          <w:tcPr/>
          <w:p>
            <w:pPr>
              <w:pStyle w:val="Compact"/>
              <w:jc w:val="left"/>
            </w:pPr>
            <w:r>
              <w:t xml:space="preserve">290 bambini e adolescenti (3–17 anni), RCT</w:t>
            </w:r>
          </w:p>
        </w:tc>
        <w:tc>
          <w:tcPr/>
          <w:p>
            <w:pPr>
              <w:pStyle w:val="Compact"/>
              <w:jc w:val="left"/>
            </w:pPr>
            <w:r>
              <w:t xml:space="preserve">24 settimane</w:t>
            </w:r>
          </w:p>
        </w:tc>
        <w:tc>
          <w:tcPr/>
          <w:p>
            <w:pPr>
              <w:pStyle w:val="Compact"/>
              <w:jc w:val="left"/>
            </w:pPr>
            <w:r>
              <w:t xml:space="preserve">nessuna differenza: −3,7 vs. −3,5 punti nel ritiro sociale</w:t>
            </w:r>
          </w:p>
        </w:tc>
      </w:tr>
      <w:tr>
        <w:tc>
          <w:tcPr/>
          <w:p>
            <w:pPr>
              <w:pStyle w:val="Compact"/>
              <w:jc w:val="left"/>
            </w:pPr>
            <w:r>
              <w:t xml:space="preserve">Guastella 2023, PMID 36302965</w:t>
            </w:r>
          </w:p>
        </w:tc>
        <w:tc>
          <w:tcPr/>
          <w:p>
            <w:pPr>
              <w:pStyle w:val="Compact"/>
              <w:jc w:val="left"/>
            </w:pPr>
            <w:r>
              <w:t xml:space="preserve">87 bambini (3–12 anni), RCT dopo una fase preliminare con placebo</w:t>
            </w:r>
          </w:p>
        </w:tc>
        <w:tc>
          <w:tcPr/>
          <w:p>
            <w:pPr>
              <w:pStyle w:val="Compact"/>
              <w:jc w:val="left"/>
            </w:pPr>
            <w:r>
              <w:t xml:space="preserve">12 settimane</w:t>
            </w:r>
          </w:p>
        </w:tc>
        <w:tc>
          <w:tcPr/>
          <w:p>
            <w:pPr>
              <w:pStyle w:val="Compact"/>
              <w:jc w:val="left"/>
            </w:pPr>
            <w:r>
              <w:t xml:space="preserve">nel complesso nessun effetto; indizio di efficacia nei bambini di 3–5 anni</w:t>
            </w:r>
          </w:p>
        </w:tc>
      </w:tr>
    </w:tbl>
    <w:p>
      <w:pPr>
        <w:pStyle w:val="BodyText"/>
      </w:pPr>
      <w:r>
        <w:rPr>
          <w:bCs/>
          <w:b/>
        </w:rPr>
        <w:t xml:space="preserve">Lo studio SOARS-B.</w:t>
      </w:r>
      <w:r>
        <w:t xml:space="preserve"> </w:t>
      </w:r>
      <w:r>
        <w:t xml:space="preserve">Lo studio di gran lunga più grande e significativo è SOARS-B (Study of Oxytocin in Autism to Improve Reciprocal Social Behaviors), finanziato dalle autorità sanitarie statunitensi e pubblicato nel 2021 sul New England Journal of Medicine</w:t>
      </w:r>
      <w:r>
        <w:rPr>
          <w:rStyle w:val="FootnoteReference"/>
        </w:rPr>
        <w:footnoteReference w:id="2221"/>
      </w:r>
      <w:r>
        <w:t xml:space="preserve">. 290 bambini e adolescenti tra 3 e 17 anni hanno ricevuto per 24 settimane ogni giorno ossitocina o uno spray nasale placebo. L’endpoint primario era una scala del ritiro sociale (ABC-mSW, da 0 a 39 punti).</w:t>
      </w:r>
    </w:p>
    <w:p>
      <w:pPr>
        <w:pStyle w:val="BodyText"/>
      </w:pPr>
      <w:r>
        <w:t xml:space="preserve">Il risultato è stato chiaramente negativo: il punteggio è diminuito di 3,7 punti con l’ossitocina e di 3,5 punti con il placebo. La differenza di 0,2 punti non era rilevante né statisticamente né clinicamente. Anche gli obiettivi secondari – altre due misure della funzione sociale e un test di intelligenza – non differivano. Gli effetti collaterali sono stati ugualmente frequenti in entrambi i gruppi.</w:t>
      </w:r>
    </w:p>
    <w:p>
      <w:pPr>
        <w:pStyle w:val="BodyText"/>
      </w:pPr>
      <w:r>
        <w:rPr>
          <w:bCs/>
          <w:b/>
        </w:rPr>
        <w:t xml:space="preserve">Lo studio australiano sui bambini piccoli.</w:t>
      </w:r>
      <w:r>
        <w:t xml:space="preserve"> </w:t>
      </w:r>
      <w:r>
        <w:t xml:space="preserve">Il gruppo di Adam Guastella aveva in precedenza trovato un risultato positivo nei bambini piccoli</w:t>
      </w:r>
      <w:r>
        <w:rPr>
          <w:rStyle w:val="FootnoteReference"/>
        </w:rPr>
        <w:footnoteReference w:id="2222"/>
      </w:r>
      <w:r>
        <w:t xml:space="preserve">. Uno studio successivo più ampio con 87 bambini ha previsto una fase preliminare di tre settimane con placebo per filtrare il forte effetto placebo. Nel complesso l’ossitocina non ha mostrato alcun effetto sulla reattività sociale. Solo nel sottogruppo dei bambini di 3–5 anni si intravedeva un miglioramento secondo il giudizio dei genitori; il giudizio medico e tutte le altre misure non hanno mostrato alcun beneficio</w:t>
      </w:r>
      <w:r>
        <w:rPr>
          <w:rStyle w:val="FootnoteReference"/>
        </w:rPr>
        <w:footnoteReference w:id="2223"/>
      </w:r>
      <w:r>
        <w:t xml:space="preserve">. Da notare: nello studio sugli adolescenti del 2015 i genitori che credevano che il figlio ricevesse ossitocina riferivano miglioramenti maggiori, indipendentemente da ciò che il ragazzo riceveva davvero</w:t>
      </w:r>
      <w:r>
        <w:rPr>
          <w:rStyle w:val="FootnoteReference"/>
        </w:rPr>
        <w:footnoteReference w:id="2224"/>
      </w:r>
      <w:r>
        <w:t xml:space="preserve">.</w:t>
      </w:r>
    </w:p>
    <w:p>
      <w:pPr>
        <w:pStyle w:val="BodyText"/>
      </w:pPr>
      <w:r>
        <w:rPr>
          <w:bCs/>
          <w:b/>
        </w:rPr>
        <w:t xml:space="preserve">Effetti biologici senza beneficio clinico.</w:t>
      </w:r>
      <w:r>
        <w:t xml:space="preserve"> </w:t>
      </w:r>
      <w:r>
        <w:t xml:space="preserve">Uno studio con 79 bambini ha trovato, dopo quattro settimane di ossitocina, livelli di ossitocina più alti nella saliva e modificazioni della marcatura epigenetica del gene del recettore</w:t>
      </w:r>
      <w:r>
        <w:rPr>
          <w:rStyle w:val="FootnoteReference"/>
        </w:rPr>
        <w:footnoteReference w:id="2225"/>
      </w:r>
      <w:r>
        <w:t xml:space="preserve">. Allo scanner cerebrale, invece, nello stesso gruppo non sono emersi effetti significativi del trattamento sull’elaborazione dei volti</w:t>
      </w:r>
      <w:r>
        <w:rPr>
          <w:rStyle w:val="FootnoteReference"/>
        </w:rPr>
        <w:footnoteReference w:id="2226"/>
      </w:r>
      <w:r>
        <w:t xml:space="preserve">. Questi segnali biologici sono scientificamente interessanti, ma non dimostrano un miglioramento nella vita quotidiana.</w:t>
      </w:r>
    </w:p>
    <w:p>
      <w:pPr>
        <w:pStyle w:val="BodyText"/>
      </w:pPr>
      <w:r>
        <w:rPr>
          <w:bCs/>
          <w:b/>
        </w:rPr>
        <w:t xml:space="preserve">Meta-analisi.</w:t>
      </w:r>
      <w:r>
        <w:t xml:space="preserve"> </w:t>
      </w:r>
      <w:r>
        <w:t xml:space="preserve">Le sintesi giungono a risultati diversi a seconda degli studi che includono:</w:t>
      </w:r>
    </w:p>
    <w:p>
      <w:pPr>
        <w:numPr>
          <w:ilvl w:val="0"/>
          <w:numId w:val="1277"/>
        </w:numPr>
        <w:pStyle w:val="Compact"/>
      </w:pPr>
      <w:r>
        <w:t xml:space="preserve">Una meta-analisi di 17 studi randomizzati con 466 persone con disturbi dello sviluppo non ha trovato alcun effetto sul riconoscimento delle emozioni e un piccolo effetto sulla comprensione dei pensieri altrui</w:t>
      </w:r>
      <w:r>
        <w:rPr>
          <w:rStyle w:val="FootnoteReference"/>
        </w:rPr>
        <w:footnoteReference w:id="2227"/>
      </w:r>
      <w:r>
        <w:t xml:space="preserve">.</w:t>
      </w:r>
    </w:p>
    <w:p>
      <w:pPr>
        <w:numPr>
          <w:ilvl w:val="0"/>
          <w:numId w:val="1277"/>
        </w:numPr>
        <w:pStyle w:val="Compact"/>
      </w:pPr>
      <w:r>
        <w:t xml:space="preserve">Una meta-analisi di 28 studi con 726 persone con autismo, tra cui anche studi non controllati, è giunta a un giudizio più positivo sulla funzione sociale</w:t>
      </w:r>
      <w:r>
        <w:rPr>
          <w:rStyle w:val="FootnoteReference"/>
        </w:rPr>
        <w:footnoteReference w:id="2228"/>
      </w:r>
      <w:r>
        <w:t xml:space="preserve">. L’inclusione di studi non controllati rende questo risultato vulnerabile alle distorsioni.</w:t>
      </w:r>
    </w:p>
    <w:p>
      <w:pPr>
        <w:numPr>
          <w:ilvl w:val="0"/>
          <w:numId w:val="1277"/>
        </w:numPr>
        <w:pStyle w:val="Compact"/>
      </w:pPr>
      <w:r>
        <w:t xml:space="preserve">La più grande meta-analisi finora su tutti i disturbi psichici (42 studi in doppio cieco, 1.922 persone) non ha trovato nel complesso alcun effetto significativo. Dopo l’esclusione di due valori anomali la dimensione dell’effetto era vicina allo zero</w:t>
      </w:r>
      <w:r>
        <w:rPr>
          <w:rStyle w:val="FootnoteReference"/>
        </w:rPr>
        <w:footnoteReference w:id="2229"/>
      </w:r>
      <w:r>
        <w:t xml:space="preserve">.</w:t>
      </w:r>
    </w:p>
    <w:p>
      <w:pPr>
        <w:pStyle w:val="FirstParagraph"/>
      </w:pPr>
      <w:r>
        <w:rPr>
          <w:bCs/>
          <w:b/>
        </w:rPr>
        <w:t xml:space="preserve">Bilancio intermedio sull’autismo:</w:t>
      </w:r>
      <w:r>
        <w:t xml:space="preserve"> </w:t>
      </w:r>
      <w:r>
        <w:t xml:space="preserve">dopo il grande studio SOARS-B e lo studio australiano successivo non esiste alcuna prova solida che lo spray nasale di ossitocina migliori nella vita quotidiana il comportamento sociale di bambini e adolescenti con autismo. I ricercatori discutono se determinati sottogruppi – bambini molto piccoli, bambini con livelli bassi di ossitocina – possano trarne beneficio e propongono un approccio personalizzato</w:t>
      </w:r>
      <w:r>
        <w:rPr>
          <w:rStyle w:val="FootnoteReference"/>
        </w:rPr>
        <w:footnoteReference w:id="2230"/>
      </w:r>
      <w:r>
        <w:t xml:space="preserve">. Finché ciò non sarà confermato in studi dedicati, resta un’ipotesi.</w:t>
      </w:r>
    </w:p>
    <w:bookmarkEnd w:id="2231"/>
    <w:bookmarkStart w:id="2239" w:name="altri-disturbi-psichici"/>
    <w:p>
      <w:pPr>
        <w:pStyle w:val="Heading4"/>
      </w:pPr>
      <w:r>
        <w:t xml:space="preserve">Altri disturbi psichici</w:t>
      </w:r>
    </w:p>
    <w:p>
      <w:pPr>
        <w:pStyle w:val="FirstParagraph"/>
      </w:pPr>
      <w:r>
        <w:rPr>
          <w:bCs/>
          <w:b/>
        </w:rPr>
        <w:t xml:space="preserve">Schizofrenia.</w:t>
      </w:r>
      <w:r>
        <w:t xml:space="preserve"> </w:t>
      </w:r>
      <w:r>
        <w:t xml:space="preserve">In uno studio di dodici settimane con 68 persone l’ossitocina non ha migliorato la percezione sociale</w:t>
      </w:r>
      <w:r>
        <w:rPr>
          <w:rStyle w:val="FootnoteReference"/>
        </w:rPr>
        <w:footnoteReference w:id="2232"/>
      </w:r>
      <w:r>
        <w:t xml:space="preserve">. Una meta-analisi di nove studi non ha trovato alcun effetto coerente sui cosiddetti sintomi negativi come mancanza di iniziativa e ritiro sociale</w:t>
      </w:r>
      <w:r>
        <w:rPr>
          <w:rStyle w:val="FootnoteReference"/>
        </w:rPr>
        <w:footnoteReference w:id="2233"/>
      </w:r>
      <w:r>
        <w:t xml:space="preserve">. La grande meta-analisi del 2026 ha rilevato in questo gruppo un effetto piccolo, appena significativo (dimensione dell’effetto 0,12), e ha osservato che gli studi con più donne tendevano a mostrare effetti maggiori</w:t>
      </w:r>
      <w:r>
        <w:rPr>
          <w:rStyle w:val="FootnoteReference"/>
        </w:rPr>
        <w:footnoteReference w:id="2234"/>
      </w:r>
      <w:r>
        <w:t xml:space="preserve">.</w:t>
      </w:r>
    </w:p>
    <w:p>
      <w:pPr>
        <w:pStyle w:val="BodyText"/>
      </w:pPr>
      <w:r>
        <w:rPr>
          <w:bCs/>
          <w:b/>
        </w:rPr>
        <w:t xml:space="preserve">Alcol.</w:t>
      </w:r>
      <w:r>
        <w:t xml:space="preserve"> </w:t>
      </w:r>
      <w:r>
        <w:t xml:space="preserve">In uno studio norvegese con 40 persone in astinenza da alcol l’ossitocina non ha ridotto in modo significativo il fabbisogno di sedativi</w:t>
      </w:r>
      <w:r>
        <w:rPr>
          <w:rStyle w:val="FootnoteReference"/>
        </w:rPr>
        <w:footnoteReference w:id="2235"/>
      </w:r>
      <w:r>
        <w:t xml:space="preserve">. Una meta-analisi di sei studi randomizzati sulla dipendenza da alcol non ha trovato alcun effetto; un’analisi bayesiana deponeva persino moderatamente a favore dell’assenza di efficacia</w:t>
      </w:r>
      <w:r>
        <w:rPr>
          <w:rStyle w:val="FootnoteReference"/>
        </w:rPr>
        <w:footnoteReference w:id="2236"/>
      </w:r>
      <w:r>
        <w:t xml:space="preserve">.</w:t>
      </w:r>
    </w:p>
    <w:p>
      <w:pPr>
        <w:pStyle w:val="BodyText"/>
      </w:pPr>
      <w:r>
        <w:rPr>
          <w:bCs/>
          <w:b/>
        </w:rPr>
        <w:t xml:space="preserve">Combinazione con la psicoterapia.</w:t>
      </w:r>
      <w:r>
        <w:t xml:space="preserve"> </w:t>
      </w:r>
      <w:r>
        <w:t xml:space="preserve">Un’idea più recente è somministrare l’ossitocina non da sola, ma come potenziamento di una psicoterapia. Una rassegna di 13 studi con 518 partecipanti ha trovato indizi di meno sintomi depressivi e di una migliore relazione terapeutica, ma nessun effetto sui sintomi psichiatrici nel complesso o sulla funzione sociale; solo quattro studi hanno potuto essere aggregati</w:t>
      </w:r>
      <w:r>
        <w:rPr>
          <w:rStyle w:val="FootnoteReference"/>
        </w:rPr>
        <w:footnoteReference w:id="2237"/>
      </w:r>
      <w:r>
        <w:t xml:space="preserve">.</w:t>
      </w:r>
    </w:p>
    <w:p>
      <w:pPr>
        <w:pStyle w:val="BodyText"/>
      </w:pPr>
      <w:r>
        <w:rPr>
          <w:bCs/>
          <w:b/>
        </w:rPr>
        <w:t xml:space="preserve">Dopo il parto.</w:t>
      </w:r>
      <w:r>
        <w:t xml:space="preserve"> </w:t>
      </w:r>
      <w:r>
        <w:t xml:space="preserve">In 45 madri con depressione post partum (in parte sottosoglia) una dose singola ha aumentato l’umore positivo e l’attenzione positiva verso il bambino, ma non la sensibilità nell’interazione</w:t>
      </w:r>
      <w:r>
        <w:rPr>
          <w:rStyle w:val="FootnoteReference"/>
        </w:rPr>
        <w:footnoteReference w:id="2238"/>
      </w:r>
      <w:r>
        <w:t xml:space="preserve">.</w:t>
      </w:r>
    </w:p>
    <w:bookmarkEnd w:id="2239"/>
    <w:bookmarkStart w:id="2246" w:name="metabolismo-peso-e-dolore"/>
    <w:p>
      <w:pPr>
        <w:pStyle w:val="Heading4"/>
      </w:pPr>
      <w:r>
        <w:t xml:space="preserve">Metabolismo, peso e dolore</w:t>
      </w:r>
    </w:p>
    <w:p>
      <w:pPr>
        <w:pStyle w:val="FirstParagraph"/>
      </w:pPr>
      <w:r>
        <w:rPr>
          <w:bCs/>
          <w:b/>
        </w:rPr>
        <w:t xml:space="preserve">Obesità.</w:t>
      </w:r>
      <w:r>
        <w:t xml:space="preserve"> </w:t>
      </w:r>
      <w:r>
        <w:t xml:space="preserve">Poiché negli animali l’ossitocina riduce l’assunzione di cibo e aumenta il dispendio energetico, è stata studiata come farmaco dimagrante. Una meta-analisi ha rilevato che una dose singola, nelle persone senza disturbi psichici, riduceva la quantità di cibo assunta durante un pasto di prova</w:t>
      </w:r>
      <w:r>
        <w:rPr>
          <w:rStyle w:val="FootnoteReference"/>
        </w:rPr>
        <w:footnoteReference w:id="2240"/>
      </w:r>
      <w:r>
        <w:t xml:space="preserve">. La verifica decisiva è stata uno studio con 61 adulti con obesità che per otto settimane hanno spruzzato quattro volte al giorno ossitocina o placebo. Il peso non è cambiato: +0,20 kg con l’ossitocina, +0,26 kg con il placebo. Anche grasso corporeo, grasso epatico e dispendio energetico sono rimasti invariati; solo durante un pasto di prova i partecipanti hanno mangiato meno</w:t>
      </w:r>
      <w:r>
        <w:rPr>
          <w:rStyle w:val="FootnoteReference"/>
        </w:rPr>
        <w:footnoteReference w:id="2241"/>
      </w:r>
      <w:r>
        <w:t xml:space="preserve">. Un piccolo studio pilota su 21 persone anziane con sovrappeso e perdita muscolare ha rilevato un aumento della massa muscolare di 2,25 kg</w:t>
      </w:r>
      <w:r>
        <w:rPr>
          <w:rStyle w:val="FootnoteReference"/>
        </w:rPr>
        <w:footnoteReference w:id="2242"/>
      </w:r>
      <w:r>
        <w:t xml:space="preserve">; il dato deve essere confermato in studi più ampi.</w:t>
      </w:r>
    </w:p>
    <w:p>
      <w:pPr>
        <w:pStyle w:val="BodyText"/>
      </w:pPr>
      <w:r>
        <w:rPr>
          <w:bCs/>
          <w:b/>
        </w:rPr>
        <w:t xml:space="preserve">Sindrome di Prader-Willi.</w:t>
      </w:r>
      <w:r>
        <w:t xml:space="preserve"> </w:t>
      </w:r>
      <w:r>
        <w:t xml:space="preserve">In questa rara malattia genetica, con fame insaziabile e ossitocina ridotta nell’ipotalamo, le aspettative erano particolarmente alte. Una meta-analisi non ha trovato alcun effetto su fame compulsiva o peso</w:t>
      </w:r>
      <w:r>
        <w:rPr>
          <w:rStyle w:val="FootnoteReference"/>
        </w:rPr>
        <w:footnoteReference w:id="2243"/>
      </w:r>
      <w:r>
        <w:t xml:space="preserve">. In uno studio con 23 bambini fame compulsiva e comportamenti ripetitivi sono migliorati semmai più con il placebo</w:t>
      </w:r>
      <w:r>
        <w:rPr>
          <w:rStyle w:val="FootnoteReference"/>
        </w:rPr>
        <w:footnoteReference w:id="2244"/>
      </w:r>
      <w:r>
        <w:t xml:space="preserve">.</w:t>
      </w:r>
    </w:p>
    <w:p>
      <w:pPr>
        <w:pStyle w:val="BodyText"/>
      </w:pPr>
      <w:r>
        <w:rPr>
          <w:bCs/>
          <w:b/>
        </w:rPr>
        <w:t xml:space="preserve">Dolore.</w:t>
      </w:r>
      <w:r>
        <w:t xml:space="preserve"> </w:t>
      </w:r>
      <w:r>
        <w:t xml:space="preserve">Una meta-analisi di 15 studi non ha trovato alcun effetto significativo sull’intensità o sulla sgradevolezza del dolore</w:t>
      </w:r>
      <w:r>
        <w:rPr>
          <w:rStyle w:val="FootnoteReference"/>
        </w:rPr>
        <w:footnoteReference w:id="2245"/>
      </w:r>
      <w:r>
        <w:t xml:space="preserve">.</w:t>
      </w:r>
    </w:p>
    <w:bookmarkEnd w:id="2246"/>
    <w:bookmarkStart w:id="2249" w:name="sessualità"/>
    <w:p>
      <w:pPr>
        <w:pStyle w:val="Heading4"/>
      </w:pPr>
      <w:r>
        <w:t xml:space="preserve">Sessualità</w:t>
      </w:r>
    </w:p>
    <w:p>
      <w:pPr>
        <w:pStyle w:val="FirstParagraph"/>
      </w:pPr>
      <w:r>
        <w:t xml:space="preserve">L’ossitocina viene rilasciata durante l’orgasmo ed è pubblicizzata su internet come mezzo per una vita amorosa più intensa. In uno studio di laboratorio con dieci uomini uno spray nasale ha aumentato nettamente il livello di ossitocina nel sangue, ma secondo i questionari non ha modificato desiderio, eccitazione, orgasmo e fase di recupero</w:t>
      </w:r>
      <w:r>
        <w:rPr>
          <w:rStyle w:val="FootnoteReference"/>
        </w:rPr>
        <w:footnoteReference w:id="2247"/>
      </w:r>
      <w:r>
        <w:t xml:space="preserve">. Una meta-analisi sui farmaci contro le disfunzioni sessuali femminili, che includeva anche studi sull’ossitocina, ha rilevato che circa due terzi del miglioramento si verificavano anche con il placebo</w:t>
      </w:r>
      <w:r>
        <w:rPr>
          <w:rStyle w:val="FootnoteReference"/>
        </w:rPr>
        <w:footnoteReference w:id="2248"/>
      </w:r>
      <w:r>
        <w:t xml:space="preserve">. Non esistono prove solide di un effetto sulla sessualità.</w:t>
      </w:r>
    </w:p>
    <w:bookmarkEnd w:id="2249"/>
    <w:bookmarkStart w:id="2252" w:name="la-carenza-di-ossitocina-come-malattia"/>
    <w:p>
      <w:pPr>
        <w:pStyle w:val="Heading4"/>
      </w:pPr>
      <w:r>
        <w:t xml:space="preserve">La carenza di ossitocina come malattia</w:t>
      </w:r>
    </w:p>
    <w:p>
      <w:pPr>
        <w:pStyle w:val="FirstParagraph"/>
      </w:pPr>
      <w:r>
        <w:t xml:space="preserve">Un campo nuovo e dal punto di vista medico plausibile è la vera carenza di ossitocina. Le persone il cui ipotalamo o la cui ipofisi sono danneggiati, per esempio da un tumore o da un intervento chirurgico, hanno spesso una carenza di vasopressina (un tempo diabete insipido centrale). Uno studio svizzero ha usato la droga MDMA, che nelle persone sane libera molta ossitocina, come test di provocazione. In 15 persone sane l’ossitocina è aumentata fortemente, in 15 persone colpite appena; l’area sotto la curva era dell’82% più grande nelle persone sane, e le persone colpite avvertivano a malapena i tipici effetti sociali e ansiolitici</w:t>
      </w:r>
      <w:r>
        <w:rPr>
          <w:rStyle w:val="FootnoteReference"/>
        </w:rPr>
        <w:footnoteReference w:id="2250"/>
      </w:r>
      <w:r>
        <w:t xml:space="preserve">. Questo suggerisce che molte di queste persone abbiano anche una carenza di ossitocina. Se una sostituzione con spray nasale allevi i loro disturbi psichici è oggetto di uno studio in corso</w:t>
      </w:r>
      <w:r>
        <w:rPr>
          <w:rStyle w:val="FootnoteReference"/>
        </w:rPr>
        <w:footnoteReference w:id="2251"/>
      </w:r>
      <w:r>
        <w:t xml:space="preserve">. Anche la kisspeptina viene studiata come possibile test per una carenza di ossitocina (Galbiati 2025, PMID 39965102; capitolo 2E04).</w:t>
      </w:r>
    </w:p>
    <w:bookmarkEnd w:id="2252"/>
    <w:bookmarkEnd w:id="2253"/>
    <w:bookmarkStart w:id="2256" w:name="studi-su-animali-e-in-laboratorio-50"/>
    <w:p>
      <w:pPr>
        <w:pStyle w:val="Heading3"/>
      </w:pPr>
      <w:r>
        <w:t xml:space="preserve">Studi su animali e in laboratorio</w:t>
      </w:r>
    </w:p>
    <w:p>
      <w:pPr>
        <w:pStyle w:val="FirstParagraph"/>
      </w:pPr>
      <w:r>
        <w:t xml:space="preserve">L’entusiasmo per l’ossitocina si basa su convincenti dati sugli animali: nelle arvicole della prateria il sistema dell’ossitocina è necessario per il legame di coppia, nei roditori e nelle pecore per il comportamento materno. In topi di un modello di autismo una sostanza che stimola il sistema dell’ossitocina ha migliorato le misure del comportamento sociale</w:t>
      </w:r>
      <w:r>
        <w:rPr>
          <w:rStyle w:val="FootnoteReference"/>
        </w:rPr>
        <w:footnoteReference w:id="2254"/>
      </w:r>
      <w:r>
        <w:t xml:space="preserve">. Nei macachi rhesus l’ossitocina marcata è arrivata attraverso il naso in determinate regioni cerebrali</w:t>
      </w:r>
      <w:r>
        <w:rPr>
          <w:rStyle w:val="FootnoteReference"/>
        </w:rPr>
        <w:footnoteReference w:id="2255"/>
      </w:r>
      <w:r>
        <w:t xml:space="preserve">.</w:t>
      </w:r>
    </w:p>
    <w:p>
      <w:pPr>
        <w:pStyle w:val="BodyText"/>
      </w:pPr>
      <w:r>
        <w:t xml:space="preserve">Questi dati però sono trasferibili solo in misura limitata: la distribuzione dei recettori dell’ossitocina nel cervello differisce molto tra le specie, persino tra specie di arvicole strettamente imparentate. Molti esperimenti sugli animali somministravano l’ossitocina direttamente nel cervello, cosa non possibile nell’uomo.</w:t>
      </w:r>
    </w:p>
    <w:bookmarkEnd w:id="2256"/>
    <w:bookmarkStart w:id="2266" w:name="rischi-ed-effetti-collaterali-50"/>
    <w:p>
      <w:pPr>
        <w:pStyle w:val="Heading3"/>
      </w:pPr>
      <w:r>
        <w:t xml:space="preserve">Rischi ed effetti collaterali</w:t>
      </w:r>
    </w:p>
    <w:bookmarkStart w:id="2261" w:name="dimostrati-spray-nasale-negli-studi"/>
    <w:p>
      <w:pPr>
        <w:pStyle w:val="Heading4"/>
      </w:pPr>
      <w:r>
        <w:t xml:space="preserve">Dimostrati: spray nasale negli studi</w:t>
      </w:r>
    </w:p>
    <w:p>
      <w:pPr>
        <w:pStyle w:val="FirstParagraph"/>
      </w:pPr>
      <w:r>
        <w:t xml:space="preserve">Negli studi controllati lo spray nasale di ossitocina è considerato ben tollerato. Una revisione sistematica di 38 studi randomizzati con 1.529 partecipanti non ha trovato, con l’uso a breve termine, effetti collaterali più frequenti che con il placebo. I partecipanti non riuscivano neppure a capire se avessero ricevuto ossitocina o placebo</w:t>
      </w:r>
      <w:r>
        <w:rPr>
          <w:rStyle w:val="FootnoteReference"/>
        </w:rPr>
        <w:footnoteReference w:id="2257"/>
      </w:r>
      <w:r>
        <w:t xml:space="preserve">. In SOARS-B gli effetti collaterali nell’arco di 24 settimane sono stati ugualmente frequenti in entrambi i gruppi</w:t>
      </w:r>
      <w:r>
        <w:rPr>
          <w:rStyle w:val="FootnoteReference"/>
        </w:rPr>
        <w:footnoteReference w:id="2258"/>
      </w:r>
      <w:r>
        <w:t xml:space="preserve">. In 95 uomini anziani non si sono verificate in quattro settimane variazioni di pressione arteriosa, valori urinari o ematici</w:t>
      </w:r>
      <w:r>
        <w:rPr>
          <w:rStyle w:val="FootnoteReference"/>
        </w:rPr>
        <w:footnoteReference w:id="2259"/>
      </w:r>
      <w:r>
        <w:t xml:space="preserve">. Negli studi sui bambini sono stati riportati sete, aumento della minzione e stitichezza</w:t>
      </w:r>
      <w:r>
        <w:rPr>
          <w:rStyle w:val="FootnoteReference"/>
        </w:rPr>
        <w:footnoteReference w:id="2260"/>
      </w:r>
      <w:r>
        <w:t xml:space="preserve">.</w:t>
      </w:r>
    </w:p>
    <w:bookmarkEnd w:id="2261"/>
    <w:bookmarkStart w:id="2264" w:name="possibili-e-da-considerare"/>
    <w:p>
      <w:pPr>
        <w:pStyle w:val="Heading4"/>
      </w:pPr>
      <w:r>
        <w:t xml:space="preserve">Possibili e da considerare</w:t>
      </w:r>
    </w:p>
    <w:p>
      <w:pPr>
        <w:numPr>
          <w:ilvl w:val="0"/>
          <w:numId w:val="1278"/>
        </w:numPr>
        <w:pStyle w:val="Compact"/>
      </w:pPr>
      <w:r>
        <w:rPr>
          <w:bCs/>
          <w:b/>
        </w:rPr>
        <w:t xml:space="preserve">Bilancio idrico:</w:t>
      </w:r>
      <w:r>
        <w:t xml:space="preserve"> </w:t>
      </w:r>
      <w:r>
        <w:t xml:space="preserve">l’ossitocina somiglia alla vasopressina e a dosi elevate può trattenere acqua nel corpo. In ostetricia l’intossicazione da acqua con carenza di sodio è una complicanza nota e rara delle infusioni ad alto dosaggio. Con lo spray nasale è descritto un caso di aumento della pressione intracranica in concomitanza con un’assunzione di liquidi molto elevata</w:t>
      </w:r>
      <w:r>
        <w:rPr>
          <w:rStyle w:val="FootnoteReference"/>
        </w:rPr>
        <w:footnoteReference w:id="2262"/>
      </w:r>
      <w:r>
        <w:t xml:space="preserve">.</w:t>
      </w:r>
    </w:p>
    <w:p>
      <w:pPr>
        <w:numPr>
          <w:ilvl w:val="0"/>
          <w:numId w:val="1278"/>
        </w:numPr>
        <w:pStyle w:val="Compact"/>
      </w:pPr>
      <w:r>
        <w:rPr>
          <w:bCs/>
          <w:b/>
        </w:rPr>
        <w:t xml:space="preserve">Circolazione:</w:t>
      </w:r>
      <w:r>
        <w:t xml:space="preserve"> </w:t>
      </w:r>
      <w:r>
        <w:t xml:space="preserve">in dodici uomini sani uno spray nasale ha aumentato l’attività dei nervi che restringono i vasi sanguigni e ha alzato leggermente la pressione diastolica</w:t>
      </w:r>
      <w:r>
        <w:rPr>
          <w:rStyle w:val="FootnoteReference"/>
        </w:rPr>
        <w:footnoteReference w:id="2263"/>
      </w:r>
      <w:r>
        <w:t xml:space="preserve">.</w:t>
      </w:r>
    </w:p>
    <w:p>
      <w:pPr>
        <w:numPr>
          <w:ilvl w:val="0"/>
          <w:numId w:val="1278"/>
        </w:numPr>
        <w:pStyle w:val="Compact"/>
      </w:pPr>
      <w:r>
        <w:rPr>
          <w:bCs/>
          <w:b/>
        </w:rPr>
        <w:t xml:space="preserve">Gravidanza:</w:t>
      </w:r>
      <w:r>
        <w:t xml:space="preserve"> </w:t>
      </w:r>
      <w:r>
        <w:t xml:space="preserve">poiché l’ossitocina provoca le contrazioni, il suo uso in gravidanza al di fuori del controllo medico è pericoloso.</w:t>
      </w:r>
    </w:p>
    <w:p>
      <w:pPr>
        <w:numPr>
          <w:ilvl w:val="0"/>
          <w:numId w:val="1278"/>
        </w:numPr>
        <w:pStyle w:val="Compact"/>
      </w:pPr>
      <w:r>
        <w:rPr>
          <w:bCs/>
          <w:b/>
        </w:rPr>
        <w:t xml:space="preserve">Uso a lungo termine:</w:t>
      </w:r>
      <w:r>
        <w:t xml:space="preserve"> </w:t>
      </w:r>
      <w:r>
        <w:t xml:space="preserve">mancano dati oltre i sei mesi, soprattutto nei bambini.</w:t>
      </w:r>
    </w:p>
    <w:p>
      <w:pPr>
        <w:numPr>
          <w:ilvl w:val="0"/>
          <w:numId w:val="1278"/>
        </w:numPr>
        <w:pStyle w:val="Compact"/>
      </w:pPr>
      <w:r>
        <w:rPr>
          <w:bCs/>
          <w:b/>
        </w:rPr>
        <w:t xml:space="preserve">Effetti sociali:</w:t>
      </w:r>
      <w:r>
        <w:t xml:space="preserve"> </w:t>
      </w:r>
      <w:r>
        <w:t xml:space="preserve">singoli studi di laboratorio hanno riferito che l’ossitocina, in determinate condizioni, può rafforzare anche invidia, diffidenza verso gli estranei o preferenza per il proprio gruppo. Questi risultati sono incerti quanto quelli positivi.</w:t>
      </w:r>
    </w:p>
    <w:bookmarkEnd w:id="2264"/>
    <w:bookmarkStart w:id="2265" w:name="mercato-grigio-3"/>
    <w:p>
      <w:pPr>
        <w:pStyle w:val="Heading4"/>
      </w:pPr>
      <w:r>
        <w:t xml:space="preserve">Mercato grigio</w:t>
      </w:r>
    </w:p>
    <w:p>
      <w:pPr>
        <w:pStyle w:val="FirstParagraph"/>
      </w:pPr>
      <w:r>
        <w:t xml:space="preserve">Gli spray nasali di ossitocina vengono venduti su internet come «spray dell’amore» o «spray della fiducia». Contenuto e concentrazione di questi prodotti non sono verificati in modo indipendente. Per nessuno di questi prodotti esistono prove di efficacia.</w:t>
      </w:r>
    </w:p>
    <w:bookmarkEnd w:id="2265"/>
    <w:bookmarkEnd w:id="2266"/>
    <w:bookmarkStart w:id="2267" w:name="quadro-normativo-50"/>
    <w:p>
      <w:pPr>
        <w:pStyle w:val="Heading3"/>
      </w:pPr>
      <w:r>
        <w:t xml:space="preserve">Quadro normativo</w:t>
      </w:r>
    </w:p>
    <w:p>
      <w:pPr>
        <w:pStyle w:val="FirstParagraph"/>
      </w:pPr>
      <w:r>
        <w:rPr>
          <w:iCs/>
          <w:i/>
        </w:rPr>
        <w:t xml:space="preserve">Aggiornato al 2026, da verificare.</w:t>
      </w:r>
    </w:p>
    <w:p>
      <w:pPr>
        <w:numPr>
          <w:ilvl w:val="0"/>
          <w:numId w:val="1279"/>
        </w:numPr>
        <w:pStyle w:val="Compact"/>
      </w:pPr>
      <w:r>
        <w:rPr>
          <w:bCs/>
          <w:b/>
        </w:rPr>
        <w:t xml:space="preserve">UE, Germania, Austria:</w:t>
      </w:r>
      <w:r>
        <w:t xml:space="preserve"> </w:t>
      </w:r>
      <w:r>
        <w:t xml:space="preserve">l’ossitocina per infusione e iniezione è approvata come farmaco soggetto a prescrizione per l’ostetricia. Non esiste uno spray nasale approvato per impieghi psichici o sociali; gli spray un tempo approvati per favorire il flusso del latte non sono più disponibili in molti luoghi. Una prescrizione per il trattamento dell’autismo o di altre malattie sarebbe un tentativo terapeutico individuale al di fuori dell’indicazione approvata (off-label), con i relativi obblighi di informazione e di responsabilità.</w:t>
      </w:r>
    </w:p>
    <w:p>
      <w:pPr>
        <w:numPr>
          <w:ilvl w:val="0"/>
          <w:numId w:val="1279"/>
        </w:numPr>
        <w:pStyle w:val="Compact"/>
      </w:pPr>
      <w:r>
        <w:rPr>
          <w:bCs/>
          <w:b/>
        </w:rPr>
        <w:t xml:space="preserve">USA:</w:t>
      </w:r>
      <w:r>
        <w:t xml:space="preserve"> </w:t>
      </w:r>
      <w:r>
        <w:t xml:space="preserve">ossitocina iniettabile (Pitocin e generici) approvata per l’ostetricia; nessuno spray nasale approvato. Le farmacie galeniche preparano spray nasali su prescrizione medica; la loro qualità non viene verificata come per i medicinali industriali.</w:t>
      </w:r>
    </w:p>
    <w:p>
      <w:pPr>
        <w:numPr>
          <w:ilvl w:val="0"/>
          <w:numId w:val="1279"/>
        </w:numPr>
        <w:pStyle w:val="Compact"/>
      </w:pPr>
      <w:r>
        <w:rPr>
          <w:bCs/>
          <w:b/>
        </w:rPr>
        <w:t xml:space="preserve">WADA:</w:t>
      </w:r>
      <w:r>
        <w:t xml:space="preserve"> </w:t>
      </w:r>
      <w:r>
        <w:t xml:space="preserve">non elencata.</w:t>
      </w:r>
    </w:p>
    <w:bookmarkEnd w:id="2267"/>
    <w:bookmarkStart w:id="2273" w:name="studi-in-corso-e-prospettive-50"/>
    <w:p>
      <w:pPr>
        <w:pStyle w:val="Heading3"/>
      </w:pPr>
      <w:r>
        <w:t xml:space="preserve">Studi in corso e prospettive</w:t>
      </w:r>
    </w:p>
    <w:p>
      <w:pPr>
        <w:pStyle w:val="FirstParagraph"/>
      </w:pPr>
      <w:r>
        <w:rPr>
          <w:bCs/>
          <w:b/>
        </w:rPr>
        <w:t xml:space="preserve">Dati certi (studi registrati):</w:t>
      </w:r>
      <w:r>
        <w:t xml:space="preserve"> </w:t>
      </w:r>
      <w:r>
        <w:t xml:space="preserve">tra gli studi in corso ve ne sono alcuni più grandi che potrebbero rispondere a singole questioni aperte:</w:t>
      </w:r>
    </w:p>
    <w:p>
      <w:pPr>
        <w:numPr>
          <w:ilvl w:val="0"/>
          <w:numId w:val="1280"/>
        </w:numPr>
        <w:pStyle w:val="Compact"/>
      </w:pPr>
      <w:r>
        <w:rPr>
          <w:bCs/>
          <w:b/>
        </w:rPr>
        <w:t xml:space="preserve">Dolore cronico:</w:t>
      </w:r>
      <w:r>
        <w:t xml:space="preserve"> </w:t>
      </w:r>
      <w:r>
        <w:t xml:space="preserve">uno studio canadese di fase 2/3 con 336 partecipanti</w:t>
      </w:r>
      <w:r>
        <w:rPr>
          <w:rStyle w:val="FootnoteReference"/>
        </w:rPr>
        <w:footnoteReference w:id="2268"/>
      </w:r>
      <w:r>
        <w:t xml:space="preserve"> </w:t>
      </w:r>
      <w:r>
        <w:t xml:space="preserve">è concluso, i risultati sono attesi.</w:t>
      </w:r>
    </w:p>
    <w:p>
      <w:pPr>
        <w:numPr>
          <w:ilvl w:val="0"/>
          <w:numId w:val="1280"/>
        </w:numPr>
        <w:pStyle w:val="Compact"/>
      </w:pPr>
      <w:r>
        <w:rPr>
          <w:bCs/>
          <w:b/>
        </w:rPr>
        <w:t xml:space="preserve">Psicoterapia più ossitocina:</w:t>
      </w:r>
      <w:r>
        <w:t xml:space="preserve"> </w:t>
      </w:r>
      <w:r>
        <w:t xml:space="preserve">uno studio del Dipartimento statunitense per gli affari dei veterani con 240 persone valuta l’ossitocina come integrazione di una terapia di coppia nel disturbo da stress post-traumatico (NCT06194851, fino al 2028). In Germania alcuni studi valutano l’ossitocina come integrazione del trattamento psicosociale nella schizofrenia (NCT06881810 con 98 persone; NCT07265180 alla Charité con 120 persone e confronto tra dosi).</w:t>
      </w:r>
    </w:p>
    <w:p>
      <w:pPr>
        <w:numPr>
          <w:ilvl w:val="0"/>
          <w:numId w:val="1280"/>
        </w:numPr>
        <w:pStyle w:val="Compact"/>
      </w:pPr>
      <w:r>
        <w:rPr>
          <w:bCs/>
          <w:b/>
        </w:rPr>
        <w:t xml:space="preserve">Carenza di ossitocina:</w:t>
      </w:r>
      <w:r>
        <w:t xml:space="preserve"> </w:t>
      </w:r>
      <w:r>
        <w:t xml:space="preserve">uno studio svizzero con 112 persone valuta una sostituzione di ossitocina nella carenza di vasopressina</w:t>
      </w:r>
      <w:r>
        <w:rPr>
          <w:rStyle w:val="FootnoteReference"/>
        </w:rPr>
        <w:footnoteReference w:id="2269"/>
      </w:r>
      <w:r>
        <w:t xml:space="preserve">.</w:t>
      </w:r>
    </w:p>
    <w:p>
      <w:pPr>
        <w:numPr>
          <w:ilvl w:val="0"/>
          <w:numId w:val="1280"/>
        </w:numPr>
        <w:pStyle w:val="Compact"/>
      </w:pPr>
      <w:r>
        <w:rPr>
          <w:bCs/>
          <w:b/>
        </w:rPr>
        <w:t xml:space="preserve">Autismo e ossa:</w:t>
      </w:r>
      <w:r>
        <w:t xml:space="preserve"> </w:t>
      </w:r>
      <w:r>
        <w:t xml:space="preserve">uno studio con 96 bambini indaga gli effetti sulla salute delle ossa</w:t>
      </w:r>
      <w:r>
        <w:rPr>
          <w:rStyle w:val="FootnoteReference"/>
        </w:rPr>
        <w:footnoteReference w:id="2270"/>
      </w:r>
      <w:r>
        <w:t xml:space="preserve">.</w:t>
      </w:r>
    </w:p>
    <w:p>
      <w:pPr>
        <w:numPr>
          <w:ilvl w:val="0"/>
          <w:numId w:val="1280"/>
        </w:numPr>
        <w:pStyle w:val="Compact"/>
      </w:pPr>
      <w:r>
        <w:rPr>
          <w:bCs/>
          <w:b/>
        </w:rPr>
        <w:t xml:space="preserve">Disturbi alimentari:</w:t>
      </w:r>
      <w:r>
        <w:t xml:space="preserve"> </w:t>
      </w:r>
      <w:r>
        <w:t xml:space="preserve">uno studio di fase 2 sul binge eating</w:t>
      </w:r>
      <w:r>
        <w:rPr>
          <w:rStyle w:val="FootnoteReference"/>
        </w:rPr>
        <w:footnoteReference w:id="2271"/>
      </w:r>
      <w:r>
        <w:t xml:space="preserve">.</w:t>
      </w:r>
    </w:p>
    <w:p>
      <w:pPr>
        <w:numPr>
          <w:ilvl w:val="0"/>
          <w:numId w:val="1280"/>
        </w:numPr>
        <w:pStyle w:val="Compact"/>
      </w:pPr>
      <w:r>
        <w:rPr>
          <w:bCs/>
          <w:b/>
        </w:rPr>
        <w:t xml:space="preserve">Sviluppo industriale:</w:t>
      </w:r>
      <w:r>
        <w:t xml:space="preserve"> </w:t>
      </w:r>
      <w:r>
        <w:t xml:space="preserve">un’azienda ha testato uno spray nasale di ossitocina ad alto dosaggio (TNX-1900) nell’emicrania cronica (NCT05679908, 88 persone, concluso) e prevede uno studio sul trattamento del dolore dopo interventi all’ipofisi</w:t>
      </w:r>
      <w:r>
        <w:rPr>
          <w:rStyle w:val="FootnoteReference"/>
        </w:rPr>
        <w:footnoteReference w:id="2272"/>
      </w:r>
      <w:r>
        <w:t xml:space="preserve">.</w:t>
      </w:r>
    </w:p>
    <w:p>
      <w:pPr>
        <w:pStyle w:val="FirstParagraph"/>
      </w:pPr>
      <w:r>
        <w:rPr>
          <w:bCs/>
          <w:b/>
        </w:rPr>
        <w:t xml:space="preserve">Valutazione dell’autore:</w:t>
      </w:r>
      <w:r>
        <w:t xml:space="preserve"> </w:t>
      </w:r>
      <w:r>
        <w:t xml:space="preserve">la storia dello spray nasale di ossitocina è una lezione sui limiti degli studi piccoli. Dopo due decenni di ricerca non esiste una sola applicazione in cui un beneficio sia stato confermato in studi ampi e ben condotti. Le direzioni più promettenti sono oggi più circoscritte: l’ossitocina come integrazione di una psicoterapia anziché come farmaco da solo, come sostituzione in caso di carenza dimostrata, e in modo mirato in sottogruppi definiti in anticipo. Un’approvazione per l’autismo o per l’ansia sociale appare improbabile nei prossimi anni.</w:t>
      </w:r>
    </w:p>
    <w:bookmarkEnd w:id="2273"/>
    <w:bookmarkStart w:id="2274" w:name="conclusione-50"/>
    <w:p>
      <w:pPr>
        <w:pStyle w:val="Heading3"/>
      </w:pPr>
      <w:r>
        <w:t xml:space="preserve">Conclusione</w:t>
      </w:r>
    </w:p>
    <w:p>
      <w:pPr>
        <w:pStyle w:val="FirstParagraph"/>
      </w:pPr>
      <w:r>
        <w:t xml:space="preserve">Come infusione l’ossitocina è un farmaco indispensabile dell’ostetricia, come spray nasale invece uno strumento di ricerca senza un beneficio terapeutico dimostrato. Il celebre risultato secondo cui l’ossitocina aumenta la fiducia non ha retto agli studi di replica; al massimo nelle persone con bassa fiducia di base si intravede un piccolo effetto. Il più grande studio sull’autismo, SOARS-B con 290 bambini e adolescenti, non ha trovato dopo 24 settimane alcuna differenza rispetto al placebo, e anche per obesità, dipendenza da alcol, sindrome di Prader-Willi e dolore i risultati sono stati negativi. Negli studi lo spray è stato ben tollerato. Chi oggi acquista uno «spray dell’amore» o «della fiducia» compra una promessa che la ricerca non mantiene.</w:t>
      </w:r>
    </w:p>
    <w:bookmarkEnd w:id="2274"/>
    <w:bookmarkEnd w:id="2275"/>
    <w:bookmarkStart w:id="2313" w:name="gonadorelina"/>
    <w:p>
      <w:pPr>
        <w:pStyle w:val="Heading2"/>
      </w:pPr>
      <w:r>
        <w:t xml:space="preserve">Gonadorelina</w:t>
      </w:r>
    </w:p>
    <w:bookmarkStart w:id="2276" w:name="scheda-51"/>
    <w:p>
      <w:pPr>
        <w:pStyle w:val="Heading3"/>
      </w:pPr>
      <w:r>
        <w:t xml:space="preserve">Scheda</w:t>
      </w:r>
    </w:p>
    <w:p>
      <w:pPr>
        <w:numPr>
          <w:ilvl w:val="0"/>
          <w:numId w:val="1281"/>
        </w:numPr>
        <w:pStyle w:val="Compact"/>
      </w:pPr>
      <w:r>
        <w:rPr>
          <w:bCs/>
          <w:b/>
        </w:rPr>
        <w:t xml:space="preserve">Tipo/struttura:</w:t>
      </w:r>
      <w:r>
        <w:t xml:space="preserve"> </w:t>
      </w:r>
      <w:r>
        <w:t xml:space="preserve">peptide di dieci aminoacidi, prodotto per sintesi e identico nella sequenza all’ormone umano GnRH (ormone di rilascio delle gonadotropine, chiamato anche LHRH o gonadoliberina).</w:t>
      </w:r>
    </w:p>
    <w:p>
      <w:pPr>
        <w:numPr>
          <w:ilvl w:val="0"/>
          <w:numId w:val="1281"/>
        </w:numPr>
        <w:pStyle w:val="Compact"/>
      </w:pPr>
      <w:r>
        <w:rPr>
          <w:bCs/>
          <w:b/>
        </w:rPr>
        <w:t xml:space="preserve">Origine:</w:t>
      </w:r>
      <w:r>
        <w:t xml:space="preserve"> </w:t>
      </w:r>
      <w:r>
        <w:t xml:space="preserve">il GnRH fu isolato e decifrato all’inizio degli anni Settanta da cervelli di maiale e di pecora; i ricercatori coinvolti, Andrew Schally e Roger Guillemin, ricevettero per questo il premio Nobel nel 1977. Gonadorelina è la denominazione comune internazionale dell’ormone sintetico.</w:t>
      </w:r>
    </w:p>
    <w:p>
      <w:pPr>
        <w:numPr>
          <w:ilvl w:val="0"/>
          <w:numId w:val="1281"/>
        </w:numPr>
        <w:pStyle w:val="Compact"/>
      </w:pPr>
      <w:r>
        <w:rPr>
          <w:bCs/>
          <w:b/>
        </w:rPr>
        <w:t xml:space="preserve">Principio d’azione:</w:t>
      </w:r>
      <w:r>
        <w:t xml:space="preserve"> </w:t>
      </w:r>
      <w:r>
        <w:t xml:space="preserve">agonista del recettore del GnRH dell’ipofisi. Somministrata a impulsi stimola la secrezione di LH e FSH; in somministrazione continua la frena.</w:t>
      </w:r>
    </w:p>
    <w:p>
      <w:pPr>
        <w:numPr>
          <w:ilvl w:val="0"/>
          <w:numId w:val="1281"/>
        </w:numPr>
        <w:pStyle w:val="Compact"/>
      </w:pPr>
      <w:r>
        <w:rPr>
          <w:bCs/>
          <w:b/>
        </w:rPr>
        <w:t xml:space="preserve">Forme farmaceutiche:</w:t>
      </w:r>
      <w:r>
        <w:t xml:space="preserve"> </w:t>
      </w:r>
      <w:r>
        <w:t xml:space="preserve">iniezione endovenosa per i test di funzionalità; pompa portatile che ogni 60–120 minuti rilascia una piccola quantità sotto la pelle o in vena (terapia pulsatile); in alcuni Paesi uno spray nasale per lattanti con criptorchidismo.</w:t>
      </w:r>
    </w:p>
    <w:p>
      <w:pPr>
        <w:numPr>
          <w:ilvl w:val="0"/>
          <w:numId w:val="1281"/>
        </w:numPr>
        <w:pStyle w:val="Compact"/>
      </w:pPr>
      <w:r>
        <w:rPr>
          <w:bCs/>
          <w:b/>
        </w:rPr>
        <w:t xml:space="preserve">Approvazione UE:</w:t>
      </w:r>
      <w:r>
        <w:t xml:space="preserve"> </w:t>
      </w:r>
      <w:r>
        <w:t xml:space="preserve">approvata a livello nazionale in singoli Stati membri, per esempio come diagnostico e per la terapia con pompa; preparati e disponibilità variano da Paese a Paese.</w:t>
      </w:r>
    </w:p>
    <w:p>
      <w:pPr>
        <w:numPr>
          <w:ilvl w:val="0"/>
          <w:numId w:val="1281"/>
        </w:numPr>
        <w:pStyle w:val="Compact"/>
      </w:pPr>
      <w:r>
        <w:rPr>
          <w:bCs/>
          <w:b/>
        </w:rPr>
        <w:t xml:space="preserve">Approvazione USA:</w:t>
      </w:r>
      <w:r>
        <w:t xml:space="preserve"> </w:t>
      </w:r>
      <w:r>
        <w:t xml:space="preserve">i preparati precedenti (Factrel per la diagnostica, Lutrepulse per la pompa) non sono più in commercio. Per quanto noto all’autore, non esiste attualmente un farmaco per uso umano approvato e commercializzato (da verificare).</w:t>
      </w:r>
    </w:p>
    <w:p>
      <w:pPr>
        <w:numPr>
          <w:ilvl w:val="0"/>
          <w:numId w:val="1281"/>
        </w:numPr>
        <w:pStyle w:val="Compact"/>
      </w:pPr>
      <w:r>
        <w:rPr>
          <w:bCs/>
          <w:b/>
        </w:rPr>
        <w:t xml:space="preserve">WADA:</w:t>
      </w:r>
      <w:r>
        <w:t xml:space="preserve"> </w:t>
      </w:r>
      <w:r>
        <w:t xml:space="preserve">vietata per gli uomini (gruppo S2, dove la gonadorelina è citata per nome), in gara e fuori gara.</w:t>
      </w:r>
    </w:p>
    <w:p>
      <w:pPr>
        <w:numPr>
          <w:ilvl w:val="0"/>
          <w:numId w:val="1281"/>
        </w:numPr>
        <w:pStyle w:val="Compact"/>
      </w:pPr>
      <w:r>
        <w:rPr>
          <w:bCs/>
          <w:b/>
        </w:rPr>
        <w:t xml:space="preserve">Livello di evidenza:</w:t>
      </w:r>
      <w:r>
        <w:t xml:space="preserve"> </w:t>
      </w:r>
      <w:r>
        <w:rPr>
          <w:bCs/>
          <w:b/>
        </w:rPr>
        <w:t xml:space="preserve">B</w:t>
      </w:r>
      <w:r>
        <w:t xml:space="preserve"> </w:t>
      </w:r>
      <w:r>
        <w:t xml:space="preserve">– farmaco approvato con impiego pluridecennale; i dati di efficacia provengono però prevalentemente da ampie serie di casi, coorti e pochi piccoli studi randomizzati.</w:t>
      </w:r>
    </w:p>
    <w:bookmarkEnd w:id="2276"/>
    <w:bookmarkStart w:id="2277" w:name="come-dovrebbe-agire-51"/>
    <w:p>
      <w:pPr>
        <w:pStyle w:val="Heading3"/>
      </w:pPr>
      <w:r>
        <w:t xml:space="preserve">Come dovrebbe agire</w:t>
      </w:r>
    </w:p>
    <w:p>
      <w:pPr>
        <w:pStyle w:val="FirstParagraph"/>
      </w:pPr>
      <w:r>
        <w:t xml:space="preserve">L’asse ormonale della riproduzione inizia nell’ipotalamo. Lì neuroni specializzati secernono GnRH – non in modo uniforme, ma a impulsi ogni una-due ore circa. Ogni impulso induce l’ipofisi a rilasciare gli ormoni LH e FSH. Questi agiscono su ovaie e testicoli: regolano maturazione degli ovociti e ovulazione, produzione di spermatozoi e produzione di estrogeni e testosterone. Il messaggero kisspeptina (capitolo 2E04) si trova ancora un gradino sopra e accende i neuroni che producono GnRH.</w:t>
      </w:r>
    </w:p>
    <w:p>
      <w:pPr>
        <w:pStyle w:val="BodyText"/>
      </w:pPr>
      <w:r>
        <w:t xml:space="preserve">Il ritmo degli impulsi è decisivo. Lo dimostra un’apparente contraddizione:</w:t>
      </w:r>
    </w:p>
    <w:p>
      <w:pPr>
        <w:numPr>
          <w:ilvl w:val="0"/>
          <w:numId w:val="1282"/>
        </w:numPr>
        <w:pStyle w:val="Compact"/>
      </w:pPr>
      <w:r>
        <w:t xml:space="preserve">La</w:t>
      </w:r>
      <w:r>
        <w:t xml:space="preserve"> </w:t>
      </w:r>
      <w:r>
        <w:rPr>
          <w:bCs/>
          <w:b/>
        </w:rPr>
        <w:t xml:space="preserve">somministrazione pulsatile</w:t>
      </w:r>
      <w:r>
        <w:t xml:space="preserve"> </w:t>
      </w:r>
      <w:r>
        <w:t xml:space="preserve">– una piccola quantità ogni 60–120 minuti – imita il ritmo naturale e</w:t>
      </w:r>
      <w:r>
        <w:t xml:space="preserve"> </w:t>
      </w:r>
      <w:r>
        <w:rPr>
          <w:bCs/>
          <w:b/>
        </w:rPr>
        <w:t xml:space="preserve">attiva</w:t>
      </w:r>
      <w:r>
        <w:t xml:space="preserve"> </w:t>
      </w:r>
      <w:r>
        <w:t xml:space="preserve">l’asse. Su questo si basa la terapia con pompa nelle persone il cui ipotalamo produce troppo poco GnRH.</w:t>
      </w:r>
    </w:p>
    <w:p>
      <w:pPr>
        <w:numPr>
          <w:ilvl w:val="0"/>
          <w:numId w:val="1282"/>
        </w:numPr>
        <w:pStyle w:val="Compact"/>
      </w:pPr>
      <w:r>
        <w:t xml:space="preserve">La</w:t>
      </w:r>
      <w:r>
        <w:t xml:space="preserve"> </w:t>
      </w:r>
      <w:r>
        <w:rPr>
          <w:bCs/>
          <w:b/>
        </w:rPr>
        <w:t xml:space="preserve">stimolazione continua</w:t>
      </w:r>
      <w:r>
        <w:t xml:space="preserve">, dopo un breve aumento, porta allo spegnimento dei recettori dell’ipofisi. L’asse ormonale viene</w:t>
      </w:r>
      <w:r>
        <w:t xml:space="preserve"> </w:t>
      </w:r>
      <w:r>
        <w:rPr>
          <w:bCs/>
          <w:b/>
        </w:rPr>
        <w:t xml:space="preserve">frenato</w:t>
      </w:r>
      <w:r>
        <w:t xml:space="preserve">, fino a valori di testosterone come dopo una castrazione.</w:t>
      </w:r>
    </w:p>
    <w:p>
      <w:pPr>
        <w:pStyle w:val="FirstParagraph"/>
      </w:pPr>
      <w:r>
        <w:t xml:space="preserve">Sul secondo principio si basano gli analoghi del GnRH come leuprorelina, triptorelina o goserelina. Sono modificati chimicamente, agiscono molto più a lungo della gonadorelina e vengono impiegati come iniezione depot contro cancro della prostata, endometriosi, fibromi o pubertà precoce. Non sono oggetto di questo capitolo, ma distorcono notevolmente il quadro dei dati (vedi sotto).</w:t>
      </w:r>
    </w:p>
    <w:p>
      <w:pPr>
        <w:pStyle w:val="BodyText"/>
      </w:pPr>
      <w:r>
        <w:t xml:space="preserve">La gonadorelina stessa non è adatta a un blocco continuo: nel sangue viene degradata nel giro di pochi minuti.</w:t>
      </w:r>
    </w:p>
    <w:bookmarkEnd w:id="2277"/>
    <w:bookmarkStart w:id="2297" w:name="studi-sulluomo-51"/>
    <w:p>
      <w:pPr>
        <w:pStyle w:val="Heading3"/>
      </w:pPr>
      <w:r>
        <w:t xml:space="preserve">Studi sull’uomo</w:t>
      </w:r>
    </w:p>
    <w:p>
      <w:pPr>
        <w:pStyle w:val="FirstParagraph"/>
      </w:pPr>
      <w:r>
        <w:rPr>
          <w:bCs/>
          <w:b/>
        </w:rPr>
        <w:t xml:space="preserve">Entità degli studi disponibili (ricerca di ottobre 2026) – e perché i numeri ingannano:</w:t>
      </w:r>
      <w:r>
        <w:t xml:space="preserve"> </w:t>
      </w:r>
      <w:r>
        <w:t xml:space="preserve">la ricerca automatizzata di questo libro ha trovato</w:t>
      </w:r>
      <w:r>
        <w:t xml:space="preserve"> </w:t>
      </w:r>
      <w:r>
        <w:rPr>
          <w:bCs/>
          <w:b/>
        </w:rPr>
        <w:t xml:space="preserve">9</w:t>
      </w:r>
      <w:r>
        <w:t xml:space="preserve"> </w:t>
      </w:r>
      <w:r>
        <w:t xml:space="preserve">studi sull’uomo in PubMed (</w:t>
      </w:r>
      <w:r>
        <w:rPr>
          <w:rStyle w:val="VerbatimChar"/>
        </w:rPr>
        <w:t xml:space="preserve">humanstudien_alle</w:t>
      </w:r>
      <w:r>
        <w:t xml:space="preserve">) e su ClinicalTrials.gov il numero massimo di</w:t>
      </w:r>
      <w:r>
        <w:t xml:space="preserve"> </w:t>
      </w:r>
      <w:r>
        <w:rPr>
          <w:bCs/>
          <w:b/>
        </w:rPr>
        <w:t xml:space="preserve">1.000</w:t>
      </w:r>
      <w:r>
        <w:t xml:space="preserve"> </w:t>
      </w:r>
      <w:r>
        <w:t xml:space="preserve">voci di registro, al quale la ricerca si interrompe. Entrambi i numeri sono inutilizzabili per la valutazione della gonadorelina, e in direzioni opposte:</w:t>
      </w:r>
    </w:p>
    <w:p>
      <w:pPr>
        <w:numPr>
          <w:ilvl w:val="0"/>
          <w:numId w:val="1283"/>
        </w:numPr>
        <w:pStyle w:val="Compact"/>
      </w:pPr>
      <w:r>
        <w:rPr>
          <w:bCs/>
          <w:b/>
        </w:rPr>
        <w:t xml:space="preserve">Il numero del registro è fortemente sovrastimato.</w:t>
      </w:r>
      <w:r>
        <w:t xml:space="preserve"> </w:t>
      </w:r>
      <w:r>
        <w:t xml:space="preserve">ClinicalTrials.gov associa il termine di ricerca «gonadorelin» al termine generale «Gonadotropin-Releasing Hormone». Per questo compaiono tutti gli studi con analoghi e antagonisti del GnRH. Nei titoli dei 1.000 risultati la parola «prostate» compare 340 volte, «androgen deprivation» 57 volte, leuprorelina, goserelina e triptorelina insieme ben oltre cento volte. Un esame dei titoli ha individuato solo circa dieci voci che studiano davvero il GnRH nativo o la gonadorelina – per esempio come pompa, cerotto o test di funzionalità.</w:t>
      </w:r>
    </w:p>
    <w:p>
      <w:pPr>
        <w:numPr>
          <w:ilvl w:val="0"/>
          <w:numId w:val="1283"/>
        </w:numPr>
        <w:pStyle w:val="Compact"/>
      </w:pPr>
      <w:r>
        <w:rPr>
          <w:bCs/>
          <w:b/>
        </w:rPr>
        <w:t xml:space="preserve">Il numero di PubMed è sottostimato.</w:t>
      </w:r>
      <w:r>
        <w:t xml:space="preserve"> </w:t>
      </w:r>
      <w:r>
        <w:t xml:space="preserve">La maggior parte degli studi sull’ormone identico a quello endogeno usa i termini «GnRH» o «LHRH» e non il nome del principio attivo. Viceversa, diversi dei nove risultati non riguardano affatto la gonadorelina come trattamento: un lavoro ha studiato un analogo del GnRH nel cancro della prostata</w:t>
      </w:r>
      <w:r>
        <w:rPr>
          <w:rStyle w:val="FootnoteReference"/>
        </w:rPr>
        <w:footnoteReference w:id="2278"/>
      </w:r>
      <w:r>
        <w:t xml:space="preserve">, altri hanno usato la gonadorelina solo come sostanza di test, per esempio per verificare l’effetto di un ipocolesterolemizzante o della luce UV sull’asse ormonale</w:t>
      </w:r>
      <w:r>
        <w:rPr>
          <w:rStyle w:val="FootnoteReference"/>
        </w:rPr>
        <w:footnoteReference w:id="2279"/>
      </w:r>
      <w:r>
        <w:t xml:space="preserve">.</w:t>
      </w:r>
    </w:p>
    <w:p>
      <w:pPr>
        <w:pStyle w:val="FirstParagraph"/>
      </w:pPr>
      <w:r>
        <w:t xml:space="preserve">Questo capitolo si basa quindi su una ricerca integrativa mirata di studi sulla terapia pulsatile con GnRH e sul test al GnRH.</w:t>
      </w:r>
    </w:p>
    <w:bookmarkStart w:id="2283" w:name="diagnostica-il-test-al-gnrh"/>
    <w:p>
      <w:pPr>
        <w:pStyle w:val="Heading4"/>
      </w:pPr>
      <w:r>
        <w:t xml:space="preserve">Diagnostica: il test al GnRH</w:t>
      </w:r>
    </w:p>
    <w:p>
      <w:pPr>
        <w:pStyle w:val="FirstParagraph"/>
      </w:pPr>
      <w:r>
        <w:t xml:space="preserve">Nel test al GnRH (detto anche test LHRH) la gonadorelina viene iniettata in vena; successivamente si misura per una-due ore quanto aumentano LH e FSH. Il test aiuta soprattutto nei bambini con pubertà troppo precoce: un netto aumento di LH indica che l’asse ormonale nel cervello è già attivo (pubertà precoce centrale).</w:t>
      </w:r>
    </w:p>
    <w:p>
      <w:pPr>
        <w:pStyle w:val="BodyText"/>
      </w:pPr>
      <w:r>
        <w:t xml:space="preserve">In un’analisi di 584 test (di cui 314 a scopo diagnostico) un unico prelievo di sangue 40 minuti dopo l’iniezione bastava per la diagnosi: con una soglia di LH di 5 IU/L la sensibilità era del 98% e la specificità del 100%</w:t>
      </w:r>
      <w:r>
        <w:rPr>
          <w:rStyle w:val="FootnoteReference"/>
        </w:rPr>
        <w:footnoteReference w:id="2280"/>
      </w:r>
      <w:r>
        <w:t xml:space="preserve">. Una rassegna segnala dei limiti, per esempio negli stadi puberali molto precoci e nei bambini in sovrappeso, e soglie non uniformi tra gli studi</w:t>
      </w:r>
      <w:r>
        <w:rPr>
          <w:rStyle w:val="FootnoteReference"/>
        </w:rPr>
        <w:footnoteReference w:id="2281"/>
      </w:r>
      <w:r>
        <w:t xml:space="preserve">.</w:t>
      </w:r>
    </w:p>
    <w:p>
      <w:pPr>
        <w:pStyle w:val="BodyText"/>
      </w:pPr>
      <w:r>
        <w:t xml:space="preserve">Poiché il GnRH nativo è costoso e in molti luoghi non disponibile, viene sempre più spesso usato come sostituto un analogo a breve durata d’azione. In uno studio con 341 bambine un test con triptorelina è risultato accurato in modo simile al test con gonadorelina</w:t>
      </w:r>
      <w:r>
        <w:rPr>
          <w:rStyle w:val="FootnoteReference"/>
        </w:rPr>
        <w:footnoteReference w:id="2282"/>
      </w:r>
      <w:r>
        <w:t xml:space="preserve">.</w:t>
      </w:r>
    </w:p>
    <w:bookmarkEnd w:id="2283"/>
    <w:bookmarkStart w:id="2289" w:name="Xd936af4a3d8ed85df52cb57221ffe00ecb277a6"/>
    <w:p>
      <w:pPr>
        <w:pStyle w:val="Heading4"/>
      </w:pPr>
      <w:r>
        <w:t xml:space="preserve">Desiderio di figli: la pompa di GnRH nelle donne</w:t>
      </w:r>
    </w:p>
    <w:p>
      <w:pPr>
        <w:pStyle w:val="FirstParagraph"/>
      </w:pPr>
      <w:r>
        <w:t xml:space="preserve">Nell’amenorrea ipotalamica le mestruazioni si interrompono perché il cervello produce troppo poco GnRH – spesso dopo una forte perdita di peso, sport intenso o stress, più raramente per cause congenite. Una piccola pompa portatile può sostituire il ritmo mancante.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Santoro 1990, PMID 2122733</w:t>
            </w:r>
          </w:p>
        </w:tc>
        <w:tc>
          <w:tcPr/>
          <w:p>
            <w:pPr>
              <w:pStyle w:val="Compact"/>
              <w:jc w:val="left"/>
            </w:pPr>
            <w:r>
              <w:t xml:space="preserve">109 donne con amenorrea ipotalamica, studio multicentrico con pompa endovenosa</w:t>
            </w:r>
          </w:p>
        </w:tc>
        <w:tc>
          <w:tcPr/>
          <w:p>
            <w:pPr>
              <w:pStyle w:val="Compact"/>
              <w:jc w:val="left"/>
            </w:pPr>
            <w:r>
              <w:t xml:space="preserve">diversi cicli</w:t>
            </w:r>
          </w:p>
        </w:tc>
        <w:tc>
          <w:tcPr/>
          <w:p>
            <w:pPr>
              <w:pStyle w:val="Compact"/>
              <w:jc w:val="left"/>
            </w:pPr>
            <w:r>
              <w:t xml:space="preserve">Ovulazione nel 91% e nel 96%; gravidanze multiple 12%</w:t>
            </w:r>
          </w:p>
        </w:tc>
      </w:tr>
      <w:tr>
        <w:tc>
          <w:tcPr/>
          <w:p>
            <w:pPr>
              <w:pStyle w:val="Compact"/>
              <w:jc w:val="left"/>
            </w:pPr>
            <w:r>
              <w:t xml:space="preserve">Filicori 1994, PMID 7962297</w:t>
            </w:r>
          </w:p>
        </w:tc>
        <w:tc>
          <w:tcPr/>
          <w:p>
            <w:pPr>
              <w:pStyle w:val="Compact"/>
              <w:jc w:val="left"/>
            </w:pPr>
            <w:r>
              <w:t xml:space="preserve">292 donne, 600 cicli, cause diverse</w:t>
            </w:r>
          </w:p>
        </w:tc>
        <w:tc>
          <w:tcPr/>
          <w:p>
            <w:pPr>
              <w:pStyle w:val="Compact"/>
              <w:jc w:val="left"/>
            </w:pPr>
            <w:r>
              <w:t xml:space="preserve">1984–1993</w:t>
            </w:r>
          </w:p>
        </w:tc>
        <w:tc>
          <w:tcPr/>
          <w:p>
            <w:pPr>
              <w:pStyle w:val="Compact"/>
              <w:jc w:val="left"/>
            </w:pPr>
            <w:r>
              <w:t xml:space="preserve">Ovulazione nel 75% dei cicli; gravidanza 18% per ciclo; gravidanze multiple 3,8%; aborti spontanei 30%</w:t>
            </w:r>
          </w:p>
        </w:tc>
      </w:tr>
      <w:tr>
        <w:tc>
          <w:tcPr/>
          <w:p>
            <w:pPr>
              <w:pStyle w:val="Compact"/>
              <w:jc w:val="left"/>
            </w:pPr>
            <w:r>
              <w:t xml:space="preserve">Christin-Maitre 2007, PMID 17293247</w:t>
            </w:r>
          </w:p>
        </w:tc>
        <w:tc>
          <w:tcPr/>
          <w:p>
            <w:pPr>
              <w:pStyle w:val="Compact"/>
              <w:jc w:val="left"/>
            </w:pPr>
            <w:r>
              <w:t xml:space="preserve">248 donne, 829 cicli, 24 centri francesi, retrospettivo</w:t>
            </w:r>
          </w:p>
        </w:tc>
        <w:tc>
          <w:tcPr/>
          <w:p>
            <w:pPr>
              <w:pStyle w:val="Compact"/>
              <w:jc w:val="left"/>
            </w:pPr>
            <w:r>
              <w:t xml:space="preserve">3 anni</w:t>
            </w:r>
          </w:p>
        </w:tc>
        <w:tc>
          <w:tcPr/>
          <w:p>
            <w:pPr>
              <w:pStyle w:val="Compact"/>
              <w:jc w:val="left"/>
            </w:pPr>
            <w:r>
              <w:t xml:space="preserve">Gravidanza 25% per ciclo; gravidanze multiple 8,8%; nessuna iperstimolazione grave</w:t>
            </w:r>
          </w:p>
        </w:tc>
      </w:tr>
      <w:tr>
        <w:tc>
          <w:tcPr/>
          <w:p>
            <w:pPr>
              <w:pStyle w:val="Compact"/>
              <w:jc w:val="left"/>
            </w:pPr>
            <w:r>
              <w:t xml:space="preserve">Dubourdieu 2013, PMID 23298894</w:t>
            </w:r>
          </w:p>
        </w:tc>
        <w:tc>
          <w:tcPr/>
          <w:p>
            <w:pPr>
              <w:pStyle w:val="Compact"/>
              <w:jc w:val="left"/>
            </w:pPr>
            <w:r>
              <w:t xml:space="preserve">30 donne con amenorrea e PCOS, RCT: pompa vs. gonadotropine</w:t>
            </w:r>
          </w:p>
        </w:tc>
        <w:tc>
          <w:tcPr/>
          <w:p>
            <w:pPr>
              <w:pStyle w:val="Compact"/>
              <w:jc w:val="left"/>
            </w:pPr>
            <w:r>
              <w:t xml:space="preserve">un ciclo</w:t>
            </w:r>
          </w:p>
        </w:tc>
        <w:tc>
          <w:tcPr/>
          <w:p>
            <w:pPr>
              <w:pStyle w:val="Compact"/>
              <w:jc w:val="left"/>
            </w:pPr>
            <w:r>
              <w:t xml:space="preserve">gravidanza clinica 46% vs. 0%</w:t>
            </w:r>
          </w:p>
        </w:tc>
      </w:tr>
      <w:tr>
        <w:tc>
          <w:tcPr/>
          <w:p>
            <w:pPr>
              <w:pStyle w:val="Compact"/>
              <w:jc w:val="left"/>
            </w:pPr>
            <w:r>
              <w:t xml:space="preserve">Quaas 2022, PMID 36378460</w:t>
            </w:r>
          </w:p>
        </w:tc>
        <w:tc>
          <w:tcPr/>
          <w:p>
            <w:pPr>
              <w:pStyle w:val="Compact"/>
              <w:jc w:val="left"/>
            </w:pPr>
            <w:r>
              <w:t xml:space="preserve">66 donne, 212 cicli, centro svizzero, retrospettivo</w:t>
            </w:r>
          </w:p>
        </w:tc>
        <w:tc>
          <w:tcPr/>
          <w:p>
            <w:pPr>
              <w:pStyle w:val="Compact"/>
              <w:jc w:val="left"/>
            </w:pPr>
            <w:r>
              <w:t xml:space="preserve">1996–2020</w:t>
            </w:r>
          </w:p>
        </w:tc>
        <w:tc>
          <w:tcPr/>
          <w:p>
            <w:pPr>
              <w:pStyle w:val="Compact"/>
              <w:jc w:val="left"/>
            </w:pPr>
            <w:r>
              <w:t xml:space="preserve">Nati vivi per trattamento 65,9%; un solo follicolo nel 75% dei cicli; una gravidanza gemellare</w:t>
            </w:r>
          </w:p>
        </w:tc>
      </w:tr>
    </w:tbl>
    <w:p>
      <w:pPr>
        <w:pStyle w:val="BodyText"/>
      </w:pPr>
      <w:r>
        <w:t xml:space="preserve">I numeri delineano un quadro coerente: nelle donne il cui problema si trova davvero nell’ipotalamo, la pompa porta all’ovulazione nella stragrande maggioranza dei cicli, spesso con un solo ovocita in maturazione. Poiché l’ipofisi mantiene la propria retroazione, iperstimolazione e gravidanze multiple sono più rare che con le gonadotropine iniettate direttamente</w:t>
      </w:r>
      <w:r>
        <w:rPr>
          <w:rStyle w:val="FootnoteReference"/>
        </w:rPr>
        <w:footnoteReference w:id="2284"/>
      </w:r>
      <w:r>
        <w:t xml:space="preserve">. Nelle donne con sindrome dell’ovaio policistico o sovrappeso la pompa funziona peggio, e gli aborti spontanei erano frequenti nella più ampia serie singola</w:t>
      </w:r>
      <w:r>
        <w:rPr>
          <w:rStyle w:val="FootnoteReference"/>
        </w:rPr>
        <w:footnoteReference w:id="2285"/>
      </w:r>
      <w:r>
        <w:t xml:space="preserve">.</w:t>
      </w:r>
    </w:p>
    <w:p>
      <w:pPr>
        <w:pStyle w:val="BodyText"/>
      </w:pPr>
      <w:r>
        <w:t xml:space="preserve">Gli svantaggi sono di natura pratica: la pompa deve essere portata per settimane. Con la somministrazione endovenosa si sono verificate complicanze all’accesso, in media nel 7%</w:t>
      </w:r>
      <w:r>
        <w:rPr>
          <w:rStyle w:val="FootnoteReference"/>
        </w:rPr>
        <w:footnoteReference w:id="2286"/>
      </w:r>
      <w:r>
        <w:t xml:space="preserve">. Oggi si pompa per lo più sotto la pelle; nello studio francese si sono verificate reazioni allergiche locali nell’1,7% dei cicli</w:t>
      </w:r>
      <w:r>
        <w:rPr>
          <w:rStyle w:val="FootnoteReference"/>
        </w:rPr>
        <w:footnoteReference w:id="2287"/>
      </w:r>
      <w:r>
        <w:t xml:space="preserve">.</w:t>
      </w:r>
    </w:p>
    <w:p>
      <w:pPr>
        <w:pStyle w:val="BodyText"/>
      </w:pPr>
      <w:r>
        <w:t xml:space="preserve">I dati sono datati e prevalentemente non randomizzati. Mancano grandi studi comparativi con i moderni protocolli a base di gonadotropine. Gli esperti considerano comunque la pompa un metodo particolarmente fisiologico e sicuro nell’amenorrea ipotalamica con desiderio di figli</w:t>
      </w:r>
      <w:r>
        <w:rPr>
          <w:rStyle w:val="FootnoteReference"/>
        </w:rPr>
        <w:footnoteReference w:id="2288"/>
      </w:r>
      <w:r>
        <w:t xml:space="preserve"> </w:t>
      </w:r>
      <w:r>
        <w:t xml:space="preserve">– purché sia disponibile.</w:t>
      </w:r>
    </w:p>
    <w:bookmarkEnd w:id="2289"/>
    <w:bookmarkStart w:id="2293" w:name="uomini-con-carenza-ormonale"/>
    <w:p>
      <w:pPr>
        <w:pStyle w:val="Heading4"/>
      </w:pPr>
      <w:r>
        <w:t xml:space="preserve">Uomini con carenza ormonale</w:t>
      </w:r>
    </w:p>
    <w:p>
      <w:pPr>
        <w:pStyle w:val="FirstParagraph"/>
      </w:pPr>
      <w:r>
        <w:t xml:space="preserve">Anche gli uomini con carenza congenita di GnRH – per esempio nella sindrome di Kallmann, in cui manca anche l’olfatto – possono essere trattati con la pompa per stimolare la crescita dei testicoli e la produzione di spermatozoi.</w:t>
      </w:r>
    </w:p>
    <w:p>
      <w:pPr>
        <w:pStyle w:val="BodyText"/>
      </w:pPr>
      <w:r>
        <w:t xml:space="preserve">In un’analisi di 26 uomini in un centro universitario tedesco, in 30 cicli di trattamento su 33 sono comparsi spermatozoi nell’eiaculato; in 15 casi su 18 con desiderio di figli la partner è rimasta incinta. Pompa e gonadotropine iniettate sono risultate ugualmente efficaci</w:t>
      </w:r>
      <w:r>
        <w:rPr>
          <w:rStyle w:val="FootnoteReference"/>
        </w:rPr>
        <w:footnoteReference w:id="2290"/>
      </w:r>
      <w:r>
        <w:t xml:space="preserve">. In ragazzi cinesi in età puberale i testicoli sono cresciuti di più con la pompa che con le iniezioni di hCG</w:t>
      </w:r>
      <w:r>
        <w:rPr>
          <w:rStyle w:val="FootnoteReference"/>
        </w:rPr>
        <w:footnoteReference w:id="2291"/>
      </w:r>
      <w:r>
        <w:t xml:space="preserve">. Un piccolo studio randomizzato ha trovato indizi che un pretrattamento con FSH prima della pompa potrebbe migliorare la produzione di spermatozoi: tutti e sette gli uomini pretrattati hanno poi avuto spermatozoi, contro quattro su sei senza pretrattamento</w:t>
      </w:r>
      <w:r>
        <w:rPr>
          <w:rStyle w:val="FootnoteReference"/>
        </w:rPr>
        <w:footnoteReference w:id="2292"/>
      </w:r>
      <w:r>
        <w:t xml:space="preserve">.</w:t>
      </w:r>
    </w:p>
    <w:bookmarkEnd w:id="2293"/>
    <w:bookmarkStart w:id="2296" w:name="lattanti-con-criptorchidismo"/>
    <w:p>
      <w:pPr>
        <w:pStyle w:val="Heading4"/>
      </w:pPr>
      <w:r>
        <w:t xml:space="preserve">Lattanti con criptorchidismo</w:t>
      </w:r>
    </w:p>
    <w:p>
      <w:pPr>
        <w:pStyle w:val="FirstParagraph"/>
      </w:pPr>
      <w:r>
        <w:t xml:space="preserve">In alcuni Paesi europei uno spray nasale di gonadorelina viene somministrato prima o dopo l’intervento per criptorchidismo, per favorire la maturazione delle cellule germinali. Uno studio randomizzato con 62 lattanti ha riportato reperti ecografici più favorevoli dopo il trattamento combinato</w:t>
      </w:r>
      <w:r>
        <w:rPr>
          <w:rStyle w:val="FootnoteReference"/>
        </w:rPr>
        <w:footnoteReference w:id="2294"/>
      </w:r>
      <w:r>
        <w:t xml:space="preserve">. Un altro studio randomizzato con 36 bambini non ha invece trovato differenze in dimensioni del pene, volume testicolare o valori ormonali al momento dell’intervento; il trattamento si è però dimostrato sicuro</w:t>
      </w:r>
      <w:r>
        <w:rPr>
          <w:rStyle w:val="FootnoteReference"/>
        </w:rPr>
        <w:footnoteReference w:id="2295"/>
      </w:r>
      <w:r>
        <w:t xml:space="preserve">. Il beneficio è controverso; in primo piano c’è l’intervento precoce.</w:t>
      </w:r>
    </w:p>
    <w:bookmarkEnd w:id="2296"/>
    <w:bookmarkEnd w:id="2297"/>
    <w:bookmarkStart w:id="2298" w:name="studi-su-animali-e-in-laboratorio-51"/>
    <w:p>
      <w:pPr>
        <w:pStyle w:val="Heading3"/>
      </w:pPr>
      <w:r>
        <w:t xml:space="preserve">Studi su animali e in laboratorio</w:t>
      </w:r>
    </w:p>
    <w:p>
      <w:pPr>
        <w:pStyle w:val="FirstParagraph"/>
      </w:pPr>
      <w:r>
        <w:t xml:space="preserve">La gonadorelina è uno degli ormoni meglio compresi in assoluto; le sue basi derivano da esperimenti sugli animali degli anni Settanta. Oggi la ricerca sugli animali non ha quasi più alcun ruolo nella valutazione per l’uomo. In medicina veterinaria la gonadorelina è ampiamente impiegata, soprattutto nei bovini per controllare l’ovulazione. Questi preparati sono approvati per gli animali e non per l’uomo.</w:t>
      </w:r>
    </w:p>
    <w:bookmarkEnd w:id="2298"/>
    <w:bookmarkStart w:id="2302" w:name="rischi-ed-effetti-collaterali-51"/>
    <w:p>
      <w:pPr>
        <w:pStyle w:val="Heading3"/>
      </w:pPr>
      <w:r>
        <w:t xml:space="preserve">Rischi ed effetti collaterali</w:t>
      </w:r>
    </w:p>
    <w:bookmarkStart w:id="2300" w:name="dimostrati-3"/>
    <w:p>
      <w:pPr>
        <w:pStyle w:val="Heading4"/>
      </w:pPr>
      <w:r>
        <w:t xml:space="preserve">Dimostrati</w:t>
      </w:r>
    </w:p>
    <w:p>
      <w:pPr>
        <w:pStyle w:val="FirstParagraph"/>
      </w:pPr>
      <w:r>
        <w:t xml:space="preserve">La gonadorelina è considerata ben tollerata. Negli studi sulla terapia con pompa erano in primo piano i problemi con l’accesso (infiammazione, irritazione venosa con la somministrazione endovenosa) e le reazioni cutanee locali</w:t>
      </w:r>
      <w:r>
        <w:rPr>
          <w:rStyle w:val="FootnoteReference"/>
        </w:rPr>
        <w:footnoteReference w:id="2299"/>
      </w:r>
      <w:r>
        <w:t xml:space="preserve">. Le gravidanze multiple si verificano, anche se più raramente che con le gonadotropine; le iperstimolazioni gravi sono l’eccezione. Durante il test possono comparire temporaneamente mal di testa, nausea o vampate di calore. Le reazioni allergiche sono descritte raramente. I dettagli sono riportati nel riassunto delle caratteristiche del prodotto; l’uso spetta al medico.</w:t>
      </w:r>
    </w:p>
    <w:bookmarkEnd w:id="2300"/>
    <w:bookmarkStart w:id="2301" w:name="in-caso-di-uso-scorretto"/>
    <w:p>
      <w:pPr>
        <w:pStyle w:val="Heading4"/>
      </w:pPr>
      <w:r>
        <w:t xml:space="preserve">In caso di uso scorretto</w:t>
      </w:r>
    </w:p>
    <w:p>
      <w:pPr>
        <w:pStyle w:val="FirstParagraph"/>
      </w:pPr>
      <w:r>
        <w:t xml:space="preserve">Se la gonadorelina non viene somministrata con il ritmo giusto, ma troppo spesso o in modo continuo, può sopprimere anziché stimolare il proprio asse ormonale. Non è un rischio teorico, ma il principio d’azione degli analoghi del GnRH.</w:t>
      </w:r>
    </w:p>
    <w:bookmarkEnd w:id="2301"/>
    <w:bookmarkEnd w:id="2302"/>
    <w:bookmarkStart w:id="2306" w:name="X02f6b41a84b9d0099a6630373ad8e8c2b5a550d"/>
    <w:p>
      <w:pPr>
        <w:pStyle w:val="Heading3"/>
      </w:pPr>
      <w:r>
        <w:t xml:space="preserve">Inquadramento: la gonadorelina nel bodybuilding</w:t>
      </w:r>
    </w:p>
    <w:p>
      <w:pPr>
        <w:pStyle w:val="FirstParagraph"/>
      </w:pPr>
      <w:r>
        <w:t xml:space="preserve">Nei forum online e presso alcuni fornitori di «ottimizzazione ormonale» la gonadorelina viene pubblicizzata come parte di una cosiddetta Post-Cycle-Therapy (PCT). Si intende la fase successiva a un ciclo di steroidi anabolizzanti: gli ormoni somministrati artificialmente hanno soppresso la propria produzione di testosterone, e la gonadorelina dovrebbe «rimettere in moto» l’asse ormonale. Negli Stati Uniti, secondo alcune segnalazioni, viene offerta anche come sostituto dell’hCG.</w:t>
      </w:r>
    </w:p>
    <w:p>
      <w:pPr>
        <w:pStyle w:val="BodyText"/>
      </w:pPr>
      <w:r>
        <w:t xml:space="preserve">Che cosa si sa in merito:</w:t>
      </w:r>
    </w:p>
    <w:p>
      <w:pPr>
        <w:numPr>
          <w:ilvl w:val="0"/>
          <w:numId w:val="1284"/>
        </w:numPr>
        <w:pStyle w:val="Compact"/>
      </w:pPr>
      <w:r>
        <w:rPr>
          <w:bCs/>
          <w:b/>
        </w:rPr>
        <w:t xml:space="preserve">Non esistono studi</w:t>
      </w:r>
      <w:r>
        <w:t xml:space="preserve"> </w:t>
      </w:r>
      <w:r>
        <w:t xml:space="preserve">sulla gonadorelina in questa situazione. I dati sulla PCT nel complesso sono scarsi; sono stati studiati quasi solo antiestrogeni, hCG e inibitori dell’aromatasi, e anche per questi ci sono prevalentemente dati osservazionali. Dal punto di vista scientifico una PCT per lo più non viene raccomandata</w:t>
      </w:r>
      <w:r>
        <w:rPr>
          <w:rStyle w:val="FootnoteReference"/>
        </w:rPr>
        <w:footnoteReference w:id="2303"/>
      </w:r>
      <w:r>
        <w:t xml:space="preserve">.</w:t>
      </w:r>
    </w:p>
    <w:p>
      <w:pPr>
        <w:numPr>
          <w:ilvl w:val="0"/>
          <w:numId w:val="1284"/>
        </w:numPr>
        <w:pStyle w:val="Compact"/>
      </w:pPr>
      <w:r>
        <w:rPr>
          <w:bCs/>
          <w:b/>
        </w:rPr>
        <w:t xml:space="preserve">Il recupero avviene per lo più spontaneamente.</w:t>
      </w:r>
      <w:r>
        <w:t xml:space="preserve"> </w:t>
      </w:r>
      <w:r>
        <w:t xml:space="preserve">Nello studio olandese HAARLEM con 100 atleti di forza, tre mesi dopo la fine del ciclo di steroidi il testosterone si era normalizzato nella maggior parte dei casi; dopo un anno era ancora sotto l’intervallo di normalità nell’11%, e nel 34% il numero di spermatozoi era ancora ridotto</w:t>
      </w:r>
      <w:r>
        <w:rPr>
          <w:rStyle w:val="FootnoteReference"/>
        </w:rPr>
        <w:footnoteReference w:id="2304"/>
      </w:r>
      <w:r>
        <w:t xml:space="preserve">.</w:t>
      </w:r>
    </w:p>
    <w:p>
      <w:pPr>
        <w:numPr>
          <w:ilvl w:val="0"/>
          <w:numId w:val="1284"/>
        </w:numPr>
        <w:pStyle w:val="Compact"/>
      </w:pPr>
      <w:r>
        <w:rPr>
          <w:bCs/>
          <w:b/>
        </w:rPr>
        <w:t xml:space="preserve">Il principio d’azione depone contro un uso ingenuo.</w:t>
      </w:r>
      <w:r>
        <w:t xml:space="preserve"> </w:t>
      </w:r>
      <w:r>
        <w:t xml:space="preserve">Singole iniezioni producono solo brevi picchi di LH; somministrazioni frequenti possono piuttosto desensibilizzare l’ipofisi. Senza pompa e controlli di laboratorio non ci si può aspettare un beneficio, e un ritardo del recupero non è da escludere.</w:t>
      </w:r>
    </w:p>
    <w:p>
      <w:pPr>
        <w:numPr>
          <w:ilvl w:val="0"/>
          <w:numId w:val="1284"/>
        </w:numPr>
        <w:pStyle w:val="Compact"/>
      </w:pPr>
      <w:r>
        <w:rPr>
          <w:bCs/>
          <w:b/>
        </w:rPr>
        <w:t xml:space="preserve">Chi dopo l’uso di steroidi ha disturbi</w:t>
      </w:r>
      <w:r>
        <w:t xml:space="preserve">, per esempio mancanza di energia, perdita della libido o desiderio di figli insoddisfatto, dovrebbe farli valutare da un medico, idealmente in un ambulatorio di andrologia o endocrinologia.</w:t>
      </w:r>
    </w:p>
    <w:p>
      <w:pPr>
        <w:pStyle w:val="FirstParagraph"/>
      </w:pPr>
      <w:r>
        <w:t xml:space="preserve">Nello sport la gonadorelina è vietata per gli uomini. I laboratori antidoping hanno sviluppato metodi di rilevamento specifici; una rassegna descrive la gonadorelina come esempio di peptide di cui negli ultimi anni si è abusato nello sport agonistico</w:t>
      </w:r>
      <w:r>
        <w:rPr>
          <w:rStyle w:val="FootnoteReference"/>
        </w:rPr>
        <w:footnoteReference w:id="2305"/>
      </w:r>
      <w:r>
        <w:t xml:space="preserve">.</w:t>
      </w:r>
    </w:p>
    <w:bookmarkEnd w:id="2306"/>
    <w:bookmarkStart w:id="2307" w:name="quadro-normativo-51"/>
    <w:p>
      <w:pPr>
        <w:pStyle w:val="Heading3"/>
      </w:pPr>
      <w:r>
        <w:t xml:space="preserve">Quadro normativo</w:t>
      </w:r>
    </w:p>
    <w:p>
      <w:pPr>
        <w:pStyle w:val="FirstParagraph"/>
      </w:pPr>
      <w:r>
        <w:rPr>
          <w:iCs/>
          <w:i/>
        </w:rPr>
        <w:t xml:space="preserve">Aggiornato al 2026, da verificare.</w:t>
      </w:r>
    </w:p>
    <w:p>
      <w:pPr>
        <w:numPr>
          <w:ilvl w:val="0"/>
          <w:numId w:val="1285"/>
        </w:numPr>
        <w:pStyle w:val="Compact"/>
      </w:pPr>
      <w:r>
        <w:rPr>
          <w:bCs/>
          <w:b/>
        </w:rPr>
        <w:t xml:space="preserve">UE:</w:t>
      </w:r>
      <w:r>
        <w:t xml:space="preserve"> </w:t>
      </w:r>
      <w:r>
        <w:t xml:space="preserve">nessuna approvazione centralizzata UE; approvazioni nazionali in diversi Stati membri, tra l’altro come diagnostico, per la terapia pulsatile con pompa e come spray nasale nel criptorchidismo. I preparati sono soggetti a prescrizione.</w:t>
      </w:r>
    </w:p>
    <w:p>
      <w:pPr>
        <w:numPr>
          <w:ilvl w:val="0"/>
          <w:numId w:val="1285"/>
        </w:numPr>
        <w:pStyle w:val="Compact"/>
      </w:pPr>
      <w:r>
        <w:rPr>
          <w:bCs/>
          <w:b/>
        </w:rPr>
        <w:t xml:space="preserve">Germania:</w:t>
      </w:r>
      <w:r>
        <w:t xml:space="preserve"> </w:t>
      </w:r>
      <w:r>
        <w:t xml:space="preserve">preparati per il test al GnRH e per la terapia con pompa erano o sono in commercio; la disponibilità attuale varia. Il trattamento avviene in centri specializzati.</w:t>
      </w:r>
    </w:p>
    <w:p>
      <w:pPr>
        <w:numPr>
          <w:ilvl w:val="0"/>
          <w:numId w:val="1285"/>
        </w:numPr>
        <w:pStyle w:val="Compact"/>
      </w:pPr>
      <w:r>
        <w:rPr>
          <w:bCs/>
          <w:b/>
        </w:rPr>
        <w:t xml:space="preserve">Austria:</w:t>
      </w:r>
      <w:r>
        <w:t xml:space="preserve"> </w:t>
      </w:r>
      <w:r>
        <w:t xml:space="preserve">soggetta a prescrizione; la disponibilità dei singoli preparati va verificata nell’elenco aggiornato delle specialità medicinali.</w:t>
      </w:r>
    </w:p>
    <w:p>
      <w:pPr>
        <w:numPr>
          <w:ilvl w:val="0"/>
          <w:numId w:val="1285"/>
        </w:numPr>
        <w:pStyle w:val="Compact"/>
      </w:pPr>
      <w:r>
        <w:rPr>
          <w:bCs/>
          <w:b/>
        </w:rPr>
        <w:t xml:space="preserve">USA:</w:t>
      </w:r>
      <w:r>
        <w:t xml:space="preserve"> </w:t>
      </w:r>
      <w:r>
        <w:t xml:space="preserve">i preparati per uso umano un tempo approvati sono stati ritirati dal mercato. Secondo alcune segnalazioni la gonadorelina viene offerta da farmacie galeniche; la valutazione regolatoria di tali preparazioni è in evoluzione. I farmaci veterinari contenenti gonadorelina non sono destinati all’uomo.</w:t>
      </w:r>
    </w:p>
    <w:p>
      <w:pPr>
        <w:numPr>
          <w:ilvl w:val="0"/>
          <w:numId w:val="1285"/>
        </w:numPr>
        <w:pStyle w:val="Compact"/>
      </w:pPr>
      <w:r>
        <w:rPr>
          <w:bCs/>
          <w:b/>
        </w:rPr>
        <w:t xml:space="preserve">WADA:</w:t>
      </w:r>
      <w:r>
        <w:t xml:space="preserve"> </w:t>
      </w:r>
      <w:r>
        <w:t xml:space="preserve">S2 – vietata per gli uomini in gara e fuori gara.</w:t>
      </w:r>
    </w:p>
    <w:bookmarkEnd w:id="2307"/>
    <w:bookmarkStart w:id="2311" w:name="studi-in-corso-e-prospettive-51"/>
    <w:p>
      <w:pPr>
        <w:pStyle w:val="Heading3"/>
      </w:pPr>
      <w:r>
        <w:t xml:space="preserve">Studi in corso e prospettive</w:t>
      </w:r>
    </w:p>
    <w:p>
      <w:pPr>
        <w:pStyle w:val="FirstParagraph"/>
      </w:pPr>
      <w:r>
        <w:rPr>
          <w:bCs/>
          <w:b/>
        </w:rPr>
        <w:t xml:space="preserve">Dati certi (studi registrati):</w:t>
      </w:r>
      <w:r>
        <w:t xml:space="preserve"> </w:t>
      </w:r>
      <w:r>
        <w:t xml:space="preserve">tra le poche voci di registro che riguardano davvero il GnRH nativo si trovano:</w:t>
      </w:r>
    </w:p>
    <w:p>
      <w:pPr>
        <w:numPr>
          <w:ilvl w:val="0"/>
          <w:numId w:val="1286"/>
        </w:numPr>
        <w:pStyle w:val="Compact"/>
      </w:pPr>
      <w:r>
        <w:t xml:space="preserve">studi conclusi del produttore Ferring su un cerotto che rilascia GnRH in modo pulsatile attraverso la pelle mediante una debole corrente (NCT00296465 con 132 e NCT00796289 con 350 partecipanti). Per quanto noto all’autore, i risultati di questi studi non sono pubblicati in PubMed, e il cerotto non è arrivato sul mercato;</w:t>
      </w:r>
    </w:p>
    <w:p>
      <w:pPr>
        <w:numPr>
          <w:ilvl w:val="0"/>
          <w:numId w:val="1286"/>
        </w:numPr>
        <w:pStyle w:val="Compact"/>
      </w:pPr>
      <w:r>
        <w:t xml:space="preserve">uno studio ritirato nel 2025 sulla somministrazione di GnRH con una moderna pompa per insulina senza tubo</w:t>
      </w:r>
      <w:r>
        <w:rPr>
          <w:rStyle w:val="FootnoteReference"/>
        </w:rPr>
        <w:footnoteReference w:id="2308"/>
      </w:r>
      <w:r>
        <w:t xml:space="preserve">;</w:t>
      </w:r>
    </w:p>
    <w:p>
      <w:pPr>
        <w:numPr>
          <w:ilvl w:val="0"/>
          <w:numId w:val="1286"/>
        </w:numPr>
        <w:pStyle w:val="Compact"/>
      </w:pPr>
      <w:r>
        <w:t xml:space="preserve">studi cinesi sulla pompa nella carenza ormonale congenita</w:t>
      </w:r>
      <w:r>
        <w:rPr>
          <w:rStyle w:val="FootnoteReference"/>
        </w:rPr>
        <w:footnoteReference w:id="2309"/>
      </w:r>
      <w:r>
        <w:t xml:space="preserve"> </w:t>
      </w:r>
      <w:r>
        <w:t xml:space="preserve">e nella PCOS</w:t>
      </w:r>
      <w:r>
        <w:rPr>
          <w:rStyle w:val="FootnoteReference"/>
        </w:rPr>
        <w:footnoteReference w:id="2310"/>
      </w:r>
      <w:r>
        <w:t xml:space="preserve">, entrambi con stato sconosciuto.</w:t>
      </w:r>
    </w:p>
    <w:p>
      <w:pPr>
        <w:pStyle w:val="FirstParagraph"/>
      </w:pPr>
      <w:r>
        <w:rPr>
          <w:bCs/>
          <w:b/>
        </w:rPr>
        <w:t xml:space="preserve">Valutazione dell’autore:</w:t>
      </w:r>
      <w:r>
        <w:t xml:space="preserve"> </w:t>
      </w:r>
      <w:r>
        <w:t xml:space="preserve">la gonadorelina è un principio attivo vecchio e ben compreso, la cui importanza in diagnostica diminuisce perché gli analoghi a breve durata d’azione sono più economici e disponibili. Per la terapia con pompa nell’amenorrea ipotalamica e nella carenza ormonale congenita resta un’opzione fisiologica, il cui futuro dipende meno da nuove ricerche che dalla questione se i produttori continueranno a rifornire i piccoli mercati. Pompe moderne senza tubo potrebbero rendere il trattamento più comodo. Per un beneficio nel contesto del bodybuilding non esistono prove.</w:t>
      </w:r>
    </w:p>
    <w:bookmarkEnd w:id="2311"/>
    <w:bookmarkStart w:id="2312" w:name="conclusione-51"/>
    <w:p>
      <w:pPr>
        <w:pStyle w:val="Heading3"/>
      </w:pPr>
      <w:r>
        <w:t xml:space="preserve">Conclusione</w:t>
      </w:r>
    </w:p>
    <w:p>
      <w:pPr>
        <w:pStyle w:val="FirstParagraph"/>
      </w:pPr>
      <w:r>
        <w:t xml:space="preserve">La gonadorelina è la copia sintetica del GnRH endogeno ed è in uso da decenni per i test di funzionalità e la terapia con pompa. Somministrata con il giusto ritmo a impulsi, in ampie serie di casi ha portato all’ovulazione nella maggior parte dei cicli nelle donne con amenorrea ipotalamica, con meno gravidanze multiple rispetto alle gonadotropine, e negli uomini con carenza ormonale congenita alla produzione di spermatozoi. I dati sono datati e prevalentemente non randomizzati; i numeri dei registri sono fortemente distorti dagli analoghi del GnRH. L’impiego nell’ambiente del bodybuilding dopo i cicli di steroidi non è studiato, contraddice il principio d’azione ed è vietato nello sport.</w:t>
      </w:r>
    </w:p>
    <w:bookmarkEnd w:id="2312"/>
    <w:bookmarkEnd w:id="2313"/>
    <w:bookmarkEnd w:id="2314"/>
    <w:bookmarkStart w:id="2525" w:name="Xb7de65269475bb931b5ac98c8149256b2b91199"/>
    <w:p>
      <w:pPr>
        <w:pStyle w:val="Heading1"/>
      </w:pPr>
      <w:r>
        <w:t xml:space="preserve">Parte II · F – Collagene, alimentazione e cosmetica</w:t>
      </w:r>
    </w:p>
    <w:p>
      <w:pPr>
        <w:pStyle w:val="FirstParagraph"/>
      </w:pPr>
      <w:r>
        <w:t xml:space="preserve">La maggior parte delle persone non incontra i peptidi di questo gruppo nello studio medico, ma al supermercato, in profumeria e nella pubblicità: come bevanda al collagene, come yogurt per la pressione, come capsula per lo sport o come «peptide anti-aging» in una crema per il viso. Sono di libera vendita, sono considerati innocui e vengono pubblicizzati con studi. Proprio per questo vale la pena guardare con attenzione che cosa mostrano questi studi.</w:t>
      </w:r>
    </w:p>
    <w:bookmarkStart w:id="2316" w:name="che-cosa-accomuna-il-gruppo"/>
    <w:p>
      <w:pPr>
        <w:pStyle w:val="Heading3"/>
      </w:pPr>
      <w:r>
        <w:t xml:space="preserve">Che cosa accomuna il gruppo</w:t>
      </w:r>
    </w:p>
    <w:p>
      <w:pPr>
        <w:pStyle w:val="FirstParagraph"/>
      </w:pPr>
      <w:r>
        <w:t xml:space="preserve">Tutte e sei le sostanze sono frammenti di proteine endogene o presenti negli alimenti (peptidi di collagene, lattotripeptidi del latte, carnosina, GHK-Cu) oppure ne sono riproduzioni mirate (Matrixyl, Argireline). Nessuna di esse è approvata come farmaco. Non vengono quindi valutate secondo i criteri rigorosi che valgono per i medicinali, ma secondo le regole per alimenti o cosmetici.</w:t>
      </w:r>
    </w:p>
    <w:p>
      <w:pPr>
        <w:pStyle w:val="BodyText"/>
      </w:pPr>
      <w:r>
        <w:t xml:space="preserve">Ne derivano schemi comuni che ricorrono in tutti i capitoli:</w:t>
      </w:r>
    </w:p>
    <w:p>
      <w:pPr>
        <w:numPr>
          <w:ilvl w:val="0"/>
          <w:numId w:val="1287"/>
        </w:numPr>
        <w:pStyle w:val="Compact"/>
      </w:pPr>
      <w:r>
        <w:rPr>
          <w:bCs/>
          <w:b/>
        </w:rPr>
        <w:t xml:space="preserve">Molti studi piccoli, pochi grandi.</w:t>
      </w:r>
      <w:r>
        <w:t xml:space="preserve"> </w:t>
      </w:r>
      <w:r>
        <w:t xml:space="preserve">Tipici sono 20–150 partecipanti per 4–24 settimane. Endpoint concreti come fratture ossee, infarti o protesi articolari non sono mai stati studiati.</w:t>
      </w:r>
    </w:p>
    <w:p>
      <w:pPr>
        <w:numPr>
          <w:ilvl w:val="0"/>
          <w:numId w:val="1287"/>
        </w:numPr>
        <w:pStyle w:val="Compact"/>
      </w:pPr>
      <w:r>
        <w:rPr>
          <w:bCs/>
          <w:b/>
        </w:rPr>
        <w:t xml:space="preserve">Finanziamento da parte dei produttori.</w:t>
      </w:r>
      <w:r>
        <w:t xml:space="preserve"> </w:t>
      </w:r>
      <w:r>
        <w:t xml:space="preserve">Gran parte degli studi è stata pagata da produttori di materie prime o di prodotti. Per il collagene una meta-analisi mostra che il beneficio per la pelle scompare se si considerano solo gli studi finanziati in modo indipendente</w:t>
      </w:r>
      <w:r>
        <w:rPr>
          <w:rStyle w:val="FootnoteReference"/>
        </w:rPr>
        <w:footnoteReference w:id="2315"/>
      </w:r>
      <w:r>
        <w:t xml:space="preserve">.</w:t>
      </w:r>
    </w:p>
    <w:p>
      <w:pPr>
        <w:numPr>
          <w:ilvl w:val="0"/>
          <w:numId w:val="1287"/>
        </w:numPr>
        <w:pStyle w:val="Compact"/>
      </w:pPr>
      <w:r>
        <w:rPr>
          <w:bCs/>
          <w:b/>
        </w:rPr>
        <w:t xml:space="preserve">Il problema del sito d’azione.</w:t>
      </w:r>
      <w:r>
        <w:t xml:space="preserve"> </w:t>
      </w:r>
      <w:r>
        <w:t xml:space="preserve">Un peptide deve arrivare là dove dovrebbe agire. I peptidi ingeriti vengono in gran parte digeriti; i peptidi nelle creme attraversano la barriera cutanea solo in misura ridotta. Per ogni capitolo è quindi centrale la questione se il meccanismo dimostrato in laboratorio entri davvero in gioco nel corpo.</w:t>
      </w:r>
    </w:p>
    <w:p>
      <w:pPr>
        <w:numPr>
          <w:ilvl w:val="0"/>
          <w:numId w:val="1287"/>
        </w:numPr>
        <w:pStyle w:val="Compact"/>
      </w:pPr>
      <w:r>
        <w:rPr>
          <w:bCs/>
          <w:b/>
        </w:rPr>
        <w:t xml:space="preserve">Prodotti combinati.</w:t>
      </w:r>
      <w:r>
        <w:t xml:space="preserve"> </w:t>
      </w:r>
      <w:r>
        <w:t xml:space="preserve">Molti prodotti contengono più principi attivi. Un risultato positivo di uno studio non può allora essere attribuito al singolo peptide.</w:t>
      </w:r>
    </w:p>
    <w:bookmarkEnd w:id="2316"/>
    <w:bookmarkStart w:id="2317" w:name="X643e2ec42786c340e06ff85a58892ac5ab3a150"/>
    <w:p>
      <w:pPr>
        <w:pStyle w:val="Heading3"/>
      </w:pPr>
      <w:r>
        <w:t xml:space="preserve">Alimenti, cosmetici, farmaci – tre mondi giuridici</w:t>
      </w:r>
    </w:p>
    <w:p>
      <w:pPr>
        <w:pStyle w:val="FirstParagraph"/>
      </w:pPr>
      <w:r>
        <w:t xml:space="preserve">Se una sostanza sia considerata alimento, cosmetico o farmaco non lo decide la sua chimica, ma la sua destinazione d’uso e la sua presentazione. La Parte I spiega dettagliatamente il quadro giuridico; per questo gruppo sono importanti tre punti:</w:t>
      </w:r>
    </w:p>
    <w:p>
      <w:pPr>
        <w:numPr>
          <w:ilvl w:val="0"/>
          <w:numId w:val="1288"/>
        </w:numPr>
        <w:pStyle w:val="Compact"/>
      </w:pPr>
      <w:r>
        <w:rPr>
          <w:bCs/>
          <w:b/>
        </w:rPr>
        <w:t xml:space="preserve">Alimenti e integratori alimentari</w:t>
      </w:r>
      <w:r>
        <w:t xml:space="preserve"> </w:t>
      </w:r>
      <w:r>
        <w:t xml:space="preserve">(peptidi di collagene, lattotripeptidi, carnosina) nell’UE non necessitano di approvazione né di prova di efficacia. In compenso è rigorosamente regolato che cosa possono vantare nella pubblicità. Secondo il regolamento sulle indicazioni sulla salute (Regolamento (CE) n. 1924/2006) le indicazioni sulla salute sono consentite solo se valutate dall’Autorità europea per la sicurezza alimentare (EFSA) e autorizzate dalla Commissione europea.</w:t>
      </w:r>
      <w:r>
        <w:t xml:space="preserve"> </w:t>
      </w:r>
      <w:r>
        <w:rPr>
          <w:bCs/>
          <w:b/>
        </w:rPr>
        <w:t xml:space="preserve">Per collagene, peptidi di collagene, lattotripeptidi e carnosina non esiste un solo health claim autorizzato.</w:t>
      </w:r>
      <w:r>
        <w:t xml:space="preserve"> </w:t>
      </w:r>
      <w:r>
        <w:t xml:space="preserve">L’EFSA ha valutato negativamente le indicazioni richieste – per esempio sulle articolazioni per il collagene o sulla pressione arteriosa per i lattotripeptidi. Se una confezione di collagene fa comunque pubblicità per pelle od ossa, l’affermazione giuridicamente ammessa si riferisce di regola alla vitamina C aggiunta, per la quale è autorizzata l’indicazione «contribuisce alla normale formazione del collagene».</w:t>
      </w:r>
    </w:p>
    <w:p>
      <w:pPr>
        <w:numPr>
          <w:ilvl w:val="0"/>
          <w:numId w:val="1288"/>
        </w:numPr>
        <w:pStyle w:val="Compact"/>
      </w:pPr>
      <w:r>
        <w:rPr>
          <w:bCs/>
          <w:b/>
        </w:rPr>
        <w:t xml:space="preserve">I cosmetici</w:t>
      </w:r>
      <w:r>
        <w:t xml:space="preserve"> </w:t>
      </w:r>
      <w:r>
        <w:t xml:space="preserve">(GHK-Cu, Matrixyl, Argireline) sono soggetti al regolamento UE sui prodotti cosmetici (Regolamento (CE) n. 1223/2009). Possono essere usati solo esternamente, devono essere sicuri e non possono rivendicare un effetto farmacologico. Le affermazioni pubblicitarie devono essere dimostrabili, ma non esiste una verifica dell’efficacia da parte delle autorità prima della vendita.</w:t>
      </w:r>
    </w:p>
    <w:p>
      <w:pPr>
        <w:numPr>
          <w:ilvl w:val="0"/>
          <w:numId w:val="1288"/>
        </w:numPr>
        <w:pStyle w:val="Compact"/>
      </w:pPr>
      <w:r>
        <w:rPr>
          <w:bCs/>
          <w:b/>
        </w:rPr>
        <w:t xml:space="preserve">I farmaci</w:t>
      </w:r>
      <w:r>
        <w:t xml:space="preserve"> </w:t>
      </w:r>
      <w:r>
        <w:t xml:space="preserve">devono dimostrare la loro efficacia e sicurezza in studi ed essere approvati. Se un peptide cosmetico viene iniettato – come accade sul mercato grigio con GHK-Cu e Argireline –, esce dal mondo della cosmetica: diventa un farmaco non approvato, senza che esistano studi o controlli di qualità.</w:t>
      </w:r>
    </w:p>
    <w:p>
      <w:pPr>
        <w:pStyle w:val="FirstParagraph"/>
      </w:pPr>
      <w:r>
        <w:t xml:space="preserve">Negli Stati Uniti valgono principi simili; lì però gli integratori alimentari possono fare pubblicità con generiche «affermazioni su struttura e funzione», purché riportino un’avvertenza che la FDA non le ha verificate.</w:t>
      </w:r>
    </w:p>
    <w:bookmarkEnd w:id="2317"/>
    <w:bookmarkStart w:id="2318" w:name="panoramica-4"/>
    <w:p>
      <w:pPr>
        <w:pStyle w:val="Heading3"/>
      </w:pPr>
      <w:r>
        <w:t xml:space="preserve">Panoramica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Peptide</w:t>
            </w:r>
          </w:p>
        </w:tc>
        <w:tc>
          <w:tcPr/>
          <w:p>
            <w:pPr>
              <w:pStyle w:val="Compact"/>
              <w:jc w:val="left"/>
            </w:pPr>
            <w:r>
              <w:t xml:space="preserve">Evidenza</w:t>
            </w:r>
          </w:p>
        </w:tc>
        <w:tc>
          <w:tcPr/>
          <w:p>
            <w:pPr>
              <w:pStyle w:val="Compact"/>
              <w:jc w:val="left"/>
            </w:pPr>
            <w:r>
              <w:t xml:space="preserve">Approvazione</w:t>
            </w:r>
          </w:p>
        </w:tc>
        <w:tc>
          <w:tcPr/>
          <w:p>
            <w:pPr>
              <w:pStyle w:val="Compact"/>
              <w:jc w:val="left"/>
            </w:pPr>
            <w:r>
              <w:t xml:space="preserve">In breve</w:t>
            </w:r>
          </w:p>
        </w:tc>
      </w:tr>
      <w:tr>
        <w:tc>
          <w:tcPr/>
          <w:p>
            <w:pPr>
              <w:pStyle w:val="Compact"/>
              <w:jc w:val="left"/>
            </w:pPr>
            <w:r>
              <w:t xml:space="preserve">Peptidi di collagene</w:t>
            </w:r>
          </w:p>
        </w:tc>
        <w:tc>
          <w:tcPr/>
          <w:p>
            <w:pPr>
              <w:pStyle w:val="Compact"/>
              <w:jc w:val="left"/>
            </w:pPr>
            <w:r>
              <w:t xml:space="preserve">B</w:t>
            </w:r>
          </w:p>
        </w:tc>
        <w:tc>
          <w:tcPr/>
          <w:p>
            <w:pPr>
              <w:pStyle w:val="Compact"/>
              <w:jc w:val="left"/>
            </w:pPr>
            <w:r>
              <w:t xml:space="preserve">Alimento, nessun health claim</w:t>
            </w:r>
          </w:p>
        </w:tc>
        <w:tc>
          <w:tcPr/>
          <w:p>
            <w:pPr>
              <w:pStyle w:val="Compact"/>
              <w:jc w:val="left"/>
            </w:pPr>
            <w:r>
              <w:t xml:space="preserve">Piccoli effetti sul dolore articolare; beneficio per la pelle non dimostrato negli studi indipendenti</w:t>
            </w:r>
          </w:p>
        </w:tc>
      </w:tr>
      <w:tr>
        <w:tc>
          <w:tcPr/>
          <w:p>
            <w:pPr>
              <w:pStyle w:val="Compact"/>
              <w:jc w:val="left"/>
            </w:pPr>
            <w:r>
              <w:t xml:space="preserve">Lattotripeptidi (VPP/IPP)</w:t>
            </w:r>
          </w:p>
        </w:tc>
        <w:tc>
          <w:tcPr/>
          <w:p>
            <w:pPr>
              <w:pStyle w:val="Compact"/>
              <w:jc w:val="left"/>
            </w:pPr>
            <w:r>
              <w:t xml:space="preserve">B</w:t>
            </w:r>
          </w:p>
        </w:tc>
        <w:tc>
          <w:tcPr/>
          <w:p>
            <w:pPr>
              <w:pStyle w:val="Compact"/>
              <w:jc w:val="left"/>
            </w:pPr>
            <w:r>
              <w:t xml:space="preserve">Alimento, claim sulla pressione respinto</w:t>
            </w:r>
          </w:p>
        </w:tc>
        <w:tc>
          <w:tcPr/>
          <w:p>
            <w:pPr>
              <w:pStyle w:val="Compact"/>
              <w:jc w:val="left"/>
            </w:pPr>
            <w:r>
              <w:t xml:space="preserve">Riduzione della pressione di circa 1–4 mmHg, in Europa appena rilevabile</w:t>
            </w:r>
          </w:p>
        </w:tc>
      </w:tr>
      <w:tr>
        <w:tc>
          <w:tcPr/>
          <w:p>
            <w:pPr>
              <w:pStyle w:val="Compact"/>
              <w:jc w:val="left"/>
            </w:pPr>
            <w:r>
              <w:t xml:space="preserve">Carnosina</w:t>
            </w:r>
          </w:p>
        </w:tc>
        <w:tc>
          <w:tcPr/>
          <w:p>
            <w:pPr>
              <w:pStyle w:val="Compact"/>
              <w:jc w:val="left"/>
            </w:pPr>
            <w:r>
              <w:t xml:space="preserve">B</w:t>
            </w:r>
          </w:p>
        </w:tc>
        <w:tc>
          <w:tcPr/>
          <w:p>
            <w:pPr>
              <w:pStyle w:val="Compact"/>
              <w:jc w:val="left"/>
            </w:pPr>
            <w:r>
              <w:t xml:space="preserve">Integratore, nessun health claim</w:t>
            </w:r>
          </w:p>
        </w:tc>
        <w:tc>
          <w:tcPr/>
          <w:p>
            <w:pPr>
              <w:pStyle w:val="Compact"/>
              <w:jc w:val="left"/>
            </w:pPr>
            <w:r>
              <w:t xml:space="preserve">Indizi sulla glicemia; nello sport è meglio documentato il precursore beta-alanina</w:t>
            </w:r>
          </w:p>
        </w:tc>
      </w:tr>
      <w:tr>
        <w:tc>
          <w:tcPr/>
          <w:p>
            <w:pPr>
              <w:pStyle w:val="Compact"/>
              <w:jc w:val="left"/>
            </w:pPr>
            <w:r>
              <w:t xml:space="preserve">GHK-Cu</w:t>
            </w:r>
          </w:p>
        </w:tc>
        <w:tc>
          <w:tcPr/>
          <w:p>
            <w:pPr>
              <w:pStyle w:val="Compact"/>
              <w:jc w:val="left"/>
            </w:pPr>
            <w:r>
              <w:t xml:space="preserve">C</w:t>
            </w:r>
          </w:p>
        </w:tc>
        <w:tc>
          <w:tcPr/>
          <w:p>
            <w:pPr>
              <w:pStyle w:val="Compact"/>
              <w:jc w:val="left"/>
            </w:pPr>
            <w:r>
              <w:t xml:space="preserve">Cosmetico; iniezione non approvata</w:t>
            </w:r>
          </w:p>
        </w:tc>
        <w:tc>
          <w:tcPr/>
          <w:p>
            <w:pPr>
              <w:pStyle w:val="Compact"/>
              <w:jc w:val="left"/>
            </w:pPr>
            <w:r>
              <w:t xml:space="preserve">Un vecchio studio sulle ferite; pochissimi dati sulla pelle; iniezione non verificata</w:t>
            </w:r>
          </w:p>
        </w:tc>
      </w:tr>
      <w:tr>
        <w:tc>
          <w:tcPr/>
          <w:p>
            <w:pPr>
              <w:pStyle w:val="Compact"/>
              <w:jc w:val="left"/>
            </w:pPr>
            <w:r>
              <w:t xml:space="preserve">Palmitoil pentapeptide-4 (Matrixyl)</w:t>
            </w:r>
          </w:p>
        </w:tc>
        <w:tc>
          <w:tcPr/>
          <w:p>
            <w:pPr>
              <w:pStyle w:val="Compact"/>
              <w:jc w:val="left"/>
            </w:pPr>
            <w:r>
              <w:t xml:space="preserve">B</w:t>
            </w:r>
          </w:p>
        </w:tc>
        <w:tc>
          <w:tcPr/>
          <w:p>
            <w:pPr>
              <w:pStyle w:val="Compact"/>
              <w:jc w:val="left"/>
            </w:pPr>
            <w:r>
              <w:t xml:space="preserve">Cosmetico</w:t>
            </w:r>
          </w:p>
        </w:tc>
        <w:tc>
          <w:tcPr/>
          <w:p>
            <w:pPr>
              <w:pStyle w:val="Compact"/>
              <w:jc w:val="left"/>
            </w:pPr>
            <w:r>
              <w:t xml:space="preserve">Uno studio a metà viso del 2005; permeabilità cutanea non chiara</w:t>
            </w:r>
          </w:p>
        </w:tc>
      </w:tr>
      <w:tr>
        <w:tc>
          <w:tcPr/>
          <w:p>
            <w:pPr>
              <w:pStyle w:val="Compact"/>
              <w:jc w:val="left"/>
            </w:pPr>
            <w:r>
              <w:t xml:space="preserve">Acetil esapeptide-8 (Argireline)</w:t>
            </w:r>
          </w:p>
        </w:tc>
        <w:tc>
          <w:tcPr/>
          <w:p>
            <w:pPr>
              <w:pStyle w:val="Compact"/>
              <w:jc w:val="left"/>
            </w:pPr>
            <w:r>
              <w:t xml:space="preserve">B</w:t>
            </w:r>
          </w:p>
        </w:tc>
        <w:tc>
          <w:tcPr/>
          <w:p>
            <w:pPr>
              <w:pStyle w:val="Compact"/>
              <w:jc w:val="left"/>
            </w:pPr>
            <w:r>
              <w:t xml:space="preserve">Cosmetico</w:t>
            </w:r>
          </w:p>
        </w:tc>
        <w:tc>
          <w:tcPr/>
          <w:p>
            <w:pPr>
              <w:pStyle w:val="Compact"/>
              <w:jc w:val="left"/>
            </w:pPr>
            <w:r>
              <w:t xml:space="preserve">«Botox in tubetto» non dimostrato; penetra appena nella pelle</w:t>
            </w:r>
          </w:p>
        </w:tc>
      </w:tr>
    </w:tbl>
    <w:p>
      <w:pPr>
        <w:pStyle w:val="BodyText"/>
      </w:pPr>
      <w:r>
        <w:t xml:space="preserve">In questo gruppo il livello B non significa espressamente che un effetto sia certo, ma solo che esistono studi randomizzati.</w:t>
      </w:r>
    </w:p>
    <w:bookmarkEnd w:id="2318"/>
    <w:bookmarkStart w:id="2319" w:name="nota-di-lettura-1"/>
    <w:p>
      <w:pPr>
        <w:pStyle w:val="Heading3"/>
      </w:pPr>
      <w:r>
        <w:t xml:space="preserve">Nota di lettura</w:t>
      </w:r>
    </w:p>
    <w:p>
      <w:pPr>
        <w:pStyle w:val="FirstParagraph"/>
      </w:pPr>
      <w:r>
        <w:t xml:space="preserve">Il capitolo sui</w:t>
      </w:r>
      <w:r>
        <w:t xml:space="preserve"> </w:t>
      </w:r>
      <w:r>
        <w:rPr>
          <w:bCs/>
          <w:b/>
        </w:rPr>
        <w:t xml:space="preserve">peptidi di collagene</w:t>
      </w:r>
      <w:r>
        <w:t xml:space="preserve"> </w:t>
      </w:r>
      <w:r>
        <w:t xml:space="preserve">è il più dettagliato, perché su di essi esistono più studi e perché permettono di mostrare bene come interagiscono meta-analisi, finanziamento dei produttori ed effetto placebo. Chi legge un solo capitolo di questo gruppo dovrebbe scegliere questo. Il capitolo sui</w:t>
      </w:r>
      <w:r>
        <w:t xml:space="preserve"> </w:t>
      </w:r>
      <w:r>
        <w:rPr>
          <w:bCs/>
          <w:b/>
        </w:rPr>
        <w:t xml:space="preserve">lattotripeptidi</w:t>
      </w:r>
      <w:r>
        <w:t xml:space="preserve"> </w:t>
      </w:r>
      <w:r>
        <w:t xml:space="preserve">è una lezione su come un meccanismo di laboratorio convincente possa ridimensionarsi in studi più ampi. I tre</w:t>
      </w:r>
      <w:r>
        <w:t xml:space="preserve"> </w:t>
      </w:r>
      <w:r>
        <w:rPr>
          <w:bCs/>
          <w:b/>
        </w:rPr>
        <w:t xml:space="preserve">peptidi cosmetici</w:t>
      </w:r>
      <w:r>
        <w:t xml:space="preserve"> </w:t>
      </w:r>
      <w:r>
        <w:t xml:space="preserve">sono più brevi; condividono la stessa domanda centrale – se un principio attivo contenuto in una crema arrivi davvero là dove dovrebbe agire. I rischi delle iniezioni del mercato grigio sono trattati in dettaglio nella Parte IV.</w:t>
      </w:r>
    </w:p>
    <w:bookmarkEnd w:id="2319"/>
    <w:bookmarkStart w:id="2371" w:name="X452cd4f30a8122fe666a39355bde4399fabb477"/>
    <w:p>
      <w:pPr>
        <w:pStyle w:val="Heading2"/>
      </w:pPr>
      <w:r>
        <w:t xml:space="preserve">Peptidi di collagene (collagene idrolizzato)</w:t>
      </w:r>
    </w:p>
    <w:bookmarkStart w:id="2320" w:name="scheda-52"/>
    <w:p>
      <w:pPr>
        <w:pStyle w:val="Heading3"/>
      </w:pPr>
      <w:r>
        <w:t xml:space="preserve">Scheda</w:t>
      </w:r>
    </w:p>
    <w:p>
      <w:pPr>
        <w:numPr>
          <w:ilvl w:val="0"/>
          <w:numId w:val="1289"/>
        </w:numPr>
        <w:pStyle w:val="Compact"/>
      </w:pPr>
      <w:r>
        <w:rPr>
          <w:bCs/>
          <w:b/>
        </w:rPr>
        <w:t xml:space="preserve">Tipo/struttura:</w:t>
      </w:r>
      <w:r>
        <w:t xml:space="preserve"> </w:t>
      </w:r>
      <w:r>
        <w:t xml:space="preserve">miscela di peptidi di lunghezza diversa, ottenuta mediante scissione enzimatica (idrolisi) del collagene o della gelatina. I prodotti tipici contengono frammenti con una massa molecolare media di circa 2.000–5.000 dalton. Caratteristici sono gli aminoacidi glicina, prolina e idrossiprolina; manca l’aminoacido essenziale triptofano.</w:t>
      </w:r>
    </w:p>
    <w:p>
      <w:pPr>
        <w:numPr>
          <w:ilvl w:val="0"/>
          <w:numId w:val="1289"/>
        </w:numPr>
        <w:pStyle w:val="Compact"/>
      </w:pPr>
      <w:r>
        <w:rPr>
          <w:bCs/>
          <w:b/>
        </w:rPr>
        <w:t xml:space="preserve">Origine:</w:t>
      </w:r>
      <w:r>
        <w:t xml:space="preserve"> </w:t>
      </w:r>
      <w:r>
        <w:t xml:space="preserve">pelle, ossa o squame di bovino, suino, pollo e pesce – sottoprodotti della lavorazione di carne e pesce. Molti studi usano materie prime di marchi protetti (per es. Verisol, Fortigel, Bodybalance, Tendoforte), che provengono da pochi produttori.</w:t>
      </w:r>
    </w:p>
    <w:p>
      <w:pPr>
        <w:numPr>
          <w:ilvl w:val="0"/>
          <w:numId w:val="1289"/>
        </w:numPr>
        <w:pStyle w:val="Compact"/>
      </w:pPr>
      <w:r>
        <w:rPr>
          <w:bCs/>
          <w:b/>
        </w:rPr>
        <w:t xml:space="preserve">Principio d’azione:</w:t>
      </w:r>
      <w:r>
        <w:t xml:space="preserve"> </w:t>
      </w:r>
      <w:r>
        <w:t xml:space="preserve">fornitura di elementi costitutivi per il tessuto connettivo dell’organismo; si discute inoltre che determinati piccoli peptidi (soprattutto prolil-idrossiprolina) agiscano come segnali sulle cellule del tessuto connettivo.</w:t>
      </w:r>
    </w:p>
    <w:p>
      <w:pPr>
        <w:numPr>
          <w:ilvl w:val="0"/>
          <w:numId w:val="1289"/>
        </w:numPr>
        <w:pStyle w:val="Compact"/>
      </w:pPr>
      <w:r>
        <w:rPr>
          <w:bCs/>
          <w:b/>
        </w:rPr>
        <w:t xml:space="preserve">Distinzione:</w:t>
      </w:r>
      <w:r>
        <w:t xml:space="preserve"> </w:t>
      </w:r>
      <w:r>
        <w:t xml:space="preserve">il collagene di tipo II</w:t>
      </w:r>
      <w:r>
        <w:t xml:space="preserve"> </w:t>
      </w:r>
      <w:r>
        <w:rPr>
          <w:iCs/>
          <w:i/>
        </w:rPr>
        <w:t xml:space="preserve">non denaturato</w:t>
      </w:r>
      <w:r>
        <w:t xml:space="preserve"> </w:t>
      </w:r>
      <w:r>
        <w:t xml:space="preserve">(per es. UC-II) è un prodotto diverso con un diverso principio d’azione e viene discusso separatamente più avanti.</w:t>
      </w:r>
    </w:p>
    <w:p>
      <w:pPr>
        <w:numPr>
          <w:ilvl w:val="0"/>
          <w:numId w:val="1289"/>
        </w:numPr>
        <w:pStyle w:val="Compact"/>
      </w:pPr>
      <w:r>
        <w:rPr>
          <w:bCs/>
          <w:b/>
        </w:rPr>
        <w:t xml:space="preserve">Approvazione UE:</w:t>
      </w:r>
      <w:r>
        <w:t xml:space="preserve"> </w:t>
      </w:r>
      <w:r>
        <w:t xml:space="preserve">nessuna autorizzazione come farmaco; commerciabile come alimento o integratore alimentare. Per il collagene stesso</w:t>
      </w:r>
      <w:r>
        <w:t xml:space="preserve"> </w:t>
      </w:r>
      <w:r>
        <w:rPr>
          <w:bCs/>
          <w:b/>
        </w:rPr>
        <w:t xml:space="preserve">non esiste</w:t>
      </w:r>
      <w:r>
        <w:t xml:space="preserve"> </w:t>
      </w:r>
      <w:r>
        <w:t xml:space="preserve">alcuna indicazione sulla salute autorizzata (health claim).</w:t>
      </w:r>
    </w:p>
    <w:p>
      <w:pPr>
        <w:numPr>
          <w:ilvl w:val="0"/>
          <w:numId w:val="1289"/>
        </w:numPr>
        <w:pStyle w:val="Compact"/>
      </w:pPr>
      <w:r>
        <w:rPr>
          <w:bCs/>
          <w:b/>
        </w:rPr>
        <w:t xml:space="preserve">Approvazione USA:</w:t>
      </w:r>
      <w:r>
        <w:t xml:space="preserve"> </w:t>
      </w:r>
      <w:r>
        <w:t xml:space="preserve">nessuna autorizzazione come farmaco; in commercio come integratore alimentare (dietary supplement).</w:t>
      </w:r>
    </w:p>
    <w:p>
      <w:pPr>
        <w:numPr>
          <w:ilvl w:val="0"/>
          <w:numId w:val="1289"/>
        </w:numPr>
        <w:pStyle w:val="Compact"/>
      </w:pPr>
      <w:r>
        <w:rPr>
          <w:bCs/>
          <w:b/>
        </w:rPr>
        <w:t xml:space="preserve">WADA:</w:t>
      </w:r>
      <w:r>
        <w:t xml:space="preserve"> </w:t>
      </w:r>
      <w:r>
        <w:t xml:space="preserve">non elencato.</w:t>
      </w:r>
    </w:p>
    <w:p>
      <w:pPr>
        <w:numPr>
          <w:ilvl w:val="0"/>
          <w:numId w:val="1289"/>
        </w:numPr>
        <w:pStyle w:val="Compact"/>
      </w:pPr>
      <w:r>
        <w:rPr>
          <w:bCs/>
          <w:b/>
        </w:rPr>
        <w:t xml:space="preserve">Livello di evidenza:</w:t>
      </w:r>
      <w:r>
        <w:t xml:space="preserve"> </w:t>
      </w:r>
      <w:r>
        <w:rPr>
          <w:bCs/>
          <w:b/>
        </w:rPr>
        <w:t xml:space="preserve">B</w:t>
      </w:r>
      <w:r>
        <w:t xml:space="preserve"> </w:t>
      </w:r>
      <w:r>
        <w:t xml:space="preserve">– numerosi studi randomizzati controllati con placebo, che però sono per lo più piccoli, brevi e finanziati dai produttori.</w:t>
      </w:r>
    </w:p>
    <w:bookmarkEnd w:id="2320"/>
    <w:bookmarkStart w:id="2325" w:name="come-dovrebbe-agire-52"/>
    <w:p>
      <w:pPr>
        <w:pStyle w:val="Heading3"/>
      </w:pPr>
      <w:r>
        <w:t xml:space="preserve">Come dovrebbe agire</w:t>
      </w:r>
    </w:p>
    <w:p>
      <w:pPr>
        <w:pStyle w:val="FirstParagraph"/>
      </w:pPr>
      <w:r>
        <w:t xml:space="preserve">Il collagene è la proteina più abbondante del corpo umano. Forma l’impalcatura di pelle, tendini, legamenti, cartilagine e ossa. La sua unità di base è una tripla elica di tre catene proteiche, in cui uno schema si ripete continuamente: glicina, poi un aminoacido qualsiasi, poi spesso prolina o idrossiprolina. Con l’età la produzione di collagene nella pelle diminuisce e la rete di collagene diventa più fragile – visibile come rughe e perdita di tono.</w:t>
      </w:r>
    </w:p>
    <w:p>
      <w:pPr>
        <w:pStyle w:val="BodyText"/>
      </w:pPr>
      <w:r>
        <w:t xml:space="preserve">La pubblicità suggerisce spesso una logica semplice: chi mangia collagene costruisce collagene. Ma la digestione non funziona così. Le proteine vengono scomposte nello stomaco e nell’intestino tenue in gran parte in singoli aminoacidi e peptidi piccolissimi; da questi il corpo ricostruisce le proprie proteine secondo il proprio fabbisogno. Il collagene alimentare quindi non viene «incorporato» come collagene nella pelle.</w:t>
      </w:r>
    </w:p>
    <w:p>
      <w:pPr>
        <w:pStyle w:val="BodyText"/>
      </w:pPr>
      <w:r>
        <w:t xml:space="preserve">Esistono però due ipotesi da prendere sul serio sul perché i peptidi di collagene potrebbero comunque avere un effetto:</w:t>
      </w:r>
    </w:p>
    <w:p>
      <w:pPr>
        <w:numPr>
          <w:ilvl w:val="0"/>
          <w:numId w:val="1290"/>
        </w:numPr>
        <w:pStyle w:val="Compact"/>
      </w:pPr>
      <w:r>
        <w:rPr>
          <w:bCs/>
          <w:b/>
        </w:rPr>
        <w:t xml:space="preserve">Peptidi segnale.</w:t>
      </w:r>
      <w:r>
        <w:t xml:space="preserve"> </w:t>
      </w:r>
      <w:r>
        <w:t xml:space="preserve">I dipeptidi e tripeptidi contenenti idrossiprolina sono insolitamente stabili nei confronti degli enzimi digestivi. Dopo aver bevuto idrolizzato di gelatina, nei volontari la concentrazione di idrossiprolina legata a peptidi nel sangue è aumentata nettamente, raggiungendo un massimo dopo una-due ore; il componente principale era il dipeptide prolil-idrossiprolina</w:t>
      </w:r>
      <w:r>
        <w:rPr>
          <w:rStyle w:val="FootnoteReference"/>
        </w:rPr>
        <w:footnoteReference w:id="2321"/>
      </w:r>
      <w:r>
        <w:t xml:space="preserve">. Qualcosa di simile è emerso per un preparato con un’elevata quota di tripeptidi</w:t>
      </w:r>
      <w:r>
        <w:rPr>
          <w:rStyle w:val="FootnoteReference"/>
        </w:rPr>
        <w:footnoteReference w:id="2322"/>
      </w:r>
      <w:r>
        <w:t xml:space="preserve">. In esperimenti su colture cellulari e sugli animali questi peptidi stimolano le cellule del tessuto connettivo (fibroblasti) a crescere e a produrre componenti della matrice. Se le quantità raggiunte nel sangue nell’uomo bastino a provocare un effetto misurabile nella pelle o nella cartilagine non è dimostrato con certezza.</w:t>
      </w:r>
    </w:p>
    <w:p>
      <w:pPr>
        <w:numPr>
          <w:ilvl w:val="0"/>
          <w:numId w:val="1290"/>
        </w:numPr>
        <w:pStyle w:val="Compact"/>
      </w:pPr>
      <w:r>
        <w:rPr>
          <w:bCs/>
          <w:b/>
        </w:rPr>
        <w:t xml:space="preserve">Fornitura di materiale costruttivo.</w:t>
      </w:r>
      <w:r>
        <w:t xml:space="preserve"> </w:t>
      </w:r>
      <w:r>
        <w:t xml:space="preserve">I peptidi di collagene forniscono grandi quantità di glicina, prolina e idrossiprolina. In un piccolo studio con otto uomini il marcatore ematico della neoformazione di collagene è raddoppiato quando avevano assunto 15 g di gelatina arricchita di vitamina C un’ora prima di un breve esercizio di salti</w:t>
      </w:r>
      <w:r>
        <w:rPr>
          <w:rStyle w:val="FootnoteReference"/>
        </w:rPr>
        <w:footnoteReference w:id="2323"/>
      </w:r>
      <w:r>
        <w:t xml:space="preserve">. Questo sostiene l’idea di combinare temporalmente i peptidi di collagene con lo sforzo fisico, ma si tratta di un valore misurato nel sangue, non della prova di tendini più forti.</w:t>
      </w:r>
    </w:p>
    <w:p>
      <w:pPr>
        <w:pStyle w:val="FirstParagraph"/>
      </w:pPr>
      <w:r>
        <w:t xml:space="preserve">Importante per l’inquadramento: il collagene è una fonte proteica incompleta. Poiché gli manca il triptofano, una miscela di peptidi a base di gelatina viene persino usata nella ricerca in modo mirato per abbassare temporaneamente il livello di triptofano nel sangue</w:t>
      </w:r>
      <w:r>
        <w:rPr>
          <w:rStyle w:val="FootnoteReference"/>
        </w:rPr>
        <w:footnoteReference w:id="2324"/>
      </w:r>
      <w:r>
        <w:t xml:space="preserve">. Per la costruzione muscolare il collagene è quindi inferiore ad altre proteine – maggiori dettagli più avanti.</w:t>
      </w:r>
    </w:p>
    <w:bookmarkEnd w:id="2325"/>
    <w:bookmarkStart w:id="2353" w:name="studi-sulluomo-52"/>
    <w:p>
      <w:pPr>
        <w:pStyle w:val="Heading3"/>
      </w:pPr>
      <w:r>
        <w:t xml:space="preserve">Studi sull’uomo</w:t>
      </w:r>
    </w:p>
    <w:p>
      <w:pPr>
        <w:pStyle w:val="FirstParagraph"/>
      </w:pPr>
      <w:r>
        <w:t xml:space="preserve">I dati disponibili sono numerosi, ma disomogenei. La ricerca in PubMed valutata per questo libro (collagene idrolizzato o peptidi di collagene in combinazione con assunzione o supplementazione, data della ricerca ottobre 2026) ha restituito 101 studi sull’uomo. Su ClinicalTrials.gov la ricerca «collagen peptides» ha trovato 237 voci di registro; una parte considerevole riguarda però altri temi (per esempio impianti di collagene in odontoiatria o il farmaco antitumorale endostatina, un frammento di collagene). A questi si aggiungono almeno una dozzina di meta-analisi.</w:t>
      </w:r>
    </w:p>
    <w:p>
      <w:pPr>
        <w:pStyle w:val="BodyText"/>
      </w:pPr>
      <w:r>
        <w:t xml:space="preserve">Tre caratteristiche contraddistinguono quasi tutti gli studi e andrebbero tenute presenti durante la lettura:</w:t>
      </w:r>
    </w:p>
    <w:p>
      <w:pPr>
        <w:numPr>
          <w:ilvl w:val="0"/>
          <w:numId w:val="1291"/>
        </w:numPr>
        <w:pStyle w:val="Compact"/>
      </w:pPr>
      <w:r>
        <w:rPr>
          <w:bCs/>
          <w:b/>
        </w:rPr>
        <w:t xml:space="preserve">Campioni piccoli e durata breve:</w:t>
      </w:r>
      <w:r>
        <w:t xml:space="preserve"> </w:t>
      </w:r>
      <w:r>
        <w:t xml:space="preserve">per lo più 40–150 partecipanti per 8–24 settimane.</w:t>
      </w:r>
    </w:p>
    <w:p>
      <w:pPr>
        <w:numPr>
          <w:ilvl w:val="0"/>
          <w:numId w:val="1291"/>
        </w:numPr>
        <w:pStyle w:val="Compact"/>
      </w:pPr>
      <w:r>
        <w:rPr>
          <w:bCs/>
          <w:b/>
        </w:rPr>
        <w:t xml:space="preserve">Finanziamento da parte dei produttori:</w:t>
      </w:r>
      <w:r>
        <w:t xml:space="preserve"> </w:t>
      </w:r>
      <w:r>
        <w:t xml:space="preserve">gran parte degli studi è stata pagata dai produttori delle materie prime o dei prodotti, oppure è stata scritta insieme a loro dipendenti. Spesso vengono testate miscele di peptidi con marchio protetto.</w:t>
      </w:r>
    </w:p>
    <w:p>
      <w:pPr>
        <w:numPr>
          <w:ilvl w:val="0"/>
          <w:numId w:val="1291"/>
        </w:numPr>
        <w:pStyle w:val="Compact"/>
      </w:pPr>
      <w:r>
        <w:rPr>
          <w:bCs/>
          <w:b/>
        </w:rPr>
        <w:t xml:space="preserve">Prodotti combinati:</w:t>
      </w:r>
      <w:r>
        <w:t xml:space="preserve"> </w:t>
      </w:r>
      <w:r>
        <w:t xml:space="preserve">molte «bevande al collagene» contengono in più vitamina C, zinco, biotina, acido ialuronico o estratti vegetali. Un risultato positivo non può allora essere attribuito al solo collagene.</w:t>
      </w:r>
    </w:p>
    <w:bookmarkStart w:id="2328" w:name="pelle-idratazione-elasticità-rughe"/>
    <w:p>
      <w:pPr>
        <w:pStyle w:val="Heading4"/>
      </w:pPr>
      <w:r>
        <w:t xml:space="preserve">Pelle: idratazione, elasticità, rughe</w:t>
      </w:r>
    </w:p>
    <w:p>
      <w:pPr>
        <w:pStyle w:val="FirstParagraph"/>
      </w:pPr>
      <w:r>
        <w:t xml:space="preserve">Gli studi sulla pelle sono i più numerosi. Le misurazioni avvengono per lo più con strumenti: corneometro (idratazione dello strato corneo), cutometro (elasticità), calchi cutanei o fotocamere 3D (profondità delle rughe), ecografia (densità del derma).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Proksch 2014a, PMID 23949208</w:t>
            </w:r>
          </w:p>
        </w:tc>
        <w:tc>
          <w:tcPr/>
          <w:p>
            <w:pPr>
              <w:pStyle w:val="Compact"/>
              <w:jc w:val="left"/>
            </w:pPr>
            <w:r>
              <w:t xml:space="preserve">69 donne (35–55 anni), 2,5 g o 5 g vs. placebo</w:t>
            </w:r>
          </w:p>
        </w:tc>
        <w:tc>
          <w:tcPr/>
          <w:p>
            <w:pPr>
              <w:pStyle w:val="Compact"/>
              <w:jc w:val="left"/>
            </w:pPr>
            <w:r>
              <w:t xml:space="preserve">8 settimane</w:t>
            </w:r>
          </w:p>
        </w:tc>
        <w:tc>
          <w:tcPr/>
          <w:p>
            <w:pPr>
              <w:pStyle w:val="Compact"/>
              <w:jc w:val="left"/>
            </w:pPr>
            <w:r>
              <w:t xml:space="preserve">Elasticità significativamente migliore del placebo in entrambi i gruppi di dose; idratazione non significativa</w:t>
            </w:r>
          </w:p>
        </w:tc>
      </w:tr>
      <w:tr>
        <w:tc>
          <w:tcPr/>
          <w:p>
            <w:pPr>
              <w:pStyle w:val="Compact"/>
              <w:jc w:val="left"/>
            </w:pPr>
            <w:r>
              <w:t xml:space="preserve">Proksch 2014b, PMID 24401291</w:t>
            </w:r>
          </w:p>
        </w:tc>
        <w:tc>
          <w:tcPr/>
          <w:p>
            <w:pPr>
              <w:pStyle w:val="Compact"/>
              <w:jc w:val="left"/>
            </w:pPr>
            <w:r>
              <w:t xml:space="preserve">114 donne (45–65 anni), 2,5 g di Verisol vs. placebo</w:t>
            </w:r>
          </w:p>
        </w:tc>
        <w:tc>
          <w:tcPr/>
          <w:p>
            <w:pPr>
              <w:pStyle w:val="Compact"/>
              <w:jc w:val="left"/>
            </w:pPr>
            <w:r>
              <w:t xml:space="preserve">8 settimane</w:t>
            </w:r>
          </w:p>
        </w:tc>
        <w:tc>
          <w:tcPr/>
          <w:p>
            <w:pPr>
              <w:pStyle w:val="Compact"/>
              <w:jc w:val="left"/>
            </w:pPr>
            <w:r>
              <w:t xml:space="preserve">Volume delle rughe perioculari −20% vs. placebo; procollagene I nei campioni cutanei +65%</w:t>
            </w:r>
          </w:p>
        </w:tc>
      </w:tr>
      <w:tr>
        <w:tc>
          <w:tcPr/>
          <w:p>
            <w:pPr>
              <w:pStyle w:val="Compact"/>
              <w:jc w:val="left"/>
            </w:pPr>
            <w:r>
              <w:t xml:space="preserve">Kim 2018, PMID 29949889</w:t>
            </w:r>
          </w:p>
        </w:tc>
        <w:tc>
          <w:tcPr/>
          <w:p>
            <w:pPr>
              <w:pStyle w:val="Compact"/>
              <w:jc w:val="left"/>
            </w:pPr>
            <w:r>
              <w:t xml:space="preserve">64 persone, 1 g di peptide a basso peso molecolare vs. placebo</w:t>
            </w:r>
          </w:p>
        </w:tc>
        <w:tc>
          <w:tcPr/>
          <w:p>
            <w:pPr>
              <w:pStyle w:val="Compact"/>
              <w:jc w:val="left"/>
            </w:pPr>
            <w:r>
              <w:t xml:space="preserve">12 settimane</w:t>
            </w:r>
          </w:p>
        </w:tc>
        <w:tc>
          <w:tcPr/>
          <w:p>
            <w:pPr>
              <w:pStyle w:val="Compact"/>
              <w:jc w:val="left"/>
            </w:pPr>
            <w:r>
              <w:t xml:space="preserve">Idratazione e tre parametri delle rughe migliori del placebo; elasticità in parte</w:t>
            </w:r>
          </w:p>
        </w:tc>
      </w:tr>
      <w:tr>
        <w:tc>
          <w:tcPr/>
          <w:p>
            <w:pPr>
              <w:pStyle w:val="Compact"/>
              <w:jc w:val="left"/>
            </w:pPr>
            <w:r>
              <w:t xml:space="preserve">Bolke 2019, PMID 31627309</w:t>
            </w:r>
          </w:p>
        </w:tc>
        <w:tc>
          <w:tcPr/>
          <w:p>
            <w:pPr>
              <w:pStyle w:val="Compact"/>
              <w:jc w:val="left"/>
            </w:pPr>
            <w:r>
              <w:t xml:space="preserve">72 donne dai 35 anni, fiala da bere con 2,5 g di peptidi più vitamine, zinco, acerola vs. placebo</w:t>
            </w:r>
          </w:p>
        </w:tc>
        <w:tc>
          <w:tcPr/>
          <w:p>
            <w:pPr>
              <w:pStyle w:val="Compact"/>
              <w:jc w:val="left"/>
            </w:pPr>
            <w:r>
              <w:t xml:space="preserve">12 settimane</w:t>
            </w:r>
          </w:p>
        </w:tc>
        <w:tc>
          <w:tcPr/>
          <w:p>
            <w:pPr>
              <w:pStyle w:val="Compact"/>
              <w:jc w:val="left"/>
            </w:pPr>
            <w:r>
              <w:t xml:space="preserve">Idratazione, elasticità, ruvidità e densità migliori del placebo (prodotto combinato)</w:t>
            </w:r>
          </w:p>
        </w:tc>
      </w:tr>
      <w:tr>
        <w:tc>
          <w:tcPr/>
          <w:p>
            <w:pPr>
              <w:pStyle w:val="Compact"/>
              <w:jc w:val="left"/>
            </w:pPr>
            <w:r>
              <w:t xml:space="preserve">Kim 2022, PMID 36516059</w:t>
            </w:r>
          </w:p>
        </w:tc>
        <w:tc>
          <w:tcPr/>
          <w:p>
            <w:pPr>
              <w:pStyle w:val="Compact"/>
              <w:jc w:val="left"/>
            </w:pPr>
            <w:r>
              <w:t xml:space="preserve">100 persone, peptidi a basso peso molecolare vs. placebo</w:t>
            </w:r>
          </w:p>
        </w:tc>
        <w:tc>
          <w:tcPr/>
          <w:p>
            <w:pPr>
              <w:pStyle w:val="Compact"/>
              <w:jc w:val="left"/>
            </w:pPr>
            <w:r>
              <w:t xml:space="preserve">12 settimane</w:t>
            </w:r>
          </w:p>
        </w:tc>
        <w:tc>
          <w:tcPr/>
          <w:p>
            <w:pPr>
              <w:pStyle w:val="Compact"/>
              <w:jc w:val="left"/>
            </w:pPr>
            <w:r>
              <w:t xml:space="preserve">Zampe di gallina, ruvidità, elasticità, idratazione migliori del placebo (analisi di 84 persone)</w:t>
            </w:r>
          </w:p>
        </w:tc>
      </w:tr>
      <w:tr>
        <w:tc>
          <w:tcPr/>
          <w:p>
            <w:pPr>
              <w:pStyle w:val="Compact"/>
              <w:jc w:val="left"/>
            </w:pPr>
            <w:r>
              <w:t xml:space="preserve">Vleminckx 2024, PMID 39143887</w:t>
            </w:r>
          </w:p>
        </w:tc>
        <w:tc>
          <w:tcPr/>
          <w:p>
            <w:pPr>
              <w:pStyle w:val="Compact"/>
              <w:jc w:val="left"/>
            </w:pPr>
            <w:r>
              <w:t xml:space="preserve">85 donne dell’Asia orientale (43–65 anni), 5 g vs. maltodestrina</w:t>
            </w:r>
          </w:p>
        </w:tc>
        <w:tc>
          <w:tcPr/>
          <w:p>
            <w:pPr>
              <w:pStyle w:val="Compact"/>
              <w:jc w:val="left"/>
            </w:pPr>
            <w:r>
              <w:t xml:space="preserve">12 settimane</w:t>
            </w:r>
          </w:p>
        </w:tc>
        <w:tc>
          <w:tcPr/>
          <w:p>
            <w:pPr>
              <w:pStyle w:val="Compact"/>
              <w:jc w:val="left"/>
            </w:pPr>
            <w:r>
              <w:t xml:space="preserve">Densità cutanea e idratazione dopo 84 giorni migliori del placebo</w:t>
            </w:r>
          </w:p>
        </w:tc>
      </w:tr>
    </w:tbl>
    <w:p>
      <w:pPr>
        <w:pStyle w:val="BodyText"/>
      </w:pPr>
      <w:r>
        <w:t xml:space="preserve">Singoli studi hanno esaminato anche la cellulite (105 donne, sei mesi; miglioramento soprattutto nelle donne normopeso, Schunck 2015, PMID 26561784) e le unghie fragili. Lo studio sulle unghie era però in aperto e senza gruppo di controllo: 25 partecipanti, crescita delle unghie +12%, unghie spezzate −42%</w:t>
      </w:r>
      <w:r>
        <w:rPr>
          <w:rStyle w:val="FootnoteReference"/>
        </w:rPr>
        <w:footnoteReference w:id="2326"/>
      </w:r>
      <w:r>
        <w:t xml:space="preserve">. Senza un gruppo di confronto qui non si può escludere un effetto placebo.</w:t>
      </w:r>
    </w:p>
    <w:p>
      <w:pPr>
        <w:pStyle w:val="BodyText"/>
      </w:pPr>
      <w:r>
        <w:t xml:space="preserve">In pazienti con ulcere da pressione (decubito) è stato testato, in aggiunta al trattamento standard, un collagene idrolizzato con un’elevata quota di prolil-idrossiprolina. Su 120 partecipanti la guarigione delle ferite dopo 16 settimane era migliore in questo gruppo che con il placebo</w:t>
      </w:r>
      <w:r>
        <w:rPr>
          <w:rStyle w:val="FootnoteReference"/>
        </w:rPr>
        <w:footnoteReference w:id="2327"/>
      </w:r>
      <w:r>
        <w:t xml:space="preserve">. Un piccolo studio del 2026 nella dermatite atopica moderata ha riportato un minor consumo di crema al cortisone con 5 g di peptidi di collagene (0,94 g contro 5,60 g; Proksch 2026, PMID 41758763); gli autori stessi chiedono studi di conferma più ampi.</w:t>
      </w:r>
    </w:p>
    <w:bookmarkEnd w:id="2328"/>
    <w:bookmarkStart w:id="2333" w:name="Xda0348087de9b10f7a844a2f098a0b047c9ce8e"/>
    <w:p>
      <w:pPr>
        <w:pStyle w:val="Heading4"/>
      </w:pPr>
      <w:r>
        <w:t xml:space="preserve">Le meta-analisi sulla pelle – e la questione del finanziamento</w:t>
      </w:r>
    </w:p>
    <w:p>
      <w:pPr>
        <w:pStyle w:val="FirstParagraph"/>
      </w:pPr>
      <w:r>
        <w:t xml:space="preserve">Se si riassumono gli studi sulla pelle, a prima vista il quadro è chiaro:</w:t>
      </w:r>
    </w:p>
    <w:p>
      <w:pPr>
        <w:numPr>
          <w:ilvl w:val="0"/>
          <w:numId w:val="1292"/>
        </w:numPr>
        <w:pStyle w:val="Compact"/>
      </w:pPr>
      <w:r>
        <w:t xml:space="preserve">19 studi con 1.125 partecipanti: effetto favorevole su idratazione, elasticità e rughe</w:t>
      </w:r>
      <w:r>
        <w:rPr>
          <w:rStyle w:val="FootnoteReference"/>
        </w:rPr>
        <w:footnoteReference w:id="2329"/>
      </w:r>
      <w:r>
        <w:t xml:space="preserve">.</w:t>
      </w:r>
    </w:p>
    <w:p>
      <w:pPr>
        <w:numPr>
          <w:ilvl w:val="0"/>
          <w:numId w:val="1292"/>
        </w:numPr>
        <w:pStyle w:val="Compact"/>
      </w:pPr>
      <w:r>
        <w:t xml:space="preserve">26 studi con 1.721 partecipanti: miglioramento significativo di idratazione ed elasticità; gli autori segnalano però diverse fonti di distorsione e chiedono studi ampi</w:t>
      </w:r>
      <w:r>
        <w:rPr>
          <w:rStyle w:val="FootnoteReference"/>
        </w:rPr>
        <w:footnoteReference w:id="2330"/>
      </w:r>
      <w:r>
        <w:t xml:space="preserve">.</w:t>
      </w:r>
    </w:p>
    <w:p>
      <w:pPr>
        <w:numPr>
          <w:ilvl w:val="0"/>
          <w:numId w:val="1292"/>
        </w:numPr>
        <w:pStyle w:val="Compact"/>
      </w:pPr>
      <w:r>
        <w:t xml:space="preserve">10 studi con 646 partecipanti: idratazione ed elasticità migliorate, con eterogeneità media e rischio di distorsione per lo più non chiaro</w:t>
      </w:r>
      <w:r>
        <w:rPr>
          <w:rStyle w:val="FootnoteReference"/>
        </w:rPr>
        <w:footnoteReference w:id="2331"/>
      </w:r>
      <w:r>
        <w:t xml:space="preserve">.</w:t>
      </w:r>
    </w:p>
    <w:p>
      <w:pPr>
        <w:pStyle w:val="FirstParagraph"/>
      </w:pPr>
      <w:r>
        <w:t xml:space="preserve">Una meta-analisi del 2025 ha fatto un passo in più, separando gli studi per finanziatore e qualità. Sull’insieme dei 23 studi con 1.474 partecipanti è emerso di nuovo un vantaggio. Considerando però solo gli studi</w:t>
      </w:r>
      <w:r>
        <w:t xml:space="preserve"> </w:t>
      </w:r>
      <w:r>
        <w:rPr>
          <w:iCs/>
          <w:i/>
        </w:rPr>
        <w:t xml:space="preserve">senza</w:t>
      </w:r>
      <w:r>
        <w:t xml:space="preserve"> </w:t>
      </w:r>
      <w:r>
        <w:t xml:space="preserve">finanziamento dell’industria, l’effetto su idratazione, elasticità e rughe scompariva. Anche gli studi metodologicamente di alta qualità non mostravano in nessuna categoria un effetto significativo; solo negli studi di bassa qualità si trovava un miglioramento dell’elasticità. Gli autori concludono che al momento non esistono prove cliniche a sostegno dell’impiego di preparati di collagene per prevenire o trattare l’invecchiamento cutaneo</w:t>
      </w:r>
      <w:r>
        <w:rPr>
          <w:rStyle w:val="FootnoteReference"/>
        </w:rPr>
        <w:footnoteReference w:id="2332"/>
      </w:r>
      <w:r>
        <w:t xml:space="preserve">.</w:t>
      </w:r>
    </w:p>
    <w:p>
      <w:pPr>
        <w:pStyle w:val="BodyText"/>
      </w:pPr>
      <w:r>
        <w:t xml:space="preserve">Questo risultato non è un giudizio definitivo – il numero di studi indipendenti è piccolo, e l’assenza di significatività statistica non significa automaticamente che non ci sia un effetto. Mostra però quanto il bilancio complessivo positivo dipenda da studi finanziati dagli stessi fornitori. Per i lettori ciò significa: l’affermazione «clinicamente dimostrato» su una confezione di collagene si basa di regola su studi del proprio fornitore di materie prime.</w:t>
      </w:r>
    </w:p>
    <w:bookmarkEnd w:id="2333"/>
    <w:bookmarkStart w:id="2339" w:name="articolazioni-e-artrosi"/>
    <w:p>
      <w:pPr>
        <w:pStyle w:val="Heading4"/>
      </w:pPr>
      <w:r>
        <w:t xml:space="preserve">Articolazioni e artrosi</w:t>
      </w:r>
    </w:p>
    <w:p>
      <w:pPr>
        <w:pStyle w:val="FirstParagraph"/>
      </w:pPr>
      <w:r>
        <w:t xml:space="preserve">Il secondo grande gruppo di studi riguarda il dolore articolare – sia nell’artrosi sia nelle persone sportivamente attive senza diagnosi.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Clark 2008, PMID 18416885</w:t>
            </w:r>
          </w:p>
        </w:tc>
        <w:tc>
          <w:tcPr/>
          <w:p>
            <w:pPr>
              <w:pStyle w:val="Compact"/>
              <w:jc w:val="left"/>
            </w:pPr>
            <w:r>
              <w:t xml:space="preserve">147 atleti con dolori articolari da sforzo, 10 g vs. placebo</w:t>
            </w:r>
          </w:p>
        </w:tc>
        <w:tc>
          <w:tcPr/>
          <w:p>
            <w:pPr>
              <w:pStyle w:val="Compact"/>
              <w:jc w:val="left"/>
            </w:pPr>
            <w:r>
              <w:t xml:space="preserve">24 settimane</w:t>
            </w:r>
          </w:p>
        </w:tc>
        <w:tc>
          <w:tcPr/>
          <w:p>
            <w:pPr>
              <w:pStyle w:val="Compact"/>
              <w:jc w:val="left"/>
            </w:pPr>
            <w:r>
              <w:t xml:space="preserve">Diversi valori del dolore migliori del placebo; solo 97 su 147 valutabili</w:t>
            </w:r>
          </w:p>
        </w:tc>
      </w:tr>
      <w:tr>
        <w:tc>
          <w:tcPr/>
          <w:p>
            <w:pPr>
              <w:pStyle w:val="Compact"/>
              <w:jc w:val="left"/>
            </w:pPr>
            <w:r>
              <w:t xml:space="preserve">Bruyère 2012, PMID 22500661</w:t>
            </w:r>
          </w:p>
        </w:tc>
        <w:tc>
          <w:tcPr/>
          <w:p>
            <w:pPr>
              <w:pStyle w:val="Compact"/>
              <w:jc w:val="left"/>
            </w:pPr>
            <w:r>
              <w:t xml:space="preserve">200 persone dai 50 anni con dolori articolari, 1,2 g vs. placebo</w:t>
            </w:r>
          </w:p>
        </w:tc>
        <w:tc>
          <w:tcPr/>
          <w:p>
            <w:pPr>
              <w:pStyle w:val="Compact"/>
              <w:jc w:val="left"/>
            </w:pPr>
            <w:r>
              <w:t xml:space="preserve">6 mesi</w:t>
            </w:r>
          </w:p>
        </w:tc>
        <w:tc>
          <w:tcPr/>
          <w:p>
            <w:pPr>
              <w:pStyle w:val="Compact"/>
              <w:jc w:val="left"/>
            </w:pPr>
            <w:r>
              <w:t xml:space="preserve">Tasso di risposta 51,6% vs. 36,5% dopo 6 mesi; dopo 3 mesi nessuna differenza</w:t>
            </w:r>
          </w:p>
        </w:tc>
      </w:tr>
      <w:tr>
        <w:tc>
          <w:tcPr/>
          <w:p>
            <w:pPr>
              <w:pStyle w:val="Compact"/>
              <w:jc w:val="left"/>
            </w:pPr>
            <w:r>
              <w:t xml:space="preserve">Kumar 2015, PMID 24852756</w:t>
            </w:r>
          </w:p>
        </w:tc>
        <w:tc>
          <w:tcPr/>
          <w:p>
            <w:pPr>
              <w:pStyle w:val="Compact"/>
              <w:jc w:val="left"/>
            </w:pPr>
            <w:r>
              <w:t xml:space="preserve">artrosi del ginocchio, peptidi da pelle suina o ossa bovine vs. placebo</w:t>
            </w:r>
          </w:p>
        </w:tc>
        <w:tc>
          <w:tcPr/>
          <w:p>
            <w:pPr>
              <w:pStyle w:val="Compact"/>
              <w:jc w:val="left"/>
            </w:pPr>
            <w:r>
              <w:t xml:space="preserve">13 settimane</w:t>
            </w:r>
          </w:p>
        </w:tc>
        <w:tc>
          <w:tcPr/>
          <w:p>
            <w:pPr>
              <w:pStyle w:val="Compact"/>
              <w:jc w:val="left"/>
            </w:pPr>
            <w:r>
              <w:t xml:space="preserve">Valori WOMAC, del dolore e della qualità della vita migliori del placebo</w:t>
            </w:r>
          </w:p>
        </w:tc>
      </w:tr>
      <w:tr>
        <w:tc>
          <w:tcPr/>
          <w:p>
            <w:pPr>
              <w:pStyle w:val="Compact"/>
              <w:jc w:val="left"/>
            </w:pPr>
            <w:r>
              <w:t xml:space="preserve">Zdzieblik 2017, PMID 28177710</w:t>
            </w:r>
          </w:p>
        </w:tc>
        <w:tc>
          <w:tcPr/>
          <w:p>
            <w:pPr>
              <w:pStyle w:val="Compact"/>
              <w:jc w:val="left"/>
            </w:pPr>
            <w:r>
              <w:t xml:space="preserve">139 sportivi con disturbi al ginocchio, 5 g vs. placebo</w:t>
            </w:r>
          </w:p>
        </w:tc>
        <w:tc>
          <w:tcPr/>
          <w:p>
            <w:pPr>
              <w:pStyle w:val="Compact"/>
              <w:jc w:val="left"/>
            </w:pPr>
            <w:r>
              <w:t xml:space="preserve">12 settimane</w:t>
            </w:r>
          </w:p>
        </w:tc>
        <w:tc>
          <w:tcPr/>
          <w:p>
            <w:pPr>
              <w:pStyle w:val="Compact"/>
              <w:jc w:val="left"/>
            </w:pPr>
            <w:r>
              <w:t xml:space="preserve">Dolore da sforzo migliore del placebo (p = 0,046); dolore a riposo no</w:t>
            </w:r>
          </w:p>
        </w:tc>
      </w:tr>
      <w:tr>
        <w:tc>
          <w:tcPr/>
          <w:p>
            <w:pPr>
              <w:pStyle w:val="Compact"/>
              <w:jc w:val="left"/>
            </w:pPr>
            <w:r>
              <w:t xml:space="preserve">Bongers 2020, PMID 31990581</w:t>
            </w:r>
          </w:p>
        </w:tc>
        <w:tc>
          <w:tcPr/>
          <w:p>
            <w:pPr>
              <w:pStyle w:val="Compact"/>
              <w:jc w:val="left"/>
            </w:pPr>
            <w:r>
              <w:t xml:space="preserve">167 persone attive (mediana 63 anni) con dolore al ginocchio, 10 g vs. placebo</w:t>
            </w:r>
          </w:p>
        </w:tc>
        <w:tc>
          <w:tcPr/>
          <w:p>
            <w:pPr>
              <w:pStyle w:val="Compact"/>
              <w:jc w:val="left"/>
            </w:pPr>
            <w:r>
              <w:t xml:space="preserve">12 settimane</w:t>
            </w:r>
          </w:p>
        </w:tc>
        <w:tc>
          <w:tcPr/>
          <w:p>
            <w:pPr>
              <w:pStyle w:val="Compact"/>
              <w:jc w:val="left"/>
            </w:pPr>
            <w:r>
              <w:t xml:space="preserve">Nessuna differenza: il dolore è diminuito in egual misura in entrambi i gruppi</w:t>
            </w:r>
          </w:p>
        </w:tc>
      </w:tr>
    </w:tbl>
    <w:p>
      <w:pPr>
        <w:pStyle w:val="BodyText"/>
      </w:pPr>
      <w:r>
        <w:t xml:space="preserve">Lo studio di Bongers è notevole perché è tra i più grandi e riporta un risultato chiaramente negativo: dolore e funzione del ginocchio sono migliorati – ma con il placebo esattamente come con il collagene. Questo illustra quanto sia grande l’effetto placebo nel dolore articolare.</w:t>
      </w:r>
    </w:p>
    <w:p>
      <w:pPr>
        <w:pStyle w:val="BodyText"/>
      </w:pPr>
      <w:r>
        <w:t xml:space="preserve">Le meta-analisi giungono comunque per lo più a un risultato favorevole:</w:t>
      </w:r>
    </w:p>
    <w:p>
      <w:pPr>
        <w:numPr>
          <w:ilvl w:val="0"/>
          <w:numId w:val="1293"/>
        </w:numPr>
        <w:pStyle w:val="Compact"/>
      </w:pPr>
      <w:r>
        <w:t xml:space="preserve">Una meta-analisi di studi randomizzati controllati con placebo ha trovato una riduzione significativa del punteggio WOMAC totale (un questionario per l’artrosi) e del punteggio del dolore sulla scala visuoanalogica; le sottoscale dolore e limitazione funzionale del WOMAC non differivano però in modo significativo</w:t>
      </w:r>
      <w:r>
        <w:rPr>
          <w:rStyle w:val="FootnoteReference"/>
        </w:rPr>
        <w:footnoteReference w:id="2334"/>
      </w:r>
      <w:r>
        <w:t xml:space="preserve">.</w:t>
      </w:r>
    </w:p>
    <w:p>
      <w:pPr>
        <w:numPr>
          <w:ilvl w:val="0"/>
          <w:numId w:val="1293"/>
        </w:numPr>
        <w:pStyle w:val="Compact"/>
      </w:pPr>
      <w:r>
        <w:t xml:space="preserve">L’analisi finora più ampia ha incluso 35 studi con 3.165 pazienti con artrosi. I derivati del collagene – qui il collagene idrolizzato e quello non denaturato sono considerati insieme – hanno avuto effetti da piccoli a moderati su dolore (differenza media standardizzata −0,35) e funzione (−0,31). Effetti collaterali e interruzioni dello studio non erano più frequenti che nel controllo</w:t>
      </w:r>
      <w:r>
        <w:rPr>
          <w:rStyle w:val="FootnoteReference"/>
        </w:rPr>
        <w:footnoteReference w:id="2335"/>
      </w:r>
      <w:r>
        <w:t xml:space="preserve">.</w:t>
      </w:r>
    </w:p>
    <w:p>
      <w:pPr>
        <w:numPr>
          <w:ilvl w:val="0"/>
          <w:numId w:val="1293"/>
        </w:numPr>
        <w:pStyle w:val="Compact"/>
      </w:pPr>
      <w:r>
        <w:t xml:space="preserve">Un’analisi di soli quattro studi con 507 pazienti con artrosi del ginocchio ha trovato anch’essa un sollievo dal dolore, ma ha classificato tutti e quattro gli studi come ad alto rischio di distorsione</w:t>
      </w:r>
      <w:r>
        <w:rPr>
          <w:rStyle w:val="FootnoteReference"/>
        </w:rPr>
        <w:footnoteReference w:id="2336"/>
      </w:r>
      <w:r>
        <w:t xml:space="preserve">.</w:t>
      </w:r>
    </w:p>
    <w:p>
      <w:pPr>
        <w:numPr>
          <w:ilvl w:val="0"/>
          <w:numId w:val="1293"/>
        </w:numPr>
        <w:pStyle w:val="Compact"/>
      </w:pPr>
      <w:r>
        <w:t xml:space="preserve">Una meta-analisi aggiornata con 11 studi e 870 partecipanti ha riportato miglioramenti di funzione e dolore, però con un’eterogeneità molto elevata (I² 75 e 88%)</w:t>
      </w:r>
      <w:r>
        <w:rPr>
          <w:rStyle w:val="FootnoteReference"/>
        </w:rPr>
        <w:footnoteReference w:id="2337"/>
      </w:r>
      <w:r>
        <w:t xml:space="preserve">.</w:t>
      </w:r>
    </w:p>
    <w:p>
      <w:pPr>
        <w:pStyle w:val="FirstParagraph"/>
      </w:pPr>
      <w:r>
        <w:t xml:space="preserve">Per inquadrare: una differenza media standardizzata di circa 0,3 è considerata un effetto piccolo. È di un ordine di grandezza simile a quello di alcuni altri integratori alimentari per l’artrosi ed è nettamente inferiore all’effetto che ci si aspetta da un antidolorifico. Un’ampia rassegna sugli integratori alimentari nell’artrosi ha trovato per il collagene idrolizzato grandi effetti a breve termine sul dolore, ma nel complesso ha concluso che la qualità delle prove è molto bassa e che nessun preparato ha mostrato effetti clinicamente rilevanti a lungo termine</w:t>
      </w:r>
      <w:r>
        <w:rPr>
          <w:rStyle w:val="FootnoteReference"/>
        </w:rPr>
        <w:footnoteReference w:id="2338"/>
      </w:r>
      <w:r>
        <w:t xml:space="preserve">.</w:t>
      </w:r>
    </w:p>
    <w:bookmarkEnd w:id="2339"/>
    <w:bookmarkStart w:id="2342" w:name="Xeafc5bff1e4c403bf96fc7ce3a72b8ab7ee3c0a"/>
    <w:p>
      <w:pPr>
        <w:pStyle w:val="Heading4"/>
      </w:pPr>
      <w:r>
        <w:t xml:space="preserve">Distinzione: collagene di tipo II non denaturato (UC-II)</w:t>
      </w:r>
    </w:p>
    <w:p>
      <w:pPr>
        <w:pStyle w:val="FirstParagraph"/>
      </w:pPr>
      <w:r>
        <w:t xml:space="preserve">Il collagene di tipo II non denaturato viene ricavato con delicatezza dalla cartilagine dello sterno di pollo, in modo che la struttura originaria del collagene si conservi in parte. Viene assunto in quantità molto piccole – negli studi 40 milligrammi al giorno, cioè circa da un centesimo a un duecentocinquantesimo delle quantità in grammi del collagene idrolizzato. Non dovrebbe agire come materiale costruttivo, ma attraverso la cosiddetta tolleranza orale: il sistema immunitario dell’intestino dovrebbe imparare a non trattare il collagene della cartilagine come bersaglio. Questa idea deriva da modelli animali di artrite.</w:t>
      </w:r>
    </w:p>
    <w:p>
      <w:pPr>
        <w:pStyle w:val="BodyText"/>
      </w:pPr>
      <w:r>
        <w:t xml:space="preserve">Storicamente il principio fu testato per la prima volta nell’artrite reumatoide. Un piccolo studio con 60 pazienti riportò nel 1993 una diminuzione delle articolazioni gonfie e dolenti alla pressione</w:t>
      </w:r>
      <w:r>
        <w:rPr>
          <w:rStyle w:val="FootnoteReference"/>
        </w:rPr>
        <w:footnoteReference w:id="2340"/>
      </w:r>
      <w:r>
        <w:t xml:space="preserve">. Uno studio più ampio con 274 partecipanti e quattro dosaggi trovò in seguito un vantaggio significativo solo con la dose più bassa e solo secondo uno dei tre criteri di valutazione</w:t>
      </w:r>
      <w:r>
        <w:rPr>
          <w:rStyle w:val="FootnoteReference"/>
        </w:rPr>
        <w:footnoteReference w:id="2341"/>
      </w:r>
      <w:r>
        <w:t xml:space="preserve">. Come terapia reumatologica l’approccio non si è affermato.</w:t>
      </w:r>
    </w:p>
    <w:p>
      <w:pPr>
        <w:pStyle w:val="BodyText"/>
      </w:pPr>
      <w:r>
        <w:t xml:space="preserve">Per l’artrosi e i disturbi articolari esistono soprattutto studi vicini ai produttori: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Lugo 2016, PMID 26822714</w:t>
            </w:r>
          </w:p>
        </w:tc>
        <w:tc>
          <w:tcPr/>
          <w:p>
            <w:pPr>
              <w:pStyle w:val="Compact"/>
              <w:jc w:val="left"/>
            </w:pPr>
            <w:r>
              <w:t xml:space="preserve">191 persone con artrosi del ginocchio, UC-II vs. glucosamina/condroitina vs. placebo</w:t>
            </w:r>
          </w:p>
        </w:tc>
        <w:tc>
          <w:tcPr/>
          <w:p>
            <w:pPr>
              <w:pStyle w:val="Compact"/>
              <w:jc w:val="left"/>
            </w:pPr>
            <w:r>
              <w:t xml:space="preserve">180 giorni</w:t>
            </w:r>
          </w:p>
        </w:tc>
        <w:tc>
          <w:tcPr/>
          <w:p>
            <w:pPr>
              <w:pStyle w:val="Compact"/>
              <w:jc w:val="left"/>
            </w:pPr>
            <w:r>
              <w:t xml:space="preserve">Punteggio WOMAC totale migliore del placebo (p = 0,002) e di glucosamina/condroitina (p = 0,04)</w:t>
            </w:r>
          </w:p>
        </w:tc>
      </w:tr>
      <w:tr>
        <w:tc>
          <w:tcPr/>
          <w:p>
            <w:pPr>
              <w:pStyle w:val="Compact"/>
              <w:jc w:val="left"/>
            </w:pPr>
            <w:r>
              <w:t xml:space="preserve">Lugo 2013, PMID 24153020</w:t>
            </w:r>
          </w:p>
        </w:tc>
        <w:tc>
          <w:tcPr/>
          <w:p>
            <w:pPr>
              <w:pStyle w:val="Compact"/>
              <w:jc w:val="left"/>
            </w:pPr>
            <w:r>
              <w:t xml:space="preserve">55 persone sane con dolore al ginocchio da sforzo, UC-II vs. placebo</w:t>
            </w:r>
          </w:p>
        </w:tc>
        <w:tc>
          <w:tcPr/>
          <w:p>
            <w:pPr>
              <w:pStyle w:val="Compact"/>
              <w:jc w:val="left"/>
            </w:pPr>
            <w:r>
              <w:t xml:space="preserve">120 giorni</w:t>
            </w:r>
          </w:p>
        </w:tc>
        <w:tc>
          <w:tcPr/>
          <w:p>
            <w:pPr>
              <w:pStyle w:val="Compact"/>
              <w:jc w:val="left"/>
            </w:pPr>
            <w:r>
              <w:t xml:space="preserve">Estensione del ginocchio 81,0° vs. 74,0°; sforzo senza dolore più prolungato</w:t>
            </w:r>
          </w:p>
        </w:tc>
      </w:tr>
      <w:tr>
        <w:tc>
          <w:tcPr/>
          <w:p>
            <w:pPr>
              <w:pStyle w:val="Compact"/>
              <w:jc w:val="left"/>
            </w:pPr>
            <w:r>
              <w:t xml:space="preserve">Yuenyongviwat 2025, PMID 40897777</w:t>
            </w:r>
          </w:p>
        </w:tc>
        <w:tc>
          <w:tcPr/>
          <w:p>
            <w:pPr>
              <w:pStyle w:val="Compact"/>
              <w:jc w:val="left"/>
            </w:pPr>
            <w:r>
              <w:t xml:space="preserve">68 persone con artrosi del ginocchio, UC-II più collagene idrolizzato vs. placebo</w:t>
            </w:r>
          </w:p>
        </w:tc>
        <w:tc>
          <w:tcPr/>
          <w:p>
            <w:pPr>
              <w:pStyle w:val="Compact"/>
              <w:jc w:val="left"/>
            </w:pPr>
            <w:r>
              <w:t xml:space="preserve">12 settimane</w:t>
            </w:r>
          </w:p>
        </w:tc>
        <w:tc>
          <w:tcPr/>
          <w:p>
            <w:pPr>
              <w:pStyle w:val="Compact"/>
              <w:jc w:val="left"/>
            </w:pPr>
            <w:r>
              <w:t xml:space="preserve">Nessuna differenza in dolore, funzione, farmaci al bisogno</w:t>
            </w:r>
          </w:p>
        </w:tc>
      </w:tr>
    </w:tbl>
    <w:p>
      <w:pPr>
        <w:pStyle w:val="BodyText"/>
      </w:pPr>
      <w:r>
        <w:t xml:space="preserve">Lo studio più recente proviene da un gruppo di lavoro indipendente, che sottolinea espressamente come la maggior parte degli studi precedenti sul collagene sia stata finanziata dall’industria. Ha trovato – come Bongers 2020 – miglioramenti in entrambi i gruppi, ma nessun vantaggio rispetto al placebo (Yuenyongviwat 2025, PMID 40897777, registrato come NCT06229951).</w:t>
      </w:r>
    </w:p>
    <w:p>
      <w:pPr>
        <w:pStyle w:val="BodyText"/>
      </w:pPr>
      <w:r>
        <w:t xml:space="preserve">Importante per i consumatori: UC-II e collagene idrolizzato non sono intercambiabili. Chi legge studi su un prodotto non può dedurne nulla sull’altro.</w:t>
      </w:r>
    </w:p>
    <w:bookmarkEnd w:id="2342"/>
    <w:bookmarkStart w:id="2343" w:name="ossa"/>
    <w:p>
      <w:pPr>
        <w:pStyle w:val="Heading4"/>
      </w:pPr>
      <w:r>
        <w:t xml:space="preserve">Ossa</w:t>
      </w:r>
    </w:p>
    <w:p>
      <w:pPr>
        <w:pStyle w:val="FirstParagraph"/>
      </w:pPr>
      <w:r>
        <w:t xml:space="preserve">Per le ossa i dati sono scarsi, ma interessanti: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König 2018, PMID 29337906</w:t>
            </w:r>
          </w:p>
        </w:tc>
        <w:tc>
          <w:tcPr/>
          <w:p>
            <w:pPr>
              <w:pStyle w:val="Compact"/>
              <w:jc w:val="left"/>
            </w:pPr>
            <w:r>
              <w:t xml:space="preserve">131 donne in postmenopausa con densità ossea ridotta, 5 g vs. placebo</w:t>
            </w:r>
          </w:p>
        </w:tc>
        <w:tc>
          <w:tcPr/>
          <w:p>
            <w:pPr>
              <w:pStyle w:val="Compact"/>
              <w:jc w:val="left"/>
            </w:pPr>
            <w:r>
              <w:t xml:space="preserve">12 mesi</w:t>
            </w:r>
          </w:p>
        </w:tc>
        <w:tc>
          <w:tcPr/>
          <w:p>
            <w:pPr>
              <w:pStyle w:val="Compact"/>
              <w:jc w:val="left"/>
            </w:pPr>
            <w:r>
              <w:t xml:space="preserve">T-score colonna +0,1 vs. −0,03; collo del femore +0,09 vs. −0,01</w:t>
            </w:r>
          </w:p>
        </w:tc>
      </w:tr>
      <w:tr>
        <w:tc>
          <w:tcPr/>
          <w:p>
            <w:pPr>
              <w:pStyle w:val="Compact"/>
              <w:jc w:val="left"/>
            </w:pPr>
            <w:r>
              <w:t xml:space="preserve">Elam 2015, PMID 25314004</w:t>
            </w:r>
          </w:p>
        </w:tc>
        <w:tc>
          <w:tcPr/>
          <w:p>
            <w:pPr>
              <w:pStyle w:val="Compact"/>
              <w:jc w:val="left"/>
            </w:pPr>
            <w:r>
              <w:t xml:space="preserve">39 donne con osteopenia, chelato di calcio-collagene più vitamina D vs. calcio più vitamina D</w:t>
            </w:r>
          </w:p>
        </w:tc>
        <w:tc>
          <w:tcPr/>
          <w:p>
            <w:pPr>
              <w:pStyle w:val="Compact"/>
              <w:jc w:val="left"/>
            </w:pPr>
            <w:r>
              <w:t xml:space="preserve">12 mesi</w:t>
            </w:r>
          </w:p>
        </w:tc>
        <w:tc>
          <w:tcPr/>
          <w:p>
            <w:pPr>
              <w:pStyle w:val="Compact"/>
              <w:jc w:val="left"/>
            </w:pPr>
            <w:r>
              <w:t xml:space="preserve">Perdita di densità ossea total body −1,33% vs. −3,75% (partecipanti che hanno completato lo studio)</w:t>
            </w:r>
          </w:p>
        </w:tc>
      </w:tr>
      <w:tr>
        <w:tc>
          <w:tcPr/>
          <w:p>
            <w:pPr>
              <w:pStyle w:val="Compact"/>
              <w:jc w:val="left"/>
            </w:pPr>
            <w:r>
              <w:t xml:space="preserve">Lampropoulou-Adamidou 2022, PMID 34980546</w:t>
            </w:r>
          </w:p>
        </w:tc>
        <w:tc>
          <w:tcPr/>
          <w:p>
            <w:pPr>
              <w:pStyle w:val="Compact"/>
              <w:jc w:val="left"/>
            </w:pPr>
            <w:r>
              <w:t xml:space="preserve">51 donne con osteopenia, 5 g di peptidi più calcio/vitamina D vs. calcio/vitamina D</w:t>
            </w:r>
          </w:p>
        </w:tc>
        <w:tc>
          <w:tcPr/>
          <w:p>
            <w:pPr>
              <w:pStyle w:val="Compact"/>
              <w:jc w:val="left"/>
            </w:pPr>
            <w:r>
              <w:t xml:space="preserve">12 mesi</w:t>
            </w:r>
          </w:p>
        </w:tc>
        <w:tc>
          <w:tcPr/>
          <w:p>
            <w:pPr>
              <w:pStyle w:val="Compact"/>
              <w:jc w:val="left"/>
            </w:pPr>
            <w:r>
              <w:t xml:space="preserve">Densità ossea più alta a tibia e colonna lombare con il collagene</w:t>
            </w:r>
          </w:p>
        </w:tc>
      </w:tr>
    </w:tbl>
    <w:p>
      <w:pPr>
        <w:pStyle w:val="BodyText"/>
      </w:pPr>
      <w:r>
        <w:t xml:space="preserve">Le differenze sono piccole, gli studi brevi, e nessuno studio ha esaminato le fratture – l’endpoint davvero decisivo. I peptidi di collagene non sostituiscono una terapia per l’osteoporosi con riduzione delle fratture dimostrata.</w:t>
      </w:r>
    </w:p>
    <w:bookmarkEnd w:id="2343"/>
    <w:bookmarkStart w:id="2350" w:name="muscoli-e-tendini"/>
    <w:p>
      <w:pPr>
        <w:pStyle w:val="Heading4"/>
      </w:pPr>
      <w:r>
        <w:t xml:space="preserve">Muscoli e tendini</w:t>
      </w:r>
    </w:p>
    <w:p>
      <w:pPr>
        <w:pStyle w:val="FirstParagraph"/>
      </w:pPr>
      <w:r>
        <w:t xml:space="preserve">Nello sport i peptidi di collagene vengono pubblicizzati per due obiettivi diversi: costruzione muscolare e rafforzamento di tendini e legamenti.</w:t>
      </w:r>
    </w:p>
    <w:p>
      <w:pPr>
        <w:pStyle w:val="BodyText"/>
      </w:pPr>
      <w:r>
        <w:rPr>
          <w:bCs/>
          <w:b/>
        </w:rPr>
        <w:t xml:space="preserve">Costruzione muscolare.</w:t>
      </w:r>
      <w:r>
        <w:t xml:space="preserve"> </w:t>
      </w:r>
      <w:r>
        <w:t xml:space="preserve">Lo studio più citato ha esaminato 53 uomini anziani con sarcopenia (perdita muscolare legata all’età), che per dodici settimane hanno fatto allenamento di forza ricevendo 15 g di peptidi di collagene o placebo (biossido di silicio). La massa magra è aumentata di 4,2 kg con il collagene e di 2,9 kg con il placebo</w:t>
      </w:r>
      <w:r>
        <w:rPr>
          <w:rStyle w:val="FootnoteReference"/>
        </w:rPr>
        <w:footnoteReference w:id="2344"/>
      </w:r>
      <w:r>
        <w:t xml:space="preserve">. Il problema: il gruppo placebo non riceveva alcuna proteina. Il vantaggio potrebbe quindi dipendere semplicemente dall’apporto proteico aggiuntivo.</w:t>
      </w:r>
    </w:p>
    <w:p>
      <w:pPr>
        <w:pStyle w:val="BodyText"/>
      </w:pPr>
      <w:r>
        <w:t xml:space="preserve">È proprio a questa domanda che rispondono i confronti con proteine di alta qualità. In 22 donne anziane le proteine del siero di latte hanno aumentato la sintesi proteica muscolare sia a breve termine sia nell’arco di sei giorni, i peptidi di collagene no</w:t>
      </w:r>
      <w:r>
        <w:rPr>
          <w:rStyle w:val="FootnoteReference"/>
        </w:rPr>
        <w:footnoteReference w:id="2345"/>
      </w:r>
      <w:r>
        <w:t xml:space="preserve">. In giovani adulti lo spessore muscolare è aumentato di più dopo dieci settimane di allenamento di forza con proteine del siero di latte che con il collagene, anche quando il collagene era arricchito di leucina fino allo stesso contenuto</w:t>
      </w:r>
      <w:r>
        <w:rPr>
          <w:rStyle w:val="FootnoteReference"/>
        </w:rPr>
        <w:footnoteReference w:id="2346"/>
      </w:r>
      <w:r>
        <w:t xml:space="preserve">. Uno studio con 25 giovani uomini non ha trovato con 2 × 15 g di collagene al giorno una sintesi di proteine muscolari o del tessuto connettivo superiore a quella con il placebo</w:t>
      </w:r>
      <w:r>
        <w:rPr>
          <w:rStyle w:val="FootnoteReference"/>
        </w:rPr>
        <w:footnoteReference w:id="2347"/>
      </w:r>
      <w:r>
        <w:t xml:space="preserve">.</w:t>
      </w:r>
    </w:p>
    <w:p>
      <w:pPr>
        <w:pStyle w:val="BodyText"/>
      </w:pPr>
      <w:r>
        <w:rPr>
          <w:bCs/>
          <w:b/>
        </w:rPr>
        <w:t xml:space="preserve">Tendini.</w:t>
      </w:r>
      <w:r>
        <w:t xml:space="preserve"> </w:t>
      </w:r>
      <w:r>
        <w:t xml:space="preserve">Qui i risultati sono contraddittori: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Jerger 2023, PMID 37424319</w:t>
            </w:r>
          </w:p>
        </w:tc>
        <w:tc>
          <w:tcPr/>
          <w:p>
            <w:pPr>
              <w:pStyle w:val="Compact"/>
              <w:jc w:val="left"/>
            </w:pPr>
            <w:r>
              <w:t xml:space="preserve">50 uomini, allenamento di forza più 5 g vs. placebo</w:t>
            </w:r>
          </w:p>
        </w:tc>
        <w:tc>
          <w:tcPr/>
          <w:p>
            <w:pPr>
              <w:pStyle w:val="Compact"/>
              <w:jc w:val="left"/>
            </w:pPr>
            <w:r>
              <w:t xml:space="preserve">14 settimane</w:t>
            </w:r>
          </w:p>
        </w:tc>
        <w:tc>
          <w:tcPr/>
          <w:p>
            <w:pPr>
              <w:pStyle w:val="Compact"/>
              <w:jc w:val="left"/>
            </w:pPr>
            <w:r>
              <w:t xml:space="preserve">Sezione trasversale del tendine rotuleo aumentata di più; rigidità e forza senza differenze tra i gruppi</w:t>
            </w:r>
          </w:p>
        </w:tc>
      </w:tr>
      <w:tr>
        <w:tc>
          <w:tcPr/>
          <w:p>
            <w:pPr>
              <w:pStyle w:val="Compact"/>
              <w:jc w:val="left"/>
            </w:pPr>
            <w:r>
              <w:t xml:space="preserve">Balshaw 2023, PMID 37436929</w:t>
            </w:r>
          </w:p>
        </w:tc>
        <w:tc>
          <w:tcPr/>
          <w:p>
            <w:pPr>
              <w:pStyle w:val="Compact"/>
              <w:jc w:val="left"/>
            </w:pPr>
            <w:r>
              <w:t xml:space="preserve">39 giovani uomini, allenamento di forza più 15 g vs. placebo</w:t>
            </w:r>
          </w:p>
        </w:tc>
        <w:tc>
          <w:tcPr/>
          <w:p>
            <w:pPr>
              <w:pStyle w:val="Compact"/>
              <w:jc w:val="left"/>
            </w:pPr>
            <w:r>
              <w:t xml:space="preserve">15 settimane</w:t>
            </w:r>
          </w:p>
        </w:tc>
        <w:tc>
          <w:tcPr/>
          <w:p>
            <w:pPr>
              <w:pStyle w:val="Compact"/>
              <w:jc w:val="left"/>
            </w:pPr>
            <w:r>
              <w:t xml:space="preserve">Nessuna differenza in dimensioni o meccanica del tendine</w:t>
            </w:r>
          </w:p>
        </w:tc>
      </w:tr>
      <w:tr>
        <w:tc>
          <w:tcPr/>
          <w:p>
            <w:pPr>
              <w:pStyle w:val="Compact"/>
              <w:jc w:val="left"/>
            </w:pPr>
            <w:r>
              <w:t xml:space="preserve">Miyamoto 2025, PMID 40623147</w:t>
            </w:r>
          </w:p>
        </w:tc>
        <w:tc>
          <w:tcPr/>
          <w:p>
            <w:pPr>
              <w:pStyle w:val="Compact"/>
              <w:jc w:val="left"/>
            </w:pPr>
            <w:r>
              <w:t xml:space="preserve">50 uomini non allenati, 10 g vs. placebo</w:t>
            </w:r>
          </w:p>
        </w:tc>
        <w:tc>
          <w:tcPr/>
          <w:p>
            <w:pPr>
              <w:pStyle w:val="Compact"/>
              <w:jc w:val="left"/>
            </w:pPr>
            <w:r>
              <w:t xml:space="preserve">16 settimane</w:t>
            </w:r>
          </w:p>
        </w:tc>
        <w:tc>
          <w:tcPr/>
          <w:p>
            <w:pPr>
              <w:pStyle w:val="Compact"/>
              <w:jc w:val="left"/>
            </w:pPr>
            <w:r>
              <w:t xml:space="preserve">Rigidità del polpaccio e del tendine d’Achille aumentata; sezione trasversale invariata</w:t>
            </w:r>
          </w:p>
        </w:tc>
      </w:tr>
      <w:tr>
        <w:tc>
          <w:tcPr/>
          <w:p>
            <w:pPr>
              <w:pStyle w:val="Compact"/>
              <w:jc w:val="left"/>
            </w:pPr>
            <w:r>
              <w:t xml:space="preserve">Praet 2019, PMID 30609761</w:t>
            </w:r>
          </w:p>
        </w:tc>
        <w:tc>
          <w:tcPr/>
          <w:p>
            <w:pPr>
              <w:pStyle w:val="Compact"/>
              <w:jc w:val="left"/>
            </w:pPr>
            <w:r>
              <w:t xml:space="preserve">20 persone con disturbi al tendine d’Achille, crossover con allenamento</w:t>
            </w:r>
          </w:p>
        </w:tc>
        <w:tc>
          <w:tcPr/>
          <w:p>
            <w:pPr>
              <w:pStyle w:val="Compact"/>
              <w:jc w:val="left"/>
            </w:pPr>
            <w:r>
              <w:t xml:space="preserve">6 mesi</w:t>
            </w:r>
          </w:p>
        </w:tc>
        <w:tc>
          <w:tcPr/>
          <w:p>
            <w:pPr>
              <w:pStyle w:val="Compact"/>
              <w:jc w:val="left"/>
            </w:pPr>
            <w:r>
              <w:t xml:space="preserve">Miglioramento più rapido nel questionario sui disturbi nella fase con collagene (studio pilota)</w:t>
            </w:r>
          </w:p>
        </w:tc>
      </w:tr>
      <w:tr>
        <w:tc>
          <w:tcPr/>
          <w:p>
            <w:pPr>
              <w:pStyle w:val="Compact"/>
              <w:jc w:val="left"/>
            </w:pPr>
            <w:r>
              <w:t xml:space="preserve">Dressler 2018, PMID 29769831</w:t>
            </w:r>
          </w:p>
        </w:tc>
        <w:tc>
          <w:tcPr/>
          <w:p>
            <w:pPr>
              <w:pStyle w:val="Compact"/>
              <w:jc w:val="left"/>
            </w:pPr>
            <w:r>
              <w:t xml:space="preserve">50 sportivi con instabilità cronica della caviglia, 5 g vs. placebo</w:t>
            </w:r>
          </w:p>
        </w:tc>
        <w:tc>
          <w:tcPr/>
          <w:p>
            <w:pPr>
              <w:pStyle w:val="Compact"/>
              <w:jc w:val="left"/>
            </w:pPr>
            <w:r>
              <w:t xml:space="preserve">6 mesi</w:t>
            </w:r>
          </w:p>
        </w:tc>
        <w:tc>
          <w:tcPr/>
          <w:p>
            <w:pPr>
              <w:pStyle w:val="Compact"/>
              <w:jc w:val="left"/>
            </w:pPr>
            <w:r>
              <w:t xml:space="preserve">Stabilità soggettiva migliore; stabilità meccanica invariata</w:t>
            </w:r>
          </w:p>
        </w:tc>
      </w:tr>
    </w:tbl>
    <w:p>
      <w:pPr>
        <w:pStyle w:val="BodyText"/>
      </w:pPr>
      <w:r>
        <w:t xml:space="preserve">Una meta-analisi di 19 studi con 768 adulti sani ha trovato, con l’assunzione di collagene a lungo termine in combinazione con l’allenamento, piccoli vantaggi in massa magra, morfologia tendinea, architettura muscolare e forza massima. L’affidabilità delle prove è stata valutata moderata per la composizione corporea, molto bassa per la morfologia tendinea e bassa per gli altri risultati</w:t>
      </w:r>
      <w:r>
        <w:rPr>
          <w:rStyle w:val="FootnoteReference"/>
        </w:rPr>
        <w:footnoteReference w:id="2348"/>
      </w:r>
      <w:r>
        <w:t xml:space="preserve">. Una revisione sistematica precedente aveva concluso che il collagene non è all’altezza delle fonti proteiche di qualità superiore per la sintesi proteica muscolare</w:t>
      </w:r>
      <w:r>
        <w:rPr>
          <w:rStyle w:val="FootnoteReference"/>
        </w:rPr>
        <w:footnoteReference w:id="2349"/>
      </w:r>
      <w:r>
        <w:t xml:space="preserve">.</w:t>
      </w:r>
    </w:p>
    <w:p>
      <w:pPr>
        <w:pStyle w:val="BodyText"/>
      </w:pPr>
      <w:r>
        <w:rPr>
          <w:bCs/>
          <w:b/>
        </w:rPr>
        <w:t xml:space="preserve">Bilancio intermedio sullo sport:</w:t>
      </w:r>
      <w:r>
        <w:t xml:space="preserve"> </w:t>
      </w:r>
      <w:r>
        <w:t xml:space="preserve">per la costruzione muscolare esistono fonti proteiche migliori e più economiche. Per tendini e legamenti un beneficio è biologicamente plausibile ed è suggerito da alcuni studi, ma non è dimostrato in modo solido.</w:t>
      </w:r>
    </w:p>
    <w:bookmarkEnd w:id="2350"/>
    <w:bookmarkStart w:id="2352" w:name="altri-ambiti-di-impiego"/>
    <w:p>
      <w:pPr>
        <w:pStyle w:val="Heading4"/>
      </w:pPr>
      <w:r>
        <w:t xml:space="preserve">Altri ambiti di impiego</w:t>
      </w:r>
    </w:p>
    <w:p>
      <w:pPr>
        <w:pStyle w:val="FirstParagraph"/>
      </w:pPr>
      <w:r>
        <w:t xml:space="preserve">In studi più piccoli i peptidi di collagene sono stati studiati tra l’altro per pressione arteriosa e funzione vascolare, sonno, appetito, gengivite e disturbi intestinali. Una meta-analisi di 12 studi controllati con placebo ha riportato una riduzione della pressione sistolica di 5,04 mmHg e del colesterolo LDL di 4,09 mg/dl, però con un’eterogeneità estremamente alta dei singoli studi (I² 98,9 e 93,4%)</w:t>
      </w:r>
      <w:r>
        <w:rPr>
          <w:rStyle w:val="FootnoteReference"/>
        </w:rPr>
        <w:footnoteReference w:id="2351"/>
      </w:r>
      <w:r>
        <w:t xml:space="preserve">. Questi campi sono troppo poco studiati per poter fare affermazioni solide.</w:t>
      </w:r>
    </w:p>
    <w:bookmarkEnd w:id="2352"/>
    <w:bookmarkEnd w:id="2353"/>
    <w:bookmarkStart w:id="2357" w:name="studi-su-animali-e-in-laboratorio-52"/>
    <w:p>
      <w:pPr>
        <w:pStyle w:val="Heading3"/>
      </w:pPr>
      <w:r>
        <w:t xml:space="preserve">Studi su animali e in laboratorio</w:t>
      </w:r>
    </w:p>
    <w:p>
      <w:pPr>
        <w:pStyle w:val="FirstParagraph"/>
      </w:pPr>
      <w:r>
        <w:t xml:space="preserve">In colture cellulari i peptidi di collagene, e in particolare la prolil-idrossiprolina, stimolano la crescita dei fibroblasti della pelle; in topi e ratti hanno migliorato negli esperimenti barriera cutanea, densità ossea e metabolismo della cartilagine. Su campioni di pelle umana in laboratorio (ex vivo) i peptidi di collagene hanno favorito la formazione di collagene e glicosaminoglicani</w:t>
      </w:r>
      <w:r>
        <w:rPr>
          <w:rStyle w:val="FootnoteReference"/>
        </w:rPr>
        <w:footnoteReference w:id="2354"/>
      </w:r>
      <w:r>
        <w:t xml:space="preserve">. Una revisione sistematica di undici studi prevalentemente sperimentali ha concluso che gli idrolizzati di collagene a concentrazioni di 50–500 microgrammi per millilitro stimolano i fibroblasti senza effetti tossici</w:t>
      </w:r>
      <w:r>
        <w:rPr>
          <w:rStyle w:val="FootnoteReference"/>
        </w:rPr>
        <w:footnoteReference w:id="2355"/>
      </w:r>
      <w:r>
        <w:t xml:space="preserve">. In esperimenti su roditori con alimentazione ipercalorica una meta-analisi ha descritto effetti su peso e massa grassa</w:t>
      </w:r>
      <w:r>
        <w:rPr>
          <w:rStyle w:val="FootnoteReference"/>
        </w:rPr>
        <w:footnoteReference w:id="2356"/>
      </w:r>
      <w:r>
        <w:t xml:space="preserve"> </w:t>
      </w:r>
      <w:r>
        <w:t xml:space="preserve">– un risultato non dimostrato nell’uomo.</w:t>
      </w:r>
    </w:p>
    <w:p>
      <w:pPr>
        <w:pStyle w:val="BodyText"/>
      </w:pPr>
      <w:r>
        <w:t xml:space="preserve">Questi risultati rendono plausibili le ipotesi. Non dimostrano però che le concentrazioni di peptidi raggiunte nell’uomo dopo averli bevuti siano sufficienti nel tessuto bersaglio.</w:t>
      </w:r>
    </w:p>
    <w:bookmarkEnd w:id="2357"/>
    <w:bookmarkStart w:id="2360" w:name="rischi-ed-effetti-collaterali-52"/>
    <w:p>
      <w:pPr>
        <w:pStyle w:val="Heading3"/>
      </w:pPr>
      <w:r>
        <w:t xml:space="preserve">Rischi ed effetti collaterali</w:t>
      </w:r>
    </w:p>
    <w:p>
      <w:pPr>
        <w:pStyle w:val="FirstParagraph"/>
      </w:pPr>
      <w:r>
        <w:rPr>
          <w:bCs/>
          <w:b/>
        </w:rPr>
        <w:t xml:space="preserve">Dimostrati:</w:t>
      </w:r>
      <w:r>
        <w:t xml:space="preserve"> </w:t>
      </w:r>
      <w:r>
        <w:t xml:space="preserve">negli studi randomizzati gli effetti collaterali non sono stati più frequenti che con il placebo. La grande meta-analisi sull’artrosi non ha trovato un rischio aumentato di eventi avversi o di interruzioni dello studio</w:t>
      </w:r>
      <w:r>
        <w:rPr>
          <w:rStyle w:val="FootnoteReference"/>
        </w:rPr>
        <w:footnoteReference w:id="2358"/>
      </w:r>
      <w:r>
        <w:t xml:space="preserve">. Occasionalmente vengono riferiti senso di pienezza, flatulenza o un sapore sgradevole.</w:t>
      </w:r>
    </w:p>
    <w:p>
      <w:pPr>
        <w:pStyle w:val="BodyText"/>
      </w:pPr>
      <w:r>
        <w:rPr>
          <w:bCs/>
          <w:b/>
        </w:rPr>
        <w:t xml:space="preserve">Da considerare:</w:t>
      </w:r>
    </w:p>
    <w:p>
      <w:pPr>
        <w:numPr>
          <w:ilvl w:val="0"/>
          <w:numId w:val="1294"/>
        </w:numPr>
        <w:pStyle w:val="Compact"/>
      </w:pPr>
      <w:r>
        <w:rPr>
          <w:bCs/>
          <w:b/>
        </w:rPr>
        <w:t xml:space="preserve">Allergie e intolleranze:</w:t>
      </w:r>
      <w:r>
        <w:t xml:space="preserve"> </w:t>
      </w:r>
      <w:r>
        <w:t xml:space="preserve">il collagene di pesce può essere problematico in caso di allergia al pesce; i prodotti di origine bovina o suina sono rilevanti per chi evita questi animali per motivi religiosi o etici. L’origine è indicata nell’elenco degli ingredienti.</w:t>
      </w:r>
    </w:p>
    <w:p>
      <w:pPr>
        <w:numPr>
          <w:ilvl w:val="0"/>
          <w:numId w:val="1294"/>
        </w:numPr>
        <w:pStyle w:val="Compact"/>
      </w:pPr>
      <w:r>
        <w:rPr>
          <w:bCs/>
          <w:b/>
        </w:rPr>
        <w:t xml:space="preserve">Ossalato e calcoli renali:</w:t>
      </w:r>
      <w:r>
        <w:t xml:space="preserve"> </w:t>
      </w:r>
      <w:r>
        <w:t xml:space="preserve">l’idrossiprolina viene in parte trasformata nel corpo in ossalato. In uno studio l’escrezione urinaria di ossalato è aumentata del 43% con 30 g di gelatina al giorno rispetto alle proteine del siero di latte; già 5–10 g di gelatina hanno portato a variazioni misurabili</w:t>
      </w:r>
      <w:r>
        <w:rPr>
          <w:rStyle w:val="FootnoteReference"/>
        </w:rPr>
        <w:footnoteReference w:id="2359"/>
      </w:r>
      <w:r>
        <w:t xml:space="preserve">. Per le persone sane il significato non è chiaro. Chi ha calcoli renali di ossalato di calcio o un’iperossaluria congenita dovrebbe discutere l’assunzione con il medico (rischio teorico, ma biologicamente fondato).</w:t>
      </w:r>
    </w:p>
    <w:p>
      <w:pPr>
        <w:numPr>
          <w:ilvl w:val="0"/>
          <w:numId w:val="1294"/>
        </w:numPr>
        <w:pStyle w:val="Compact"/>
      </w:pPr>
      <w:r>
        <w:rPr>
          <w:bCs/>
          <w:b/>
        </w:rPr>
        <w:t xml:space="preserve">Quantità di proteine:</w:t>
      </w:r>
      <w:r>
        <w:t xml:space="preserve"> </w:t>
      </w:r>
      <w:r>
        <w:t xml:space="preserve">nelle malattie renali con restrizione proteica anche il collagene conta nell’apporto proteico giornaliero.</w:t>
      </w:r>
    </w:p>
    <w:p>
      <w:pPr>
        <w:numPr>
          <w:ilvl w:val="0"/>
          <w:numId w:val="1294"/>
        </w:numPr>
        <w:pStyle w:val="Compact"/>
      </w:pPr>
      <w:r>
        <w:rPr>
          <w:bCs/>
          <w:b/>
        </w:rPr>
        <w:t xml:space="preserve">Qualità del prodotto:</w:t>
      </w:r>
      <w:r>
        <w:t xml:space="preserve"> </w:t>
      </w:r>
      <w:r>
        <w:t xml:space="preserve">gli integratori alimentari non vengono verificati per l’efficacia prima della vendita. Della purezza e dell’assenza di sostanze nocive è responsabile il produttore; il controllo ufficiale degli alimenti effettua solo verifiche a campione.</w:t>
      </w:r>
    </w:p>
    <w:p>
      <w:pPr>
        <w:numPr>
          <w:ilvl w:val="0"/>
          <w:numId w:val="1294"/>
        </w:numPr>
        <w:pStyle w:val="Compact"/>
      </w:pPr>
      <w:r>
        <w:rPr>
          <w:bCs/>
          <w:b/>
        </w:rPr>
        <w:t xml:space="preserve">Falsa sicurezza:</w:t>
      </w:r>
      <w:r>
        <w:t xml:space="preserve"> </w:t>
      </w:r>
      <w:r>
        <w:t xml:space="preserve">il rischio pratico maggiore consiste nell’impiegare il collagene al posto di misure efficaci – per esempio invece della protezione UV contro l’invecchiamento cutaneo o invece di un trattamento dell’osteoporosi.</w:t>
      </w:r>
    </w:p>
    <w:bookmarkEnd w:id="2360"/>
    <w:bookmarkStart w:id="2361" w:name="quadro-normativo-52"/>
    <w:p>
      <w:pPr>
        <w:pStyle w:val="Heading3"/>
      </w:pPr>
      <w:r>
        <w:t xml:space="preserve">Quadro normativo</w:t>
      </w:r>
    </w:p>
    <w:p>
      <w:pPr>
        <w:numPr>
          <w:ilvl w:val="0"/>
          <w:numId w:val="1295"/>
        </w:numPr>
        <w:pStyle w:val="Compact"/>
      </w:pPr>
      <w:r>
        <w:rPr>
          <w:bCs/>
          <w:b/>
        </w:rPr>
        <w:t xml:space="preserve">UE / Austria / Germania:</w:t>
      </w:r>
      <w:r>
        <w:t xml:space="preserve"> </w:t>
      </w:r>
      <w:r>
        <w:t xml:space="preserve">i peptidi di collagene sono alimenti. In Germania gli integratori alimentari devono essere notificati all’Ufficio federale per la tutela dei consumatori e la sicurezza alimentare (BVL) prima della prima vendita; in Austria valgono regole proprie. In nessuno dei due Paesi si verifica l’efficacia. Le indicazioni sulla salute sono consentite secondo il regolamento UE sulle indicazioni sulla salute (Regolamento (CE) n. 1924/2006) solo se autorizzate nell’elenco UE.</w:t>
      </w:r>
      <w:r>
        <w:t xml:space="preserve"> </w:t>
      </w:r>
      <w:r>
        <w:rPr>
          <w:bCs/>
          <w:b/>
        </w:rPr>
        <w:t xml:space="preserve">Per il collagene o i peptidi di collagene non esiste alcun health claim autorizzato.</w:t>
      </w:r>
      <w:r>
        <w:t xml:space="preserve"> </w:t>
      </w:r>
      <w:r>
        <w:t xml:space="preserve">L’Autorità europea per la sicurezza alimentare (EFSA) ha valutato negativamente le indicazioni richieste, per esempio sulla salute articolare, perché non era dimostrato un rapporto di causa-effetto. Per questo molti prodotti contengono vitamina C: per la vitamina C è autorizzata l’indicazione che contribuisce alla normale formazione del collagene per la normale funzione di pelle, cartilagine, ossa, gengive, denti e vasi sanguigni. La frase pubblicitaria si riferisce allora giuridicamente alla vitamina, non al collagene. Le affermazioni sulla bellezza («per una pelle più tonica») si muovono in una zona grigia e vengono giudicate in modo diverso dai tribunali.</w:t>
      </w:r>
    </w:p>
    <w:p>
      <w:pPr>
        <w:numPr>
          <w:ilvl w:val="0"/>
          <w:numId w:val="1295"/>
        </w:numPr>
        <w:pStyle w:val="Compact"/>
      </w:pPr>
      <w:r>
        <w:rPr>
          <w:bCs/>
          <w:b/>
        </w:rPr>
        <w:t xml:space="preserve">USA:</w:t>
      </w:r>
      <w:r>
        <w:t xml:space="preserve"> </w:t>
      </w:r>
      <w:r>
        <w:t xml:space="preserve">i peptidi di collagene sono venduti come dietary supplement. I produttori possono fare le cosiddette affermazioni su struttura e funzione («sostiene una pelle sana»), ma devono riportare l’avvertenza che l’affermazione non è stata verificata dalla FDA. Le promesse relative a malattie non sono consentite.</w:t>
      </w:r>
    </w:p>
    <w:p>
      <w:pPr>
        <w:numPr>
          <w:ilvl w:val="0"/>
          <w:numId w:val="1295"/>
        </w:numPr>
        <w:pStyle w:val="Compact"/>
      </w:pPr>
      <w:r>
        <w:rPr>
          <w:bCs/>
          <w:b/>
        </w:rPr>
        <w:t xml:space="preserve">Sport:</w:t>
      </w:r>
      <w:r>
        <w:t xml:space="preserve"> </w:t>
      </w:r>
      <w:r>
        <w:t xml:space="preserve">i peptidi di collagene non figurano nell’elenco delle sostanze proibite della WADA. Come per tutti gli integratori alimentari esiste un rischio residuo di contaminazione; gli atleti agonisti dovrebbero fare attenzione a elenchi verificati (per es. Kölner Liste) (aggiornato al 2026, da verificare).</w:t>
      </w:r>
    </w:p>
    <w:bookmarkEnd w:id="2361"/>
    <w:bookmarkStart w:id="2369" w:name="studi-in-corso-e-prospettive-52"/>
    <w:p>
      <w:pPr>
        <w:pStyle w:val="Heading3"/>
      </w:pPr>
      <w:r>
        <w:t xml:space="preserve">Studi in corso e prospettive</w:t>
      </w:r>
    </w:p>
    <w:p>
      <w:pPr>
        <w:pStyle w:val="FirstParagraph"/>
      </w:pPr>
      <w:r>
        <w:rPr>
          <w:bCs/>
          <w:b/>
        </w:rPr>
        <w:t xml:space="preserve">Dati certi (studi registrati, situazione a ottobre 2026):</w:t>
      </w:r>
    </w:p>
    <w:p>
      <w:pPr>
        <w:numPr>
          <w:ilvl w:val="0"/>
          <w:numId w:val="1296"/>
        </w:numPr>
        <w:pStyle w:val="Compact"/>
      </w:pPr>
      <w:r>
        <w:rPr>
          <w:bCs/>
          <w:b/>
        </w:rPr>
        <w:t xml:space="preserve">Artrosi del ginocchio:</w:t>
      </w:r>
      <w:r>
        <w:t xml:space="preserve"> </w:t>
      </w:r>
      <w:r>
        <w:t xml:space="preserve">uno studio dell’Istituto Ortopedico Rizzoli confronta una formulazione di collagene idrolizzato con placebo in 204 partecipanti</w:t>
      </w:r>
      <w:r>
        <w:rPr>
          <w:rStyle w:val="FootnoteReference"/>
        </w:rPr>
        <w:footnoteReference w:id="2362"/>
      </w:r>
      <w:r>
        <w:t xml:space="preserve">. Uno studio più piccolo confronta diverse forme di collagene</w:t>
      </w:r>
      <w:r>
        <w:rPr>
          <w:rStyle w:val="FootnoteReference"/>
        </w:rPr>
        <w:footnoteReference w:id="2363"/>
      </w:r>
      <w:r>
        <w:t xml:space="preserve">.</w:t>
      </w:r>
    </w:p>
    <w:p>
      <w:pPr>
        <w:numPr>
          <w:ilvl w:val="0"/>
          <w:numId w:val="1296"/>
        </w:numPr>
        <w:pStyle w:val="Compact"/>
      </w:pPr>
      <w:r>
        <w:rPr>
          <w:bCs/>
          <w:b/>
        </w:rPr>
        <w:t xml:space="preserve">Protesi del ginocchio:</w:t>
      </w:r>
      <w:r>
        <w:t xml:space="preserve"> </w:t>
      </w:r>
      <w:r>
        <w:t xml:space="preserve">peptidi di collagene dopo protesi totale del ginocchio, endpoint rimodellamento del tessuto connettivo e guarigione delle ferite</w:t>
      </w:r>
      <w:r>
        <w:rPr>
          <w:rStyle w:val="FootnoteReference"/>
        </w:rPr>
        <w:footnoteReference w:id="2364"/>
      </w:r>
      <w:r>
        <w:t xml:space="preserve">.</w:t>
      </w:r>
    </w:p>
    <w:p>
      <w:pPr>
        <w:numPr>
          <w:ilvl w:val="0"/>
          <w:numId w:val="1296"/>
        </w:numPr>
        <w:pStyle w:val="Compact"/>
      </w:pPr>
      <w:r>
        <w:rPr>
          <w:bCs/>
          <w:b/>
        </w:rPr>
        <w:t xml:space="preserve">Pelle:</w:t>
      </w:r>
      <w:r>
        <w:t xml:space="preserve"> </w:t>
      </w:r>
      <w:r>
        <w:t xml:space="preserve">un confronto tra applicazione orale ed esterna di collagene, da sole e combinate, con 165 donne previste</w:t>
      </w:r>
      <w:r>
        <w:rPr>
          <w:rStyle w:val="FootnoteReference"/>
        </w:rPr>
        <w:footnoteReference w:id="2365"/>
      </w:r>
      <w:r>
        <w:t xml:space="preserve">.</w:t>
      </w:r>
    </w:p>
    <w:p>
      <w:pPr>
        <w:numPr>
          <w:ilvl w:val="0"/>
          <w:numId w:val="1296"/>
        </w:numPr>
        <w:pStyle w:val="Compact"/>
      </w:pPr>
      <w:r>
        <w:rPr>
          <w:bCs/>
          <w:b/>
        </w:rPr>
        <w:t xml:space="preserve">Invecchiamento:</w:t>
      </w:r>
      <w:r>
        <w:t xml:space="preserve"> </w:t>
      </w:r>
      <w:r>
        <w:t xml:space="preserve">uno studio dell’Università di Vienna esamina peptidi di collagene e marcatori dell’invecchiamento cellulare in 125 partecipanti previsti</w:t>
      </w:r>
      <w:r>
        <w:rPr>
          <w:rStyle w:val="FootnoteReference"/>
        </w:rPr>
        <w:footnoteReference w:id="2366"/>
      </w:r>
      <w:r>
        <w:t xml:space="preserve">.</w:t>
      </w:r>
    </w:p>
    <w:p>
      <w:pPr>
        <w:numPr>
          <w:ilvl w:val="0"/>
          <w:numId w:val="1296"/>
        </w:numPr>
        <w:pStyle w:val="Compact"/>
      </w:pPr>
      <w:r>
        <w:rPr>
          <w:bCs/>
          <w:b/>
        </w:rPr>
        <w:t xml:space="preserve">Metabolismo:</w:t>
      </w:r>
      <w:r>
        <w:t xml:space="preserve"> </w:t>
      </w:r>
      <w:r>
        <w:t xml:space="preserve">uno studio al King’s College London esamina qualità della vita, appetito e controllo glicemico</w:t>
      </w:r>
      <w:r>
        <w:rPr>
          <w:rStyle w:val="FootnoteReference"/>
        </w:rPr>
        <w:footnoteReference w:id="2367"/>
      </w:r>
      <w:r>
        <w:t xml:space="preserve">.</w:t>
      </w:r>
    </w:p>
    <w:p>
      <w:pPr>
        <w:pStyle w:val="FirstParagraph"/>
      </w:pPr>
      <w:r>
        <w:rPr>
          <w:bCs/>
          <w:b/>
        </w:rPr>
        <w:t xml:space="preserve">Valutazione:</w:t>
      </w:r>
      <w:r>
        <w:t xml:space="preserve"> </w:t>
      </w:r>
      <w:r>
        <w:t xml:space="preserve">la questione decisiva per i prossimi anni non è se ci saranno altri piccoli studi positivi – è prevedibile di sì –, ma se grandi studi finanziati in modo indipendente e con endpoint preregistrati confermeranno gli effetti. La meta-analisi per fonte di finanziamento</w:t>
      </w:r>
      <w:r>
        <w:rPr>
          <w:rStyle w:val="FootnoteReference"/>
        </w:rPr>
        <w:footnoteReference w:id="2368"/>
      </w:r>
      <w:r>
        <w:t xml:space="preserve"> </w:t>
      </w:r>
      <w:r>
        <w:t xml:space="preserve">ha reso visibile l’asticella. Per il dolore articolare un piccolo effetto è quello meglio documentato; per pelle e tendini la situazione resta aperta. Un’approvazione come farmaco non è da attendersi, poiché i prodotti sono già di libera vendita come alimenti e nessun produttore dovrebbe sostenere l’onere di un programma di autorizzazione.</w:t>
      </w:r>
    </w:p>
    <w:bookmarkEnd w:id="2369"/>
    <w:bookmarkStart w:id="2370" w:name="conclusione-52"/>
    <w:p>
      <w:pPr>
        <w:pStyle w:val="Heading3"/>
      </w:pPr>
      <w:r>
        <w:t xml:space="preserve">Conclusione</w:t>
      </w:r>
    </w:p>
    <w:p>
      <w:pPr>
        <w:pStyle w:val="FirstParagraph"/>
      </w:pPr>
      <w:r>
        <w:t xml:space="preserve">I peptidi di collagene sono un prodotto alimentare ben tollerato con un’ampia base di studi, ma metodologicamente debole. Per il dolore articolare nell’artrosi le meta-analisi mostrano piccoli effetti, mentre singoli studi più grandi non hanno trovato differenze rispetto al placebo. Per la pelle il beneficio misurato negli studi dei produttori scompare se si considerano solo studi finanziati in modo indipendente o metodologicamente di alta qualità. Per la costruzione muscolare il collagene è inferiore ad altre fonti proteiche; il collagene di tipo II non denaturato è un prodotto a sé con dati propri, anch’essi limitati. Nell’UE il collagene non può essere pubblicizzato con indicazioni sulla salute – i messaggi pubblicitari si riferiscono per lo più alla vitamina C aggiunta.</w:t>
      </w:r>
    </w:p>
    <w:bookmarkEnd w:id="2370"/>
    <w:bookmarkEnd w:id="2371"/>
    <w:bookmarkStart w:id="2402" w:name="lattotripeptidi-vpp-e-ipp"/>
    <w:p>
      <w:pPr>
        <w:pStyle w:val="Heading2"/>
      </w:pPr>
      <w:r>
        <w:t xml:space="preserve">Lattotripeptidi (VPP e IPP)</w:t>
      </w:r>
    </w:p>
    <w:bookmarkStart w:id="2372" w:name="scheda-53"/>
    <w:p>
      <w:pPr>
        <w:pStyle w:val="Heading3"/>
      </w:pPr>
      <w:r>
        <w:t xml:space="preserve">Scheda</w:t>
      </w:r>
    </w:p>
    <w:p>
      <w:pPr>
        <w:numPr>
          <w:ilvl w:val="0"/>
          <w:numId w:val="1297"/>
        </w:numPr>
        <w:pStyle w:val="Compact"/>
      </w:pPr>
      <w:r>
        <w:rPr>
          <w:bCs/>
          <w:b/>
        </w:rPr>
        <w:t xml:space="preserve">Tipo/struttura:</w:t>
      </w:r>
      <w:r>
        <w:t xml:space="preserve"> </w:t>
      </w:r>
      <w:r>
        <w:t xml:space="preserve">due tripeptidi di tre aminoacidi ciascuno: valina-prolina-prolina (VPP) e isoleucina-prolina-prolina (IPP). La doppia prolina all’estremità li rende relativamente resistenti agli enzimi digestivi.</w:t>
      </w:r>
    </w:p>
    <w:p>
      <w:pPr>
        <w:numPr>
          <w:ilvl w:val="0"/>
          <w:numId w:val="1297"/>
        </w:numPr>
        <w:pStyle w:val="Compact"/>
      </w:pPr>
      <w:r>
        <w:rPr>
          <w:bCs/>
          <w:b/>
        </w:rPr>
        <w:t xml:space="preserve">Origine:</w:t>
      </w:r>
      <w:r>
        <w:t xml:space="preserve"> </w:t>
      </w:r>
      <w:r>
        <w:t xml:space="preserve">frammenti della proteina del latte caseina. Si formano quando il latte viene fermentato con determinati batteri (soprattutto</w:t>
      </w:r>
      <w:r>
        <w:t xml:space="preserve"> </w:t>
      </w:r>
      <w:r>
        <w:rPr>
          <w:iCs/>
          <w:i/>
        </w:rPr>
        <w:t xml:space="preserve">Lactobacillus helveticus</w:t>
      </w:r>
      <w:r>
        <w:t xml:space="preserve">) oppure mediante scissione enzimatica della caseina con enzimi della muffa</w:t>
      </w:r>
      <w:r>
        <w:t xml:space="preserve"> </w:t>
      </w:r>
      <w:r>
        <w:rPr>
          <w:iCs/>
          <w:i/>
        </w:rPr>
        <w:t xml:space="preserve">Aspergillus oryzae</w:t>
      </w:r>
      <w:r>
        <w:t xml:space="preserve">. Prodotti noti erano una bevanda giapponese a base di latte acido (Calpis) e un prodotto lattiero finlandese (Evolus di Valio).</w:t>
      </w:r>
    </w:p>
    <w:p>
      <w:pPr>
        <w:numPr>
          <w:ilvl w:val="0"/>
          <w:numId w:val="1297"/>
        </w:numPr>
        <w:pStyle w:val="Compact"/>
      </w:pPr>
      <w:r>
        <w:rPr>
          <w:bCs/>
          <w:b/>
        </w:rPr>
        <w:t xml:space="preserve">Principio d’azione:</w:t>
      </w:r>
      <w:r>
        <w:t xml:space="preserve"> </w:t>
      </w:r>
      <w:r>
        <w:t xml:space="preserve">dovrebbero inibire l’enzima di conversione dell’angiotensina (ACE) – lo stesso enzima bloccato dagli ACE-inibitori antipertensivi come ramipril o enalapril, solo in modo molto più debole.</w:t>
      </w:r>
    </w:p>
    <w:p>
      <w:pPr>
        <w:numPr>
          <w:ilvl w:val="0"/>
          <w:numId w:val="1297"/>
        </w:numPr>
        <w:pStyle w:val="Compact"/>
      </w:pPr>
      <w:r>
        <w:rPr>
          <w:bCs/>
          <w:b/>
        </w:rPr>
        <w:t xml:space="preserve">Approvazione UE:</w:t>
      </w:r>
      <w:r>
        <w:t xml:space="preserve"> </w:t>
      </w:r>
      <w:r>
        <w:t xml:space="preserve">nessuna autorizzazione come farmaco; come ingrediente alimentare o negli integratori alimentari. Nessuna indicazione sulla salute autorizzata relativa alla pressione arteriosa.</w:t>
      </w:r>
    </w:p>
    <w:p>
      <w:pPr>
        <w:numPr>
          <w:ilvl w:val="0"/>
          <w:numId w:val="1297"/>
        </w:numPr>
        <w:pStyle w:val="Compact"/>
      </w:pPr>
      <w:r>
        <w:rPr>
          <w:bCs/>
          <w:b/>
        </w:rPr>
        <w:t xml:space="preserve">Approvazione USA:</w:t>
      </w:r>
      <w:r>
        <w:t xml:space="preserve"> </w:t>
      </w:r>
      <w:r>
        <w:t xml:space="preserve">nessuna autorizzazione come farmaco; disponibili come integratori alimentari.</w:t>
      </w:r>
    </w:p>
    <w:p>
      <w:pPr>
        <w:numPr>
          <w:ilvl w:val="0"/>
          <w:numId w:val="1297"/>
        </w:numPr>
        <w:pStyle w:val="Compact"/>
      </w:pPr>
      <w:r>
        <w:rPr>
          <w:bCs/>
          <w:b/>
        </w:rPr>
        <w:t xml:space="preserve">WADA:</w:t>
      </w:r>
      <w:r>
        <w:t xml:space="preserve"> </w:t>
      </w:r>
      <w:r>
        <w:t xml:space="preserve">non elencati.</w:t>
      </w:r>
    </w:p>
    <w:p>
      <w:pPr>
        <w:numPr>
          <w:ilvl w:val="0"/>
          <w:numId w:val="1297"/>
        </w:numPr>
        <w:pStyle w:val="Compact"/>
      </w:pPr>
      <w:r>
        <w:rPr>
          <w:bCs/>
          <w:b/>
        </w:rPr>
        <w:t xml:space="preserve">Livello di evidenza:</w:t>
      </w:r>
      <w:r>
        <w:t xml:space="preserve"> </w:t>
      </w:r>
      <w:r>
        <w:rPr>
          <w:bCs/>
          <w:b/>
        </w:rPr>
        <w:t xml:space="preserve">B</w:t>
      </w:r>
      <w:r>
        <w:t xml:space="preserve"> </w:t>
      </w:r>
      <w:r>
        <w:t xml:space="preserve">– circa 30 studi randomizzati con complessivamente alcune migliaia di partecipanti, ma ciascuno piccolo, con risultati contraddittori e senza endpoint concreti.</w:t>
      </w:r>
    </w:p>
    <w:bookmarkEnd w:id="2372"/>
    <w:bookmarkStart w:id="2376" w:name="come-dovrebbe-agire-53"/>
    <w:p>
      <w:pPr>
        <w:pStyle w:val="Heading3"/>
      </w:pPr>
      <w:r>
        <w:t xml:space="preserve">Come dovrebbe agire</w:t>
      </w:r>
    </w:p>
    <w:p>
      <w:pPr>
        <w:pStyle w:val="FirstParagraph"/>
      </w:pPr>
      <w:r>
        <w:t xml:space="preserve">La pressione arteriosa è regolata, tra l’altro, dal sistema renina-angiotensina. Un passaggio centrale è la trasformazione dell’angiotensina I inattiva nell’angiotensina II vasocostrittrice da parte dell’enzima ACE. Lo stesso enzima degrada inoltre la bradichinina, una sostanza che dilata i vasi. Se l’ACE viene inibito, si forma meno angiotensina II e più bradichinina – la pressione scende. Su questo principio si basano gli ACE-inibitori, uno dei gruppi più importanti di farmaci antipertensivi. Curiosità storica: il primo ACE-inibitore, il captopril, è stato sviluppato a partire da un peptide del veleno di un serpente.</w:t>
      </w:r>
    </w:p>
    <w:p>
      <w:pPr>
        <w:pStyle w:val="BodyText"/>
      </w:pPr>
      <w:r>
        <w:t xml:space="preserve">Negli anni Novanta ricercatori giapponesi isolarono dal latte acido due tripeptidi che inibiscono l’ACE in provetta. In ratti con ipertensione congenita una singola somministrazione del latte acido o dei peptidi isolati VPP e IPP abbassò la pressione sistolica per alcune ore; nei ratti con pressione normale non cambiò nulla</w:t>
      </w:r>
      <w:r>
        <w:rPr>
          <w:rStyle w:val="FootnoteReference"/>
        </w:rPr>
        <w:footnoteReference w:id="2373"/>
      </w:r>
      <w:r>
        <w:t xml:space="preserve">. Da qui nacque l’idea di un «alimento che abbassa la pressione».</w:t>
      </w:r>
    </w:p>
    <w:p>
      <w:pPr>
        <w:pStyle w:val="BodyText"/>
      </w:pPr>
      <w:r>
        <w:t xml:space="preserve">Perché funzioni, i peptidi devono arrivare intatti nel circolo sanguigno. Un piccolo studio ha mostrato che l’IPP, dopo l’assunzione di una bevanda allo yogurt arricchita, è effettivamente rilevabile intatto nel sangue – però in concentrazioni nell’ordine dei picomoli per litro</w:t>
      </w:r>
      <w:r>
        <w:rPr>
          <w:rStyle w:val="FootnoteReference"/>
        </w:rPr>
        <w:footnoteReference w:id="2374"/>
      </w:r>
      <w:r>
        <w:t xml:space="preserve">. Uno studio svizzero con dodici uomini sani ha poi verificato direttamente se i peptidi inibiscono l’ACE nel corpo: dopo sette giorni di latte fermentato i marcatori dell’attività dell’ACE e la renina sono rimasti invariati, mentre una sola compressa di captopril ha ridotto l’attività dell’ACE nel plasma dell’82%. L’IPP è aumentato nel sangue solo brevemente e di poco, il VPP era sotto il limite di rilevabilità</w:t>
      </w:r>
      <w:r>
        <w:rPr>
          <w:rStyle w:val="FootnoteReference"/>
        </w:rPr>
        <w:footnoteReference w:id="2375"/>
      </w:r>
      <w:r>
        <w:t xml:space="preserve">.</w:t>
      </w:r>
    </w:p>
    <w:p>
      <w:pPr>
        <w:pStyle w:val="BodyText"/>
      </w:pPr>
      <w:r>
        <w:t xml:space="preserve">Ciò significa: il meccanismo plausibile in laboratorio non si è potuto dimostrare nell’uomo alle quantità testate. Si discutono quindi anche altre vie, per esempio un miglioramento della funzione della parete interna dei vasi tramite ossido nitrico. Queste derivano finora soprattutto da esperimenti su colture cellulari e sugli animali.</w:t>
      </w:r>
    </w:p>
    <w:bookmarkEnd w:id="2376"/>
    <w:bookmarkStart w:id="2388" w:name="studi-sulluomo-53"/>
    <w:p>
      <w:pPr>
        <w:pStyle w:val="Heading3"/>
      </w:pPr>
      <w:r>
        <w:t xml:space="preserve">Studi sull’uomo</w:t>
      </w:r>
    </w:p>
    <w:p>
      <w:pPr>
        <w:pStyle w:val="FirstParagraph"/>
      </w:pPr>
      <w:r>
        <w:t xml:space="preserve">La ricerca in PubMed valutata per questo libro (lattotripeptidi o valil-prolil-prolina, data della ricerca ottobre 2026) ha restituito 21 studi sull’uomo; su ClinicalTrials.gov la ricerca «lactotripeptides» non ha trovato alcuna voce di registro. La maggior parte degli studi è stata condotta prima dell’introduzione dell’obbligo di registrazione per gli studi nutrizionali. Le meta-analisi si riferiscono a fino a 30 studi randomizzati, tra cui molti studi giapponesi non completamente coperti dalla ricerca in PubMed.</w:t>
      </w:r>
    </w:p>
    <w:bookmarkStart w:id="2377" w:name="i-primi-studi-positivi"/>
    <w:p>
      <w:pPr>
        <w:pStyle w:val="Heading4"/>
      </w:pPr>
      <w:r>
        <w:t xml:space="preserve">I primi studi positivi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Hata 1996, PMID 8901799</w:t>
            </w:r>
          </w:p>
        </w:tc>
        <w:tc>
          <w:tcPr/>
          <w:p>
            <w:pPr>
              <w:pStyle w:val="Compact"/>
              <w:jc w:val="left"/>
            </w:pPr>
            <w:r>
              <w:t xml:space="preserve">30 anziani con ipertensione (per lo più in terapia farmacologica), latte acido vs. latte acidificato</w:t>
            </w:r>
          </w:p>
        </w:tc>
        <w:tc>
          <w:tcPr/>
          <w:p>
            <w:pPr>
              <w:pStyle w:val="Compact"/>
              <w:jc w:val="left"/>
            </w:pPr>
            <w:r>
              <w:t xml:space="preserve">8 settimane</w:t>
            </w:r>
          </w:p>
        </w:tc>
        <w:tc>
          <w:tcPr/>
          <w:p>
            <w:pPr>
              <w:pStyle w:val="Compact"/>
              <w:jc w:val="left"/>
            </w:pPr>
            <w:r>
              <w:t xml:space="preserve">Sistolica −14,1 mmHg rispetto al valore iniziale nel gruppo latte acido; placebo invariato</w:t>
            </w:r>
          </w:p>
        </w:tc>
      </w:tr>
      <w:tr>
        <w:tc>
          <w:tcPr/>
          <w:p>
            <w:pPr>
              <w:pStyle w:val="Compact"/>
              <w:jc w:val="left"/>
            </w:pPr>
            <w:r>
              <w:t xml:space="preserve">Seppo 2003, PMID 12540390</w:t>
            </w:r>
          </w:p>
        </w:tc>
        <w:tc>
          <w:tcPr/>
          <w:p>
            <w:pPr>
              <w:pStyle w:val="Compact"/>
              <w:jc w:val="left"/>
            </w:pPr>
            <w:r>
              <w:t xml:space="preserve">39 persone con ipertensione, latte fermentato vs. controllo</w:t>
            </w:r>
          </w:p>
        </w:tc>
        <w:tc>
          <w:tcPr/>
          <w:p>
            <w:pPr>
              <w:pStyle w:val="Compact"/>
              <w:jc w:val="left"/>
            </w:pPr>
            <w:r>
              <w:t xml:space="preserve">21 settimane</w:t>
            </w:r>
          </w:p>
        </w:tc>
        <w:tc>
          <w:tcPr/>
          <w:p>
            <w:pPr>
              <w:pStyle w:val="Compact"/>
              <w:jc w:val="left"/>
            </w:pPr>
            <w:r>
              <w:t xml:space="preserve">Differenza sistolica 6,7 mmHg (p = 0,03), diastolica 3,6 mmHg (non significativa)</w:t>
            </w:r>
          </w:p>
        </w:tc>
      </w:tr>
      <w:tr>
        <w:tc>
          <w:tcPr/>
          <w:p>
            <w:pPr>
              <w:pStyle w:val="Compact"/>
              <w:jc w:val="left"/>
            </w:pPr>
            <w:r>
              <w:t xml:space="preserve">Tuomilehto 2004, PMID 15175633</w:t>
            </w:r>
          </w:p>
        </w:tc>
        <w:tc>
          <w:tcPr/>
          <w:p>
            <w:pPr>
              <w:pStyle w:val="Compact"/>
              <w:jc w:val="left"/>
            </w:pPr>
            <w:r>
              <w:t xml:space="preserve">60 persone con ipertensione lieve, crossover</w:t>
            </w:r>
          </w:p>
        </w:tc>
        <w:tc>
          <w:tcPr/>
          <w:p>
            <w:pPr>
              <w:pStyle w:val="Compact"/>
              <w:jc w:val="left"/>
            </w:pPr>
            <w:r>
              <w:t xml:space="preserve">2 × fasi</w:t>
            </w:r>
          </w:p>
        </w:tc>
        <w:tc>
          <w:tcPr/>
          <w:p>
            <w:pPr>
              <w:pStyle w:val="Compact"/>
              <w:jc w:val="left"/>
            </w:pPr>
            <w:r>
              <w:t xml:space="preserve">Analisi complessiva: differenza sistolica 2,6 mmHg, non significativa</w:t>
            </w:r>
          </w:p>
        </w:tc>
      </w:tr>
      <w:tr>
        <w:tc>
          <w:tcPr/>
          <w:p>
            <w:pPr>
              <w:pStyle w:val="Compact"/>
              <w:jc w:val="left"/>
            </w:pPr>
            <w:r>
              <w:t xml:space="preserve">Jauhiainen 2005, PMID 16364832</w:t>
            </w:r>
          </w:p>
        </w:tc>
        <w:tc>
          <w:tcPr/>
          <w:p>
            <w:pPr>
              <w:pStyle w:val="Compact"/>
              <w:jc w:val="left"/>
            </w:pPr>
            <w:r>
              <w:t xml:space="preserve">94 persone con ipertensione non trattata, latte fermentato vs. controllo, misurazione nelle 24 ore</w:t>
            </w:r>
          </w:p>
        </w:tc>
        <w:tc>
          <w:tcPr/>
          <w:p>
            <w:pPr>
              <w:pStyle w:val="Compact"/>
              <w:jc w:val="left"/>
            </w:pPr>
            <w:r>
              <w:t xml:space="preserve">10 settimane</w:t>
            </w:r>
          </w:p>
        </w:tc>
        <w:tc>
          <w:tcPr/>
          <w:p>
            <w:pPr>
              <w:pStyle w:val="Compact"/>
              <w:jc w:val="left"/>
            </w:pPr>
            <w:r>
              <w:t xml:space="preserve">Sistolica −4,1 mmHg, diastolica −1,8 mmHg rispetto al controllo</w:t>
            </w:r>
          </w:p>
        </w:tc>
      </w:tr>
    </w:tbl>
    <w:p>
      <w:pPr>
        <w:pStyle w:val="BodyText"/>
      </w:pPr>
      <w:r>
        <w:t xml:space="preserve">Il primo studio di Hata era piccolo, la maggior parte dei partecipanti assumeva già farmaci antipertensivi e il confronto avveniva soprattutto con il valore iniziale. Lo studio di Jauhiainen è metodologicamente più solido, perché ha usato la misurazione della pressione nelle 24 ore, meno soggetta all’«effetto camice bianco» dal medico.</w:t>
      </w:r>
    </w:p>
    <w:bookmarkEnd w:id="2377"/>
    <w:bookmarkStart w:id="2379" w:name="gli-studi-negativi-dai-paesi-bassi"/>
    <w:p>
      <w:pPr>
        <w:pStyle w:val="Heading4"/>
      </w:pPr>
      <w:r>
        <w:t xml:space="preserve">Gli studi negativi dai Paesi Bassi</w:t>
      </w:r>
    </w:p>
    <w:p>
      <w:pPr>
        <w:pStyle w:val="FirstParagraph"/>
      </w:pPr>
      <w:r>
        <w:t xml:space="preserve">Dal 2008 sono usciti diversi studi più ampi e accurati da Paesi europei, che non hanno trovato alcun effetto: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Engberink 2008, PMID 18086944</w:t>
            </w:r>
          </w:p>
        </w:tc>
        <w:tc>
          <w:tcPr/>
          <w:p>
            <w:pPr>
              <w:pStyle w:val="Compact"/>
              <w:jc w:val="left"/>
            </w:pPr>
            <w:r>
              <w:t xml:space="preserve">135 olandesi con pressione sistolica elevata, tre metodi di produzione di LTP vs. placebo</w:t>
            </w:r>
          </w:p>
        </w:tc>
        <w:tc>
          <w:tcPr/>
          <w:p>
            <w:pPr>
              <w:pStyle w:val="Compact"/>
              <w:jc w:val="left"/>
            </w:pPr>
            <w:r>
              <w:t xml:space="preserve">8 settimane</w:t>
            </w:r>
          </w:p>
        </w:tc>
        <w:tc>
          <w:tcPr/>
          <w:p>
            <w:pPr>
              <w:pStyle w:val="Compact"/>
              <w:jc w:val="left"/>
            </w:pPr>
            <w:r>
              <w:t xml:space="preserve">Nessuna differenza rispetto al placebo per pressione in ambulatorio, a domicilio e nelle 24 ore, attività dell’ACE o angiotensina II</w:t>
            </w:r>
          </w:p>
        </w:tc>
      </w:tr>
      <w:tr>
        <w:tc>
          <w:tcPr/>
          <w:p>
            <w:pPr>
              <w:pStyle w:val="Compact"/>
              <w:jc w:val="left"/>
            </w:pPr>
            <w:r>
              <w:t xml:space="preserve">van der Zander 2008, PMID 19064533</w:t>
            </w:r>
          </w:p>
        </w:tc>
        <w:tc>
          <w:tcPr/>
          <w:p>
            <w:pPr>
              <w:pStyle w:val="Compact"/>
              <w:jc w:val="left"/>
            </w:pPr>
            <w:r>
              <w:t xml:space="preserve">275 olandesi con ipertensione, LTP prodotti per via enzimatica in una bevanda allo yogurt vs. placebo</w:t>
            </w:r>
          </w:p>
        </w:tc>
        <w:tc>
          <w:tcPr/>
          <w:p>
            <w:pPr>
              <w:pStyle w:val="Compact"/>
              <w:jc w:val="left"/>
            </w:pPr>
            <w:r>
              <w:t xml:space="preserve">8 settimane</w:t>
            </w:r>
          </w:p>
        </w:tc>
        <w:tc>
          <w:tcPr/>
          <w:p>
            <w:pPr>
              <w:pStyle w:val="Compact"/>
              <w:jc w:val="left"/>
            </w:pPr>
            <w:r>
              <w:t xml:space="preserve">Nessuna differenza sistolica (p = 0,66) o diastolica (p = 0,72)</w:t>
            </w:r>
          </w:p>
        </w:tc>
      </w:tr>
      <w:tr>
        <w:tc>
          <w:tcPr/>
          <w:p>
            <w:pPr>
              <w:pStyle w:val="Compact"/>
              <w:jc w:val="left"/>
            </w:pPr>
            <w:r>
              <w:t xml:space="preserve">van Mierlo 2009, PMID 19106238</w:t>
            </w:r>
          </w:p>
        </w:tc>
        <w:tc>
          <w:tcPr/>
          <w:p>
            <w:pPr>
              <w:pStyle w:val="Compact"/>
              <w:jc w:val="left"/>
            </w:pPr>
            <w:r>
              <w:t xml:space="preserve">2 studi crossover con 69 e 93 adulti non trattati, misurazione nelle 24 ore</w:t>
            </w:r>
          </w:p>
        </w:tc>
        <w:tc>
          <w:tcPr/>
          <w:p>
            <w:pPr>
              <w:pStyle w:val="Compact"/>
              <w:jc w:val="left"/>
            </w:pPr>
            <w:r>
              <w:t xml:space="preserve">4 settimane ciascuno</w:t>
            </w:r>
          </w:p>
        </w:tc>
        <w:tc>
          <w:tcPr/>
          <w:p>
            <w:pPr>
              <w:pStyle w:val="Compact"/>
              <w:jc w:val="left"/>
            </w:pPr>
            <w:r>
              <w:t xml:space="preserve">Nessuna differenza nella pressione nelle 24 ore</w:t>
            </w:r>
          </w:p>
        </w:tc>
      </w:tr>
      <w:tr>
        <w:tc>
          <w:tcPr/>
          <w:p>
            <w:pPr>
              <w:pStyle w:val="Compact"/>
              <w:jc w:val="left"/>
            </w:pPr>
            <w:r>
              <w:t xml:space="preserve">Usinger 2010, PMID 20147968</w:t>
            </w:r>
          </w:p>
        </w:tc>
        <w:tc>
          <w:tcPr/>
          <w:p>
            <w:pPr>
              <w:pStyle w:val="Compact"/>
              <w:jc w:val="left"/>
            </w:pPr>
            <w:r>
              <w:t xml:space="preserve">94 persone con pressione normale-alta o al limite, 150 o 300 ml di latte fermentato vs. placebo</w:t>
            </w:r>
          </w:p>
        </w:tc>
        <w:tc>
          <w:tcPr/>
          <w:p>
            <w:pPr>
              <w:pStyle w:val="Compact"/>
              <w:jc w:val="left"/>
            </w:pPr>
            <w:r>
              <w:t xml:space="preserve">8 settimane</w:t>
            </w:r>
          </w:p>
        </w:tc>
        <w:tc>
          <w:tcPr/>
          <w:p>
            <w:pPr>
              <w:pStyle w:val="Compact"/>
              <w:jc w:val="left"/>
            </w:pPr>
            <w:r>
              <w:t xml:space="preserve">Nessuna differenza significativa nella pressione nelle 24 ore</w:t>
            </w:r>
          </w:p>
        </w:tc>
      </w:tr>
    </w:tbl>
    <w:p>
      <w:pPr>
        <w:pStyle w:val="BodyText"/>
      </w:pPr>
      <w:r>
        <w:t xml:space="preserve">Notevole nello studio di Engberink: ha testato lattotripeptidi da tre fonti – da latte fermentato concentrato, prodotti per via enzimatica e sintetizzati chimicamente. Nessuna delle tre varianti ha abbassato la pressione o inibito l’ACE in modo misurabile. Una rassegna ha riassunto sei di questi studi con 780 partecipanti dal Regno Unito e dai Paesi Bassi e ha concluso che i dati più recenti non sostengono un ruolo dei lattotripeptidi nella regolazione della pressione arteriosa</w:t>
      </w:r>
      <w:r>
        <w:rPr>
          <w:rStyle w:val="FootnoteReference"/>
        </w:rPr>
        <w:footnoteReference w:id="2378"/>
      </w:r>
      <w:r>
        <w:t xml:space="preserve">.</w:t>
      </w:r>
    </w:p>
    <w:bookmarkEnd w:id="2379"/>
    <w:bookmarkStart w:id="2385" w:name="studi-successivi"/>
    <w:p>
      <w:pPr>
        <w:pStyle w:val="Heading4"/>
      </w:pPr>
      <w:r>
        <w:t xml:space="preserve">Studi successivi</w:t>
      </w:r>
    </w:p>
    <w:p>
      <w:pPr>
        <w:pStyle w:val="FirstParagraph"/>
      </w:pPr>
      <w:r>
        <w:t xml:space="preserve">Anche dopo il 2010 i risultati sono rimasti contrastanti. In Finlandia una dose di 50 mg di lattotripeptidi al giorno ha abbassato la pressione nelle 24 ore rispetto al valore iniziale, ma non in modo significativo rispetto al placebo (−2,6 mmHg sistolica); 5 mg al giorno non hanno avuto effetto</w:t>
      </w:r>
      <w:r>
        <w:rPr>
          <w:rStyle w:val="FootnoteReference"/>
        </w:rPr>
        <w:footnoteReference w:id="2380"/>
      </w:r>
      <w:r>
        <w:t xml:space="preserve">. Una margarina spalmabile con IPP, VPP e steroli vegetali ha abbassato la pressione sistolica misurata a domicilio più del placebo (−4,1 contro −0,5 mmHg), ma non il valore in ambulatorio o nelle 24 ore</w:t>
      </w:r>
      <w:r>
        <w:rPr>
          <w:rStyle w:val="FootnoteReference"/>
        </w:rPr>
        <w:footnoteReference w:id="2381"/>
      </w:r>
      <w:r>
        <w:t xml:space="preserve">. Studi italiani hanno riportato effetti favorevoli sulla pressione in ambulatorio e sulla rigidità vascolare</w:t>
      </w:r>
      <w:r>
        <w:rPr>
          <w:rStyle w:val="FootnoteReference"/>
        </w:rPr>
        <w:footnoteReference w:id="2382"/>
      </w:r>
      <w:r>
        <w:t xml:space="preserve">, in uno dei due senza effetto sulla pressione nelle 24 ore. Negli Stati Uniti, in uno studio con 91 persone con ipertensione di stadio 1 e 2, la pressione sistolica diurna è diminuita di 3,6 mmHg, con il placebo no</w:t>
      </w:r>
      <w:r>
        <w:rPr>
          <w:rStyle w:val="FootnoteReference"/>
        </w:rPr>
        <w:footnoteReference w:id="2383"/>
      </w:r>
      <w:r>
        <w:t xml:space="preserve">.</w:t>
      </w:r>
    </w:p>
    <w:p>
      <w:pPr>
        <w:pStyle w:val="BodyText"/>
      </w:pPr>
      <w:r>
        <w:t xml:space="preserve">Esistono inoltre piccoli studi su funzione vascolare, irrorazione cerebrale, affaticamento muscolare e prestazioni cognitive, per lo più con 15–50 partecipanti</w:t>
      </w:r>
      <w:r>
        <w:rPr>
          <w:rStyle w:val="FootnoteReference"/>
        </w:rPr>
        <w:footnoteReference w:id="2384"/>
      </w:r>
      <w:r>
        <w:t xml:space="preserve">. Vanno letti come indizi, non come prove.</w:t>
      </w:r>
    </w:p>
    <w:bookmarkEnd w:id="2385"/>
    <w:bookmarkStart w:id="2387" w:name="X60cac3d5f86810366d1264456a5c7d48edd8b57"/>
    <w:p>
      <w:pPr>
        <w:pStyle w:val="Heading4"/>
      </w:pPr>
      <w:r>
        <w:t xml:space="preserve">Meta-analisi: effetto piccolo, forte influenza dell’origine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Meta-analisi</w:t>
            </w:r>
          </w:p>
        </w:tc>
        <w:tc>
          <w:tcPr/>
          <w:p>
            <w:pPr>
              <w:pStyle w:val="Compact"/>
              <w:jc w:val="left"/>
            </w:pPr>
            <w:r>
              <w:t xml:space="preserve">Ampiezza</w:t>
            </w:r>
          </w:p>
        </w:tc>
        <w:tc>
          <w:tcPr/>
          <w:p>
            <w:pPr>
              <w:pStyle w:val="Compact"/>
              <w:jc w:val="left"/>
            </w:pPr>
            <w:r>
              <w:t xml:space="preserve">Effetto sulla pressione sistolica</w:t>
            </w:r>
          </w:p>
        </w:tc>
      </w:tr>
      <w:tr>
        <w:tc>
          <w:tcPr/>
          <w:p>
            <w:pPr>
              <w:pStyle w:val="Compact"/>
              <w:jc w:val="left"/>
            </w:pPr>
            <w:r>
              <w:t xml:space="preserve">Cicero 2011, PMID 20811398</w:t>
            </w:r>
          </w:p>
        </w:tc>
        <w:tc>
          <w:tcPr/>
          <w:p>
            <w:pPr>
              <w:pStyle w:val="Compact"/>
              <w:jc w:val="left"/>
            </w:pPr>
            <w:r>
              <w:t xml:space="preserve">18 studi</w:t>
            </w:r>
          </w:p>
        </w:tc>
        <w:tc>
          <w:tcPr/>
          <w:p>
            <w:pPr>
              <w:pStyle w:val="Compact"/>
              <w:jc w:val="left"/>
            </w:pPr>
            <w:r>
              <w:t xml:space="preserve">−3,73 mmHg complessivo; Asia −6,93 mmHg; Europa −1,17 mmHg (non significativo)</w:t>
            </w:r>
          </w:p>
        </w:tc>
      </w:tr>
      <w:tr>
        <w:tc>
          <w:tcPr/>
          <w:p>
            <w:pPr>
              <w:pStyle w:val="Compact"/>
              <w:jc w:val="left"/>
            </w:pPr>
            <w:r>
              <w:t xml:space="preserve">Turpeinen 2013, PMID 23305234</w:t>
            </w:r>
          </w:p>
        </w:tc>
        <w:tc>
          <w:tcPr/>
          <w:p>
            <w:pPr>
              <w:pStyle w:val="Compact"/>
              <w:jc w:val="left"/>
            </w:pPr>
            <w:r>
              <w:t xml:space="preserve">19 studi, circa 1.500 persone</w:t>
            </w:r>
          </w:p>
        </w:tc>
        <w:tc>
          <w:tcPr/>
          <w:p>
            <w:pPr>
              <w:pStyle w:val="Compact"/>
              <w:jc w:val="left"/>
            </w:pPr>
            <w:r>
              <w:t xml:space="preserve">−4,0 mmHg</w:t>
            </w:r>
          </w:p>
        </w:tc>
      </w:tr>
      <w:tr>
        <w:tc>
          <w:tcPr/>
          <w:p>
            <w:pPr>
              <w:pStyle w:val="Compact"/>
              <w:jc w:val="left"/>
            </w:pPr>
            <w:r>
              <w:t xml:space="preserve">Qin 2013, PMID 23566677</w:t>
            </w:r>
          </w:p>
        </w:tc>
        <w:tc>
          <w:tcPr/>
          <w:p>
            <w:pPr>
              <w:pStyle w:val="Compact"/>
              <w:jc w:val="left"/>
            </w:pPr>
            <w:r>
              <w:t xml:space="preserve">28 bracci di studio, 1.919 persone</w:t>
            </w:r>
          </w:p>
        </w:tc>
        <w:tc>
          <w:tcPr/>
          <w:p>
            <w:pPr>
              <w:pStyle w:val="Compact"/>
              <w:jc w:val="left"/>
            </w:pPr>
            <w:r>
              <w:t xml:space="preserve">−1,66 mmHg; nella pressione nelle 24 ore −1,30 mmHg</w:t>
            </w:r>
          </w:p>
        </w:tc>
      </w:tr>
      <w:tr>
        <w:tc>
          <w:tcPr/>
          <w:p>
            <w:pPr>
              <w:pStyle w:val="Compact"/>
              <w:jc w:val="left"/>
            </w:pPr>
            <w:r>
              <w:t xml:space="preserve">Cicero 2013, PMID 23382495</w:t>
            </w:r>
          </w:p>
        </w:tc>
        <w:tc>
          <w:tcPr/>
          <w:p>
            <w:pPr>
              <w:pStyle w:val="Compact"/>
              <w:jc w:val="left"/>
            </w:pPr>
            <w:r>
              <w:t xml:space="preserve">14 studi europei, 1.306 persone</w:t>
            </w:r>
          </w:p>
        </w:tc>
        <w:tc>
          <w:tcPr/>
          <w:p>
            <w:pPr>
              <w:pStyle w:val="Compact"/>
              <w:jc w:val="left"/>
            </w:pPr>
            <w:r>
              <w:t xml:space="preserve">−1,28 mmHg</w:t>
            </w:r>
          </w:p>
        </w:tc>
      </w:tr>
      <w:tr>
        <w:tc>
          <w:tcPr/>
          <w:p>
            <w:pPr>
              <w:pStyle w:val="Compact"/>
              <w:jc w:val="left"/>
            </w:pPr>
            <w:r>
              <w:t xml:space="preserve">Fekete 2015, PMID 25608938</w:t>
            </w:r>
          </w:p>
        </w:tc>
        <w:tc>
          <w:tcPr/>
          <w:p>
            <w:pPr>
              <w:pStyle w:val="Compact"/>
              <w:jc w:val="left"/>
            </w:pPr>
            <w:r>
              <w:t xml:space="preserve">30 studi</w:t>
            </w:r>
          </w:p>
        </w:tc>
        <w:tc>
          <w:tcPr/>
          <w:p>
            <w:pPr>
              <w:pStyle w:val="Compact"/>
              <w:jc w:val="left"/>
            </w:pPr>
            <w:r>
              <w:t xml:space="preserve">−2,95 mmHg; pressione nelle 24 ore non significativa</w:t>
            </w:r>
          </w:p>
        </w:tc>
      </w:tr>
      <w:tr>
        <w:tc>
          <w:tcPr/>
          <w:p>
            <w:pPr>
              <w:pStyle w:val="Compact"/>
              <w:jc w:val="left"/>
            </w:pPr>
            <w:r>
              <w:t xml:space="preserve">Chanson-Rolle 2015, PMID 26536628</w:t>
            </w:r>
          </w:p>
        </w:tc>
        <w:tc>
          <w:tcPr/>
          <w:p>
            <w:pPr>
              <w:pStyle w:val="Compact"/>
              <w:jc w:val="left"/>
            </w:pPr>
            <w:r>
              <w:t xml:space="preserve">18 studi giapponesi, 1.194 persone</w:t>
            </w:r>
          </w:p>
        </w:tc>
        <w:tc>
          <w:tcPr/>
          <w:p>
            <w:pPr>
              <w:pStyle w:val="Compact"/>
              <w:jc w:val="left"/>
            </w:pPr>
            <w:r>
              <w:t xml:space="preserve">−5,63 mmHg</w:t>
            </w:r>
          </w:p>
        </w:tc>
      </w:tr>
    </w:tbl>
    <w:p>
      <w:pPr>
        <w:pStyle w:val="BodyText"/>
      </w:pPr>
      <w:r>
        <w:t xml:space="preserve">Tre schemi attraversano tutte le analisi:</w:t>
      </w:r>
    </w:p>
    <w:p>
      <w:pPr>
        <w:numPr>
          <w:ilvl w:val="0"/>
          <w:numId w:val="1298"/>
        </w:numPr>
        <w:pStyle w:val="Compact"/>
      </w:pPr>
      <w:r>
        <w:rPr>
          <w:bCs/>
          <w:b/>
        </w:rPr>
        <w:t xml:space="preserve">L’effetto è piccolo.</w:t>
      </w:r>
      <w:r>
        <w:t xml:space="preserve"> </w:t>
      </w:r>
      <w:r>
        <w:t xml:space="preserve">In forma aggregata si colloca per lo più tra 1 e 4 mmHg di sistolica – molto meno di quanto ottengano i farmaci antipertensivi approvati.</w:t>
      </w:r>
    </w:p>
    <w:p>
      <w:pPr>
        <w:numPr>
          <w:ilvl w:val="0"/>
          <w:numId w:val="1298"/>
        </w:numPr>
        <w:pStyle w:val="Compact"/>
      </w:pPr>
      <w:r>
        <w:rPr>
          <w:bCs/>
          <w:b/>
        </w:rPr>
        <w:t xml:space="preserve">Gli studi asiatici, soprattutto giapponesi, mostrano effetti nettamente maggiori di quelli europei.</w:t>
      </w:r>
      <w:r>
        <w:t xml:space="preserve"> </w:t>
      </w:r>
      <w:r>
        <w:t xml:space="preserve">Se ciò dipenda da differenze genetiche, dall’alimentazione (per esempio un maggiore consumo di sale) o da differenze metodologiche non è chiarito.</w:t>
      </w:r>
    </w:p>
    <w:p>
      <w:pPr>
        <w:numPr>
          <w:ilvl w:val="0"/>
          <w:numId w:val="1298"/>
        </w:numPr>
        <w:pStyle w:val="Compact"/>
      </w:pPr>
      <w:r>
        <w:rPr>
          <w:bCs/>
          <w:b/>
        </w:rPr>
        <w:t xml:space="preserve">Indizi di distorsione da pubblicazione.</w:t>
      </w:r>
      <w:r>
        <w:t xml:space="preserve"> </w:t>
      </w:r>
      <w:r>
        <w:t xml:space="preserve">La meta-analisi di Fekete ha trovato sia una distorsione da pubblicazione sia un «effetto piccoli studi»: gli studi piccoli mostravano effetti maggiori. Dopo la correzione la riduzione sistolica si è ridotta e quella diastolica non era più significativa. Nella pressione nelle 24 ore – il metodo di misurazione più affidabile – l’effetto non era significativo</w:t>
      </w:r>
      <w:r>
        <w:rPr>
          <w:rStyle w:val="FootnoteReference"/>
        </w:rPr>
        <w:footnoteReference w:id="2386"/>
      </w:r>
      <w:r>
        <w:t xml:space="preserve">.</w:t>
      </w:r>
    </w:p>
    <w:p>
      <w:pPr>
        <w:pStyle w:val="FirstParagraph"/>
      </w:pPr>
      <w:r>
        <w:t xml:space="preserve">Manca uno studio che dimostri che i lattotripeptidi prevengano infarti, ictus o decessi. Vista l’entità ridotta dell’effetto, uno studio del genere non è nemmeno da attendersi.</w:t>
      </w:r>
    </w:p>
    <w:bookmarkEnd w:id="2387"/>
    <w:bookmarkEnd w:id="2388"/>
    <w:bookmarkStart w:id="2395" w:name="studi-su-animali-e-in-laboratorio-53"/>
    <w:p>
      <w:pPr>
        <w:pStyle w:val="Heading3"/>
      </w:pPr>
      <w:r>
        <w:t xml:space="preserve">Studi su animali e in laboratorio</w:t>
      </w:r>
    </w:p>
    <w:p>
      <w:pPr>
        <w:pStyle w:val="FirstParagraph"/>
      </w:pPr>
      <w:r>
        <w:t xml:space="preserve">In ratti con ipertensione congenita (ratti SHR) VPP e IPP hanno abbassato la pressione in modo dipendente dalla dose; nei ratti con pressione normale no</w:t>
      </w:r>
      <w:r>
        <w:rPr>
          <w:rStyle w:val="FootnoteReference"/>
        </w:rPr>
        <w:footnoteReference w:id="2389"/>
      </w:r>
      <w:r>
        <w:t xml:space="preserve">. In colture cellulari VPP e IPP, a concentrazioni superiori a 100 nanomoli per litro, hanno stimolato la produzione di ossido nitrico nelle cellule vascolari, e su aorte isolate di ratto hanno provocato una vasodilatazione</w:t>
      </w:r>
      <w:r>
        <w:rPr>
          <w:rStyle w:val="FootnoteReference"/>
        </w:rPr>
        <w:footnoteReference w:id="2390"/>
      </w:r>
      <w:r>
        <w:t xml:space="preserve">. Per confronto: nel sangue umano, dopo l’assunzione di una bevanda arricchita, sono state misurate meno di 1 nanomole per litro di IPP</w:t>
      </w:r>
      <w:r>
        <w:rPr>
          <w:rStyle w:val="FootnoteReference"/>
        </w:rPr>
        <w:footnoteReference w:id="2391"/>
      </w:r>
      <w:r>
        <w:t xml:space="preserve">. Le analisi cristallografiche a raggi X mostrano che entrambi i peptidi si legano preferibilmente a uno dei due siti attivi della molecola di ACE</w:t>
      </w:r>
      <w:r>
        <w:rPr>
          <w:rStyle w:val="FootnoteReference"/>
        </w:rPr>
        <w:footnoteReference w:id="2392"/>
      </w:r>
      <w:r>
        <w:t xml:space="preserve">. In ratti e conigli gli studi di tossicità – comprese indagini sullo sviluppo renale della prole, poiché gli ACE-inibitori in gravidanza possono danneggiare il nascituro – non hanno trovato effetti collaterali alle dosi più alte testate</w:t>
      </w:r>
      <w:r>
        <w:rPr>
          <w:rStyle w:val="FootnoteReference"/>
        </w:rPr>
        <w:footnoteReference w:id="2393"/>
      </w:r>
      <w:r>
        <w:t xml:space="preserve">. Un idrolizzato di proteine del latte contenente IPP non è risultato mutageno nei test genetici; la dose più alta testata nell’esperimento di 90 giorni sui ratti era circa 141 volte superiore all’assunzione massima prevista</w:t>
      </w:r>
      <w:r>
        <w:rPr>
          <w:rStyle w:val="FootnoteReference"/>
        </w:rPr>
        <w:footnoteReference w:id="2394"/>
      </w:r>
      <w:r>
        <w:t xml:space="preserve">.</w:t>
      </w:r>
    </w:p>
    <w:bookmarkEnd w:id="2395"/>
    <w:bookmarkStart w:id="2397" w:name="rischi-ed-effetti-collaterali-53"/>
    <w:p>
      <w:pPr>
        <w:pStyle w:val="Heading3"/>
      </w:pPr>
      <w:r>
        <w:t xml:space="preserve">Rischi ed effetti collaterali</w:t>
      </w:r>
    </w:p>
    <w:p>
      <w:pPr>
        <w:pStyle w:val="FirstParagraph"/>
      </w:pPr>
      <w:r>
        <w:rPr>
          <w:bCs/>
          <w:b/>
        </w:rPr>
        <w:t xml:space="preserve">Dimostrati:</w:t>
      </w:r>
      <w:r>
        <w:t xml:space="preserve"> </w:t>
      </w:r>
      <w:r>
        <w:t xml:space="preserve">negli studi sull’uomo con i lattotripeptidi non si sono verificati più effetti collaterali che con il placebo</w:t>
      </w:r>
      <w:r>
        <w:rPr>
          <w:rStyle w:val="FootnoteReference"/>
        </w:rPr>
        <w:footnoteReference w:id="2396"/>
      </w:r>
      <w:r>
        <w:t xml:space="preserve">. I peptidi derivano da proteine del latte che si consumano da sempre; le quantità nei prodotti sono nell’ordine dei milligrammi.</w:t>
      </w:r>
    </w:p>
    <w:p>
      <w:pPr>
        <w:pStyle w:val="BodyText"/>
      </w:pPr>
      <w:r>
        <w:rPr>
          <w:bCs/>
          <w:b/>
        </w:rPr>
        <w:t xml:space="preserve">Teorici o da considerare:</w:t>
      </w:r>
    </w:p>
    <w:p>
      <w:pPr>
        <w:numPr>
          <w:ilvl w:val="0"/>
          <w:numId w:val="1299"/>
        </w:numPr>
        <w:pStyle w:val="Compact"/>
      </w:pPr>
      <w:r>
        <w:rPr>
          <w:bCs/>
          <w:b/>
        </w:rPr>
        <w:t xml:space="preserve">Allergia al latte:</w:t>
      </w:r>
      <w:r>
        <w:t xml:space="preserve"> </w:t>
      </w:r>
      <w:r>
        <w:t xml:space="preserve">i prodotti a base di latte o caseina non sono adatti in caso di allergia alle proteine del latte vaccino.</w:t>
      </w:r>
    </w:p>
    <w:p>
      <w:pPr>
        <w:numPr>
          <w:ilvl w:val="0"/>
          <w:numId w:val="1299"/>
        </w:numPr>
        <w:pStyle w:val="Compact"/>
      </w:pPr>
      <w:r>
        <w:rPr>
          <w:bCs/>
          <w:b/>
        </w:rPr>
        <w:t xml:space="preserve">Combinazione con farmaci antipertensivi:</w:t>
      </w:r>
      <w:r>
        <w:t xml:space="preserve"> </w:t>
      </w:r>
      <w:r>
        <w:t xml:space="preserve">un potenziamento rilevante è improbabile visto l’effetto debole, ma non è stato studiato sistematicamente.</w:t>
      </w:r>
    </w:p>
    <w:p>
      <w:pPr>
        <w:numPr>
          <w:ilvl w:val="0"/>
          <w:numId w:val="1299"/>
        </w:numPr>
        <w:pStyle w:val="Compact"/>
      </w:pPr>
      <w:r>
        <w:rPr>
          <w:bCs/>
          <w:b/>
        </w:rPr>
        <w:t xml:space="preserve">Gravidanza:</w:t>
      </w:r>
      <w:r>
        <w:t xml:space="preserve"> </w:t>
      </w:r>
      <w:r>
        <w:t xml:space="preserve">gli ACE-inibitori sono controindicati in gravidanza. Per i lattotripeptidi negli esperimenti sugli animali non è stato trovato un danno corrispondente; mancano dati sull’uomo.</w:t>
      </w:r>
    </w:p>
    <w:p>
      <w:pPr>
        <w:numPr>
          <w:ilvl w:val="0"/>
          <w:numId w:val="1299"/>
        </w:numPr>
        <w:pStyle w:val="Compact"/>
      </w:pPr>
      <w:r>
        <w:rPr>
          <w:bCs/>
          <w:b/>
        </w:rPr>
        <w:t xml:space="preserve">Il rischio più importante:</w:t>
      </w:r>
      <w:r>
        <w:t xml:space="preserve"> </w:t>
      </w:r>
      <w:r>
        <w:t xml:space="preserve">chi tratta un’ipertensione che richiede terapia con una bevanda al latte invece che con misure efficaci rinuncia alla protezione da infarto e ictus. Riduzione del peso, meno sale, attività fisica e – se necessario – farmaci abbassano la pressione in modo dimostrato e più marcato.</w:t>
      </w:r>
    </w:p>
    <w:bookmarkEnd w:id="2397"/>
    <w:bookmarkStart w:id="2398" w:name="quadro-normativo-53"/>
    <w:p>
      <w:pPr>
        <w:pStyle w:val="Heading3"/>
      </w:pPr>
      <w:r>
        <w:t xml:space="preserve">Quadro normativo</w:t>
      </w:r>
    </w:p>
    <w:p>
      <w:pPr>
        <w:numPr>
          <w:ilvl w:val="0"/>
          <w:numId w:val="1300"/>
        </w:numPr>
        <w:pStyle w:val="Compact"/>
      </w:pPr>
      <w:r>
        <w:rPr>
          <w:bCs/>
          <w:b/>
        </w:rPr>
        <w:t xml:space="preserve">UE / Austria / Germania:</w:t>
      </w:r>
      <w:r>
        <w:t xml:space="preserve"> </w:t>
      </w:r>
      <w:r>
        <w:t xml:space="preserve">i lattotripeptidi sono ingredienti alimentari. Le indicazioni sulla salute relative alla pressione arteriosa</w:t>
      </w:r>
      <w:r>
        <w:t xml:space="preserve"> </w:t>
      </w:r>
      <w:r>
        <w:rPr>
          <w:bCs/>
          <w:b/>
        </w:rPr>
        <w:t xml:space="preserve">non sono autorizzate</w:t>
      </w:r>
      <w:r>
        <w:t xml:space="preserve"> </w:t>
      </w:r>
      <w:r>
        <w:t xml:space="preserve">secondo il regolamento sulle indicazioni sulla salute (Regolamento (CE) n. 1924/2006). L’Autorità europea per la sicurezza alimentare (EFSA) ha esaminato le domande sui lattotripeptidi e il mantenimento di una pressione arteriosa normale, concludendo che un rapporto di causa-effetto non è sufficientemente dimostrato. Determinanti sono stati, tra l’altro, gli studi europei contraddittori. Nell’UE i prodotti non possono quindi essere pubblicizzati con «abbassa la pressione» o «contribuisce al mantenimento di una pressione arteriosa normale».</w:t>
      </w:r>
    </w:p>
    <w:p>
      <w:pPr>
        <w:numPr>
          <w:ilvl w:val="0"/>
          <w:numId w:val="1300"/>
        </w:numPr>
        <w:pStyle w:val="Compact"/>
      </w:pPr>
      <w:r>
        <w:rPr>
          <w:bCs/>
          <w:b/>
        </w:rPr>
        <w:t xml:space="preserve">Giappone:</w:t>
      </w:r>
      <w:r>
        <w:t xml:space="preserve"> </w:t>
      </w:r>
      <w:r>
        <w:t xml:space="preserve">lì bevande di questo tipo sono state commercializzate come «alimenti per usi sanitari specifici» (FOSHU) con un’indicazione sulla pressione autorizzata dalle autorità. Questo spiega in parte perché una gran parte degli studi provenga dal Giappone.</w:t>
      </w:r>
    </w:p>
    <w:p>
      <w:pPr>
        <w:numPr>
          <w:ilvl w:val="0"/>
          <w:numId w:val="1300"/>
        </w:numPr>
        <w:pStyle w:val="Compact"/>
      </w:pPr>
      <w:r>
        <w:rPr>
          <w:bCs/>
          <w:b/>
        </w:rPr>
        <w:t xml:space="preserve">USA:</w:t>
      </w:r>
      <w:r>
        <w:t xml:space="preserve"> </w:t>
      </w:r>
      <w:r>
        <w:t xml:space="preserve">vendibili come integratori alimentari; le indicazioni relative a malattie non sono consentite.</w:t>
      </w:r>
    </w:p>
    <w:p>
      <w:pPr>
        <w:numPr>
          <w:ilvl w:val="0"/>
          <w:numId w:val="1300"/>
        </w:numPr>
        <w:pStyle w:val="Compact"/>
      </w:pPr>
      <w:r>
        <w:rPr>
          <w:bCs/>
          <w:b/>
        </w:rPr>
        <w:t xml:space="preserve">Sport:</w:t>
      </w:r>
      <w:r>
        <w:t xml:space="preserve"> </w:t>
      </w:r>
      <w:r>
        <w:t xml:space="preserve">non figurano nell’elenco delle sostanze proibite della WADA (aggiornato al 2026, da verificare).</w:t>
      </w:r>
    </w:p>
    <w:bookmarkEnd w:id="2398"/>
    <w:bookmarkStart w:id="2400" w:name="studi-in-corso-e-prospettive-53"/>
    <w:p>
      <w:pPr>
        <w:pStyle w:val="Heading3"/>
      </w:pPr>
      <w:r>
        <w:t xml:space="preserve">Studi in corso e prospettive</w:t>
      </w:r>
    </w:p>
    <w:p>
      <w:pPr>
        <w:pStyle w:val="FirstParagraph"/>
      </w:pPr>
      <w:r>
        <w:rPr>
          <w:bCs/>
          <w:b/>
        </w:rPr>
        <w:t xml:space="preserve">Dati certi:</w:t>
      </w:r>
      <w:r>
        <w:t xml:space="preserve"> </w:t>
      </w:r>
      <w:r>
        <w:t xml:space="preserve">su ClinicalTrials.gov non è registrato alcuno studio in corso con il termine «lactotripeptides». Con termini affini si trova uno studio concluso su IPP e funzione vascolare nella cardiopatia coronarica con 54 partecipanti</w:t>
      </w:r>
      <w:r>
        <w:rPr>
          <w:rStyle w:val="FootnoteReference"/>
        </w:rPr>
        <w:footnoteReference w:id="2399"/>
      </w:r>
      <w:r>
        <w:t xml:space="preserve">. La ricerca sui lattotripeptidi si è nettamente affievolita dal 2015 circa; i lavori recenti indagano soprattutto, in generale, perché le persone rispondano in modo diverso ai peptidi alimentari.</w:t>
      </w:r>
    </w:p>
    <w:p>
      <w:pPr>
        <w:pStyle w:val="BodyText"/>
      </w:pPr>
      <w:r>
        <w:rPr>
          <w:bCs/>
          <w:b/>
        </w:rPr>
        <w:t xml:space="preserve">Valutazione:</w:t>
      </w:r>
      <w:r>
        <w:t xml:space="preserve"> </w:t>
      </w:r>
      <w:r>
        <w:t xml:space="preserve">i lattotripeptidi sono un esempio da manuale di come un meccanismo convincente in laboratorio e i primi studi positivi possano ridimensionarsi in indagini più ampie e indipendenti. Un piccolo effetto sulla pressione è possibile – soprattutto nelle popolazioni asiatiche studiate –, ma per l’Europa non è dimostrato in modo convincente. Una rinascita non è in vista.</w:t>
      </w:r>
    </w:p>
    <w:bookmarkEnd w:id="2400"/>
    <w:bookmarkStart w:id="2401" w:name="conclusione-53"/>
    <w:p>
      <w:pPr>
        <w:pStyle w:val="Heading3"/>
      </w:pPr>
      <w:r>
        <w:t xml:space="preserve">Conclusione</w:t>
      </w:r>
    </w:p>
    <w:p>
      <w:pPr>
        <w:pStyle w:val="FirstParagraph"/>
      </w:pPr>
      <w:r>
        <w:t xml:space="preserve">I lattotripeptidi sono due piccoli peptidi del latte che in provetta inibiscono l’enzima ACE, che regola la pressione arteriosa. Nei primi studi giapponesi e finlandesi hanno abbassato la pressione, in diversi studi olandesi più ampi invece no, e un’inibizione misurabile dell’ACE non si è potuta dimostrare nell’uomo. Le meta-analisi indicano una riduzione della pressione sistolica di circa 1–4 mmHg, con indizi di distorsione da pubblicazione e un effetto nettamente minore in Europa. L’EFSA ha respinto un’indicazione sulla pressione arteriosa. Sono innocui, ma non sostituiscono un trattamento dell’ipertensione.</w:t>
      </w:r>
    </w:p>
    <w:bookmarkEnd w:id="2401"/>
    <w:bookmarkEnd w:id="2402"/>
    <w:bookmarkStart w:id="2453" w:name="carnosina"/>
    <w:p>
      <w:pPr>
        <w:pStyle w:val="Heading2"/>
      </w:pPr>
      <w:r>
        <w:t xml:space="preserve">Carnosina</w:t>
      </w:r>
    </w:p>
    <w:bookmarkStart w:id="2403" w:name="scheda-54"/>
    <w:p>
      <w:pPr>
        <w:pStyle w:val="Heading3"/>
      </w:pPr>
      <w:r>
        <w:t xml:space="preserve">Scheda</w:t>
      </w:r>
    </w:p>
    <w:p>
      <w:pPr>
        <w:numPr>
          <w:ilvl w:val="0"/>
          <w:numId w:val="1301"/>
        </w:numPr>
        <w:pStyle w:val="Compact"/>
      </w:pPr>
      <w:r>
        <w:rPr>
          <w:bCs/>
          <w:b/>
        </w:rPr>
        <w:t xml:space="preserve">Tipo/struttura:</w:t>
      </w:r>
      <w:r>
        <w:t xml:space="preserve"> </w:t>
      </w:r>
      <w:r>
        <w:t xml:space="preserve">dipeptide composto dagli aminoacidi beta-alanina e istidina (β-alanil-L-istidina). Sostanze affini sono l’anserina (nel pollame e nel pesce) e l’omocarnosina (nel cervello); insieme sono chiamate dipeptidi contenenti istidina.</w:t>
      </w:r>
    </w:p>
    <w:p>
      <w:pPr>
        <w:numPr>
          <w:ilvl w:val="0"/>
          <w:numId w:val="1301"/>
        </w:numPr>
        <w:pStyle w:val="Compact"/>
      </w:pPr>
      <w:r>
        <w:rPr>
          <w:bCs/>
          <w:b/>
        </w:rPr>
        <w:t xml:space="preserve">Origine:</w:t>
      </w:r>
      <w:r>
        <w:t xml:space="preserve"> </w:t>
      </w:r>
      <w:r>
        <w:t xml:space="preserve">endogena, in alta concentrazione nella muscolatura scheletrica, inoltre nel cuore e nel cervello. Con l’alimentazione la carnosina viene assunta soprattutto con carne e pesce; gli alimenti vegetali non ne contengono praticamente. Per gli integratori alimentari viene prodotta per sintesi.</w:t>
      </w:r>
    </w:p>
    <w:p>
      <w:pPr>
        <w:numPr>
          <w:ilvl w:val="0"/>
          <w:numId w:val="1301"/>
        </w:numPr>
        <w:pStyle w:val="Compact"/>
      </w:pPr>
      <w:r>
        <w:rPr>
          <w:bCs/>
          <w:b/>
        </w:rPr>
        <w:t xml:space="preserve">Principio d’azione:</w:t>
      </w:r>
      <w:r>
        <w:t xml:space="preserve"> </w:t>
      </w:r>
      <w:r>
        <w:t xml:space="preserve">tampone contro l’acidificazione nel muscolo; in laboratorio inoltre cattura di prodotti reattivi della degradazione di zuccheri e grassi (anti-glicazione) ed effetto antiossidante.</w:t>
      </w:r>
    </w:p>
    <w:p>
      <w:pPr>
        <w:numPr>
          <w:ilvl w:val="0"/>
          <w:numId w:val="1301"/>
        </w:numPr>
        <w:pStyle w:val="Compact"/>
      </w:pPr>
      <w:r>
        <w:rPr>
          <w:bCs/>
          <w:b/>
        </w:rPr>
        <w:t xml:space="preserve">Principi attivi affini:</w:t>
      </w:r>
      <w:r>
        <w:t xml:space="preserve"> </w:t>
      </w:r>
      <w:r>
        <w:t xml:space="preserve">beta-alanina (il precursore, integratore sportivo diffuso); zinco-carnosina (polaprezinc, in Giappone un farmaco contro l’ulcera gastrica); N-acetilcarnosina (nei colliri).</w:t>
      </w:r>
    </w:p>
    <w:p>
      <w:pPr>
        <w:numPr>
          <w:ilvl w:val="0"/>
          <w:numId w:val="1301"/>
        </w:numPr>
        <w:pStyle w:val="Compact"/>
      </w:pPr>
      <w:r>
        <w:rPr>
          <w:bCs/>
          <w:b/>
        </w:rPr>
        <w:t xml:space="preserve">Approvazione UE:</w:t>
      </w:r>
      <w:r>
        <w:t xml:space="preserve"> </w:t>
      </w:r>
      <w:r>
        <w:t xml:space="preserve">nessuna autorizzazione come farmaco per la carnosina; in commercio come integratore alimentare. Nessuna indicazione sulla salute autorizzata.</w:t>
      </w:r>
    </w:p>
    <w:p>
      <w:pPr>
        <w:numPr>
          <w:ilvl w:val="0"/>
          <w:numId w:val="1301"/>
        </w:numPr>
        <w:pStyle w:val="Compact"/>
      </w:pPr>
      <w:r>
        <w:rPr>
          <w:bCs/>
          <w:b/>
        </w:rPr>
        <w:t xml:space="preserve">Approvazione USA:</w:t>
      </w:r>
      <w:r>
        <w:t xml:space="preserve"> </w:t>
      </w:r>
      <w:r>
        <w:t xml:space="preserve">nessuna autorizzazione come farmaco; disponibile come integratore alimentare.</w:t>
      </w:r>
    </w:p>
    <w:p>
      <w:pPr>
        <w:numPr>
          <w:ilvl w:val="0"/>
          <w:numId w:val="1301"/>
        </w:numPr>
        <w:pStyle w:val="Compact"/>
      </w:pPr>
      <w:r>
        <w:rPr>
          <w:bCs/>
          <w:b/>
        </w:rPr>
        <w:t xml:space="preserve">WADA:</w:t>
      </w:r>
      <w:r>
        <w:t xml:space="preserve"> </w:t>
      </w:r>
      <w:r>
        <w:t xml:space="preserve">carnosina e beta-alanina non sono elencate.</w:t>
      </w:r>
    </w:p>
    <w:p>
      <w:pPr>
        <w:numPr>
          <w:ilvl w:val="0"/>
          <w:numId w:val="1301"/>
        </w:numPr>
        <w:pStyle w:val="Compact"/>
      </w:pPr>
      <w:r>
        <w:rPr>
          <w:bCs/>
          <w:b/>
        </w:rPr>
        <w:t xml:space="preserve">Livello di evidenza:</w:t>
      </w:r>
      <w:r>
        <w:t xml:space="preserve"> </w:t>
      </w:r>
      <w:r>
        <w:rPr>
          <w:bCs/>
          <w:b/>
        </w:rPr>
        <w:t xml:space="preserve">B</w:t>
      </w:r>
      <w:r>
        <w:t xml:space="preserve"> </w:t>
      </w:r>
      <w:r>
        <w:t xml:space="preserve">– diversi piccoli studi randomizzati, uno studio più ampio con quasi 300 partecipanti; molti risultati disomogenei.</w:t>
      </w:r>
    </w:p>
    <w:bookmarkEnd w:id="2403"/>
    <w:bookmarkStart w:id="2412" w:name="come-dovrebbe-agire-54"/>
    <w:p>
      <w:pPr>
        <w:pStyle w:val="Heading3"/>
      </w:pPr>
      <w:r>
        <w:t xml:space="preserve">Come dovrebbe agire</w:t>
      </w:r>
    </w:p>
    <w:p>
      <w:pPr>
        <w:pStyle w:val="FirstParagraph"/>
      </w:pPr>
      <w:r>
        <w:t xml:space="preserve">Durante sforzi brevi e molto intensi – una corsa di 400 metri o una gara di canottaggio – il muscolo produce più acido di quanto riesca a smaltire. L’acidità aumenta e il lavoro muscolare cala. La carnosina è nel muscolo uno dei tamponi che neutralizzano questo acido. In 18 canottieri belgi di alto livello il contenuto di carnosina della muscolatura del polpaccio era strettamente correlato alla velocità su distanze da 100 a 6.000 metri</w:t>
      </w:r>
      <w:r>
        <w:rPr>
          <w:rStyle w:val="FootnoteReference"/>
        </w:rPr>
        <w:footnoteReference w:id="2404"/>
      </w:r>
      <w:r>
        <w:t xml:space="preserve">.</w:t>
      </w:r>
    </w:p>
    <w:p>
      <w:pPr>
        <w:pStyle w:val="BodyText"/>
      </w:pPr>
      <w:r>
        <w:t xml:space="preserve">In laboratorio la carnosina ha anche altre proprietà: cattura molecole reattive che si formano con la glicemia alta o con la degradazione dei grassi e che possono danneggiare le proteine (la cosiddetta glicazione e la perossidazione lipidica). Da qui derivano le ipotesi che la carnosina possa essere utile nel diabete, nei danni vascolari e renali, nell’invecchiamento cerebrale o nell’invecchiamento cutaneo.</w:t>
      </w:r>
    </w:p>
    <w:bookmarkStart w:id="2407" w:name="Xd324d7fce52a6857089cdc5a1c949ff139d46a1"/>
    <w:p>
      <w:pPr>
        <w:pStyle w:val="Heading4"/>
      </w:pPr>
      <w:r>
        <w:t xml:space="preserve">Il problema dell’assorbimento: la carnosinasi</w:t>
      </w:r>
    </w:p>
    <w:p>
      <w:pPr>
        <w:pStyle w:val="FirstParagraph"/>
      </w:pPr>
      <w:r>
        <w:t xml:space="preserve">Nel sangue umano esiste un enzima molto attivo, la carnosinasi sierica (CN1), che scinde rapidamente la carnosina in beta-alanina e istidina. I roditori non possiedono praticamente questo enzima nel sangue – un motivo importante per cui i risultati degli esperimenti sugli animali sono trasferibili solo in misura limitata. Già nel 1991 uno studio dimostrò che una parte della carnosina ingerita viene sì assorbita immodificata dall’intestino (fino al 14% si ritrovava nelle urine), ma nel sangue era rilevabile solo se la carnosinasi veniva bloccata nella provetta. La quantità nelle urine variava molto ed era tanto più bassa quanto più attiva era la carnosinasi della persona</w:t>
      </w:r>
      <w:r>
        <w:rPr>
          <w:rStyle w:val="FootnoteReference"/>
        </w:rPr>
        <w:footnoteReference w:id="2405"/>
      </w:r>
      <w:r>
        <w:t xml:space="preserve">.</w:t>
      </w:r>
    </w:p>
    <w:p>
      <w:pPr>
        <w:pStyle w:val="BodyText"/>
      </w:pPr>
      <w:r>
        <w:t xml:space="preserve">Nello studio finora più grande, con 2 g di carnosina al giorno i valori di carnosina nei globuli rossi sono circa raddoppiati dopo 6 e 12 settimane, nelle urine sono aumentati di circa sette volte</w:t>
      </w:r>
      <w:r>
        <w:rPr>
          <w:rStyle w:val="FootnoteReference"/>
        </w:rPr>
        <w:footnoteReference w:id="2406"/>
      </w:r>
      <w:r>
        <w:t xml:space="preserve">. La carnosina quindi arriva nel corpo – quanta ne raggiunga muscoli, cervello o reni è però in gran parte una questione aperta.</w:t>
      </w:r>
    </w:p>
    <w:bookmarkEnd w:id="2407"/>
    <w:bookmarkStart w:id="2411" w:name="X15de0fe7da5078aedd7d34221ba24172d07b196"/>
    <w:p>
      <w:pPr>
        <w:pStyle w:val="Heading4"/>
      </w:pPr>
      <w:r>
        <w:t xml:space="preserve">Beta-alanina: la via indiretta attraverso il precursore</w:t>
      </w:r>
    </w:p>
    <w:p>
      <w:pPr>
        <w:pStyle w:val="FirstParagraph"/>
      </w:pPr>
      <w:r>
        <w:t xml:space="preserve">Per il muscolo si è affermata un’altra via. Il corpo costruisce la carnosina nella cellula muscolare a partire da beta-alanina e istidina; la beta-alanina è l’elemento limitante. Se si assume beta-alanina, il contenuto di carnosina nel muscolo aumenta nettamente. In uno studio iniziale quattro settimane di beta-alanina hanno aumentato il contenuto di carnosina muscolare di circa il 42–64% stimato; quantità isomolari di carnosina hanno avuto un effetto simile</w:t>
      </w:r>
      <w:r>
        <w:rPr>
          <w:rStyle w:val="FootnoteReference"/>
        </w:rPr>
        <w:footnoteReference w:id="2408"/>
      </w:r>
      <w:r>
        <w:t xml:space="preserve">. Dopo la sospensione ci sono volute 12–16 settimane perché il valore tornasse al livello iniziale</w:t>
      </w:r>
      <w:r>
        <w:rPr>
          <w:rStyle w:val="FootnoteReference"/>
        </w:rPr>
        <w:footnoteReference w:id="2409"/>
      </w:r>
      <w:r>
        <w:t xml:space="preserve">. Praticamente tutte le persone rispondono alla beta-alanina</w:t>
      </w:r>
      <w:r>
        <w:rPr>
          <w:rStyle w:val="FootnoteReference"/>
        </w:rPr>
        <w:footnoteReference w:id="2410"/>
      </w:r>
      <w:r>
        <w:t xml:space="preserve">.</w:t>
      </w:r>
    </w:p>
    <w:p>
      <w:pPr>
        <w:pStyle w:val="BodyText"/>
      </w:pPr>
      <w:r>
        <w:t xml:space="preserve">La beta-alanina non è un peptide, ma un singolo aminoacido. Viene trattata qui solo brevemente perché aumenta il contenuto di carnosina muscolare in modo più affidabile della carnosina stessa e per questo nello sport ha un ruolo di gran lunga maggiore.</w:t>
      </w:r>
    </w:p>
    <w:bookmarkEnd w:id="2411"/>
    <w:bookmarkEnd w:id="2412"/>
    <w:bookmarkStart w:id="2440" w:name="studi-sulluomo-54"/>
    <w:p>
      <w:pPr>
        <w:pStyle w:val="Heading3"/>
      </w:pPr>
      <w:r>
        <w:t xml:space="preserve">Studi sull’uomo</w:t>
      </w:r>
    </w:p>
    <w:p>
      <w:pPr>
        <w:pStyle w:val="FirstParagraph"/>
      </w:pPr>
      <w:r>
        <w:t xml:space="preserve">La ricerca in PubMed valutata per questo libro (carnosina nel titolo, combinata con supplementazione o somministrazione orale, data della ricerca ottobre 2026) ha restituito 57 studi sull’uomo; su ClinicalTrials.gov sono registrate 53 voci. Una parte di queste riguarda in realtà la beta-alanina o la zinco-carnosina. Gli studi si distribuiscono su molti piccoli ambiti di impiego.</w:t>
      </w:r>
    </w:p>
    <w:bookmarkStart w:id="2417" w:name="sport-e-prestazione-fisica"/>
    <w:p>
      <w:pPr>
        <w:pStyle w:val="Heading4"/>
      </w:pPr>
      <w:r>
        <w:t xml:space="preserve">Sport e prestazione fisica</w:t>
      </w:r>
    </w:p>
    <w:p>
      <w:pPr>
        <w:pStyle w:val="FirstParagraph"/>
      </w:pPr>
      <w:r>
        <w:t xml:space="preserve">Negli sportivi i dati sono nettamente migliori per la</w:t>
      </w:r>
      <w:r>
        <w:t xml:space="preserve"> </w:t>
      </w:r>
      <w:r>
        <w:rPr>
          <w:bCs/>
          <w:b/>
        </w:rPr>
        <w:t xml:space="preserve">beta-alanina</w:t>
      </w:r>
      <w:r>
        <w:t xml:space="preserve"> </w:t>
      </w:r>
      <w:r>
        <w:t xml:space="preserve">che per la carnosina. Una meta-analisi di 40 studi in doppio cieco controllati con placebo con 1.461 partecipanti ha trovato un piccolo effetto complessivo (dimensione dell’effetto 0,18). Era più evidente negli sforzi di durata compresa tra 0,5 e 10 minuti e nei test di resistenza fino all’esaurimento, meno nelle prestazioni di gara</w:t>
      </w:r>
      <w:r>
        <w:rPr>
          <w:rStyle w:val="FootnoteReference"/>
        </w:rPr>
        <w:footnoteReference w:id="2413"/>
      </w:r>
      <w:r>
        <w:t xml:space="preserve">. Un esempio: in 15 velocisti la beta-alanina ha aumentato il contenuto di carnosina nei muscoli del polpaccio del 37–47% e ha attenuato l’affaticamento in serie ripetute di forza, ma non ha migliorato il tempo sui 400 metri</w:t>
      </w:r>
      <w:r>
        <w:rPr>
          <w:rStyle w:val="FootnoteReference"/>
        </w:rPr>
        <w:footnoteReference w:id="2414"/>
      </w:r>
      <w:r>
        <w:t xml:space="preserve">. Anche un raddoppio della carnosina muscolare non ha migliorato nei ciclisti il tempo su un’ora</w:t>
      </w:r>
      <w:r>
        <w:rPr>
          <w:rStyle w:val="FootnoteReference"/>
        </w:rPr>
        <w:footnoteReference w:id="2415"/>
      </w:r>
      <w:r>
        <w:t xml:space="preserve"> </w:t>
      </w:r>
      <w:r>
        <w:t xml:space="preserve">– logico, perché negli sforzi di resistenza il tamponamento dell’acido ha un ruolo minore.</w:t>
      </w:r>
    </w:p>
    <w:p>
      <w:pPr>
        <w:pStyle w:val="BodyText"/>
      </w:pPr>
      <w:r>
        <w:t xml:space="preserve">Per la</w:t>
      </w:r>
      <w:r>
        <w:t xml:space="preserve"> </w:t>
      </w:r>
      <w:r>
        <w:rPr>
          <w:bCs/>
          <w:b/>
        </w:rPr>
        <w:t xml:space="preserve">carnosina stessa</w:t>
      </w:r>
      <w:r>
        <w:t xml:space="preserve"> </w:t>
      </w:r>
      <w:r>
        <w:t xml:space="preserve">esistono solo pochi studi sulla prestazione. Nello studio NEAT (Nucleophilic Defense Against PM Toxicity, NCT03314987) 299 adulti hanno ricevuto 2 g di carnosina o placebo per dodici settimane. In forza di presa, velocità del cammino e nella maggior parte dei test non ci sono state differenze; miglioramenti significativi sono emersi solo in singoli sottogruppi (determinati gruppi di età e sesso) nel sollevamento sui polpacci e nello step test</w:t>
      </w:r>
      <w:r>
        <w:rPr>
          <w:rStyle w:val="FootnoteReference"/>
        </w:rPr>
        <w:footnoteReference w:id="2416"/>
      </w:r>
      <w:r>
        <w:t xml:space="preserve">. Risultati di sottogruppi di questo tipo sono soggetti a esiti casuali e devono essere confermati.</w:t>
      </w:r>
    </w:p>
    <w:bookmarkEnd w:id="2417"/>
    <w:bookmarkStart w:id="2421" w:name="diabete-e-metabolismo"/>
    <w:p>
      <w:pPr>
        <w:pStyle w:val="Heading4"/>
      </w:pPr>
      <w:r>
        <w:t xml:space="preserve">Diabete e metabolismo</w:t>
      </w:r>
    </w:p>
    <w:p>
      <w:pPr>
        <w:pStyle w:val="FirstParagraph"/>
      </w:pPr>
      <w:r>
        <w:t xml:space="preserve">È questo il campo medico studiato più intensamente: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de Courten 2016, PMID 27040154</w:t>
            </w:r>
          </w:p>
        </w:tc>
        <w:tc>
          <w:tcPr/>
          <w:p>
            <w:pPr>
              <w:pStyle w:val="Compact"/>
              <w:jc w:val="left"/>
            </w:pPr>
            <w:r>
              <w:t xml:space="preserve">30 adulti in sovrappeso senza diabete, 2 g vs. placebo</w:t>
            </w:r>
          </w:p>
        </w:tc>
        <w:tc>
          <w:tcPr/>
          <w:p>
            <w:pPr>
              <w:pStyle w:val="Compact"/>
              <w:jc w:val="left"/>
            </w:pPr>
            <w:r>
              <w:t xml:space="preserve">12 settimane</w:t>
            </w:r>
          </w:p>
        </w:tc>
        <w:tc>
          <w:tcPr/>
          <w:p>
            <w:pPr>
              <w:pStyle w:val="Compact"/>
              <w:jc w:val="left"/>
            </w:pPr>
            <w:r>
              <w:t xml:space="preserve">Aumento di insulina a digiuno e insulino-resistenza frenato con la carnosina (studio pilota)</w:t>
            </w:r>
          </w:p>
        </w:tc>
      </w:tr>
      <w:tr>
        <w:tc>
          <w:tcPr/>
          <w:p>
            <w:pPr>
              <w:pStyle w:val="Compact"/>
              <w:jc w:val="left"/>
            </w:pPr>
            <w:r>
              <w:t xml:space="preserve">Houjeghani 2018, PMID 29420997</w:t>
            </w:r>
          </w:p>
        </w:tc>
        <w:tc>
          <w:tcPr/>
          <w:p>
            <w:pPr>
              <w:pStyle w:val="Compact"/>
              <w:jc w:val="left"/>
            </w:pPr>
            <w:r>
              <w:t xml:space="preserve">54 persone con diabete di tipo 2, 1 g vs. placebo</w:t>
            </w:r>
          </w:p>
        </w:tc>
        <w:tc>
          <w:tcPr/>
          <w:p>
            <w:pPr>
              <w:pStyle w:val="Compact"/>
              <w:jc w:val="left"/>
            </w:pPr>
            <w:r>
              <w:t xml:space="preserve">12 settimane</w:t>
            </w:r>
          </w:p>
        </w:tc>
        <w:tc>
          <w:tcPr/>
          <w:p>
            <w:pPr>
              <w:pStyle w:val="Compact"/>
              <w:jc w:val="left"/>
            </w:pPr>
            <w:r>
              <w:t xml:space="preserve">Glicemia a digiuno −13,1 mg/dl, HbA1c −0,6 punti percentuali vs. placebo</w:t>
            </w:r>
          </w:p>
        </w:tc>
      </w:tr>
      <w:tr>
        <w:tc>
          <w:tcPr/>
          <w:p>
            <w:pPr>
              <w:pStyle w:val="Compact"/>
              <w:jc w:val="left"/>
            </w:pPr>
            <w:r>
              <w:t xml:space="preserve">Hariharan 2024, PMID 38172006</w:t>
            </w:r>
          </w:p>
        </w:tc>
        <w:tc>
          <w:tcPr/>
          <w:p>
            <w:pPr>
              <w:pStyle w:val="Compact"/>
              <w:jc w:val="left"/>
            </w:pPr>
            <w:r>
              <w:t xml:space="preserve">43 adulti con prediabete o diabete di tipo 2, 2 g vs. placebo</w:t>
            </w:r>
          </w:p>
        </w:tc>
        <w:tc>
          <w:tcPr/>
          <w:p>
            <w:pPr>
              <w:pStyle w:val="Compact"/>
              <w:jc w:val="left"/>
            </w:pPr>
            <w:r>
              <w:t xml:space="preserve">14 settimane</w:t>
            </w:r>
          </w:p>
        </w:tc>
        <w:tc>
          <w:tcPr/>
          <w:p>
            <w:pPr>
              <w:pStyle w:val="Compact"/>
              <w:jc w:val="left"/>
            </w:pPr>
            <w:r>
              <w:t xml:space="preserve">Glicemia più bassa 90 e 120 minuti dopo carico di glucosio; insulina invariata</w:t>
            </w:r>
          </w:p>
        </w:tc>
      </w:tr>
      <w:tr>
        <w:tc>
          <w:tcPr/>
          <w:p>
            <w:pPr>
              <w:pStyle w:val="Compact"/>
              <w:jc w:val="left"/>
            </w:pPr>
            <w:r>
              <w:t xml:space="preserve">Saadati 2023, PMID 38004228</w:t>
            </w:r>
          </w:p>
        </w:tc>
        <w:tc>
          <w:tcPr/>
          <w:p>
            <w:pPr>
              <w:pStyle w:val="Compact"/>
              <w:jc w:val="left"/>
            </w:pPr>
            <w:r>
              <w:t xml:space="preserve">49 adulti con prediabete o diabete di tipo 2 ben controllato, 2 g vs. placebo</w:t>
            </w:r>
          </w:p>
        </w:tc>
        <w:tc>
          <w:tcPr/>
          <w:p>
            <w:pPr>
              <w:pStyle w:val="Compact"/>
              <w:jc w:val="left"/>
            </w:pPr>
            <w:r>
              <w:t xml:space="preserve">14 settimane</w:t>
            </w:r>
          </w:p>
        </w:tc>
        <w:tc>
          <w:tcPr/>
          <w:p>
            <w:pPr>
              <w:pStyle w:val="Compact"/>
              <w:jc w:val="left"/>
            </w:pPr>
            <w:r>
              <w:t xml:space="preserve">Nessun effetto su funzione vascolare, rigidità vascolare, lipidi ematici, pressione, valori epatici e renali</w:t>
            </w:r>
          </w:p>
        </w:tc>
      </w:tr>
      <w:tr>
        <w:tc>
          <w:tcPr/>
          <w:p>
            <w:pPr>
              <w:pStyle w:val="Compact"/>
              <w:jc w:val="left"/>
            </w:pPr>
            <w:r>
              <w:t xml:space="preserve">Elbarbary 2018, PMID 28744992</w:t>
            </w:r>
          </w:p>
        </w:tc>
        <w:tc>
          <w:tcPr/>
          <w:p>
            <w:pPr>
              <w:pStyle w:val="Compact"/>
              <w:jc w:val="left"/>
            </w:pPr>
            <w:r>
              <w:t xml:space="preserve">90 bambini e adolescenti con diabete di tipo 1 e danno renale, 1 g vs. placebo</w:t>
            </w:r>
          </w:p>
        </w:tc>
        <w:tc>
          <w:tcPr/>
          <w:p>
            <w:pPr>
              <w:pStyle w:val="Compact"/>
              <w:jc w:val="left"/>
            </w:pPr>
            <w:r>
              <w:t xml:space="preserve">12 settimane</w:t>
            </w:r>
          </w:p>
        </w:tc>
        <w:tc>
          <w:tcPr/>
          <w:p>
            <w:pPr>
              <w:pStyle w:val="Compact"/>
              <w:jc w:val="left"/>
            </w:pPr>
            <w:r>
              <w:t xml:space="preserve">Albumina urinaria, HbA1c e marcatori di ossidazione migliorati</w:t>
            </w:r>
          </w:p>
        </w:tc>
      </w:tr>
    </w:tbl>
    <w:p>
      <w:pPr>
        <w:pStyle w:val="BodyText"/>
      </w:pPr>
      <w:r>
        <w:t xml:space="preserve">Diverse meta-analisi riassumono questi studi. Un’analisi di quattro studi con 184 partecipanti ha trovato una riduzione dell’HbA1c di 0,92 punti percentuali, ma nessun effetto su glicemia a digiuno, insulino-resistenza o lipidi ematici</w:t>
      </w:r>
      <w:r>
        <w:rPr>
          <w:rStyle w:val="FootnoteReference"/>
        </w:rPr>
        <w:footnoteReference w:id="2418"/>
      </w:r>
      <w:r>
        <w:t xml:space="preserve">. Una meta-analisi bayesiana, che considerava insieme carnosina e beta-alanina, ha stimato per l’uomo una riduzione dell’HbA1c di 0,91 punti percentuali – sulla base di soli quattro studi sull’uomo</w:t>
      </w:r>
      <w:r>
        <w:rPr>
          <w:rStyle w:val="FootnoteReference"/>
        </w:rPr>
        <w:footnoteReference w:id="2419"/>
      </w:r>
      <w:r>
        <w:t xml:space="preserve">. Una meta-analisi più recente con otto studi e 377 partecipanti con prediabete o diabete di tipo 2 ha trovato miglioramenti di glicemia a digiuno e HbA1c, ma non di insulina o peso corporeo</w:t>
      </w:r>
      <w:r>
        <w:rPr>
          <w:rStyle w:val="FootnoteReference"/>
        </w:rPr>
        <w:footnoteReference w:id="2420"/>
      </w:r>
      <w:r>
        <w:t xml:space="preserve">.</w:t>
      </w:r>
    </w:p>
    <w:p>
      <w:pPr>
        <w:pStyle w:val="BodyText"/>
      </w:pPr>
      <w:r>
        <w:t xml:space="preserve">Gli effetti sembrano notevoli sulla carta, ma poggiano su una base molto ristretta: studi pochi, piccoli, brevi, spesso da singoli centri, con risultati in parte contraddittori (cfr. gli studi di 14 settimane impostati in modo simile di Hariharan 2024 e Saadati 2023, di cui uno ha trovato effetti favorevoli sulla glicemia, l’altro nessun effetto su vasi e valori metabolici). Se la carnosina prevenga a lungo termine le complicanze del diabete non è mai stato studiato.</w:t>
      </w:r>
    </w:p>
    <w:bookmarkEnd w:id="2421"/>
    <w:bookmarkStart w:id="2423" w:name="infiammazione-e-stress-ossidativo"/>
    <w:p>
      <w:pPr>
        <w:pStyle w:val="Heading4"/>
      </w:pPr>
      <w:r>
        <w:t xml:space="preserve">Infiammazione e stress ossidativo</w:t>
      </w:r>
    </w:p>
    <w:p>
      <w:pPr>
        <w:pStyle w:val="FirstParagraph"/>
      </w:pPr>
      <w:r>
        <w:t xml:space="preserve">Una meta-analisi di nove studi con 350 partecipanti ha trovato con la carnosina o i dipeptidi contenenti istidina valori più bassi del marcatore infiammatorio PCR e del marcatore di ossidazione malondialdeide, ma nessuna variazione di diversi altri marcatori</w:t>
      </w:r>
      <w:r>
        <w:rPr>
          <w:rStyle w:val="FootnoteReference"/>
        </w:rPr>
        <w:footnoteReference w:id="2422"/>
      </w:r>
      <w:r>
        <w:t xml:space="preserve">. I valori di laboratorio sono però parametri surrogati – se si accompagnino a un beneficio per la salute è una questione aperta.</w:t>
      </w:r>
    </w:p>
    <w:bookmarkEnd w:id="2423"/>
    <w:bookmarkStart w:id="2431" w:name="cervello-memoria-e-psiche"/>
    <w:p>
      <w:pPr>
        <w:pStyle w:val="Heading4"/>
      </w:pPr>
      <w:r>
        <w:t xml:space="preserve">Cervello, memoria e psiche</w:t>
      </w:r>
    </w:p>
    <w:p>
      <w:pPr>
        <w:numPr>
          <w:ilvl w:val="0"/>
          <w:numId w:val="1302"/>
        </w:numPr>
        <w:pStyle w:val="Compact"/>
      </w:pPr>
      <w:r>
        <w:rPr>
          <w:bCs/>
          <w:b/>
        </w:rPr>
        <w:t xml:space="preserve">Persone anziane:</w:t>
      </w:r>
      <w:r>
        <w:t xml:space="preserve"> </w:t>
      </w:r>
      <w:r>
        <w:t xml:space="preserve">in studi giapponesi di un unico gruppo di lavoro gli anziani hanno ricevuto una miscela di anserina e carnosina (3:1). In 39 anziani sani la rievocazione differita di contenuti verbali si è mantenuta meglio che con il placebo</w:t>
      </w:r>
      <w:r>
        <w:rPr>
          <w:rStyle w:val="FootnoteReference"/>
        </w:rPr>
        <w:footnoteReference w:id="2424"/>
      </w:r>
      <w:r>
        <w:t xml:space="preserve">. In 54 persone con lieve deterioramento cognitivo un indice globale di gravità della demenza era più favorevole con la miscela, la maggior parte degli altri test non differiva</w:t>
      </w:r>
      <w:r>
        <w:rPr>
          <w:rStyle w:val="FootnoteReference"/>
        </w:rPr>
        <w:footnoteReference w:id="2425"/>
      </w:r>
      <w:r>
        <w:t xml:space="preserve">.</w:t>
      </w:r>
    </w:p>
    <w:p>
      <w:pPr>
        <w:numPr>
          <w:ilvl w:val="0"/>
          <w:numId w:val="1302"/>
        </w:numPr>
        <w:pStyle w:val="Compact"/>
      </w:pPr>
      <w:r>
        <w:rPr>
          <w:bCs/>
          <w:b/>
        </w:rPr>
        <w:t xml:space="preserve">Adulti più giovani:</w:t>
      </w:r>
      <w:r>
        <w:t xml:space="preserve"> </w:t>
      </w:r>
      <w:r>
        <w:t xml:space="preserve">in un’analisi successiva dello studio NEAT velocità ed efficienza nei test cognitivi sono migliorate solo nella fascia di età più giovane (23–35 anni)</w:t>
      </w:r>
      <w:r>
        <w:rPr>
          <w:rStyle w:val="FootnoteReference"/>
        </w:rPr>
        <w:footnoteReference w:id="2426"/>
      </w:r>
      <w:r>
        <w:t xml:space="preserve">.</w:t>
      </w:r>
    </w:p>
    <w:p>
      <w:pPr>
        <w:numPr>
          <w:ilvl w:val="0"/>
          <w:numId w:val="1302"/>
        </w:numPr>
        <w:pStyle w:val="Compact"/>
      </w:pPr>
      <w:r>
        <w:rPr>
          <w:bCs/>
          <w:b/>
        </w:rPr>
        <w:t xml:space="preserve">Sintesi:</w:t>
      </w:r>
      <w:r>
        <w:t xml:space="preserve"> </w:t>
      </w:r>
      <w:r>
        <w:t xml:space="preserve">una meta-analisi del 2026 ha incluso 13 studi. La maggior parte dei test cognitivi non ha mostrato differenze rispetto al placebo; gli effetti aggregati favorevoli si basavano in parte su tre studi dello stesso gruppo di ricerca. Gli autori valutano bassa la forza delle prove</w:t>
      </w:r>
      <w:r>
        <w:rPr>
          <w:rStyle w:val="FootnoteReference"/>
        </w:rPr>
        <w:footnoteReference w:id="2427"/>
      </w:r>
      <w:r>
        <w:t xml:space="preserve">. Un’altra meta-analisi ha trovato una riduzione dei punteggi di depressione (affidabilità moderata), ma sottolinea studi piccoli con rischio di distorsione da moderato ad alto</w:t>
      </w:r>
      <w:r>
        <w:rPr>
          <w:rStyle w:val="FootnoteReference"/>
        </w:rPr>
        <w:footnoteReference w:id="2428"/>
      </w:r>
      <w:r>
        <w:t xml:space="preserve">.</w:t>
      </w:r>
    </w:p>
    <w:p>
      <w:pPr>
        <w:numPr>
          <w:ilvl w:val="0"/>
          <w:numId w:val="1302"/>
        </w:numPr>
        <w:pStyle w:val="Compact"/>
      </w:pPr>
      <w:r>
        <w:rPr>
          <w:bCs/>
          <w:b/>
        </w:rPr>
        <w:t xml:space="preserve">Autismo:</w:t>
      </w:r>
      <w:r>
        <w:t xml:space="preserve"> </w:t>
      </w:r>
      <w:r>
        <w:t xml:space="preserve">uno studio iniziale con 31 bambini ha riportato miglioramenti in una scala comportamentale</w:t>
      </w:r>
      <w:r>
        <w:rPr>
          <w:rStyle w:val="FootnoteReference"/>
        </w:rPr>
        <w:footnoteReference w:id="2429"/>
      </w:r>
      <w:r>
        <w:t xml:space="preserve">. Uno studio randomizzato successivo con 63 bambini valutabili non ha invece trovato differenze in nessun endpoint</w:t>
      </w:r>
      <w:r>
        <w:rPr>
          <w:rStyle w:val="FootnoteReference"/>
        </w:rPr>
        <w:footnoteReference w:id="2430"/>
      </w:r>
      <w:r>
        <w:t xml:space="preserve">.</w:t>
      </w:r>
    </w:p>
    <w:bookmarkEnd w:id="2431"/>
    <w:bookmarkStart w:id="2436" w:name="altri-impieghi-4"/>
    <w:p>
      <w:pPr>
        <w:pStyle w:val="Heading4"/>
      </w:pPr>
      <w:r>
        <w:t xml:space="preserve">Altri impieghi</w:t>
      </w:r>
    </w:p>
    <w:p>
      <w:pPr>
        <w:numPr>
          <w:ilvl w:val="0"/>
          <w:numId w:val="1303"/>
        </w:numPr>
        <w:pStyle w:val="Compact"/>
      </w:pPr>
      <w:r>
        <w:rPr>
          <w:bCs/>
          <w:b/>
        </w:rPr>
        <w:t xml:space="preserve">Danni nervosi da chemioterapia:</w:t>
      </w:r>
      <w:r>
        <w:t xml:space="preserve"> </w:t>
      </w:r>
      <w:r>
        <w:t xml:space="preserve">in uno studio pilota randomizzato con 65 pazienti con tumore del colon-retto, durante la chemioterapia con oxaliplatino più carnosina si sono verificati più raramente danni nervosi di secondo grado (1 su 30 contro 19 su 31 senza carnosina)</w:t>
      </w:r>
      <w:r>
        <w:rPr>
          <w:rStyle w:val="FootnoteReference"/>
        </w:rPr>
        <w:footnoteReference w:id="2432"/>
      </w:r>
      <w:r>
        <w:t xml:space="preserve">. Lo studio non era in cieco e senza placebo; manca una conferma.</w:t>
      </w:r>
    </w:p>
    <w:p>
      <w:pPr>
        <w:numPr>
          <w:ilvl w:val="0"/>
          <w:numId w:val="1303"/>
        </w:numPr>
        <w:pStyle w:val="Compact"/>
      </w:pPr>
      <w:r>
        <w:rPr>
          <w:bCs/>
          <w:b/>
        </w:rPr>
        <w:t xml:space="preserve">Insufficienza cardiaca:</w:t>
      </w:r>
      <w:r>
        <w:t xml:space="preserve"> </w:t>
      </w:r>
      <w:r>
        <w:t xml:space="preserve">in 50 pazienti con grave insufficienza cardiaca distanza percorsa, consumo massimo di ossigeno e qualità della vita sono migliorati con la carnosina rispetto al trattamento standard</w:t>
      </w:r>
      <w:r>
        <w:rPr>
          <w:rStyle w:val="FootnoteReference"/>
        </w:rPr>
        <w:footnoteReference w:id="2433"/>
      </w:r>
      <w:r>
        <w:t xml:space="preserve"> </w:t>
      </w:r>
      <w:r>
        <w:t xml:space="preserve">– anche qui senza placebo.</w:t>
      </w:r>
    </w:p>
    <w:p>
      <w:pPr>
        <w:numPr>
          <w:ilvl w:val="0"/>
          <w:numId w:val="1303"/>
        </w:numPr>
        <w:pStyle w:val="Compact"/>
      </w:pPr>
      <w:r>
        <w:rPr>
          <w:bCs/>
          <w:b/>
        </w:rPr>
        <w:t xml:space="preserve">Sindrome della Guerra del Golfo:</w:t>
      </w:r>
      <w:r>
        <w:t xml:space="preserve"> </w:t>
      </w:r>
      <w:r>
        <w:t xml:space="preserve">in un piccolo studio con 25 veterani è migliorato un test cognitivo; stanchezza e dolore sono rimasti invariati</w:t>
      </w:r>
      <w:r>
        <w:rPr>
          <w:rStyle w:val="FootnoteReference"/>
        </w:rPr>
        <w:footnoteReference w:id="2434"/>
      </w:r>
      <w:r>
        <w:t xml:space="preserve">.</w:t>
      </w:r>
    </w:p>
    <w:p>
      <w:pPr>
        <w:numPr>
          <w:ilvl w:val="0"/>
          <w:numId w:val="1303"/>
        </w:numPr>
        <w:pStyle w:val="Compact"/>
      </w:pPr>
      <w:r>
        <w:rPr>
          <w:bCs/>
          <w:b/>
        </w:rPr>
        <w:t xml:space="preserve">Pelle:</w:t>
      </w:r>
      <w:r>
        <w:t xml:space="preserve"> </w:t>
      </w:r>
      <w:r>
        <w:t xml:space="preserve">uno studio con una preparazione di carnosina «non idrolizzabile» ha riportato miglioramenti cutanei; proviene dall’inventore della formulazione brevettata e mescola esperimenti di laboratorio con una sperimentazione clinica</w:t>
      </w:r>
      <w:r>
        <w:rPr>
          <w:rStyle w:val="FootnoteReference"/>
        </w:rPr>
        <w:footnoteReference w:id="2435"/>
      </w:r>
      <w:r>
        <w:t xml:space="preserve">.</w:t>
      </w:r>
    </w:p>
    <w:bookmarkEnd w:id="2436"/>
    <w:bookmarkStart w:id="2439" w:name="X91947e67ffdfb83ea3dd1b1f261e3d7a5cab5ce"/>
    <w:p>
      <w:pPr>
        <w:pStyle w:val="Heading4"/>
      </w:pPr>
      <w:r>
        <w:t xml:space="preserve">Sostanze affini: zinco-carnosina e N-acetilcarnosina</w:t>
      </w:r>
    </w:p>
    <w:p>
      <w:pPr>
        <w:pStyle w:val="FirstParagraph"/>
      </w:pPr>
      <w:r>
        <w:t xml:space="preserve">La</w:t>
      </w:r>
      <w:r>
        <w:t xml:space="preserve"> </w:t>
      </w:r>
      <w:r>
        <w:rPr>
          <w:bCs/>
          <w:b/>
        </w:rPr>
        <w:t xml:space="preserve">zinco-carnosina (polaprezinc)</w:t>
      </w:r>
      <w:r>
        <w:t xml:space="preserve"> </w:t>
      </w:r>
      <w:r>
        <w:t xml:space="preserve">è un composto di zinco e carnosina impiegato in Giappone come farmaco contro l’ulcera gastrica. In uno studio multicentrico con 224 pazienti è risultata dopo otto settimane efficace in modo simile al farmaco di confronto rebamipide (tasso di guarigione 81,5% contro 74,3%, differenza non significativa)</w:t>
      </w:r>
      <w:r>
        <w:rPr>
          <w:rStyle w:val="FootnoteReference"/>
        </w:rPr>
        <w:footnoteReference w:id="2437"/>
      </w:r>
      <w:r>
        <w:t xml:space="preserve">. Questo effetto è probabilmente legato in gran parte allo zinco e non può essere trasferito alla carnosina pura.</w:t>
      </w:r>
    </w:p>
    <w:p>
      <w:pPr>
        <w:pStyle w:val="BodyText"/>
      </w:pPr>
      <w:r>
        <w:t xml:space="preserve">I</w:t>
      </w:r>
      <w:r>
        <w:t xml:space="preserve"> </w:t>
      </w:r>
      <w:r>
        <w:rPr>
          <w:bCs/>
          <w:b/>
        </w:rPr>
        <w:t xml:space="preserve">colliri di N-acetilcarnosina</w:t>
      </w:r>
      <w:r>
        <w:t xml:space="preserve"> </w:t>
      </w:r>
      <w:r>
        <w:t xml:space="preserve">vengono pubblicizzati su internet contro la cataratta. Una revisione Cochrane ha trovato solo due possibili studi con 114 partecipanti, la cui metodologia non era ricostruibile, e ha concluso che non esistono prove convincenti che i colliri facciano regredire una cataratta o ne impediscano la progressione</w:t>
      </w:r>
      <w:r>
        <w:rPr>
          <w:rStyle w:val="FootnoteReference"/>
        </w:rPr>
        <w:footnoteReference w:id="2438"/>
      </w:r>
      <w:r>
        <w:t xml:space="preserve">. L’unico trattamento efficace resta l’intervento chirurgico.</w:t>
      </w:r>
    </w:p>
    <w:bookmarkEnd w:id="2439"/>
    <w:bookmarkEnd w:id="2440"/>
    <w:bookmarkStart w:id="2443" w:name="studi-su-animali-e-in-laboratorio-54"/>
    <w:p>
      <w:pPr>
        <w:pStyle w:val="Heading3"/>
      </w:pPr>
      <w:r>
        <w:t xml:space="preserve">Studi su animali e in laboratorio</w:t>
      </w:r>
    </w:p>
    <w:p>
      <w:pPr>
        <w:pStyle w:val="FirstParagraph"/>
      </w:pPr>
      <w:r>
        <w:t xml:space="preserve">In colture cellulari e nei roditori la carnosina agisce come antiossidante, inibisce la glicazione delle proteine e lega aldeidi reattive. In topi e ratti ha migliorato in molti esperimenti glicemia, danni renali nel diabete, guarigione delle ferite e funzione vascolare. La meta-analisi di Matthews 2021 ha incluso, oltre a quattro studi sull’uomo, 16 studi sui roditori e ha valutato molto bassa l’affidabilità dei dati animali</w:t>
      </w:r>
      <w:r>
        <w:rPr>
          <w:rStyle w:val="FootnoteReference"/>
        </w:rPr>
        <w:footnoteReference w:id="2441"/>
      </w:r>
      <w:r>
        <w:t xml:space="preserve">.</w:t>
      </w:r>
    </w:p>
    <w:p>
      <w:pPr>
        <w:pStyle w:val="BodyText"/>
      </w:pPr>
      <w:r>
        <w:t xml:space="preserve">Resta un problema di fondo di trasferibilità: i roditori non possiedono praticamente carnosinasi nel sangue. Nei topi in cui è stato inserito con l’ingegneria genetica l’enzima umano, diabete e danni renali hanno avuto un decorso più grave</w:t>
      </w:r>
      <w:r>
        <w:rPr>
          <w:rStyle w:val="FootnoteReference"/>
        </w:rPr>
        <w:footnoteReference w:id="2442"/>
      </w:r>
      <w:r>
        <w:t xml:space="preserve">. Questo suggerisce che nell’uomo l’enzima potrebbe limitare nettamente l’effetto della carnosina assunta.</w:t>
      </w:r>
    </w:p>
    <w:bookmarkEnd w:id="2443"/>
    <w:bookmarkStart w:id="2446" w:name="rischi-ed-effetti-collaterali-54"/>
    <w:p>
      <w:pPr>
        <w:pStyle w:val="Heading3"/>
      </w:pPr>
      <w:r>
        <w:t xml:space="preserve">Rischi ed effetti collaterali</w:t>
      </w:r>
    </w:p>
    <w:p>
      <w:pPr>
        <w:pStyle w:val="FirstParagraph"/>
      </w:pPr>
      <w:r>
        <w:rPr>
          <w:bCs/>
          <w:b/>
        </w:rPr>
        <w:t xml:space="preserve">Dimostrati:</w:t>
      </w:r>
      <w:r>
        <w:t xml:space="preserve"> </w:t>
      </w:r>
      <w:r>
        <w:t xml:space="preserve">negli studi finora condotti – con quantità giornaliere fino a 2 g per fino a 14 settimane – non sono stati riportati effetti collaterali rilevanti. Nello studio NEAT con quasi 300 partecipanti non sono state riscontrate variazioni della funzione renale, epatica e cardiaca o degli elettroliti</w:t>
      </w:r>
      <w:r>
        <w:rPr>
          <w:rStyle w:val="FootnoteReference"/>
        </w:rPr>
        <w:footnoteReference w:id="2444"/>
      </w:r>
      <w:r>
        <w:t xml:space="preserve">.</w:t>
      </w:r>
    </w:p>
    <w:p>
      <w:pPr>
        <w:pStyle w:val="BodyText"/>
      </w:pPr>
      <w:r>
        <w:rPr>
          <w:bCs/>
          <w:b/>
        </w:rPr>
        <w:t xml:space="preserve">Beta-alanina:</w:t>
      </w:r>
      <w:r>
        <w:t xml:space="preserve"> </w:t>
      </w:r>
      <w:r>
        <w:t xml:space="preserve">l’unico effetto collaterale riferito regolarmente è un formicolio della pelle innocuo ma sgradevole (parestesia), per lo più al viso e alle mani, poco dopo l’assunzione. Una valutazione del rischio con 101 studi sull’uomo ha stimato la probabilità (odds) di questo effetto con la beta-alanina circa nove volte superiore a quella con il placebo (odds ratio 8,9); i tassi di interruzione non differivano, e un lieve aumento di un valore epatico è rimasto entro la norma</w:t>
      </w:r>
      <w:r>
        <w:rPr>
          <w:rStyle w:val="FootnoteReference"/>
        </w:rPr>
        <w:footnoteReference w:id="2445"/>
      </w:r>
      <w:r>
        <w:t xml:space="preserve">.</w:t>
      </w:r>
    </w:p>
    <w:p>
      <w:pPr>
        <w:pStyle w:val="BodyText"/>
      </w:pPr>
      <w:r>
        <w:rPr>
          <w:bCs/>
          <w:b/>
        </w:rPr>
        <w:t xml:space="preserve">Teorici o non chiari:</w:t>
      </w:r>
    </w:p>
    <w:p>
      <w:pPr>
        <w:numPr>
          <w:ilvl w:val="0"/>
          <w:numId w:val="1304"/>
        </w:numPr>
        <w:pStyle w:val="Compact"/>
      </w:pPr>
      <w:r>
        <w:t xml:space="preserve">Mancano dati a lungo termine oltre un anno.</w:t>
      </w:r>
    </w:p>
    <w:p>
      <w:pPr>
        <w:numPr>
          <w:ilvl w:val="0"/>
          <w:numId w:val="1304"/>
        </w:numPr>
        <w:pStyle w:val="Compact"/>
      </w:pPr>
      <w:r>
        <w:t xml:space="preserve">Per gravidanza, allattamento e bambini (a parte i piccoli studi citati) non esistono dati di sicurezza.</w:t>
      </w:r>
    </w:p>
    <w:p>
      <w:pPr>
        <w:numPr>
          <w:ilvl w:val="0"/>
          <w:numId w:val="1304"/>
        </w:numPr>
        <w:pStyle w:val="Compact"/>
      </w:pPr>
      <w:r>
        <w:t xml:space="preserve">Con i farmaci antidiabetici è ipotizzabile un potenziamento della riduzione glicemica, ma non dimostrato; controlli della glicemia e un consulto medico sono opportuni.</w:t>
      </w:r>
    </w:p>
    <w:p>
      <w:pPr>
        <w:numPr>
          <w:ilvl w:val="0"/>
          <w:numId w:val="1304"/>
        </w:numPr>
        <w:pStyle w:val="Compact"/>
      </w:pPr>
      <w:r>
        <w:t xml:space="preserve">Come per tutti gli integratori alimentari, la qualità dipende dal produttore.</w:t>
      </w:r>
    </w:p>
    <w:bookmarkEnd w:id="2446"/>
    <w:bookmarkStart w:id="2447" w:name="quadro-normativo-54"/>
    <w:p>
      <w:pPr>
        <w:pStyle w:val="Heading3"/>
      </w:pPr>
      <w:r>
        <w:t xml:space="preserve">Quadro normativo</w:t>
      </w:r>
    </w:p>
    <w:p>
      <w:pPr>
        <w:numPr>
          <w:ilvl w:val="0"/>
          <w:numId w:val="1305"/>
        </w:numPr>
        <w:pStyle w:val="Compact"/>
      </w:pPr>
      <w:r>
        <w:rPr>
          <w:bCs/>
          <w:b/>
        </w:rPr>
        <w:t xml:space="preserve">UE / Austria / Germania:</w:t>
      </w:r>
      <w:r>
        <w:t xml:space="preserve"> </w:t>
      </w:r>
      <w:r>
        <w:t xml:space="preserve">la carnosina è in commercio come integratore alimentare. Per la carnosina non esiste alcuna indicazione sulla salute autorizzata secondo il regolamento sulle indicazioni sulla salute (Regolamento (CE) n. 1924/2006); affermazioni pubblicitarie come «anti-aging» o «protegge le cellule» non sono quindi consentite. Se singole preparazioni debbano essere classificate come nuovi alimenti (novel food) può variare da prodotto a prodotto – da verificare. La zinco-carnosina non è approvata come farmaco nell’UE; per i colliri di N-acetilcarnosina non esiste un’autorizzazione come farmaco contro la cataratta.</w:t>
      </w:r>
    </w:p>
    <w:p>
      <w:pPr>
        <w:numPr>
          <w:ilvl w:val="0"/>
          <w:numId w:val="1305"/>
        </w:numPr>
        <w:pStyle w:val="Compact"/>
      </w:pPr>
      <w:r>
        <w:rPr>
          <w:bCs/>
          <w:b/>
        </w:rPr>
        <w:t xml:space="preserve">USA:</w:t>
      </w:r>
      <w:r>
        <w:t xml:space="preserve"> </w:t>
      </w:r>
      <w:r>
        <w:t xml:space="preserve">disponibile come integratore alimentare, senza autorizzazione come farmaco.</w:t>
      </w:r>
    </w:p>
    <w:p>
      <w:pPr>
        <w:numPr>
          <w:ilvl w:val="0"/>
          <w:numId w:val="1305"/>
        </w:numPr>
        <w:pStyle w:val="Compact"/>
      </w:pPr>
      <w:r>
        <w:rPr>
          <w:bCs/>
          <w:b/>
        </w:rPr>
        <w:t xml:space="preserve">Giappone:</w:t>
      </w:r>
      <w:r>
        <w:t xml:space="preserve"> </w:t>
      </w:r>
      <w:r>
        <w:t xml:space="preserve">il polaprezinc (zinco-carnosina) è un farmaco gastrico approvato.</w:t>
      </w:r>
    </w:p>
    <w:p>
      <w:pPr>
        <w:numPr>
          <w:ilvl w:val="0"/>
          <w:numId w:val="1305"/>
        </w:numPr>
        <w:pStyle w:val="Compact"/>
      </w:pPr>
      <w:r>
        <w:rPr>
          <w:bCs/>
          <w:b/>
        </w:rPr>
        <w:t xml:space="preserve">Sport:</w:t>
      </w:r>
      <w:r>
        <w:t xml:space="preserve"> </w:t>
      </w:r>
      <w:r>
        <w:t xml:space="preserve">né la carnosina né la beta-alanina figurano nell’elenco delle sostanze proibite della WADA (aggiornato al 2026, da verificare).</w:t>
      </w:r>
    </w:p>
    <w:bookmarkEnd w:id="2447"/>
    <w:bookmarkStart w:id="2451" w:name="studi-in-corso-e-prospettive-54"/>
    <w:p>
      <w:pPr>
        <w:pStyle w:val="Heading3"/>
      </w:pPr>
      <w:r>
        <w:t xml:space="preserve">Studi in corso e prospettive</w:t>
      </w:r>
    </w:p>
    <w:p>
      <w:pPr>
        <w:pStyle w:val="FirstParagraph"/>
      </w:pPr>
      <w:r>
        <w:rPr>
          <w:bCs/>
          <w:b/>
        </w:rPr>
        <w:t xml:space="preserve">Dati certi (studi registrati, situazione a ottobre 2026):</w:t>
      </w:r>
    </w:p>
    <w:p>
      <w:pPr>
        <w:numPr>
          <w:ilvl w:val="0"/>
          <w:numId w:val="1306"/>
        </w:numPr>
        <w:pStyle w:val="Compact"/>
      </w:pPr>
      <w:r>
        <w:rPr>
          <w:bCs/>
          <w:b/>
        </w:rPr>
        <w:t xml:space="preserve">Arteriopatia periferica:</w:t>
      </w:r>
      <w:r>
        <w:t xml:space="preserve"> </w:t>
      </w:r>
      <w:r>
        <w:t xml:space="preserve">uno studio di fase 1/2 con 144 partecipanti previsti esamina la carnosina nei disturbi circolatori delle gambe</w:t>
      </w:r>
      <w:r>
        <w:rPr>
          <w:rStyle w:val="FootnoteReference"/>
        </w:rPr>
        <w:footnoteReference w:id="2448"/>
      </w:r>
      <w:r>
        <w:t xml:space="preserve">; studi precedenti più piccoli sullo stesso tema sono conclusi o elencati con stato sconosciuto.</w:t>
      </w:r>
    </w:p>
    <w:p>
      <w:pPr>
        <w:numPr>
          <w:ilvl w:val="0"/>
          <w:numId w:val="1306"/>
        </w:numPr>
        <w:pStyle w:val="Compact"/>
      </w:pPr>
      <w:r>
        <w:rPr>
          <w:bCs/>
          <w:b/>
        </w:rPr>
        <w:t xml:space="preserve">Geroterapia:</w:t>
      </w:r>
      <w:r>
        <w:t xml:space="preserve"> </w:t>
      </w:r>
      <w:r>
        <w:t xml:space="preserve">un piccolo studio di fase 3 con 30 partecipanti valuta combinazioni di sostanze per migliorare la durata della vita in salute, tra cui la carnosina</w:t>
      </w:r>
      <w:r>
        <w:rPr>
          <w:rStyle w:val="FootnoteReference"/>
        </w:rPr>
        <w:footnoteReference w:id="2449"/>
      </w:r>
      <w:r>
        <w:t xml:space="preserve">.</w:t>
      </w:r>
    </w:p>
    <w:p>
      <w:pPr>
        <w:numPr>
          <w:ilvl w:val="0"/>
          <w:numId w:val="1306"/>
        </w:numPr>
        <w:pStyle w:val="Compact"/>
      </w:pPr>
      <w:r>
        <w:t xml:space="preserve">Lo studio NEAT</w:t>
      </w:r>
      <w:r>
        <w:rPr>
          <w:rStyle w:val="FootnoteReference"/>
        </w:rPr>
        <w:footnoteReference w:id="2450"/>
      </w:r>
      <w:r>
        <w:t xml:space="preserve"> </w:t>
      </w:r>
      <w:r>
        <w:t xml:space="preserve">è concluso; sono possibili ulteriori analisi su vasi e inquinamento atmosferico.</w:t>
      </w:r>
    </w:p>
    <w:p>
      <w:pPr>
        <w:pStyle w:val="FirstParagraph"/>
      </w:pPr>
      <w:r>
        <w:rPr>
          <w:bCs/>
          <w:b/>
        </w:rPr>
        <w:t xml:space="preserve">Valutazione:</w:t>
      </w:r>
      <w:r>
        <w:t xml:space="preserve"> </w:t>
      </w:r>
      <w:r>
        <w:t xml:space="preserve">la carnosina è biologicamente interessante, ma gli studi sull’uomo sono piccoli e disomogenei. Per lo sport il precursore beta-alanina è la via meglio documentata. Per diabete e invecchiamento cerebrale sarebbero necessari studi più ampi e più lunghi con endpoint clinici. Una linea di ricerca sono i derivati resistenti alla carnosinasi, che nel sangue non vengono degradati subito – si trovano però ancora allo stadio di laboratorio.</w:t>
      </w:r>
    </w:p>
    <w:bookmarkEnd w:id="2451"/>
    <w:bookmarkStart w:id="2452" w:name="conclusione-54"/>
    <w:p>
      <w:pPr>
        <w:pStyle w:val="Heading3"/>
      </w:pPr>
      <w:r>
        <w:t xml:space="preserve">Conclusione</w:t>
      </w:r>
    </w:p>
    <w:p>
      <w:pPr>
        <w:pStyle w:val="FirstParagraph"/>
      </w:pPr>
      <w:r>
        <w:t xml:space="preserve">La carnosina è un dipeptide endogeno che nel muscolo tampona l’acido e in laboratorio protegge le cellule dai prodotti della degradazione di zuccheri e grassi. Nell’uomo viene degradata rapidamente nel sangue dall’enzima carnosinasi, per cui i risultati sugli animali sono trasferibili solo in misura limitata. Piccoli studi e meta-analisi indicano un lieve miglioramento della glicemia a lungo termine nel diabete ed effetti sui marcatori infiammatori; per prestazioni, memoria e invecchiamento cutaneo i dati sono deboli o contraddittori. Per la prestazione sportiva il precursore beta-alanina è meglio studiato e associato a piccoli vantaggi negli sforzi brevi e intensi. Alle quantità studiate la carnosina è considerata ben tollerata.</w:t>
      </w:r>
    </w:p>
    <w:bookmarkEnd w:id="2452"/>
    <w:bookmarkEnd w:id="2453"/>
    <w:bookmarkStart w:id="2481" w:name="ghk-cu-peptide-di-rame"/>
    <w:p>
      <w:pPr>
        <w:pStyle w:val="Heading2"/>
      </w:pPr>
      <w:r>
        <w:t xml:space="preserve">GHK-Cu (peptide di rame)</w:t>
      </w:r>
    </w:p>
    <w:bookmarkStart w:id="2455" w:name="scheda-55"/>
    <w:p>
      <w:pPr>
        <w:pStyle w:val="Heading3"/>
      </w:pPr>
      <w:r>
        <w:t xml:space="preserve">Scheda</w:t>
      </w:r>
    </w:p>
    <w:p>
      <w:pPr>
        <w:numPr>
          <w:ilvl w:val="0"/>
          <w:numId w:val="1307"/>
        </w:numPr>
        <w:pStyle w:val="Compact"/>
      </w:pPr>
      <w:r>
        <w:rPr>
          <w:bCs/>
          <w:b/>
        </w:rPr>
        <w:t xml:space="preserve">Tipo/struttura:</w:t>
      </w:r>
      <w:r>
        <w:t xml:space="preserve"> </w:t>
      </w:r>
      <w:r>
        <w:t xml:space="preserve">tripeptide composto da glicina, istidina e lisina (Gly-His-Lys, in breve GHK), che lega saldamente uno ione rame. Negli elenchi degli ingredienti cosmetici è chiamato per lo più</w:t>
      </w:r>
      <w:r>
        <w:t xml:space="preserve"> </w:t>
      </w:r>
      <w:r>
        <w:rPr>
          <w:iCs/>
          <w:i/>
        </w:rPr>
        <w:t xml:space="preserve">Copper Tripeptide-1</w:t>
      </w:r>
      <w:r>
        <w:t xml:space="preserve">. Una forma affine senza rame, ma con un residuo di acido grasso, è il palmitoil tripeptide-1 (Pal-GHK), un componente di «Matrixyl 3000».</w:t>
      </w:r>
    </w:p>
    <w:p>
      <w:pPr>
        <w:numPr>
          <w:ilvl w:val="0"/>
          <w:numId w:val="1307"/>
        </w:numPr>
        <w:pStyle w:val="Compact"/>
      </w:pPr>
      <w:r>
        <w:rPr>
          <w:bCs/>
          <w:b/>
        </w:rPr>
        <w:t xml:space="preserve">Origine:</w:t>
      </w:r>
      <w:r>
        <w:t xml:space="preserve"> </w:t>
      </w:r>
      <w:r>
        <w:t xml:space="preserve">endogena. Il GHK fu scoperto negli anni Settanta nel plasma sanguigno umano</w:t>
      </w:r>
      <w:r>
        <w:rPr>
          <w:rStyle w:val="FootnoteReference"/>
        </w:rPr>
        <w:footnoteReference w:id="2454"/>
      </w:r>
      <w:r>
        <w:t xml:space="preserve"> </w:t>
      </w:r>
      <w:r>
        <w:t xml:space="preserve">ed è presente anche in saliva e urine. La sequenza GHK fa parte del collagene e potrebbe essere liberata durante la sua degradazione. Per i prodotti viene ottenuto per sintesi.</w:t>
      </w:r>
    </w:p>
    <w:p>
      <w:pPr>
        <w:numPr>
          <w:ilvl w:val="0"/>
          <w:numId w:val="1307"/>
        </w:numPr>
        <w:pStyle w:val="Compact"/>
      </w:pPr>
      <w:r>
        <w:rPr>
          <w:bCs/>
          <w:b/>
        </w:rPr>
        <w:t xml:space="preserve">Principio d’azione:</w:t>
      </w:r>
      <w:r>
        <w:t xml:space="preserve"> </w:t>
      </w:r>
      <w:r>
        <w:t xml:space="preserve">dovrebbe stimolare la guarigione delle ferite e il rimodellamento del tessuto connettivo, tra l’altro attraverso il trasporto di rame nelle cellule e la stimolazione della produzione di collagene.</w:t>
      </w:r>
    </w:p>
    <w:p>
      <w:pPr>
        <w:numPr>
          <w:ilvl w:val="0"/>
          <w:numId w:val="1307"/>
        </w:numPr>
        <w:pStyle w:val="Compact"/>
      </w:pPr>
      <w:r>
        <w:rPr>
          <w:bCs/>
          <w:b/>
        </w:rPr>
        <w:t xml:space="preserve">Uso:</w:t>
      </w:r>
      <w:r>
        <w:t xml:space="preserve"> </w:t>
      </w:r>
      <w:r>
        <w:t xml:space="preserve">ammesso come ingrediente nei cosmetici (creme, sieri, prodotti per capelli). Offerto inoltre sul mercato grigio come «Research Peptide» per iniezione.</w:t>
      </w:r>
    </w:p>
    <w:p>
      <w:pPr>
        <w:numPr>
          <w:ilvl w:val="0"/>
          <w:numId w:val="1307"/>
        </w:numPr>
        <w:pStyle w:val="Compact"/>
      </w:pPr>
      <w:r>
        <w:rPr>
          <w:bCs/>
          <w:b/>
        </w:rPr>
        <w:t xml:space="preserve">Approvazione UE:</w:t>
      </w:r>
      <w:r>
        <w:t xml:space="preserve"> </w:t>
      </w:r>
      <w:r>
        <w:t xml:space="preserve">nessuna autorizzazione come farmaco. Utilizzabile come ingrediente cosmetico.</w:t>
      </w:r>
    </w:p>
    <w:p>
      <w:pPr>
        <w:numPr>
          <w:ilvl w:val="0"/>
          <w:numId w:val="1307"/>
        </w:numPr>
        <w:pStyle w:val="Compact"/>
      </w:pPr>
      <w:r>
        <w:rPr>
          <w:bCs/>
          <w:b/>
        </w:rPr>
        <w:t xml:space="preserve">Approvazione USA:</w:t>
      </w:r>
      <w:r>
        <w:t xml:space="preserve"> </w:t>
      </w:r>
      <w:r>
        <w:t xml:space="preserve">nessuna autorizzazione come farmaco; in commercio come ingrediente cosmetico. Per la preparazione in farmacia di formulazioni iniettabili esistono limitazioni (vedi quadro normativo).</w:t>
      </w:r>
    </w:p>
    <w:p>
      <w:pPr>
        <w:numPr>
          <w:ilvl w:val="0"/>
          <w:numId w:val="1307"/>
        </w:numPr>
        <w:pStyle w:val="Compact"/>
      </w:pPr>
      <w:r>
        <w:rPr>
          <w:bCs/>
          <w:b/>
        </w:rPr>
        <w:t xml:space="preserve">WADA:</w:t>
      </w:r>
      <w:r>
        <w:t xml:space="preserve"> </w:t>
      </w:r>
      <w:r>
        <w:t xml:space="preserve">non elencato per nome. In caso di iniezione, come principio attivo non approvato può rientrare nella categoria S0 («sostanze non approvate»).</w:t>
      </w:r>
    </w:p>
    <w:p>
      <w:pPr>
        <w:numPr>
          <w:ilvl w:val="0"/>
          <w:numId w:val="1307"/>
        </w:numPr>
        <w:pStyle w:val="Compact"/>
      </w:pPr>
      <w:r>
        <w:rPr>
          <w:bCs/>
          <w:b/>
        </w:rPr>
        <w:t xml:space="preserve">Livello di evidenza:</w:t>
      </w:r>
      <w:r>
        <w:t xml:space="preserve"> </w:t>
      </w:r>
      <w:r>
        <w:rPr>
          <w:bCs/>
          <w:b/>
        </w:rPr>
        <w:t xml:space="preserve">C</w:t>
      </w:r>
      <w:r>
        <w:t xml:space="preserve"> </w:t>
      </w:r>
      <w:r>
        <w:t xml:space="preserve">– un vecchio studio randomizzato sulle ferite e pochi studi molto piccoli sulla pelle; per gli impieghi oggi pubblicizzati (cosmetica anti-aging, iniezioni) nessun dato solido controllato sull’uomo.</w:t>
      </w:r>
    </w:p>
    <w:bookmarkEnd w:id="2455"/>
    <w:bookmarkStart w:id="2462" w:name="come-dovrebbe-agire-55"/>
    <w:p>
      <w:pPr>
        <w:pStyle w:val="Heading3"/>
      </w:pPr>
      <w:r>
        <w:t xml:space="preserve">Come dovrebbe agire</w:t>
      </w:r>
    </w:p>
    <w:p>
      <w:pPr>
        <w:pStyle w:val="FirstParagraph"/>
      </w:pPr>
      <w:r>
        <w:t xml:space="preserve">Il GHK lega il rame così saldamente da poter trasportare questo oligoelemento vitale nelle cellule. Il rame è necessario a diversi enzimi importanti per il tessuto connettivo, per esempio la lisil ossidasi, che collega tra loro le fibre di collagene ed elastina. Un lavoro iniziale ipotizzò già nel 1980 che il GHK esercitasse il suo effetto sulle cellule facilitando l’assorbimento del rame</w:t>
      </w:r>
      <w:r>
        <w:rPr>
          <w:rStyle w:val="FootnoteReference"/>
        </w:rPr>
        <w:footnoteReference w:id="2456"/>
      </w:r>
      <w:r>
        <w:t xml:space="preserve">.</w:t>
      </w:r>
    </w:p>
    <w:p>
      <w:pPr>
        <w:pStyle w:val="BodyText"/>
      </w:pPr>
      <w:r>
        <w:t xml:space="preserve">In colture cellulari il GHK-Cu ha stimolato la produzione di collagene dei fibroblasti già a concentrazioni estremamente basse; il massimo era a circa un nanomole per litro</w:t>
      </w:r>
      <w:r>
        <w:rPr>
          <w:rStyle w:val="FootnoteReference"/>
        </w:rPr>
        <w:footnoteReference w:id="2457"/>
      </w:r>
      <w:r>
        <w:t xml:space="preserve">. Lo scopritore del GHK, Loren Pickart, ha descritto in diverse rassegne una moltitudine di ulteriori effetti – su guarigione delle ferite, crescita dei capelli, infiammazione, crescita nervosa e persino sull’attività di migliaia di geni</w:t>
      </w:r>
      <w:r>
        <w:rPr>
          <w:rStyle w:val="FootnoteReference"/>
        </w:rPr>
        <w:footnoteReference w:id="2458"/>
      </w:r>
      <w:r>
        <w:t xml:space="preserve">. Queste affermazioni si basano prevalentemente su esperimenti cellulari e sugli animali e su dati di espressione genica tratti da banche dati, non su studi sull’uomo. Inoltre molte di queste rassegne provengono dall’ambiente delle persone che hanno sviluppato il GHK-Cu anche a livello commerciale – una circostanza che i lettori dovrebbero conoscere nella valutazione.</w:t>
      </w:r>
    </w:p>
    <w:bookmarkStart w:id="2461" w:name="il-peptide-attraversa-la-pelle"/>
    <w:p>
      <w:pPr>
        <w:pStyle w:val="Heading4"/>
      </w:pPr>
      <w:r>
        <w:t xml:space="preserve">Il peptide attraversa la pelle?</w:t>
      </w:r>
    </w:p>
    <w:p>
      <w:pPr>
        <w:pStyle w:val="FirstParagraph"/>
      </w:pPr>
      <w:r>
        <w:t xml:space="preserve">Per l’uso cosmetico è decisivo se il GHK-Cu superi la barriera cutanea. Lo strato corneo della pelle è poco permeabile a molecole idrosolubili e cariche come il GHK. Una rassegna del 2025 conclude che negli esperimenti cellulari il GHK potrebbe senza dubbio essere considerato un principio attivo antirughe, ma che gli studi clinici sono sorprendentemente pochi; il legame con il rame e l’aggiunta di acidi grassi migliorano la permeabilità, e microaghi e altri ausili sono oggetto di ricerca</w:t>
      </w:r>
      <w:r>
        <w:rPr>
          <w:rStyle w:val="FootnoteReference"/>
        </w:rPr>
        <w:footnoteReference w:id="2459"/>
      </w:r>
      <w:r>
        <w:t xml:space="preserve">. Un’indagine su tre volontari ha trovato l’affine Pal-GHK, dopo l’applicazione, in tutti gli strati dello strato corneo, però solo tra le cellule e in quantità decrescente in profondità</w:t>
      </w:r>
      <w:r>
        <w:rPr>
          <w:rStyle w:val="FootnoteReference"/>
        </w:rPr>
        <w:footnoteReference w:id="2460"/>
      </w:r>
      <w:r>
        <w:t xml:space="preserve">. Se quantità sufficienti raggiungano gli strati più profondi della pelle, in cui si forma il collagene, non è chiarito.</w:t>
      </w:r>
    </w:p>
    <w:bookmarkEnd w:id="2461"/>
    <w:bookmarkEnd w:id="2462"/>
    <w:bookmarkStart w:id="2466" w:name="studi-sulluomo-55"/>
    <w:p>
      <w:pPr>
        <w:pStyle w:val="Heading3"/>
      </w:pPr>
      <w:r>
        <w:t xml:space="preserve">Studi sull’uomo</w:t>
      </w:r>
    </w:p>
    <w:p>
      <w:pPr>
        <w:pStyle w:val="FirstParagraph"/>
      </w:pPr>
      <w:r>
        <w:t xml:space="preserve">La ricerca in PubMed valutata per questo libro (GHK-Cu, tripeptide di rame o peptide di rame GHK nel titolo o nell’abstract, data della ricerca ottobre 2026) ha restituito</w:t>
      </w:r>
      <w:r>
        <w:t xml:space="preserve"> </w:t>
      </w:r>
      <w:r>
        <w:rPr>
          <w:bCs/>
          <w:b/>
        </w:rPr>
        <w:t xml:space="preserve">un solo</w:t>
      </w:r>
      <w:r>
        <w:t xml:space="preserve"> </w:t>
      </w:r>
      <w:r>
        <w:t xml:space="preserve">studio sull’uomo. Su ClinicalTrials.gov la ricerca ha dato 25 voci, che però riguardano quasi tutte altri composti del rame (per esempio il rame-64 radioattivo per l’imaging). Solo una voce credibile studia davvero GHK o GHK-Cu; un’altra voce su un gel per ferite al GHK-Cu proviene da uno sponsor le cui voci di registro, secondo la nostra verifica, sono evidentemente voci di esempio o di prova fittizie, e per questo non viene considerata qui. Una ricerca ampliata ha individuato in più il vecchio studio sulle ferite citato sotto e singoli casi clinici.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Mulder 1994, PMID 17147644</w:t>
            </w:r>
          </w:p>
        </w:tc>
        <w:tc>
          <w:tcPr/>
          <w:p>
            <w:pPr>
              <w:pStyle w:val="Compact"/>
              <w:jc w:val="left"/>
            </w:pPr>
            <w:r>
              <w:t xml:space="preserve">Persone con ulcere del piede diabetico, multicentrico, randomizzato, valutazione in cieco, gel di GHK-Cu vs. gel veicolo</w:t>
            </w:r>
          </w:p>
        </w:tc>
        <w:tc>
          <w:tcPr/>
          <w:p>
            <w:pPr>
              <w:pStyle w:val="Compact"/>
              <w:jc w:val="left"/>
            </w:pPr>
            <w:r>
              <w:t xml:space="preserve">n. d. nell’abstract</w:t>
            </w:r>
          </w:p>
        </w:tc>
        <w:tc>
          <w:tcPr/>
          <w:p>
            <w:pPr>
              <w:pStyle w:val="Compact"/>
              <w:jc w:val="left"/>
            </w:pPr>
            <w:r>
              <w:t xml:space="preserve">Riduzione mediana dell’area della ferita 98,5% vs. 60,8%; infezioni 7% vs. 34%</w:t>
            </w:r>
          </w:p>
        </w:tc>
      </w:tr>
      <w:tr>
        <w:tc>
          <w:tcPr/>
          <w:p>
            <w:pPr>
              <w:pStyle w:val="Compact"/>
              <w:jc w:val="left"/>
            </w:pPr>
            <w:r>
              <w:t xml:space="preserve">Miller 2006, PMID 16847171</w:t>
            </w:r>
          </w:p>
        </w:tc>
        <w:tc>
          <w:tcPr/>
          <w:p>
            <w:pPr>
              <w:pStyle w:val="Compact"/>
              <w:jc w:val="left"/>
            </w:pPr>
            <w:r>
              <w:t xml:space="preserve">Cura della pelle dopo trattamento laser CO₂, randomizzato, 13 valutabili</w:t>
            </w:r>
          </w:p>
        </w:tc>
        <w:tc>
          <w:tcPr/>
          <w:p>
            <w:pPr>
              <w:pStyle w:val="Compact"/>
              <w:jc w:val="left"/>
            </w:pPr>
            <w:r>
              <w:t xml:space="preserve">12 settimane</w:t>
            </w:r>
          </w:p>
        </w:tc>
        <w:tc>
          <w:tcPr/>
          <w:p>
            <w:pPr>
              <w:pStyle w:val="Compact"/>
              <w:jc w:val="left"/>
            </w:pPr>
            <w:r>
              <w:t xml:space="preserve">Nessuna differenza in arrossamento, rughe o qualità della pelle secondo misurazioni e valutazione in cieco; maggiore soddisfazione nel questionario</w:t>
            </w:r>
          </w:p>
        </w:tc>
      </w:tr>
      <w:tr>
        <w:tc>
          <w:tcPr/>
          <w:p>
            <w:pPr>
              <w:pStyle w:val="Compact"/>
              <w:jc w:val="left"/>
            </w:pPr>
            <w:r>
              <w:t xml:space="preserve">Byun 2016, PMID 27064823</w:t>
            </w:r>
          </w:p>
        </w:tc>
        <w:tc>
          <w:tcPr/>
          <w:p>
            <w:pPr>
              <w:pStyle w:val="Compact"/>
              <w:jc w:val="left"/>
            </w:pPr>
            <w:r>
              <w:t xml:space="preserve">1 uomo, miscela di GHK-Cu, acido ialuronico, estratto vegetale, acido tranexamico e beta-glucano con nebulizzatore</w:t>
            </w:r>
          </w:p>
        </w:tc>
        <w:tc>
          <w:tcPr/>
          <w:p>
            <w:pPr>
              <w:pStyle w:val="Compact"/>
              <w:jc w:val="left"/>
            </w:pPr>
            <w:r>
              <w:t xml:space="preserve">12 settimane</w:t>
            </w:r>
          </w:p>
        </w:tc>
        <w:tc>
          <w:tcPr/>
          <w:p>
            <w:pPr>
              <w:pStyle w:val="Compact"/>
              <w:jc w:val="left"/>
            </w:pPr>
            <w:r>
              <w:t xml:space="preserve">Meno rughe perioculari; più collagene nei campioni cutanei (caso singolo, prodotto combinato)</w:t>
            </w:r>
          </w:p>
        </w:tc>
      </w:tr>
    </w:tbl>
    <w:p>
      <w:pPr>
        <w:pStyle w:val="BodyText"/>
      </w:pPr>
      <w:r>
        <w:rPr>
          <w:bCs/>
          <w:b/>
        </w:rPr>
        <w:t xml:space="preserve">Lo studio sulle ferite del 1994</w:t>
      </w:r>
      <w:r>
        <w:t xml:space="preserve"> </w:t>
      </w:r>
      <w:r>
        <w:t xml:space="preserve">è l’unico studio controllato che abbia migliorato un endpoint clinicamente rilevante. Il preparato (sviluppato con il nome Iamin) non ha però ottenuto l’autorizzazione come farmaco. L’abstract non riporta né il numero di partecipanti né la durata dello studio; studi di conferma successivi non si trovano in PubMed.</w:t>
      </w:r>
    </w:p>
    <w:p>
      <w:pPr>
        <w:pStyle w:val="BodyText"/>
      </w:pPr>
      <w:r>
        <w:rPr>
          <w:bCs/>
          <w:b/>
        </w:rPr>
        <w:t xml:space="preserve">Lo studio laser del 2006</w:t>
      </w:r>
      <w:r>
        <w:t xml:space="preserve"> </w:t>
      </w:r>
      <w:r>
        <w:t xml:space="preserve">è l’unico studio randomizzato con un quesito cosmetico registrato in PubMed. Con soli 13 pazienti valutabili era troppo piccolo per riconoscere con certezza delle differenze – e oggettivamente non ne ha trovate.</w:t>
      </w:r>
    </w:p>
    <w:p>
      <w:pPr>
        <w:pStyle w:val="BodyText"/>
      </w:pPr>
      <w:r>
        <w:rPr>
          <w:bCs/>
          <w:b/>
        </w:rPr>
        <w:t xml:space="preserve">Studi cosmetici:</w:t>
      </w:r>
      <w:r>
        <w:t xml:space="preserve"> </w:t>
      </w:r>
      <w:r>
        <w:t xml:space="preserve">in manuali specialistici e materiali pubblicitari vengono citati studi secondo cui creme al GHK-Cu avrebbero migliorato rughe, densità ed elasticità della pelle. Questi sono usciti per lo più in riviste non indicizzate in PubMed oppure sono disponibili solo come contributi congressuali e rapporti dei produttori, e non è stato possibile verificarli nell’originale per questo libro. Una meta-analisi del 2026 sui peptidi orali e topici contro l’invecchiamento cutaneo ha rilevato che il beneficio sulle rughe era sostenuto soprattutto dai peptidi assunti</w:t>
      </w:r>
      <w:r>
        <w:t xml:space="preserve"> </w:t>
      </w:r>
      <w:r>
        <w:rPr>
          <w:iCs/>
          <w:i/>
        </w:rPr>
        <w:t xml:space="preserve">per via orale</w:t>
      </w:r>
      <w:r>
        <w:t xml:space="preserve">; l’abstract non riporta risultati specifici per il GHK-Cu</w:t>
      </w:r>
      <w:r>
        <w:rPr>
          <w:rStyle w:val="FootnoteReference"/>
        </w:rPr>
        <w:footnoteReference w:id="2463"/>
      </w:r>
      <w:r>
        <w:t xml:space="preserve">.</w:t>
      </w:r>
    </w:p>
    <w:p>
      <w:pPr>
        <w:pStyle w:val="BodyText"/>
      </w:pPr>
      <w:r>
        <w:rPr>
          <w:bCs/>
          <w:b/>
        </w:rPr>
        <w:t xml:space="preserve">Iniezioni:</w:t>
      </w:r>
      <w:r>
        <w:t xml:space="preserve"> </w:t>
      </w:r>
      <w:r>
        <w:t xml:space="preserve">per il GHK-Cu iniettato non esiste un solo studio controllato pubblicato sull’uomo. Una rassegna di ortopedia e medicina dello sport constata che per l’impiego nelle malattie dell’apparato locomotore non sono disponibili dati clinici e che dosaggio, frequenza e durata di un trattamento sono sconosciuti</w:t>
      </w:r>
      <w:r>
        <w:rPr>
          <w:rStyle w:val="FootnoteReference"/>
        </w:rPr>
        <w:footnoteReference w:id="2464"/>
      </w:r>
      <w:r>
        <w:t xml:space="preserve">. Un’altra rassegna sui peptidi non approvati in medicina dello sport conclude che mancano dati di sicurezza solidi sull’uomo e che esiste un potenziale di danno</w:t>
      </w:r>
      <w:r>
        <w:rPr>
          <w:rStyle w:val="FootnoteReference"/>
        </w:rPr>
        <w:footnoteReference w:id="2465"/>
      </w:r>
      <w:r>
        <w:t xml:space="preserve">.</w:t>
      </w:r>
    </w:p>
    <w:bookmarkEnd w:id="2466"/>
    <w:bookmarkStart w:id="2473" w:name="studi-su-animali-e-in-laboratorio-55"/>
    <w:p>
      <w:pPr>
        <w:pStyle w:val="Heading3"/>
      </w:pPr>
      <w:r>
        <w:t xml:space="preserve">Studi su animali e in laboratorio</w:t>
      </w:r>
    </w:p>
    <w:p>
      <w:pPr>
        <w:pStyle w:val="FirstParagraph"/>
      </w:pPr>
      <w:r>
        <w:t xml:space="preserve">La letteratura preclinica è ampia:</w:t>
      </w:r>
    </w:p>
    <w:p>
      <w:pPr>
        <w:numPr>
          <w:ilvl w:val="0"/>
          <w:numId w:val="1308"/>
        </w:numPr>
        <w:pStyle w:val="Compact"/>
      </w:pPr>
      <w:r>
        <w:rPr>
          <w:bCs/>
          <w:b/>
        </w:rPr>
        <w:t xml:space="preserve">Coltura cellulare:</w:t>
      </w:r>
      <w:r>
        <w:t xml:space="preserve"> </w:t>
      </w:r>
      <w:r>
        <w:t xml:space="preserve">aumento della produzione di collagene nei fibroblasti</w:t>
      </w:r>
      <w:r>
        <w:rPr>
          <w:rStyle w:val="FootnoteReference"/>
        </w:rPr>
        <w:footnoteReference w:id="2467"/>
      </w:r>
      <w:r>
        <w:t xml:space="preserve">; influenza sugli enzimi che costruiscono e degradano il tessuto connettivo.</w:t>
      </w:r>
    </w:p>
    <w:p>
      <w:pPr>
        <w:numPr>
          <w:ilvl w:val="0"/>
          <w:numId w:val="1308"/>
        </w:numPr>
        <w:pStyle w:val="Compact"/>
      </w:pPr>
      <w:r>
        <w:rPr>
          <w:bCs/>
          <w:b/>
        </w:rPr>
        <w:t xml:space="preserve">Guarigione delle ferite negli animali:</w:t>
      </w:r>
      <w:r>
        <w:t xml:space="preserve"> </w:t>
      </w:r>
      <w:r>
        <w:t xml:space="preserve">in ratti con ferite scarsamente irrorate l’area della ferita si è ridotta dopo 13 giorni del 64,5% con il gel di GHK-Cu, del 45,6% con il gel veicolo e del 28,2% senza trattamento</w:t>
      </w:r>
      <w:r>
        <w:rPr>
          <w:rStyle w:val="FootnoteReference"/>
        </w:rPr>
        <w:footnoteReference w:id="2468"/>
      </w:r>
      <w:r>
        <w:t xml:space="preserve">. Nei topi liposomi contenenti GHK-Cu hanno favorito la neoformazione di vasi nella pelle ustionata e accorciato i tempi di guarigione</w:t>
      </w:r>
      <w:r>
        <w:rPr>
          <w:rStyle w:val="FootnoteReference"/>
        </w:rPr>
        <w:footnoteReference w:id="2469"/>
      </w:r>
      <w:r>
        <w:t xml:space="preserve">.</w:t>
      </w:r>
    </w:p>
    <w:p>
      <w:pPr>
        <w:numPr>
          <w:ilvl w:val="0"/>
          <w:numId w:val="1308"/>
        </w:numPr>
        <w:pStyle w:val="Compact"/>
      </w:pPr>
      <w:r>
        <w:rPr>
          <w:bCs/>
          <w:b/>
        </w:rPr>
        <w:t xml:space="preserve">Altri organi (negli animali):</w:t>
      </w:r>
      <w:r>
        <w:t xml:space="preserve"> </w:t>
      </w:r>
      <w:r>
        <w:t xml:space="preserve">nei topi il GHK-Cu, iniettato nella cavità addominale, ha attenuato una fibrosi polmonare indotta sperimentalmente</w:t>
      </w:r>
      <w:r>
        <w:rPr>
          <w:rStyle w:val="FootnoteReference"/>
        </w:rPr>
        <w:footnoteReference w:id="2470"/>
      </w:r>
      <w:r>
        <w:t xml:space="preserve">; altri studi sui topi descrivono effetti su danni polmonari, infiammazione intestinale e debolezza muscolare dopo fumo di sigaretta. Nei ratti ha migliorato la guarigione dopo ricostruzione del legamento crociato solo temporaneamente</w:t>
      </w:r>
      <w:r>
        <w:rPr>
          <w:rStyle w:val="FootnoteReference"/>
        </w:rPr>
        <w:footnoteReference w:id="2471"/>
      </w:r>
      <w:r>
        <w:t xml:space="preserve">.</w:t>
      </w:r>
    </w:p>
    <w:p>
      <w:pPr>
        <w:numPr>
          <w:ilvl w:val="0"/>
          <w:numId w:val="1308"/>
        </w:numPr>
        <w:pStyle w:val="Compact"/>
      </w:pPr>
      <w:r>
        <w:rPr>
          <w:bCs/>
          <w:b/>
        </w:rPr>
        <w:t xml:space="preserve">Cervello (nei topi):</w:t>
      </w:r>
      <w:r>
        <w:t xml:space="preserve"> </w:t>
      </w:r>
      <w:r>
        <w:t xml:space="preserve">una pubblicazione preliminare del 2026, non ancora sottoposta a revisione paritaria, ha descritto in topi anziani migliori prestazioni di apprendimento dopo otto settimane di somministrazione nasale, e dopo una breve somministrazione nella cavità addominale solo temporaneamente e solo nei maschi</w:t>
      </w:r>
      <w:r>
        <w:rPr>
          <w:rStyle w:val="FootnoteReference"/>
        </w:rPr>
        <w:footnoteReference w:id="2472"/>
      </w:r>
      <w:r>
        <w:t xml:space="preserve">.</w:t>
      </w:r>
    </w:p>
    <w:p>
      <w:pPr>
        <w:pStyle w:val="FirstParagraph"/>
      </w:pPr>
      <w:r>
        <w:t xml:space="preserve">Questi risultati mostrano un’attività biologica, ma non sono trasferibili senza riserve all’uomo – tanto meno a creme cosmetiche con una permeabilità cutanea non chiara.</w:t>
      </w:r>
    </w:p>
    <w:bookmarkEnd w:id="2473"/>
    <w:bookmarkStart w:id="2476" w:name="rischi-ed-effetti-collaterali-55"/>
    <w:p>
      <w:pPr>
        <w:pStyle w:val="Heading3"/>
      </w:pPr>
      <w:r>
        <w:t xml:space="preserve">Rischi ed effetti collaterali</w:t>
      </w:r>
    </w:p>
    <w:p>
      <w:pPr>
        <w:pStyle w:val="FirstParagraph"/>
      </w:pPr>
      <w:r>
        <w:rPr>
          <w:bCs/>
          <w:b/>
        </w:rPr>
        <w:t xml:space="preserve">Uso cosmetico (dimostrato o probabile):</w:t>
      </w:r>
      <w:r>
        <w:t xml:space="preserve"> </w:t>
      </w:r>
      <w:r>
        <w:t xml:space="preserve">il GHK-Cu viene usato da decenni nei cosmetici; nei pochi studi non sono stati riportati effetti collaterali rilevanti. Come per qualsiasi ingrediente cosmetico sono possibili irritazioni cutanee e allergie da contatto. I sieri contenenti rame possono essere chimicamente compatibili o meno con altri principi attivi (per esempio vitamina C o acidi) – è una questione di formulazione.</w:t>
      </w:r>
    </w:p>
    <w:p>
      <w:pPr>
        <w:pStyle w:val="BodyText"/>
      </w:pPr>
      <w:r>
        <w:rPr>
          <w:bCs/>
          <w:b/>
        </w:rPr>
        <w:t xml:space="preserve">Iniezione (teorici, ma da prendere sul serio):</w:t>
      </w:r>
    </w:p>
    <w:p>
      <w:pPr>
        <w:numPr>
          <w:ilvl w:val="0"/>
          <w:numId w:val="1309"/>
        </w:numPr>
        <w:pStyle w:val="Compact"/>
      </w:pPr>
      <w:r>
        <w:rPr>
          <w:bCs/>
          <w:b/>
        </w:rPr>
        <w:t xml:space="preserve">Nessun dato di sicurezza:</w:t>
      </w:r>
      <w:r>
        <w:t xml:space="preserve"> </w:t>
      </w:r>
      <w:r>
        <w:t xml:space="preserve">non esistono dati sistematici su tollerabilità, dosaggio o conseguenze a lungo termine nell’uomo.</w:t>
      </w:r>
    </w:p>
    <w:p>
      <w:pPr>
        <w:numPr>
          <w:ilvl w:val="0"/>
          <w:numId w:val="1309"/>
        </w:numPr>
        <w:pStyle w:val="Compact"/>
      </w:pPr>
      <w:r>
        <w:rPr>
          <w:bCs/>
          <w:b/>
        </w:rPr>
        <w:t xml:space="preserve">Effetti cellulari disomogenei:</w:t>
      </w:r>
      <w:r>
        <w:t xml:space="preserve"> </w:t>
      </w:r>
      <w:r>
        <w:t xml:space="preserve">già i primi lavori di laboratorio descrivevano che il GHK, a seconda del sistema cellulare, può favorire la crescita ma anche agire in modo tossico</w:t>
      </w:r>
      <w:r>
        <w:rPr>
          <w:rStyle w:val="FootnoteReference"/>
        </w:rPr>
        <w:footnoteReference w:id="2474"/>
      </w:r>
      <w:r>
        <w:t xml:space="preserve">.</w:t>
      </w:r>
    </w:p>
    <w:p>
      <w:pPr>
        <w:numPr>
          <w:ilvl w:val="0"/>
          <w:numId w:val="1309"/>
        </w:numPr>
        <w:pStyle w:val="Compact"/>
      </w:pPr>
      <w:r>
        <w:rPr>
          <w:bCs/>
          <w:b/>
        </w:rPr>
        <w:t xml:space="preserve">Carico di rame:</w:t>
      </w:r>
      <w:r>
        <w:t xml:space="preserve"> </w:t>
      </w:r>
      <w:r>
        <w:t xml:space="preserve">il rame in quantità elevate è tossico. Quanto rame rimanga nel corpo con iniezioni ripetute non è stato studiato. Particolarmente a rischio sarebbero le persone con malattia di Wilson, una malattia congenita da accumulo di rame.</w:t>
      </w:r>
    </w:p>
    <w:p>
      <w:pPr>
        <w:numPr>
          <w:ilvl w:val="0"/>
          <w:numId w:val="1309"/>
        </w:numPr>
        <w:pStyle w:val="Compact"/>
      </w:pPr>
      <w:r>
        <w:rPr>
          <w:bCs/>
          <w:b/>
        </w:rPr>
        <w:t xml:space="preserve">Segnali di crescita:</w:t>
      </w:r>
      <w:r>
        <w:t xml:space="preserve"> </w:t>
      </w:r>
      <w:r>
        <w:t xml:space="preserve">negli esperimenti sugli animali il GHK-Cu favorisce la formazione di nuovi vasi sanguigni (angiogenesi). Se ciò rappresenti un rischio in presenza di tumori esistenti è sconosciuto (rischio teorico).</w:t>
      </w:r>
    </w:p>
    <w:p>
      <w:pPr>
        <w:numPr>
          <w:ilvl w:val="0"/>
          <w:numId w:val="1309"/>
        </w:numPr>
        <w:pStyle w:val="Compact"/>
      </w:pPr>
      <w:r>
        <w:rPr>
          <w:bCs/>
          <w:b/>
        </w:rPr>
        <w:t xml:space="preserve">Qualità del mercato grigio:</w:t>
      </w:r>
      <w:r>
        <w:t xml:space="preserve"> </w:t>
      </w:r>
      <w:r>
        <w:t xml:space="preserve">i «Research Peptides» vengono prodotti senza controllo di qualità farmaceutico. Sono possibili impurità, quantità errate o contaminazione batterica; le iniezioni di prodotti non sterili possono portare ad ascessi e infezioni. Una rassegna descrive questi rischi per i peptidi iniettabili di «biohacking» in generale</w:t>
      </w:r>
      <w:r>
        <w:rPr>
          <w:rStyle w:val="FootnoteReference"/>
        </w:rPr>
        <w:footnoteReference w:id="2475"/>
      </w:r>
      <w:r>
        <w:t xml:space="preserve">. La Parte IV tratta il tema in dettaglio.</w:t>
      </w:r>
    </w:p>
    <w:bookmarkEnd w:id="2476"/>
    <w:bookmarkStart w:id="2477" w:name="quadro-normativo-55"/>
    <w:p>
      <w:pPr>
        <w:pStyle w:val="Heading3"/>
      </w:pPr>
      <w:r>
        <w:t xml:space="preserve">Quadro normativo</w:t>
      </w:r>
    </w:p>
    <w:p>
      <w:pPr>
        <w:numPr>
          <w:ilvl w:val="0"/>
          <w:numId w:val="1310"/>
        </w:numPr>
        <w:pStyle w:val="Compact"/>
      </w:pPr>
      <w:r>
        <w:rPr>
          <w:bCs/>
          <w:b/>
        </w:rPr>
        <w:t xml:space="preserve">UE / Austria / Germania:</w:t>
      </w:r>
      <w:r>
        <w:t xml:space="preserve"> </w:t>
      </w:r>
      <w:r>
        <w:t xml:space="preserve">il GHK-Cu (Copper Tripeptide-1) può essere usato come ingrediente nei cosmetici; si applica il regolamento UE sui prodotti cosmetici (Regolamento (CE) n. 1223/2009). I cosmetici possono essere destinati solo all’applicazione sulla pelle e sui suoi annessi e non possono rivendicare effetti farmacologici; le affermazioni pubblicitarie devono essere dimostrabili secondo il Regolamento (UE) n. 655/2013. Un GHK-Cu destinato all’iniezione non è un cosmetico, ma un farmaco non approvato. La sua vendita per uso umano non è consentita; etichette come «solo a scopo di ricerca» non cambiano nulla.</w:t>
      </w:r>
    </w:p>
    <w:p>
      <w:pPr>
        <w:numPr>
          <w:ilvl w:val="0"/>
          <w:numId w:val="1310"/>
        </w:numPr>
        <w:pStyle w:val="Compact"/>
      </w:pPr>
      <w:r>
        <w:rPr>
          <w:bCs/>
          <w:b/>
        </w:rPr>
        <w:t xml:space="preserve">USA:</w:t>
      </w:r>
      <w:r>
        <w:t xml:space="preserve"> </w:t>
      </w:r>
      <w:r>
        <w:t xml:space="preserve">ammesso nei cosmetici. Secondo le nostre informazioni, nel 2023 la FDA ha inserito il GHK-Cu per iniezione in un elenco di principi attivi per cui ravvisa gravi problemi di sicurezza nella preparazione in farmacia (compounding); la classificazione di diversi peptidi è stata da allora nuovamente discussa.</w:t>
      </w:r>
    </w:p>
    <w:p>
      <w:pPr>
        <w:numPr>
          <w:ilvl w:val="0"/>
          <w:numId w:val="1310"/>
        </w:numPr>
        <w:pStyle w:val="Compact"/>
      </w:pPr>
      <w:r>
        <w:rPr>
          <w:bCs/>
          <w:b/>
        </w:rPr>
        <w:t xml:space="preserve">Sport:</w:t>
      </w:r>
      <w:r>
        <w:t xml:space="preserve"> </w:t>
      </w:r>
      <w:r>
        <w:t xml:space="preserve">il GHK-Cu non è elencato per nome nella lista WADA. Le creme cosmetiche sono considerate non problematiche. Il GHK-Cu iniettato, come sostanza non approvata, potrebbe rientrare nella categoria S0; in caso di dubbio gli atleti dovrebbero rivolgersi all’agenzia nazionale antidoping (aggiornato al 2026, da verificare).</w:t>
      </w:r>
    </w:p>
    <w:bookmarkEnd w:id="2477"/>
    <w:bookmarkStart w:id="2479" w:name="studi-in-corso-e-prospettive-55"/>
    <w:p>
      <w:pPr>
        <w:pStyle w:val="Heading3"/>
      </w:pPr>
      <w:r>
        <w:t xml:space="preserve">Studi in corso e prospettive</w:t>
      </w:r>
    </w:p>
    <w:p>
      <w:pPr>
        <w:pStyle w:val="FirstParagraph"/>
      </w:pPr>
      <w:r>
        <w:rPr>
          <w:bCs/>
          <w:b/>
        </w:rPr>
        <w:t xml:space="preserve">Dati certi (studi registrati, situazione a ottobre 2026):</w:t>
      </w:r>
    </w:p>
    <w:p>
      <w:pPr>
        <w:numPr>
          <w:ilvl w:val="0"/>
          <w:numId w:val="1311"/>
        </w:numPr>
        <w:pStyle w:val="Compact"/>
      </w:pPr>
      <w:r>
        <w:rPr>
          <w:bCs/>
          <w:b/>
        </w:rPr>
        <w:t xml:space="preserve">Cerotto:</w:t>
      </w:r>
      <w:r>
        <w:t xml:space="preserve"> </w:t>
      </w:r>
      <w:r>
        <w:t xml:space="preserve">uno studio con 100 persone sane previste dovrebbe esaminare se un cerotto (X39) modifichi i livelli ematici di GHK e GHK-Cu; inizio previsto nel 2027</w:t>
      </w:r>
      <w:r>
        <w:rPr>
          <w:rStyle w:val="FootnoteReference"/>
        </w:rPr>
        <w:footnoteReference w:id="2478"/>
      </w:r>
      <w:r>
        <w:t xml:space="preserve">. Lo sponsor è un’azienda che commercializza il cerotto.</w:t>
      </w:r>
    </w:p>
    <w:p>
      <w:pPr>
        <w:pStyle w:val="FirstParagraph"/>
      </w:pPr>
      <w:r>
        <w:rPr>
          <w:bCs/>
          <w:b/>
        </w:rPr>
        <w:t xml:space="preserve">Valutazione:</w:t>
      </w:r>
      <w:r>
        <w:t xml:space="preserve"> </w:t>
      </w:r>
      <w:r>
        <w:t xml:space="preserve">al momento non si intravede uno studio serio e registrato su un endpoint clinicamente rilevante – per esempio la guarigione delle ferite, da cui provengono gli unici dati positivi controllati sull’uomo. Per l’uso cosmetico sarebbero necessari studi indipendenti, sufficientemente ampi e controllati con placebo con una crema senza altri principi attivi. Per le iniezioni non è in vista alcuno studio serio; l’interesse è alimentato soprattutto dai social media e dal mercato grigio.</w:t>
      </w:r>
    </w:p>
    <w:bookmarkEnd w:id="2479"/>
    <w:bookmarkStart w:id="2480" w:name="conclusione-55"/>
    <w:p>
      <w:pPr>
        <w:pStyle w:val="Heading3"/>
      </w:pPr>
      <w:r>
        <w:t xml:space="preserve">Conclusione</w:t>
      </w:r>
    </w:p>
    <w:p>
      <w:pPr>
        <w:pStyle w:val="FirstParagraph"/>
      </w:pPr>
      <w:r>
        <w:t xml:space="preserve">Il GHK-Cu è un peptide di rame endogeno che in laboratorio stimola la produzione di collagene e negli esperimenti sugli animali accelera la guarigione delle ferite. Nell’uomo esistono solo un vecchio studio randomizzato sulle ulcere del piede diabetico con esito positivo e un minuscolo studio cosmetico senza effetto misurabile. Se il GHK-Cu contenuto nelle creme penetri nella pelle in quantità sufficiente non è chiarito; le affermazioni pubblicitarie si basano soprattutto su dati di laboratorio e su studi dei produttori non verificati in modo indipendente. Come ingrediente cosmetico è legale ed è considerato ben tollerato. Le iniezioni di GHK-Cu del mercato grigio non sono né studiate né approvate e comportano rischi evitabili.</w:t>
      </w:r>
    </w:p>
    <w:bookmarkEnd w:id="2480"/>
    <w:bookmarkEnd w:id="2481"/>
    <w:bookmarkStart w:id="2500" w:name="palmitoil-pentapeptide-4-matrixyl"/>
    <w:p>
      <w:pPr>
        <w:pStyle w:val="Heading2"/>
      </w:pPr>
      <w:r>
        <w:t xml:space="preserve">Palmitoil pentapeptide-4 (Matrixyl)</w:t>
      </w:r>
    </w:p>
    <w:bookmarkStart w:id="2482" w:name="scheda-56"/>
    <w:p>
      <w:pPr>
        <w:pStyle w:val="Heading3"/>
      </w:pPr>
      <w:r>
        <w:t xml:space="preserve">Scheda</w:t>
      </w:r>
    </w:p>
    <w:p>
      <w:pPr>
        <w:numPr>
          <w:ilvl w:val="0"/>
          <w:numId w:val="1312"/>
        </w:numPr>
        <w:pStyle w:val="Compact"/>
      </w:pPr>
      <w:r>
        <w:rPr>
          <w:bCs/>
          <w:b/>
        </w:rPr>
        <w:t xml:space="preserve">Tipo/struttura:</w:t>
      </w:r>
      <w:r>
        <w:t xml:space="preserve"> </w:t>
      </w:r>
      <w:r>
        <w:t xml:space="preserve">pentapeptide composto da lisina, treonina, treonina, lisina e serina (KTTKS), a cui è legato un acido palmitico (un acido grasso con 16 atomi di carbonio). Sigla Pal-KTTKS; in passato indicato come palmitoil pentapeptide-3. Nome commerciale della materia prima: Matrixyl.</w:t>
      </w:r>
    </w:p>
    <w:p>
      <w:pPr>
        <w:numPr>
          <w:ilvl w:val="0"/>
          <w:numId w:val="1312"/>
        </w:numPr>
        <w:pStyle w:val="Compact"/>
      </w:pPr>
      <w:r>
        <w:rPr>
          <w:bCs/>
          <w:b/>
        </w:rPr>
        <w:t xml:space="preserve">Origine:</w:t>
      </w:r>
      <w:r>
        <w:t xml:space="preserve"> </w:t>
      </w:r>
      <w:r>
        <w:t xml:space="preserve">sintetica. La sequenza KTTKS deriva dalla molecola precursore del collagene di tipo I (procollagene). L’appendice di acido grasso dovrebbe migliorare la penetrazione nella pelle.</w:t>
      </w:r>
    </w:p>
    <w:p>
      <w:pPr>
        <w:numPr>
          <w:ilvl w:val="0"/>
          <w:numId w:val="1312"/>
        </w:numPr>
        <w:pStyle w:val="Compact"/>
      </w:pPr>
      <w:r>
        <w:rPr>
          <w:bCs/>
          <w:b/>
        </w:rPr>
        <w:t xml:space="preserve">Principio d’azione:</w:t>
      </w:r>
      <w:r>
        <w:t xml:space="preserve"> </w:t>
      </w:r>
      <w:r>
        <w:t xml:space="preserve">come «matrichina» – un frammento della matrice del tessuto connettivo con funzione di segnale – dovrebbe stimolare i fibroblasti della pelle a produrre collagene e altri componenti della matrice.</w:t>
      </w:r>
    </w:p>
    <w:p>
      <w:pPr>
        <w:numPr>
          <w:ilvl w:val="0"/>
          <w:numId w:val="1312"/>
        </w:numPr>
        <w:pStyle w:val="Compact"/>
      </w:pPr>
      <w:r>
        <w:rPr>
          <w:bCs/>
          <w:b/>
        </w:rPr>
        <w:t xml:space="preserve">Distinzione:</w:t>
      </w:r>
      <w:r>
        <w:t xml:space="preserve"> </w:t>
      </w:r>
      <w:r>
        <w:t xml:space="preserve">«Matrixyl 3000» è un prodotto diverso, una combinazione di palmitoil tripeptide-1 (Pal-GHK, vedi capitolo GHK-Cu) e palmitoil tetrapeptide-7.</w:t>
      </w:r>
    </w:p>
    <w:p>
      <w:pPr>
        <w:numPr>
          <w:ilvl w:val="0"/>
          <w:numId w:val="1312"/>
        </w:numPr>
        <w:pStyle w:val="Compact"/>
      </w:pPr>
      <w:r>
        <w:rPr>
          <w:bCs/>
          <w:b/>
        </w:rPr>
        <w:t xml:space="preserve">Approvazione UE:</w:t>
      </w:r>
      <w:r>
        <w:t xml:space="preserve"> </w:t>
      </w:r>
      <w:r>
        <w:t xml:space="preserve">non è un farmaco; ingrediente cosmetico.</w:t>
      </w:r>
    </w:p>
    <w:p>
      <w:pPr>
        <w:numPr>
          <w:ilvl w:val="0"/>
          <w:numId w:val="1312"/>
        </w:numPr>
        <w:pStyle w:val="Compact"/>
      </w:pPr>
      <w:r>
        <w:rPr>
          <w:bCs/>
          <w:b/>
        </w:rPr>
        <w:t xml:space="preserve">Approvazione USA:</w:t>
      </w:r>
      <w:r>
        <w:t xml:space="preserve"> </w:t>
      </w:r>
      <w:r>
        <w:t xml:space="preserve">non è un farmaco; ingrediente cosmetico.</w:t>
      </w:r>
    </w:p>
    <w:p>
      <w:pPr>
        <w:numPr>
          <w:ilvl w:val="0"/>
          <w:numId w:val="1312"/>
        </w:numPr>
        <w:pStyle w:val="Compact"/>
      </w:pPr>
      <w:r>
        <w:rPr>
          <w:bCs/>
          <w:b/>
        </w:rPr>
        <w:t xml:space="preserve">WADA:</w:t>
      </w:r>
      <w:r>
        <w:t xml:space="preserve"> </w:t>
      </w:r>
      <w:r>
        <w:t xml:space="preserve">non elencato; come componente cosmetico senza rilevanza per il diritto sportivo.</w:t>
      </w:r>
    </w:p>
    <w:p>
      <w:pPr>
        <w:numPr>
          <w:ilvl w:val="0"/>
          <w:numId w:val="1312"/>
        </w:numPr>
        <w:pStyle w:val="Compact"/>
      </w:pPr>
      <w:r>
        <w:rPr>
          <w:bCs/>
          <w:b/>
        </w:rPr>
        <w:t xml:space="preserve">Livello di evidenza:</w:t>
      </w:r>
      <w:r>
        <w:t xml:space="preserve"> </w:t>
      </w:r>
      <w:r>
        <w:rPr>
          <w:bCs/>
          <w:b/>
        </w:rPr>
        <w:t xml:space="preserve">B</w:t>
      </w:r>
      <w:r>
        <w:t xml:space="preserve"> </w:t>
      </w:r>
      <w:r>
        <w:t xml:space="preserve">(debole) – uno studio randomizzato a metà viso più ampio del 2005 e uno studio randomizzato molto piccolo; nessuno studio di conferma indipendente.</w:t>
      </w:r>
    </w:p>
    <w:bookmarkEnd w:id="2482"/>
    <w:bookmarkStart w:id="2486" w:name="come-dovrebbe-agire-56"/>
    <w:p>
      <w:pPr>
        <w:pStyle w:val="Heading3"/>
      </w:pPr>
      <w:r>
        <w:t xml:space="preserve">Come dovrebbe agire</w:t>
      </w:r>
    </w:p>
    <w:p>
      <w:pPr>
        <w:pStyle w:val="FirstParagraph"/>
      </w:pPr>
      <w:r>
        <w:t xml:space="preserve">Quando il tessuto connettivo viene lesionato, alcuni enzimi scompongono il collagene e altri componenti della matrice in frammenti. Alcuni di questi frammenti agiscono come segnale: indicano alle cellule del tessuto connettivo che c’è bisogno di riparazione. Questi frammenti di segnale sono chiamati matrichine.</w:t>
      </w:r>
    </w:p>
    <w:p>
      <w:pPr>
        <w:pStyle w:val="BodyText"/>
      </w:pPr>
      <w:r>
        <w:t xml:space="preserve">Nel 1993 un gruppo di lavoro descrisse che il pentapeptide KTTKS – un piccolo pezzo dell’estremità del procollagene di tipo I – aumenta fortemente, in colture di fibroblasti, la produzione di collagene di tipo I e di tipo III e di fibronectina. KTTKS era la sequenza più piccola che provocava ancora questo effetto</w:t>
      </w:r>
      <w:r>
        <w:rPr>
          <w:rStyle w:val="FootnoteReference"/>
        </w:rPr>
        <w:footnoteReference w:id="2483"/>
      </w:r>
      <w:r>
        <w:t xml:space="preserve">. L’industria cosmetica riprese l’idea: un peptide che segnala alla pelle un «bisogno di riparazione» potrebbe rilanciare la produzione di collagene che cala con l’età.</w:t>
      </w:r>
    </w:p>
    <w:p>
      <w:pPr>
        <w:pStyle w:val="BodyText"/>
      </w:pPr>
      <w:r>
        <w:t xml:space="preserve">Il KTTKS puro però penetra appena nella pelle. Legando un acido grasso (palmitoilazione) la molecola diventa più liposolubile. In coltura cellulare il Pal-KTTKS ha stimolato la produzione di collagene dei fibroblasti cutanei e corneali in funzione della concentrazione; l’effetto si manifestava vicino alla concentrazione a partire dalla quale le molecole si aggregano in nanostrutture a forma di nastro</w:t>
      </w:r>
      <w:r>
        <w:rPr>
          <w:rStyle w:val="FootnoteReference"/>
        </w:rPr>
        <w:footnoteReference w:id="2484"/>
      </w:r>
      <w:r>
        <w:t xml:space="preserve">.</w:t>
      </w:r>
    </w:p>
    <w:p>
      <w:pPr>
        <w:pStyle w:val="BodyText"/>
      </w:pPr>
      <w:r>
        <w:t xml:space="preserve">Resta aperta la questione di quanto Pal-KTTKS contenuto in una crema raggiunga effettivamente il derma, dove si trovano i fibroblasti. Per l’affine Pal-GHK un’indagine su volontari ha mostrato che dopo l’applicazione si distribuisce solo tra le cellule dello strato corneo e diminuisce con la profondità</w:t>
      </w:r>
      <w:r>
        <w:rPr>
          <w:rStyle w:val="FootnoteReference"/>
        </w:rPr>
        <w:footnoteReference w:id="2485"/>
      </w:r>
      <w:r>
        <w:t xml:space="preserve">. Per il Pal-KTTKS stesso mancano nella letteratura valutata misurazioni comparabili nell’uomo.</w:t>
      </w:r>
    </w:p>
    <w:bookmarkEnd w:id="2486"/>
    <w:bookmarkStart w:id="2489" w:name="studi-sulluomo-56"/>
    <w:p>
      <w:pPr>
        <w:pStyle w:val="Heading3"/>
      </w:pPr>
      <w:r>
        <w:t xml:space="preserve">Studi sull’uomo</w:t>
      </w:r>
    </w:p>
    <w:p>
      <w:pPr>
        <w:pStyle w:val="FirstParagraph"/>
      </w:pPr>
      <w:r>
        <w:t xml:space="preserve">La ricerca in PubMed valutata per questo libro (palmitoil pentapeptide o Matrixyl nel titolo o nell’abstract, data della ricerca ottobre 2026) ha restituito</w:t>
      </w:r>
      <w:r>
        <w:t xml:space="preserve"> </w:t>
      </w:r>
      <w:r>
        <w:rPr>
          <w:bCs/>
          <w:b/>
        </w:rPr>
        <w:t xml:space="preserve">un solo</w:t>
      </w:r>
      <w:r>
        <w:t xml:space="preserve"> </w:t>
      </w:r>
      <w:r>
        <w:t xml:space="preserve">lavoro classificato come studio sull’uomo; su ClinicalTrials.gov non è registrata alcuna voce. All’esame manuale sono emersi altri due studi controllati e studi con prodotti combinati.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Robinson 2005, PMID 18492182</w:t>
            </w:r>
          </w:p>
        </w:tc>
        <w:tc>
          <w:tcPr/>
          <w:p>
            <w:pPr>
              <w:pStyle w:val="Compact"/>
              <w:jc w:val="left"/>
            </w:pPr>
            <w:r>
              <w:t xml:space="preserve">93 donne di carnagione chiara (35–55 anni), crema idratante con Pal-KTTKS su una metà del viso vs. la stessa crema senza principio attivo sull’altra, in doppio cieco</w:t>
            </w:r>
          </w:p>
        </w:tc>
        <w:tc>
          <w:tcPr/>
          <w:p>
            <w:pPr>
              <w:pStyle w:val="Compact"/>
              <w:jc w:val="left"/>
            </w:pPr>
            <w:r>
              <w:t xml:space="preserve">12 settimane</w:t>
            </w:r>
          </w:p>
        </w:tc>
        <w:tc>
          <w:tcPr/>
          <w:p>
            <w:pPr>
              <w:pStyle w:val="Compact"/>
              <w:jc w:val="left"/>
            </w:pPr>
            <w:r>
              <w:t xml:space="preserve">Riduzione significativa di rughe e linee sottili rispetto al lato di controllo, misurata con analisi d’immagine e da esperti; ben tollerata</w:t>
            </w:r>
          </w:p>
        </w:tc>
      </w:tr>
      <w:tr>
        <w:tc>
          <w:tcPr/>
          <w:p>
            <w:pPr>
              <w:pStyle w:val="Compact"/>
              <w:jc w:val="left"/>
            </w:pPr>
            <w:r>
              <w:t xml:space="preserve">Aruan 2023, PMID 36909866</w:t>
            </w:r>
          </w:p>
        </w:tc>
        <w:tc>
          <w:tcPr/>
          <w:p>
            <w:pPr>
              <w:pStyle w:val="Compact"/>
              <w:jc w:val="left"/>
            </w:pPr>
            <w:r>
              <w:t xml:space="preserve">21 donne indonesiane (26–55 anni), crema con palmitoil pentapeptide-4 vs. acetil esapeptide-3 vs. placebo, in doppio cieco</w:t>
            </w:r>
          </w:p>
        </w:tc>
        <w:tc>
          <w:tcPr/>
          <w:p>
            <w:pPr>
              <w:pStyle w:val="Compact"/>
              <w:jc w:val="left"/>
            </w:pPr>
            <w:r>
              <w:t xml:space="preserve">8 settimane</w:t>
            </w:r>
          </w:p>
        </w:tc>
        <w:tc>
          <w:tcPr/>
          <w:p>
            <w:pPr>
              <w:pStyle w:val="Compact"/>
              <w:jc w:val="left"/>
            </w:pPr>
            <w:r>
              <w:t xml:space="preserve">Miglioramenti «in alcune partecipanti»; il palmitoil pentapeptide-4 ha avuto risultati migliori dei gruppi di confronto; nessuna dimensione dell’effetto solida nell’abstract</w:t>
            </w:r>
          </w:p>
        </w:tc>
      </w:tr>
      <w:tr>
        <w:tc>
          <w:tcPr/>
          <w:p>
            <w:pPr>
              <w:pStyle w:val="Compact"/>
              <w:jc w:val="left"/>
            </w:pPr>
            <w:r>
              <w:t xml:space="preserve">Röper 2004, PMID 15127162</w:t>
            </w:r>
          </w:p>
        </w:tc>
        <w:tc>
          <w:tcPr/>
          <w:p>
            <w:pPr>
              <w:pStyle w:val="Compact"/>
              <w:jc w:val="left"/>
            </w:pPr>
            <w:r>
              <w:t xml:space="preserve">20 donne con tumore al seno in radioterapia, crema con Matrixyl e altri principi attivi vs. lozione al dexpantenolo</w:t>
            </w:r>
          </w:p>
        </w:tc>
        <w:tc>
          <w:tcPr/>
          <w:p>
            <w:pPr>
              <w:pStyle w:val="Compact"/>
              <w:jc w:val="left"/>
            </w:pPr>
            <w:r>
              <w:t xml:space="preserve">durata della terapia</w:t>
            </w:r>
          </w:p>
        </w:tc>
        <w:tc>
          <w:tcPr/>
          <w:p>
            <w:pPr>
              <w:pStyle w:val="Compact"/>
              <w:jc w:val="left"/>
            </w:pPr>
            <w:r>
              <w:t xml:space="preserve">Nessun vantaggio sulle reazioni cutanee; prurito più frequente, un sospetto di reazione allergica solo nel gruppo Matrixyl</w:t>
            </w:r>
          </w:p>
        </w:tc>
      </w:tr>
    </w:tbl>
    <w:p>
      <w:pPr>
        <w:pStyle w:val="BodyText"/>
      </w:pPr>
      <w:r>
        <w:rPr>
          <w:bCs/>
          <w:b/>
        </w:rPr>
        <w:t xml:space="preserve">Robinson 2005</w:t>
      </w:r>
      <w:r>
        <w:t xml:space="preserve"> </w:t>
      </w:r>
      <w:r>
        <w:t xml:space="preserve">è lo studio centrale. Il disegno a metà viso è intelligente, perché ogni partecipante è il proprio controllo. La concentrazione nel prodotto era di 3 ppm (parti per milione). Limiti: l’abstract non riporta dimensioni dell’effetto; lo studio è stato pubblicato in una rivista di cosmetologia e da allora non è stato ripetuto da parti indipendenti. Sono state studiate esclusivamente donne di carnagione chiara con pelle fotoinvecchiata; se i risultati siano trasferibili ad altri tipi di pelle è una questione aperta.</w:t>
      </w:r>
    </w:p>
    <w:p>
      <w:pPr>
        <w:pStyle w:val="BodyText"/>
      </w:pPr>
      <w:r>
        <w:rPr>
          <w:bCs/>
          <w:b/>
        </w:rPr>
        <w:t xml:space="preserve">Aruan 2023</w:t>
      </w:r>
      <w:r>
        <w:t xml:space="preserve">, con 21 partecipanti in tre gruppi, era troppo piccolo per affermazioni affidabili; gli autori stessi lo definiscono un punto di partenza per studi più ampi.</w:t>
      </w:r>
    </w:p>
    <w:p>
      <w:pPr>
        <w:pStyle w:val="BodyText"/>
      </w:pPr>
      <w:r>
        <w:rPr>
          <w:bCs/>
          <w:b/>
        </w:rPr>
        <w:t xml:space="preserve">Röper 2004</w:t>
      </w:r>
      <w:r>
        <w:t xml:space="preserve"> </w:t>
      </w:r>
      <w:r>
        <w:t xml:space="preserve">ha valutato un prodotto combinato in un contesto medico e non ha trovato alcun beneficio.</w:t>
      </w:r>
    </w:p>
    <w:p>
      <w:pPr>
        <w:pStyle w:val="BodyText"/>
      </w:pPr>
      <w:r>
        <w:rPr>
          <w:bCs/>
          <w:b/>
        </w:rPr>
        <w:t xml:space="preserve">Prodotti combinati:</w:t>
      </w:r>
      <w:r>
        <w:t xml:space="preserve"> </w:t>
      </w:r>
      <w:r>
        <w:t xml:space="preserve">in due studi a metà viso con 42 e 35 donne, prodotti per la cura della pelle che contenevano Pal-KTTKS insieme a niacinamide, un altro peptide, carnosina e in parte retinil propionato hanno migliorato la levigatezza della pelle intorno agli occhi rispetto alla pelle non trattata</w:t>
      </w:r>
      <w:r>
        <w:rPr>
          <w:rStyle w:val="FootnoteReference"/>
        </w:rPr>
        <w:footnoteReference w:id="2487"/>
      </w:r>
      <w:r>
        <w:t xml:space="preserve">. Poiché sono stati testati contemporaneamente più principi attivi e il confronto era con «nessun trattamento», l’effetto non può essere attribuito al peptide.</w:t>
      </w:r>
    </w:p>
    <w:p>
      <w:pPr>
        <w:pStyle w:val="BodyText"/>
      </w:pPr>
      <w:r>
        <w:rPr>
          <w:bCs/>
          <w:b/>
        </w:rPr>
        <w:t xml:space="preserve">Meta-analisi:</w:t>
      </w:r>
      <w:r>
        <w:t xml:space="preserve"> </w:t>
      </w:r>
      <w:r>
        <w:t xml:space="preserve">una meta-analisi sui peptidi orali e topici contro l’invecchiamento cutaneo (19 studi, 1.341 partecipanti) ha trovato un modesto effetto complessivo sulle rughe, sostenuto soprattutto dai peptidi assunti per via orale</w:t>
      </w:r>
      <w:r>
        <w:rPr>
          <w:rStyle w:val="FootnoteReference"/>
        </w:rPr>
        <w:footnoteReference w:id="2488"/>
      </w:r>
      <w:r>
        <w:t xml:space="preserve">. Per i peptidi applicati sulla pelle come il Pal-KTTKS non ne deriva una prova propria.</w:t>
      </w:r>
    </w:p>
    <w:bookmarkEnd w:id="2489"/>
    <w:bookmarkStart w:id="2493" w:name="studi-su-animali-e-in-laboratorio-56"/>
    <w:p>
      <w:pPr>
        <w:pStyle w:val="Heading3"/>
      </w:pPr>
      <w:r>
        <w:t xml:space="preserve">Studi su animali e in laboratorio</w:t>
      </w:r>
    </w:p>
    <w:p>
      <w:pPr>
        <w:numPr>
          <w:ilvl w:val="0"/>
          <w:numId w:val="1313"/>
        </w:numPr>
        <w:pStyle w:val="Compact"/>
      </w:pPr>
      <w:r>
        <w:rPr>
          <w:bCs/>
          <w:b/>
        </w:rPr>
        <w:t xml:space="preserve">Coltura cellulare:</w:t>
      </w:r>
      <w:r>
        <w:t xml:space="preserve"> </w:t>
      </w:r>
      <w:r>
        <w:t xml:space="preserve">KTTKS e Pal-KTTKS aumentano la produzione di collagene e fibronectina nei fibroblasti</w:t>
      </w:r>
      <w:r>
        <w:rPr>
          <w:rStyle w:val="FootnoteReference"/>
        </w:rPr>
        <w:footnoteReference w:id="2490"/>
      </w:r>
      <w:r>
        <w:t xml:space="preserve">. In un altro studio cellulare il Pal-KTTKS a bassa concentrazione ha ridotto la trasformazione dei fibroblasti in miofibroblasti che formano cicatrici; a concentrazione più alta l’effetto non era significativo</w:t>
      </w:r>
      <w:r>
        <w:rPr>
          <w:rStyle w:val="FootnoteReference"/>
        </w:rPr>
        <w:footnoteReference w:id="2491"/>
      </w:r>
      <w:r>
        <w:t xml:space="preserve">.</w:t>
      </w:r>
    </w:p>
    <w:p>
      <w:pPr>
        <w:numPr>
          <w:ilvl w:val="0"/>
          <w:numId w:val="1313"/>
        </w:numPr>
        <w:pStyle w:val="Compact"/>
      </w:pPr>
      <w:r>
        <w:rPr>
          <w:bCs/>
          <w:b/>
        </w:rPr>
        <w:t xml:space="preserve">Esperimenti sugli animali:</w:t>
      </w:r>
      <w:r>
        <w:t xml:space="preserve"> </w:t>
      </w:r>
      <w:r>
        <w:t xml:space="preserve">negli animali da laboratorio cerotti e creme con Matrixyl hanno migliorato la guarigione di ferite cutanee rispetto ai controlli non trattati</w:t>
      </w:r>
      <w:r>
        <w:rPr>
          <w:rStyle w:val="FootnoteReference"/>
        </w:rPr>
        <w:footnoteReference w:id="2492"/>
      </w:r>
      <w:r>
        <w:t xml:space="preserve">.</w:t>
      </w:r>
    </w:p>
    <w:p>
      <w:pPr>
        <w:numPr>
          <w:ilvl w:val="0"/>
          <w:numId w:val="1313"/>
        </w:numPr>
        <w:pStyle w:val="Compact"/>
      </w:pPr>
      <w:r>
        <w:rPr>
          <w:bCs/>
          <w:b/>
        </w:rPr>
        <w:t xml:space="preserve">Nuove varianti:</w:t>
      </w:r>
      <w:r>
        <w:t xml:space="preserve"> </w:t>
      </w:r>
      <w:r>
        <w:t xml:space="preserve">alcuni gruppi di ricerca legano il KTTKS ad altre molecole per ottenere varianti antibatteriche o con una maggiore stimolazione del collagene – finora esclusivamente in laboratorio.</w:t>
      </w:r>
    </w:p>
    <w:bookmarkEnd w:id="2493"/>
    <w:bookmarkStart w:id="2496" w:name="rischi-ed-effetti-collaterali-56"/>
    <w:p>
      <w:pPr>
        <w:pStyle w:val="Heading3"/>
      </w:pPr>
      <w:r>
        <w:t xml:space="preserve">Rischi ed effetti collaterali</w:t>
      </w:r>
    </w:p>
    <w:p>
      <w:pPr>
        <w:pStyle w:val="FirstParagraph"/>
      </w:pPr>
      <w:r>
        <w:rPr>
          <w:bCs/>
          <w:b/>
        </w:rPr>
        <w:t xml:space="preserve">Dimostrati:</w:t>
      </w:r>
      <w:r>
        <w:t xml:space="preserve"> </w:t>
      </w:r>
      <w:r>
        <w:t xml:space="preserve">nello studio di Robinson il peptide è stato ben tollerato. Nello studio sulla radioterapia il prurito si è verificato più spesso con il prodotto combinato contenente Matrixyl, e un sospetto di reazione allergica solo con questo prodotto</w:t>
      </w:r>
      <w:r>
        <w:rPr>
          <w:rStyle w:val="FootnoteReference"/>
        </w:rPr>
        <w:footnoteReference w:id="2494"/>
      </w:r>
      <w:r>
        <w:t xml:space="preserve">; quale componente ne fosse responsabile non è chiaro.</w:t>
      </w:r>
    </w:p>
    <w:p>
      <w:pPr>
        <w:pStyle w:val="BodyText"/>
      </w:pPr>
      <w:r>
        <w:rPr>
          <w:bCs/>
          <w:b/>
        </w:rPr>
        <w:t xml:space="preserve">In generale:</w:t>
      </w:r>
      <w:r>
        <w:t xml:space="preserve"> </w:t>
      </w:r>
      <w:r>
        <w:t xml:space="preserve">come per qualsiasi componente cosmetico sono possibili irritazioni e allergie da contatto, che però sembrano rare. Un lavoro dell’industria cosmetica, che ha esaminato i peptidi con strumenti bioinformatici per il potenziale tossico e allergenico, ha trovato per il palmitoil pentapeptide-4 somiglianze con proteine del tessuto connettivo della pelle, ma nessun indizio di strutture tossiche o allergeniche</w:t>
      </w:r>
      <w:r>
        <w:rPr>
          <w:rStyle w:val="FootnoteReference"/>
        </w:rPr>
        <w:footnoteReference w:id="2495"/>
      </w:r>
      <w:r>
        <w:t xml:space="preserve">. Analisi al computer di questo tipo non sostituiscono l’osservazione clinica.</w:t>
      </w:r>
    </w:p>
    <w:p>
      <w:pPr>
        <w:pStyle w:val="BodyText"/>
      </w:pPr>
      <w:r>
        <w:rPr>
          <w:bCs/>
          <w:b/>
        </w:rPr>
        <w:t xml:space="preserve">Teorici:</w:t>
      </w:r>
      <w:r>
        <w:t xml:space="preserve"> </w:t>
      </w:r>
      <w:r>
        <w:t xml:space="preserve">una sostanza segnale che stimoli davvero i fibroblasti a produrre collagene potrebbe essere indesiderata in caso di tendenza alle cicatrici ipertrofiche. Non ci sono casi clinici in merito; la scarsa permeabilità cutanea depone contro un effetto rilevante.</w:t>
      </w:r>
    </w:p>
    <w:bookmarkEnd w:id="2496"/>
    <w:bookmarkStart w:id="2497" w:name="quadro-normativo-56"/>
    <w:p>
      <w:pPr>
        <w:pStyle w:val="Heading3"/>
      </w:pPr>
      <w:r>
        <w:t xml:space="preserve">Quadro normativo</w:t>
      </w:r>
    </w:p>
    <w:p>
      <w:pPr>
        <w:numPr>
          <w:ilvl w:val="0"/>
          <w:numId w:val="1314"/>
        </w:numPr>
        <w:pStyle w:val="Compact"/>
      </w:pPr>
      <w:r>
        <w:rPr>
          <w:bCs/>
          <w:b/>
        </w:rPr>
        <w:t xml:space="preserve">UE / Austria / Germania:</w:t>
      </w:r>
      <w:r>
        <w:t xml:space="preserve"> </w:t>
      </w:r>
      <w:r>
        <w:t xml:space="preserve">il palmitoil pentapeptide-4 è un ingrediente cosmetico ammesso secondo il regolamento UE sui prodotti cosmetici (Regolamento (CE) n. 1223/2009). I cosmetici non vengono verificati dalle autorità per l’efficacia prima della vendita; il produttore deve redigere una valutazione della sicurezza e poter dimostrare le affermazioni pubblicitarie secondo il Regolamento (UE) n. 655/2013. Affermazioni come «agisce come un filler per le rughe» o «ricostruisce il collagene» sono quindi giuridicamente delicate, se non sono coperte da studi sul prodotto.</w:t>
      </w:r>
    </w:p>
    <w:p>
      <w:pPr>
        <w:numPr>
          <w:ilvl w:val="0"/>
          <w:numId w:val="1314"/>
        </w:numPr>
        <w:pStyle w:val="Compact"/>
      </w:pPr>
      <w:r>
        <w:rPr>
          <w:bCs/>
          <w:b/>
        </w:rPr>
        <w:t xml:space="preserve">USA:</w:t>
      </w:r>
      <w:r>
        <w:t xml:space="preserve"> </w:t>
      </w:r>
      <w:r>
        <w:t xml:space="preserve">ingrediente cosmetico senza verifica preventiva da parte della FDA. Le affermazioni pubblicitarie che promettono una modifica della struttura cutanea possono trasformare giuridicamente un prodotto in un farmaco.</w:t>
      </w:r>
    </w:p>
    <w:p>
      <w:pPr>
        <w:numPr>
          <w:ilvl w:val="0"/>
          <w:numId w:val="1314"/>
        </w:numPr>
        <w:pStyle w:val="Compact"/>
      </w:pPr>
      <w:r>
        <w:rPr>
          <w:bCs/>
          <w:b/>
        </w:rPr>
        <w:t xml:space="preserve">Sport:</w:t>
      </w:r>
      <w:r>
        <w:t xml:space="preserve"> </w:t>
      </w:r>
      <w:r>
        <w:t xml:space="preserve">senza rilevanza (aggiornato al 2026, da verificare).</w:t>
      </w:r>
    </w:p>
    <w:bookmarkEnd w:id="2497"/>
    <w:bookmarkStart w:id="2498" w:name="studi-in-corso-e-prospettive-56"/>
    <w:p>
      <w:pPr>
        <w:pStyle w:val="Heading3"/>
      </w:pPr>
      <w:r>
        <w:t xml:space="preserve">Studi in corso e prospettive</w:t>
      </w:r>
    </w:p>
    <w:p>
      <w:pPr>
        <w:pStyle w:val="FirstParagraph"/>
      </w:pPr>
      <w:r>
        <w:rPr>
          <w:bCs/>
          <w:b/>
        </w:rPr>
        <w:t xml:space="preserve">Dati certi:</w:t>
      </w:r>
      <w:r>
        <w:t xml:space="preserve"> </w:t>
      </w:r>
      <w:r>
        <w:t xml:space="preserve">su ClinicalTrials.gov non è registrato alcuno studio con «palmitoyl pentapeptide» (situazione a ottobre 2026). Gli studi di efficacia cosmetica di regola non vengono registrati, ma commissionati dai produttori e pubblicati solo in parte.</w:t>
      </w:r>
    </w:p>
    <w:p>
      <w:pPr>
        <w:pStyle w:val="BodyText"/>
      </w:pPr>
      <w:r>
        <w:rPr>
          <w:bCs/>
          <w:b/>
        </w:rPr>
        <w:t xml:space="preserve">Valutazione:</w:t>
      </w:r>
      <w:r>
        <w:t xml:space="preserve"> </w:t>
      </w:r>
      <w:r>
        <w:t xml:space="preserve">il Matrixyl è uno dei «peptidi anti-aging» più vecchi e più usati nei cosmetici. La sua base scientifica – un lavoro su colture cellulari del 1993 e uno studio a metà viso del 2005 – è sorprendentemente esigua per un prodotto così diffuso. I nuovi sviluppi puntano a una migliore penetrazione cutanea (microaghi, nanostrutture) e a combinazioni con altri peptidi. Senza studi indipendenti e sufficientemente ampi con il singolo principio attivo, lo stato delle conoscenze cambierà poco.</w:t>
      </w:r>
    </w:p>
    <w:bookmarkEnd w:id="2498"/>
    <w:bookmarkStart w:id="2499" w:name="conclusione-56"/>
    <w:p>
      <w:pPr>
        <w:pStyle w:val="Heading3"/>
      </w:pPr>
      <w:r>
        <w:t xml:space="preserve">Conclusione</w:t>
      </w:r>
    </w:p>
    <w:p>
      <w:pPr>
        <w:pStyle w:val="FirstParagraph"/>
      </w:pPr>
      <w:r>
        <w:t xml:space="preserve">Il palmitoil pentapeptide-4 è un frammento del precursore del collagene legato a un acido grasso, che in laboratorio stimola i fibroblasti a produrre collagene. Nell’uomo l’efficacia si basa soprattutto su uno studio a metà viso con 93 donne del 2005, che ha mostrato una riduzione delle linee sottili, e su uno studio molto piccolo del 2023. Quanto principio attivo raggiunga effettivamente la pelle più profonda non è chiarito. Come ingrediente cosmetico è considerato ben tollerato. Chi usa prodotti al Matrixyl dovrebbe aspettarsi un piccolo effetto cosmetico – non un sostituto della protezione UV o di principi attivi verificati dal punto di vista medico come i retinoidi.</w:t>
      </w:r>
    </w:p>
    <w:bookmarkEnd w:id="2499"/>
    <w:bookmarkEnd w:id="2500"/>
    <w:bookmarkStart w:id="2524" w:name="acetil-esapeptide-8-argireline"/>
    <w:p>
      <w:pPr>
        <w:pStyle w:val="Heading2"/>
      </w:pPr>
      <w:r>
        <w:t xml:space="preserve">Acetil esapeptide-8 (Argireline)</w:t>
      </w:r>
    </w:p>
    <w:bookmarkStart w:id="2501" w:name="scheda-57"/>
    <w:p>
      <w:pPr>
        <w:pStyle w:val="Heading3"/>
      </w:pPr>
      <w:r>
        <w:t xml:space="preserve">Scheda</w:t>
      </w:r>
    </w:p>
    <w:p>
      <w:pPr>
        <w:numPr>
          <w:ilvl w:val="0"/>
          <w:numId w:val="1315"/>
        </w:numPr>
        <w:pStyle w:val="Compact"/>
      </w:pPr>
      <w:r>
        <w:rPr>
          <w:bCs/>
          <w:b/>
        </w:rPr>
        <w:t xml:space="preserve">Tipo/struttura:</w:t>
      </w:r>
      <w:r>
        <w:t xml:space="preserve"> </w:t>
      </w:r>
      <w:r>
        <w:t xml:space="preserve">esapeptide con la sequenza glutammato-glutammato-metionina-glutammina-arginina-arginina (Ac-EEMQRR-NH₂), acetilato all’inizio e amidato alla fine. In passato indicato come acetil esapeptide-3; nome commerciale della materia prima: Argireline.</w:t>
      </w:r>
    </w:p>
    <w:p>
      <w:pPr>
        <w:numPr>
          <w:ilvl w:val="0"/>
          <w:numId w:val="1315"/>
        </w:numPr>
        <w:pStyle w:val="Compact"/>
      </w:pPr>
      <w:r>
        <w:rPr>
          <w:bCs/>
          <w:b/>
        </w:rPr>
        <w:t xml:space="preserve">Origine:</w:t>
      </w:r>
      <w:r>
        <w:t xml:space="preserve"> </w:t>
      </w:r>
      <w:r>
        <w:t xml:space="preserve">sintetica, progettata in modo mirato all’inizio degli anni Duemila. La sequenza riproduce il tratto iniziale della proteina neuronale SNAP-25.</w:t>
      </w:r>
    </w:p>
    <w:p>
      <w:pPr>
        <w:numPr>
          <w:ilvl w:val="0"/>
          <w:numId w:val="1315"/>
        </w:numPr>
        <w:pStyle w:val="Compact"/>
      </w:pPr>
      <w:r>
        <w:rPr>
          <w:bCs/>
          <w:b/>
        </w:rPr>
        <w:t xml:space="preserve">Principio d’azione:</w:t>
      </w:r>
      <w:r>
        <w:t xml:space="preserve"> </w:t>
      </w:r>
      <w:r>
        <w:t xml:space="preserve">dovrebbe attenuare il rilascio del messaggero acetilcolina nella giunzione tra nervo e muscolo e così distendere le rughe d’espressione – un bersaglio simile a quello della tossina botulinica, solo molto più debole. Da qui l’espressione pubblicitaria «Botox in tubetto».</w:t>
      </w:r>
    </w:p>
    <w:p>
      <w:pPr>
        <w:numPr>
          <w:ilvl w:val="0"/>
          <w:numId w:val="1315"/>
        </w:numPr>
        <w:pStyle w:val="Compact"/>
      </w:pPr>
      <w:r>
        <w:rPr>
          <w:bCs/>
          <w:b/>
        </w:rPr>
        <w:t xml:space="preserve">Approvazione UE:</w:t>
      </w:r>
      <w:r>
        <w:t xml:space="preserve"> </w:t>
      </w:r>
      <w:r>
        <w:t xml:space="preserve">non è un farmaco; ingrediente cosmetico.</w:t>
      </w:r>
    </w:p>
    <w:p>
      <w:pPr>
        <w:numPr>
          <w:ilvl w:val="0"/>
          <w:numId w:val="1315"/>
        </w:numPr>
        <w:pStyle w:val="Compact"/>
      </w:pPr>
      <w:r>
        <w:rPr>
          <w:bCs/>
          <w:b/>
        </w:rPr>
        <w:t xml:space="preserve">Approvazione USA:</w:t>
      </w:r>
      <w:r>
        <w:t xml:space="preserve"> </w:t>
      </w:r>
      <w:r>
        <w:t xml:space="preserve">non è un farmaco; ingrediente cosmetico.</w:t>
      </w:r>
    </w:p>
    <w:p>
      <w:pPr>
        <w:numPr>
          <w:ilvl w:val="0"/>
          <w:numId w:val="1315"/>
        </w:numPr>
        <w:pStyle w:val="Compact"/>
      </w:pPr>
      <w:r>
        <w:rPr>
          <w:bCs/>
          <w:b/>
        </w:rPr>
        <w:t xml:space="preserve">WADA:</w:t>
      </w:r>
      <w:r>
        <w:t xml:space="preserve"> </w:t>
      </w:r>
      <w:r>
        <w:t xml:space="preserve">non elencato.</w:t>
      </w:r>
    </w:p>
    <w:p>
      <w:pPr>
        <w:numPr>
          <w:ilvl w:val="0"/>
          <w:numId w:val="1315"/>
        </w:numPr>
        <w:pStyle w:val="Compact"/>
      </w:pPr>
      <w:r>
        <w:rPr>
          <w:bCs/>
          <w:b/>
        </w:rPr>
        <w:t xml:space="preserve">Livello di evidenza:</w:t>
      </w:r>
      <w:r>
        <w:t xml:space="preserve"> </w:t>
      </w:r>
      <w:r>
        <w:rPr>
          <w:bCs/>
          <w:b/>
        </w:rPr>
        <w:t xml:space="preserve">B</w:t>
      </w:r>
      <w:r>
        <w:t xml:space="preserve"> </w:t>
      </w:r>
      <w:r>
        <w:t xml:space="preserve">(debole) – alcuni piccoli studi randomizzati con durate per lo più brevi e risultati disomogenei.</w:t>
      </w:r>
    </w:p>
    <w:bookmarkEnd w:id="2501"/>
    <w:bookmarkStart w:id="2505" w:name="come-dovrebbe-agire-57"/>
    <w:p>
      <w:pPr>
        <w:pStyle w:val="Heading3"/>
      </w:pPr>
      <w:r>
        <w:t xml:space="preserve">Come dovrebbe agire</w:t>
      </w:r>
    </w:p>
    <w:p>
      <w:pPr>
        <w:pStyle w:val="FirstParagraph"/>
      </w:pPr>
      <w:r>
        <w:t xml:space="preserve">Perché un muscolo si contragga, una cellula nervosa deve rilasciare il messaggero acetilcolina. A questo scopo piccole vescicole, riempite del messaggero, si fondono con la membrana cellulare. Questa fusione è mediata da un complesso proteico, il complesso SNARE, di cui fa parte tra l’altro la proteina SNAP-25. La tossina botulinica di tipo A taglia la SNAP-25 e blocca così per mesi il rilascio del messaggero – il muscolo si rilassa, la ruga sovrastante si distende.</w:t>
      </w:r>
    </w:p>
    <w:p>
      <w:pPr>
        <w:pStyle w:val="BodyText"/>
      </w:pPr>
      <w:r>
        <w:t xml:space="preserve">L’Argireline è stata progettata come riproduzione del tratto iniziale della SNAP-25. L’idea: il breve peptide compete con la vera SNAP-25 per il suo posto nel complesso SNARE e ne disturba la formazione. Nella prima descrizione l’Argireline inibiva negli esperimenti cellulari il rilascio di messaggeri con una</w:t>
      </w:r>
      <w:r>
        <w:t xml:space="preserve"> </w:t>
      </w:r>
      <w:r>
        <w:rPr>
          <w:iCs/>
          <w:i/>
        </w:rPr>
        <w:t xml:space="preserve">potenza</w:t>
      </w:r>
      <w:r>
        <w:t xml:space="preserve"> </w:t>
      </w:r>
      <w:r>
        <w:t xml:space="preserve">simile a quella della tossina botulinica A, ma raggiungeva, come previsto, un’</w:t>
      </w:r>
      <w:r>
        <w:rPr>
          <w:iCs/>
          <w:i/>
        </w:rPr>
        <w:t xml:space="preserve">efficacia</w:t>
      </w:r>
      <w:r>
        <w:t xml:space="preserve"> </w:t>
      </w:r>
      <w:r>
        <w:t xml:space="preserve">molto minore – cioè un effetto massimo nettamente inferiore</w:t>
      </w:r>
      <w:r>
        <w:rPr>
          <w:rStyle w:val="FootnoteReference"/>
        </w:rPr>
        <w:footnoteReference w:id="2502"/>
      </w:r>
      <w:r>
        <w:t xml:space="preserve">.</w:t>
      </w:r>
    </w:p>
    <w:p>
      <w:pPr>
        <w:pStyle w:val="BodyText"/>
      </w:pPr>
      <w:r>
        <w:t xml:space="preserve">Il punto critico decisivo: per agire, l’Argireline contenuta in una crema dovrebbe attraversare epidermide e derma fino alle terminazioni nervose dei muscoli facciali. La molecola è idrosolubile, carica elettricamente e relativamente grande per la pelle. In un esperimento di laboratorio con pelle di donatori di corpo, dopo 24 ore la maggior parte era rimasta sulla superficie cutanea; lo 0,22% del peptide applicato si trovava nello strato corneo, lo 0,01% nell’epidermide, nel derma e sotto non era rilevabile nulla</w:t>
      </w:r>
      <w:r>
        <w:rPr>
          <w:rStyle w:val="FootnoteReference"/>
        </w:rPr>
        <w:footnoteReference w:id="2503"/>
      </w:r>
      <w:r>
        <w:t xml:space="preserve">. Una rassegna del 2025 constata che resta poco chiaro se il peptide raggiunga davvero la giunzione neuromuscolare</w:t>
      </w:r>
      <w:r>
        <w:rPr>
          <w:rStyle w:val="FootnoteReference"/>
        </w:rPr>
        <w:footnoteReference w:id="2504"/>
      </w:r>
      <w:r>
        <w:t xml:space="preserve">.</w:t>
      </w:r>
    </w:p>
    <w:p>
      <w:pPr>
        <w:pStyle w:val="BodyText"/>
      </w:pPr>
      <w:r>
        <w:t xml:space="preserve">Questo non esclude effetti sulla pelle – per esempio sull’idratazione o attraverso terminazioni nervose negli strati superiori della pelle –, ma rende poco probabile il pubblicizzato «meccanismo Botox» con l’applicazione sulla pelle.</w:t>
      </w:r>
    </w:p>
    <w:bookmarkEnd w:id="2505"/>
    <w:bookmarkStart w:id="2512" w:name="studi-sulluomo-57"/>
    <w:p>
      <w:pPr>
        <w:pStyle w:val="Heading3"/>
      </w:pPr>
      <w:r>
        <w:t xml:space="preserve">Studi sull’uomo</w:t>
      </w:r>
    </w:p>
    <w:p>
      <w:pPr>
        <w:pStyle w:val="FirstParagraph"/>
      </w:pPr>
      <w:r>
        <w:t xml:space="preserve">La ricerca in PubMed valutata per questo libro (acetil esapeptide o Argireline nel titolo o nell’abstract, data della ricerca ottobre 2026) ha restituito tre lavori classificati come studi sull’uomo; su ClinicalTrials.gov sono registrate sette voci. All’esame sono emersi alcuni altri piccoli studi.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Blanes-Mira 2002, PMID 18498523</w:t>
            </w:r>
          </w:p>
        </w:tc>
        <w:tc>
          <w:tcPr/>
          <w:p>
            <w:pPr>
              <w:pStyle w:val="Compact"/>
              <w:jc w:val="left"/>
            </w:pPr>
            <w:r>
              <w:t xml:space="preserve">donne sane, emulsione con il 10% di Argireline (dati scarni nell’abstract)</w:t>
            </w:r>
          </w:p>
        </w:tc>
        <w:tc>
          <w:tcPr/>
          <w:p>
            <w:pPr>
              <w:pStyle w:val="Compact"/>
              <w:jc w:val="left"/>
            </w:pPr>
            <w:r>
              <w:t xml:space="preserve">30 giorni</w:t>
            </w:r>
          </w:p>
        </w:tc>
        <w:tc>
          <w:tcPr/>
          <w:p>
            <w:pPr>
              <w:pStyle w:val="Compact"/>
              <w:jc w:val="left"/>
            </w:pPr>
            <w:r>
              <w:t xml:space="preserve">Profondità delle rughe ridotta fino al 30%</w:t>
            </w:r>
          </w:p>
        </w:tc>
      </w:tr>
      <w:tr>
        <w:tc>
          <w:tcPr/>
          <w:p>
            <w:pPr>
              <w:pStyle w:val="Compact"/>
              <w:jc w:val="left"/>
            </w:pPr>
            <w:r>
              <w:t xml:space="preserve">Wang 2013, PMID 23417317</w:t>
            </w:r>
          </w:p>
        </w:tc>
        <w:tc>
          <w:tcPr/>
          <w:p>
            <w:pPr>
              <w:pStyle w:val="Compact"/>
              <w:jc w:val="left"/>
            </w:pPr>
            <w:r>
              <w:t xml:space="preserve">60 adulti cinesi con rughe perioculari, Argireline vs. placebo in rapporto 3:1</w:t>
            </w:r>
          </w:p>
        </w:tc>
        <w:tc>
          <w:tcPr/>
          <w:p>
            <w:pPr>
              <w:pStyle w:val="Compact"/>
              <w:jc w:val="left"/>
            </w:pPr>
            <w:r>
              <w:t xml:space="preserve">4 settimane</w:t>
            </w:r>
          </w:p>
        </w:tc>
        <w:tc>
          <w:tcPr/>
          <w:p>
            <w:pPr>
              <w:pStyle w:val="Compact"/>
              <w:jc w:val="left"/>
            </w:pPr>
            <w:r>
              <w:t xml:space="preserve">«Efficacia complessiva» soggettiva 48,9% vs. 0%; valori di ruvidità nei calchi cutanei diminuiti</w:t>
            </w:r>
          </w:p>
        </w:tc>
      </w:tr>
      <w:tr>
        <w:tc>
          <w:tcPr/>
          <w:p>
            <w:pPr>
              <w:pStyle w:val="Compact"/>
              <w:jc w:val="left"/>
            </w:pPr>
            <w:r>
              <w:t xml:space="preserve">Raikou 2017, PMID 28150423</w:t>
            </w:r>
          </w:p>
        </w:tc>
        <w:tc>
          <w:tcPr/>
          <w:p>
            <w:pPr>
              <w:pStyle w:val="Compact"/>
              <w:jc w:val="left"/>
            </w:pPr>
            <w:r>
              <w:t xml:space="preserve">24 persone sane, quattro gruppi: Argireline, tripeptide-10 citrullina, entrambi o nessuno</w:t>
            </w:r>
          </w:p>
        </w:tc>
        <w:tc>
          <w:tcPr/>
          <w:p>
            <w:pPr>
              <w:pStyle w:val="Compact"/>
              <w:jc w:val="left"/>
            </w:pPr>
            <w:r>
              <w:t xml:space="preserve">60 giorni</w:t>
            </w:r>
          </w:p>
        </w:tc>
        <w:tc>
          <w:tcPr/>
          <w:p>
            <w:pPr>
              <w:pStyle w:val="Compact"/>
              <w:jc w:val="left"/>
            </w:pPr>
            <w:r>
              <w:t xml:space="preserve">Singoli parametri delle rughe e perdita d’acqua della pelle migliori con Argireline</w:t>
            </w:r>
          </w:p>
        </w:tc>
      </w:tr>
      <w:tr>
        <w:tc>
          <w:tcPr/>
          <w:p>
            <w:pPr>
              <w:pStyle w:val="Compact"/>
              <w:jc w:val="left"/>
            </w:pPr>
            <w:r>
              <w:t xml:space="preserve">Henseler 2023, PMID 38024099</w:t>
            </w:r>
          </w:p>
        </w:tc>
        <w:tc>
          <w:tcPr/>
          <w:p>
            <w:pPr>
              <w:pStyle w:val="Compact"/>
              <w:jc w:val="left"/>
            </w:pPr>
            <w:r>
              <w:t xml:space="preserve">19 donne, confronto a metà viso: siero all’acido ialuronico con vs. senza Argireline, in doppio cieco</w:t>
            </w:r>
          </w:p>
        </w:tc>
        <w:tc>
          <w:tcPr/>
          <w:p>
            <w:pPr>
              <w:pStyle w:val="Compact"/>
              <w:jc w:val="left"/>
            </w:pPr>
            <w:r>
              <w:t xml:space="preserve">4 settimane</w:t>
            </w:r>
          </w:p>
        </w:tc>
        <w:tc>
          <w:tcPr/>
          <w:p>
            <w:pPr>
              <w:pStyle w:val="Compact"/>
              <w:jc w:val="left"/>
            </w:pPr>
            <w:r>
              <w:t xml:space="preserve">Nessuna differenza significativa tra le due metà del viso</w:t>
            </w:r>
          </w:p>
        </w:tc>
      </w:tr>
      <w:tr>
        <w:tc>
          <w:tcPr/>
          <w:p>
            <w:pPr>
              <w:pStyle w:val="Compact"/>
              <w:jc w:val="left"/>
            </w:pPr>
            <w:r>
              <w:t xml:space="preserve">Aruan 2023, PMID 36909866</w:t>
            </w:r>
          </w:p>
        </w:tc>
        <w:tc>
          <w:tcPr/>
          <w:p>
            <w:pPr>
              <w:pStyle w:val="Compact"/>
              <w:jc w:val="left"/>
            </w:pPr>
            <w:r>
              <w:t xml:space="preserve">21 donne, acetil esapeptide-3 vs. palmitoil pentapeptide-4 vs. placebo</w:t>
            </w:r>
          </w:p>
        </w:tc>
        <w:tc>
          <w:tcPr/>
          <w:p>
            <w:pPr>
              <w:pStyle w:val="Compact"/>
              <w:jc w:val="left"/>
            </w:pPr>
            <w:r>
              <w:t xml:space="preserve">8 settimane</w:t>
            </w:r>
          </w:p>
        </w:tc>
        <w:tc>
          <w:tcPr/>
          <w:p>
            <w:pPr>
              <w:pStyle w:val="Compact"/>
              <w:jc w:val="left"/>
            </w:pPr>
            <w:r>
              <w:t xml:space="preserve">Il palmitoil pentapeptide-4 ha avuto risultati migliori di Argireline e placebo</w:t>
            </w:r>
          </w:p>
        </w:tc>
      </w:tr>
    </w:tbl>
    <w:p>
      <w:pPr>
        <w:pStyle w:val="BodyText"/>
      </w:pPr>
      <w:r>
        <w:rPr>
          <w:bCs/>
          <w:b/>
        </w:rPr>
        <w:t xml:space="preserve">Per inquadrare gli studi positivi:</w:t>
      </w:r>
    </w:p>
    <w:p>
      <w:pPr>
        <w:numPr>
          <w:ilvl w:val="0"/>
          <w:numId w:val="1316"/>
        </w:numPr>
        <w:pStyle w:val="Compact"/>
      </w:pPr>
      <w:r>
        <w:t xml:space="preserve">La prima descrizione del 2002 proviene dagli sviluppatori e nell’abstract non riporta né il numero di partecipanti né un gruppo di controllo. Ha testato una concentrazione del 10% – molto superiore a quella che una valutazione di sicurezza statunitense ha poi considerato sufficientemente studiata (vedi rischi).</w:t>
      </w:r>
    </w:p>
    <w:p>
      <w:pPr>
        <w:numPr>
          <w:ilvl w:val="0"/>
          <w:numId w:val="1316"/>
        </w:numPr>
        <w:pStyle w:val="Compact"/>
      </w:pPr>
      <w:r>
        <w:t xml:space="preserve">Lo studio cinese (Wang 2013) è il più grande. I gruppi erano di dimensioni diverse (circa 45 contro 15), la valutazione principale era soggettiva, e gli stessi dati clinici compaiono insieme a esperimenti sui topi in un’altra pubblicazione dello stesso gruppo</w:t>
      </w:r>
      <w:r>
        <w:rPr>
          <w:rStyle w:val="FootnoteReference"/>
        </w:rPr>
        <w:footnoteReference w:id="2506"/>
      </w:r>
      <w:r>
        <w:t xml:space="preserve">. Nei confronti con il valore iniziale solo il gruppo Argireline mostrava valori di ruvidità in calo – un confronto statistico diretto tra i gruppi non è riportato nell’abstract.</w:t>
      </w:r>
    </w:p>
    <w:p>
      <w:pPr>
        <w:numPr>
          <w:ilvl w:val="0"/>
          <w:numId w:val="1316"/>
        </w:numPr>
        <w:pStyle w:val="Compact"/>
      </w:pPr>
      <w:r>
        <w:t xml:space="preserve">Lo studio di Raikou aveva solo sei partecipanti per gruppo e una moltitudine di confronti singoli; alcune differenze erano significative, altre no.</w:t>
      </w:r>
    </w:p>
    <w:p>
      <w:pPr>
        <w:pStyle w:val="FirstParagraph"/>
      </w:pPr>
      <w:r>
        <w:rPr>
          <w:bCs/>
          <w:b/>
        </w:rPr>
        <w:t xml:space="preserve">Lo studio negativo:</w:t>
      </w:r>
      <w:r>
        <w:t xml:space="preserve"> </w:t>
      </w:r>
      <w:r>
        <w:t xml:space="preserve">uno studio a metà viso in doppio cieco di uno studio di chirurgia plastica, con misurazione oggettiva tramite fotocamera (Henseler 2023), non ha trovato differenze tra la metà del viso con e quella senza Argireline. I responsabili dello studio hanno concluso che un effetto non è stato dimostrato e che l’Argireline non va classificata come alternativa alla tossina botulinica. Con 19 partecipanti, però, anche questo studio era piccolo.</w:t>
      </w:r>
    </w:p>
    <w:bookmarkStart w:id="2511" w:name="altri-impieghi-5"/>
    <w:p>
      <w:pPr>
        <w:pStyle w:val="Heading4"/>
      </w:pPr>
      <w:r>
        <w:t xml:space="preserve">Altri impieghi</w:t>
      </w:r>
    </w:p>
    <w:p>
      <w:pPr>
        <w:numPr>
          <w:ilvl w:val="0"/>
          <w:numId w:val="1317"/>
        </w:numPr>
        <w:pStyle w:val="Compact"/>
      </w:pPr>
      <w:r>
        <w:rPr>
          <w:bCs/>
          <w:b/>
        </w:rPr>
        <w:t xml:space="preserve">Spasmo palpebrale (blefarospasmo):</w:t>
      </w:r>
      <w:r>
        <w:t xml:space="preserve"> </w:t>
      </w:r>
      <w:r>
        <w:t xml:space="preserve">in questa malattia neurologica i muscoli palpebrali si contraggono involontariamente; il trattamento standard è l’iniezione di tossina botulinica ogni tre mesi. In uno studio pilota con 24 pazienti una crema all’Argireline doveva prolungare la durata dell’effetto dell’iniezione. C’è stato un trend non significativo (3,7 contro 3,0 mesi fino al ritorno dei disturbi) e nessun effetto collaterale rilevante (Lungu 2013, PMID 23146065; registrato come NCT00942851). Uno studio successivo è stato interrotto dopo otto partecipanti</w:t>
      </w:r>
      <w:r>
        <w:rPr>
          <w:rStyle w:val="FootnoteReference"/>
        </w:rPr>
        <w:footnoteReference w:id="2507"/>
      </w:r>
      <w:r>
        <w:t xml:space="preserve">.</w:t>
      </w:r>
    </w:p>
    <w:p>
      <w:pPr>
        <w:numPr>
          <w:ilvl w:val="0"/>
          <w:numId w:val="1317"/>
        </w:numPr>
        <w:pStyle w:val="Compact"/>
      </w:pPr>
      <w:r>
        <w:rPr>
          <w:bCs/>
          <w:b/>
        </w:rPr>
        <w:t xml:space="preserve">Cerotti a microaghi:</w:t>
      </w:r>
      <w:r>
        <w:t xml:space="preserve"> </w:t>
      </w:r>
      <w:r>
        <w:t xml:space="preserve">in uno studio coreano a metà viso con 52 donne un cerotto a microaghi di acido ialuronico con Argireline ha migliorato le rughe più del cerotto da solo</w:t>
      </w:r>
      <w:r>
        <w:rPr>
          <w:rStyle w:val="FootnoteReference"/>
        </w:rPr>
        <w:footnoteReference w:id="2508"/>
      </w:r>
      <w:r>
        <w:t xml:space="preserve">. Qui il peptide viene portato nella pelle attraverso aghi minuscoli – il risultato non è trasferibile alle normali creme.</w:t>
      </w:r>
    </w:p>
    <w:p>
      <w:pPr>
        <w:numPr>
          <w:ilvl w:val="0"/>
          <w:numId w:val="1317"/>
        </w:numPr>
        <w:pStyle w:val="Compact"/>
      </w:pPr>
      <w:r>
        <w:rPr>
          <w:bCs/>
          <w:b/>
        </w:rPr>
        <w:t xml:space="preserve">Prodotti combinati:</w:t>
      </w:r>
      <w:r>
        <w:t xml:space="preserve"> </w:t>
      </w:r>
      <w:r>
        <w:t xml:space="preserve">molti studi testano sieri che contengono Argireline insieme a retinolo, acido ialuronico o altri peptidi. Il loro risultato non può essere attribuito al singolo peptide.</w:t>
      </w:r>
    </w:p>
    <w:p>
      <w:pPr>
        <w:numPr>
          <w:ilvl w:val="0"/>
          <w:numId w:val="1317"/>
        </w:numPr>
        <w:pStyle w:val="Compact"/>
      </w:pPr>
      <w:r>
        <w:rPr>
          <w:bCs/>
          <w:b/>
        </w:rPr>
        <w:t xml:space="preserve">Piccoli studi registrati:</w:t>
      </w:r>
      <w:r>
        <w:t xml:space="preserve"> </w:t>
      </w:r>
      <w:r>
        <w:t xml:space="preserve">su ClinicalTrials.gov sono elencati, tra gli altri, uno studio concluso sulla pelle grassa con 14 partecipanti</w:t>
      </w:r>
      <w:r>
        <w:rPr>
          <w:rStyle w:val="FootnoteReference"/>
        </w:rPr>
        <w:footnoteReference w:id="2509"/>
      </w:r>
      <w:r>
        <w:t xml:space="preserve"> </w:t>
      </w:r>
      <w:r>
        <w:t xml:space="preserve">e uno studio definito di fase 3 sulle rughe perioculari con 70 partecipanti</w:t>
      </w:r>
      <w:r>
        <w:rPr>
          <w:rStyle w:val="FootnoteReference"/>
        </w:rPr>
        <w:footnoteReference w:id="2510"/>
      </w:r>
      <w:r>
        <w:t xml:space="preserve">; non è stato possibile chiarire in modo univoco se quest’ultimo corrisponda allo studio cinese citato sopra.</w:t>
      </w:r>
    </w:p>
    <w:bookmarkEnd w:id="2511"/>
    <w:bookmarkEnd w:id="2512"/>
    <w:bookmarkStart w:id="2517" w:name="studi-su-animali-e-in-laboratorio-57"/>
    <w:p>
      <w:pPr>
        <w:pStyle w:val="Heading3"/>
      </w:pPr>
      <w:r>
        <w:t xml:space="preserve">Studi su animali e in laboratorio</w:t>
      </w:r>
    </w:p>
    <w:p>
      <w:pPr>
        <w:numPr>
          <w:ilvl w:val="0"/>
          <w:numId w:val="1318"/>
        </w:numPr>
        <w:pStyle w:val="Compact"/>
      </w:pPr>
      <w:r>
        <w:rPr>
          <w:bCs/>
          <w:b/>
        </w:rPr>
        <w:t xml:space="preserve">Esperimenti cellulari:</w:t>
      </w:r>
      <w:r>
        <w:t xml:space="preserve"> </w:t>
      </w:r>
      <w:r>
        <w:t xml:space="preserve">inibizione del rilascio di messaggeri e alterazione della formazione del complesso SNARE</w:t>
      </w:r>
      <w:r>
        <w:rPr>
          <w:rStyle w:val="FootnoteReference"/>
        </w:rPr>
        <w:footnoteReference w:id="2513"/>
      </w:r>
      <w:r>
        <w:t xml:space="preserve">. In colture di fibroblasti cutanei umani e di altre linee cellulari l’Argireline ha inibito la proliferazione cellulare in modo dipendente dalla dose, però solo a concentrazioni da 18 a 10.000 volte superiori a quelle della sostanza di confronto doxorubicina, un farmaco antitumorale</w:t>
      </w:r>
      <w:r>
        <w:rPr>
          <w:rStyle w:val="FootnoteReference"/>
        </w:rPr>
        <w:footnoteReference w:id="2514"/>
      </w:r>
      <w:r>
        <w:t xml:space="preserve">.</w:t>
      </w:r>
    </w:p>
    <w:p>
      <w:pPr>
        <w:numPr>
          <w:ilvl w:val="0"/>
          <w:numId w:val="1318"/>
        </w:numPr>
        <w:pStyle w:val="Compact"/>
      </w:pPr>
      <w:r>
        <w:rPr>
          <w:bCs/>
          <w:b/>
        </w:rPr>
        <w:t xml:space="preserve">Esperimenti sugli animali:</w:t>
      </w:r>
      <w:r>
        <w:t xml:space="preserve"> </w:t>
      </w:r>
      <w:r>
        <w:t xml:space="preserve">in topi con invecchiamento accelerato artificialmente (con D-galattosio) la quota di fibre di collagene di tipo I nella pelle è aumentata con l’Argireline</w:t>
      </w:r>
      <w:r>
        <w:rPr>
          <w:rStyle w:val="FootnoteReference"/>
        </w:rPr>
        <w:footnoteReference w:id="2515"/>
      </w:r>
      <w:r>
        <w:t xml:space="preserve">.</w:t>
      </w:r>
    </w:p>
    <w:p>
      <w:pPr>
        <w:numPr>
          <w:ilvl w:val="0"/>
          <w:numId w:val="1318"/>
        </w:numPr>
        <w:pStyle w:val="Compact"/>
      </w:pPr>
      <w:r>
        <w:rPr>
          <w:bCs/>
          <w:b/>
        </w:rPr>
        <w:t xml:space="preserve">Permeabilità cutanea:</w:t>
      </w:r>
      <w:r>
        <w:t xml:space="preserve"> </w:t>
      </w:r>
      <w:r>
        <w:t xml:space="preserve">oltre allo studio sulla pelle di donatori di corpo</w:t>
      </w:r>
      <w:r>
        <w:rPr>
          <w:rStyle w:val="FootnoteReference"/>
        </w:rPr>
        <w:footnoteReference w:id="2516"/>
      </w:r>
      <w:r>
        <w:t xml:space="preserve">, numerosi lavori di laboratorio studiano emulsioni, microaghi, ionoforesi e modifiche chimiche per portare più principio attivo nella pelle.</w:t>
      </w:r>
    </w:p>
    <w:bookmarkEnd w:id="2517"/>
    <w:bookmarkStart w:id="2520" w:name="rischi-ed-effetti-collaterali-57"/>
    <w:p>
      <w:pPr>
        <w:pStyle w:val="Heading3"/>
      </w:pPr>
      <w:r>
        <w:t xml:space="preserve">Rischi ed effetti collaterali</w:t>
      </w:r>
    </w:p>
    <w:p>
      <w:pPr>
        <w:pStyle w:val="FirstParagraph"/>
      </w:pPr>
      <w:r>
        <w:rPr>
          <w:bCs/>
          <w:b/>
        </w:rPr>
        <w:t xml:space="preserve">Come crema (dimostrati):</w:t>
      </w:r>
      <w:r>
        <w:t xml:space="preserve"> </w:t>
      </w:r>
      <w:r>
        <w:t xml:space="preserve">negli studi non sono stati osservati effetti collaterali rilevanti; irritazioni cutanee e allergie sono possibili come per qualsiasi componente cosmetico. Il comitato indipendente di esperti statunitense per la sicurezza degli ingredienti cosmetici (Cosmetic Ingredient Review) è giunto nel 2025 alla conclusione che l’acetil esapeptide-8 è sicuro alle concentrazioni attualmente usuali fino allo 0,005%. Per concentrazioni più alte i dati disponibili non bastavano per una valutazione della sicurezza</w:t>
      </w:r>
      <w:r>
        <w:rPr>
          <w:rStyle w:val="FootnoteReference"/>
        </w:rPr>
        <w:footnoteReference w:id="2518"/>
      </w:r>
      <w:r>
        <w:t xml:space="preserve">.</w:t>
      </w:r>
    </w:p>
    <w:p>
      <w:pPr>
        <w:pStyle w:val="BodyText"/>
      </w:pPr>
      <w:r>
        <w:rPr>
          <w:bCs/>
          <w:b/>
        </w:rPr>
        <w:t xml:space="preserve">Come iniezione:</w:t>
      </w:r>
      <w:r>
        <w:t xml:space="preserve"> </w:t>
      </w:r>
      <w:r>
        <w:t xml:space="preserve">l’Argireline viene in parte anche iniettata nella pelle, per esempio in centri estetici o tramite prodotti del mercato grigio. Per questo non esistono né autorizzazione né studi. Un caso clinico descrive una donna di 45 anni in cui, dopo iniezioni di Argireline su fronte e tempie, sono comparsi arrossamenti, noduli e ascessi; la causa era un’infezione da</w:t>
      </w:r>
      <w:r>
        <w:t xml:space="preserve"> </w:t>
      </w:r>
      <w:r>
        <w:rPr>
          <w:iCs/>
          <w:i/>
        </w:rPr>
        <w:t xml:space="preserve">Mycobacterium abscessus</w:t>
      </w:r>
      <w:r>
        <w:t xml:space="preserve">, un batterio difficile da trattare, che ha richiesto una terapia antibiotica di cinque mesi</w:t>
      </w:r>
      <w:r>
        <w:rPr>
          <w:rStyle w:val="FootnoteReference"/>
        </w:rPr>
        <w:footnoteReference w:id="2519"/>
      </w:r>
      <w:r>
        <w:t xml:space="preserve">. Il rischio qui sta meno nel peptide stesso che in prodotti e procedure non sterili.</w:t>
      </w:r>
    </w:p>
    <w:p>
      <w:pPr>
        <w:pStyle w:val="BodyText"/>
      </w:pPr>
      <w:r>
        <w:rPr>
          <w:bCs/>
          <w:b/>
        </w:rPr>
        <w:t xml:space="preserve">Teorici:</w:t>
      </w:r>
      <w:r>
        <w:t xml:space="preserve"> </w:t>
      </w:r>
      <w:r>
        <w:t xml:space="preserve">se l’Argireline arrivasse in quantità apprezzabile alle giunzioni neuromuscolari, sarebbero ipotizzabili – come con la tossina botulinica – debolezze muscolari indesiderate. Con l’applicazione esterna non ci sono indizi in tal senso.</w:t>
      </w:r>
    </w:p>
    <w:bookmarkEnd w:id="2520"/>
    <w:bookmarkStart w:id="2521" w:name="quadro-normativo-57"/>
    <w:p>
      <w:pPr>
        <w:pStyle w:val="Heading3"/>
      </w:pPr>
      <w:r>
        <w:t xml:space="preserve">Quadro normativo</w:t>
      </w:r>
    </w:p>
    <w:p>
      <w:pPr>
        <w:numPr>
          <w:ilvl w:val="0"/>
          <w:numId w:val="1319"/>
        </w:numPr>
        <w:pStyle w:val="Compact"/>
      </w:pPr>
      <w:r>
        <w:rPr>
          <w:bCs/>
          <w:b/>
        </w:rPr>
        <w:t xml:space="preserve">UE / Austria / Germania:</w:t>
      </w:r>
      <w:r>
        <w:t xml:space="preserve"> </w:t>
      </w:r>
      <w:r>
        <w:t xml:space="preserve">l’acetil esapeptide-8 è un ingrediente cosmetico ammesso secondo il regolamento UE sui prodotti cosmetici (Regolamento (CE) n. 1223/2009). Le affermazioni pubblicitarie devono essere dimostrabili secondo il Regolamento (UE) n. 655/2013. I confronti con la tossina botulinica («come il Botox») sono ingannevoli se suggeriscono un effetto paragonabile. Un’iniezione non è un impiego cosmetico; un prodotto destinato all’iniezione sarebbe un farmaco o un dispositivo medico non approvato e non può essere commercializzato come tale.</w:t>
      </w:r>
    </w:p>
    <w:p>
      <w:pPr>
        <w:numPr>
          <w:ilvl w:val="0"/>
          <w:numId w:val="1319"/>
        </w:numPr>
        <w:pStyle w:val="Compact"/>
      </w:pPr>
      <w:r>
        <w:rPr>
          <w:bCs/>
          <w:b/>
        </w:rPr>
        <w:t xml:space="preserve">USA:</w:t>
      </w:r>
      <w:r>
        <w:t xml:space="preserve"> </w:t>
      </w:r>
      <w:r>
        <w:t xml:space="preserve">ingrediente cosmetico senza verifica preventiva da parte della FDA; le affermazioni che promettono un effetto sui muscoli possono trasformare giuridicamente un prodotto in un farmaco.</w:t>
      </w:r>
    </w:p>
    <w:p>
      <w:pPr>
        <w:numPr>
          <w:ilvl w:val="0"/>
          <w:numId w:val="1319"/>
        </w:numPr>
        <w:pStyle w:val="Compact"/>
      </w:pPr>
      <w:r>
        <w:rPr>
          <w:bCs/>
          <w:b/>
        </w:rPr>
        <w:t xml:space="preserve">Sport:</w:t>
      </w:r>
      <w:r>
        <w:t xml:space="preserve"> </w:t>
      </w:r>
      <w:r>
        <w:t xml:space="preserve">senza rilevanza (aggiornato al 2026, da verificare).</w:t>
      </w:r>
    </w:p>
    <w:bookmarkEnd w:id="2521"/>
    <w:bookmarkStart w:id="2522" w:name="studi-in-corso-e-prospettive-57"/>
    <w:p>
      <w:pPr>
        <w:pStyle w:val="Heading3"/>
      </w:pPr>
      <w:r>
        <w:t xml:space="preserve">Studi in corso e prospettive</w:t>
      </w:r>
    </w:p>
    <w:p>
      <w:pPr>
        <w:pStyle w:val="FirstParagraph"/>
      </w:pPr>
      <w:r>
        <w:rPr>
          <w:bCs/>
          <w:b/>
        </w:rPr>
        <w:t xml:space="preserve">Dati certi:</w:t>
      </w:r>
      <w:r>
        <w:t xml:space="preserve"> </w:t>
      </w:r>
      <w:r>
        <w:t xml:space="preserve">su ClinicalTrials.gov (situazione a ottobre 2026) non è registrato alcuno studio in corso con l’acetil esapeptide-8 come singolo principio attivo; le voci elencate sono concluse o interrotte. Gli studi di efficacia cosmetica vengono registrati raramente.</w:t>
      </w:r>
    </w:p>
    <w:p>
      <w:pPr>
        <w:pStyle w:val="BodyText"/>
      </w:pPr>
      <w:r>
        <w:rPr>
          <w:bCs/>
          <w:b/>
        </w:rPr>
        <w:t xml:space="preserve">Valutazione:</w:t>
      </w:r>
      <w:r>
        <w:t xml:space="preserve"> </w:t>
      </w:r>
      <w:r>
        <w:t xml:space="preserve">l’Argireline è un esempio di peptide progettato razionalmente, il cui risultato di laboratorio è convincente, ma la cui via verso il sito d’azione resta irrisolta. La ricerca si concentra quindi su sistemi di trasporto come microaghi e nanovettori. Se questi raggiungano un effetto visibile per gli utilizzatori e superiore a quello di un buon prodotto idratante dovranno dimostrarlo studi più ampi e indipendenti. Un’alternativa reale alla tossina botulinica, secondo le conoscenze attuali, non è da attendersi.</w:t>
      </w:r>
    </w:p>
    <w:bookmarkEnd w:id="2522"/>
    <w:bookmarkStart w:id="2523" w:name="conclusione-57"/>
    <w:p>
      <w:pPr>
        <w:pStyle w:val="Heading3"/>
      </w:pPr>
      <w:r>
        <w:t xml:space="preserve">Conclusione</w:t>
      </w:r>
    </w:p>
    <w:p>
      <w:pPr>
        <w:pStyle w:val="FirstParagraph"/>
      </w:pPr>
      <w:r>
        <w:t xml:space="preserve">L’acetil esapeptide-8 è un peptide sintetico che in laboratorio inibisce il rilascio di messaggeri nelle cellule nervose in modo simile alla tossina botulinica, ma molto più debolmente. Dalle creme penetra appena nella pelle; in un esperimento di laboratorio è rimasto quasi completamente negli strati superficiali. Piccoli studi brevi – in parte degli sviluppatori, in parte con prodotti combinati – riportano meno rughe sottili; uno studio a metà viso in cieco con misurazione oggettiva non ha invece trovato differenze. Come crema è considerato sicuro alle concentrazioni usuali; le iniezioni non sono né studiate né approvate e possono portare a infezioni gravi. L’espressione pubblicitaria «Botox in tubetto» non è supportata dai dati.</w:t>
      </w:r>
    </w:p>
    <w:bookmarkEnd w:id="2523"/>
    <w:bookmarkEnd w:id="2524"/>
    <w:bookmarkEnd w:id="2525"/>
    <w:bookmarkStart w:id="2604" w:name="parte-iii-il-grande-confronto"/>
    <w:p>
      <w:pPr>
        <w:pStyle w:val="Heading1"/>
      </w:pPr>
      <w:r>
        <w:t xml:space="preserve">Parte III – Il grande confronto</w:t>
      </w:r>
    </w:p>
    <w:p>
      <w:pPr>
        <w:pStyle w:val="FirstParagraph"/>
      </w:pPr>
      <w:r>
        <w:t xml:space="preserve">Nella Parte II ogni peptide è stato considerato singolarmente. Questa parte affianca i risultati e risponde a tre domande: quanto è studiato un peptide rispetto agli altri? Come si confrontano tra loro i farmaci per dimagrire e per il diabete? E che cosa resta delle promesse di internet se si considerano validi solo gli studi sull’uomo?</w:t>
      </w:r>
    </w:p>
    <w:p>
      <w:pPr>
        <w:pStyle w:val="BodyText"/>
      </w:pPr>
      <w:r>
        <w:t xml:space="preserve">Le tabelle sono sintesi. Fonti e limiti di ogni numero si trovano nei capitoli della Parte II. Tutte le informazioni su approvazione e stato antidoping riflettono la situazione del 2026 e andrebbero verificate.</w:t>
      </w:r>
    </w:p>
    <w:bookmarkStart w:id="2538" w:name="tutti-i-peptidi-in-sintesi"/>
    <w:p>
      <w:pPr>
        <w:pStyle w:val="Heading2"/>
      </w:pPr>
      <w:r>
        <w:t xml:space="preserve">Tutti i peptidi in sintesi</w:t>
      </w:r>
    </w:p>
    <w:bookmarkStart w:id="2526" w:name="come-leggere-le-tabelle"/>
    <w:p>
      <w:pPr>
        <w:pStyle w:val="Heading3"/>
      </w:pPr>
      <w:r>
        <w:t xml:space="preserve">Come leggere le tabelle</w:t>
      </w:r>
    </w:p>
    <w:p>
      <w:pPr>
        <w:pStyle w:val="FirstParagraph"/>
      </w:pPr>
      <w:r>
        <w:t xml:space="preserve">Per ogni gruppo della Parte II seguono due tabelle: la prima con livello di evidenza, approvazione e ordine di grandezza degli studi disponibili, la seconda con il risultato di studio più importante e il rischio principale.</w:t>
      </w:r>
    </w:p>
    <w:p>
      <w:pPr>
        <w:pStyle w:val="BodyText"/>
      </w:pPr>
      <w:r>
        <w:rPr>
          <w:bCs/>
          <w:b/>
        </w:rPr>
        <w:t xml:space="preserve">Livello di evidenza</w:t>
      </w:r>
      <w:r>
        <w:t xml:space="preserve"> </w:t>
      </w:r>
      <w:r>
        <w:t xml:space="preserve">(come nella Parte II):</w:t>
      </w:r>
    </w:p>
    <w:p>
      <w:pPr>
        <w:numPr>
          <w:ilvl w:val="0"/>
          <w:numId w:val="1320"/>
        </w:numPr>
        <w:pStyle w:val="Compact"/>
      </w:pPr>
      <w:r>
        <w:rPr>
          <w:bCs/>
          <w:b/>
        </w:rPr>
        <w:t xml:space="preserve">A</w:t>
      </w:r>
      <w:r>
        <w:t xml:space="preserve">: diversi grandi studi randomizzati sull’uomo, per lo più con approvazione</w:t>
      </w:r>
    </w:p>
    <w:p>
      <w:pPr>
        <w:numPr>
          <w:ilvl w:val="0"/>
          <w:numId w:val="1320"/>
        </w:numPr>
        <w:pStyle w:val="Compact"/>
      </w:pPr>
      <w:r>
        <w:rPr>
          <w:bCs/>
          <w:b/>
        </w:rPr>
        <w:t xml:space="preserve">B</w:t>
      </w:r>
      <w:r>
        <w:t xml:space="preserve">: singoli studi randomizzati sull’uomo</w:t>
      </w:r>
    </w:p>
    <w:p>
      <w:pPr>
        <w:numPr>
          <w:ilvl w:val="0"/>
          <w:numId w:val="1320"/>
        </w:numPr>
        <w:pStyle w:val="Compact"/>
      </w:pPr>
      <w:r>
        <w:rPr>
          <w:bCs/>
          <w:b/>
        </w:rPr>
        <w:t xml:space="preserve">C</w:t>
      </w:r>
      <w:r>
        <w:t xml:space="preserve">: solo studi sull’uomo piccoli o non controllati</w:t>
      </w:r>
    </w:p>
    <w:p>
      <w:pPr>
        <w:numPr>
          <w:ilvl w:val="0"/>
          <w:numId w:val="1320"/>
        </w:numPr>
        <w:pStyle w:val="Compact"/>
      </w:pPr>
      <w:r>
        <w:rPr>
          <w:bCs/>
          <w:b/>
        </w:rPr>
        <w:t xml:space="preserve">D</w:t>
      </w:r>
      <w:r>
        <w:t xml:space="preserve">: solo studi su animali e in laboratorio</w:t>
      </w:r>
    </w:p>
    <w:p>
      <w:pPr>
        <w:pStyle w:val="FirstParagraph"/>
      </w:pPr>
      <w:r>
        <w:t xml:space="preserve">Il livello descrive</w:t>
      </w:r>
      <w:r>
        <w:t xml:space="preserve"> </w:t>
      </w:r>
      <w:r>
        <w:rPr>
          <w:iCs/>
          <w:i/>
        </w:rPr>
        <w:t xml:space="preserve">quanto bene</w:t>
      </w:r>
      <w:r>
        <w:t xml:space="preserve"> </w:t>
      </w:r>
      <w:r>
        <w:t xml:space="preserve">qualcosa è stato studiato, non</w:t>
      </w:r>
      <w:r>
        <w:t xml:space="preserve"> </w:t>
      </w:r>
      <w:r>
        <w:rPr>
          <w:iCs/>
          <w:i/>
        </w:rPr>
        <w:t xml:space="preserve">se</w:t>
      </w:r>
      <w:r>
        <w:t xml:space="preserve"> </w:t>
      </w:r>
      <w:r>
        <w:t xml:space="preserve">funziona – e vale solo per l’impiego studiato.</w:t>
      </w:r>
    </w:p>
    <w:p>
      <w:pPr>
        <w:pStyle w:val="BodyText"/>
      </w:pPr>
      <w:r>
        <w:rPr>
          <w:bCs/>
          <w:b/>
        </w:rPr>
        <w:t xml:space="preserve">Studi sull’uomo / registro:</w:t>
      </w:r>
      <w:r>
        <w:t xml:space="preserve"> </w:t>
      </w:r>
      <w:r>
        <w:t xml:space="preserve">i numeri provengono dalla ricerca automatizzata per questo libro (ottobre 2026, metodologia in appendice): pubblicazioni classificate come studi sull’uomo in PubMed e voci nel registro degli studi ClinicalTrials.gov. Indicano solo l’ordine di grandezza, dipendono molto dal termine di ricerca e contengono in parte risultati non pertinenti, mentre possono mancare lavori più vecchi pubblicati con altri nomi. Dove un numero è nettamente fuorviante, è contrassegnato con «(nota)» e spiegato sotto la tabella. Le voci di registro di uno sponsor le cui voci, al controllo, si sono rivelate evidentemente voci di esempio o di prova fittizie non sono conteggiate.</w:t>
      </w:r>
    </w:p>
    <w:bookmarkEnd w:id="2526"/>
    <w:bookmarkStart w:id="2527" w:name="a.-metabolismo-e-peso"/>
    <w:p>
      <w:pPr>
        <w:pStyle w:val="Heading3"/>
      </w:pPr>
      <w:r>
        <w:t xml:space="preserve">A. Metabolismo e peso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Peptide</w:t>
            </w:r>
          </w:p>
        </w:tc>
        <w:tc>
          <w:tcPr/>
          <w:p>
            <w:pPr>
              <w:pStyle w:val="Compact"/>
              <w:jc w:val="left"/>
            </w:pPr>
            <w:r>
              <w:t xml:space="preserve">Evidenza</w:t>
            </w:r>
          </w:p>
        </w:tc>
        <w:tc>
          <w:tcPr/>
          <w:p>
            <w:pPr>
              <w:pStyle w:val="Compact"/>
              <w:jc w:val="left"/>
            </w:pPr>
            <w:r>
              <w:t xml:space="preserve">Approvazione UE / USA</w:t>
            </w:r>
          </w:p>
        </w:tc>
        <w:tc>
          <w:tcPr/>
          <w:p>
            <w:pPr>
              <w:pStyle w:val="Compact"/>
              <w:jc w:val="left"/>
            </w:pPr>
            <w:r>
              <w:t xml:space="preserve">Studi sull’uomo / registro</w:t>
            </w:r>
          </w:p>
        </w:tc>
      </w:tr>
      <w:tr>
        <w:tc>
          <w:tcPr/>
          <w:p>
            <w:pPr>
              <w:pStyle w:val="Compact"/>
              <w:jc w:val="left"/>
            </w:pPr>
            <w:r>
              <w:t xml:space="preserve">Exenatide</w:t>
            </w:r>
          </w:p>
        </w:tc>
        <w:tc>
          <w:tcPr/>
          <w:p>
            <w:pPr>
              <w:pStyle w:val="Compact"/>
              <w:jc w:val="left"/>
            </w:pPr>
            <w:r>
              <w:t xml:space="preserve">A</w:t>
            </w:r>
          </w:p>
        </w:tc>
        <w:tc>
          <w:tcPr/>
          <w:p>
            <w:pPr>
              <w:pStyle w:val="Compact"/>
              <w:jc w:val="left"/>
            </w:pPr>
            <w:r>
              <w:t xml:space="preserve">sì / sì</w:t>
            </w:r>
          </w:p>
        </w:tc>
        <w:tc>
          <w:tcPr/>
          <w:p>
            <w:pPr>
              <w:pStyle w:val="Compact"/>
              <w:jc w:val="left"/>
            </w:pPr>
            <w:r>
              <w:t xml:space="preserve">437 / 379</w:t>
            </w:r>
          </w:p>
        </w:tc>
      </w:tr>
      <w:tr>
        <w:tc>
          <w:tcPr/>
          <w:p>
            <w:pPr>
              <w:pStyle w:val="Compact"/>
              <w:jc w:val="left"/>
            </w:pPr>
            <w:r>
              <w:t xml:space="preserve">Liraglutide</w:t>
            </w:r>
          </w:p>
        </w:tc>
        <w:tc>
          <w:tcPr/>
          <w:p>
            <w:pPr>
              <w:pStyle w:val="Compact"/>
              <w:jc w:val="left"/>
            </w:pPr>
            <w:r>
              <w:t xml:space="preserve">A</w:t>
            </w:r>
          </w:p>
        </w:tc>
        <w:tc>
          <w:tcPr/>
          <w:p>
            <w:pPr>
              <w:pStyle w:val="Compact"/>
              <w:jc w:val="left"/>
            </w:pPr>
            <w:r>
              <w:t xml:space="preserve">sì / sì (anche generici)</w:t>
            </w:r>
          </w:p>
        </w:tc>
        <w:tc>
          <w:tcPr/>
          <w:p>
            <w:pPr>
              <w:pStyle w:val="Compact"/>
              <w:jc w:val="left"/>
            </w:pPr>
            <w:r>
              <w:t xml:space="preserve">613 / 517</w:t>
            </w:r>
          </w:p>
        </w:tc>
      </w:tr>
      <w:tr>
        <w:tc>
          <w:tcPr/>
          <w:p>
            <w:pPr>
              <w:pStyle w:val="Compact"/>
              <w:jc w:val="left"/>
            </w:pPr>
            <w:r>
              <w:t xml:space="preserve">Dulaglutide</w:t>
            </w:r>
          </w:p>
        </w:tc>
        <w:tc>
          <w:tcPr/>
          <w:p>
            <w:pPr>
              <w:pStyle w:val="Compact"/>
              <w:jc w:val="left"/>
            </w:pPr>
            <w:r>
              <w:t xml:space="preserve">A</w:t>
            </w:r>
          </w:p>
        </w:tc>
        <w:tc>
          <w:tcPr/>
          <w:p>
            <w:pPr>
              <w:pStyle w:val="Compact"/>
              <w:jc w:val="left"/>
            </w:pPr>
            <w:r>
              <w:t xml:space="preserve">sì / sì</w:t>
            </w:r>
          </w:p>
        </w:tc>
        <w:tc>
          <w:tcPr/>
          <w:p>
            <w:pPr>
              <w:pStyle w:val="Compact"/>
              <w:jc w:val="left"/>
            </w:pPr>
            <w:r>
              <w:t xml:space="preserve">158 / 143</w:t>
            </w:r>
          </w:p>
        </w:tc>
      </w:tr>
      <w:tr>
        <w:tc>
          <w:tcPr/>
          <w:p>
            <w:pPr>
              <w:pStyle w:val="Compact"/>
              <w:jc w:val="left"/>
            </w:pPr>
            <w:r>
              <w:t xml:space="preserve">Semaglutide</w:t>
            </w:r>
          </w:p>
        </w:tc>
        <w:tc>
          <w:tcPr/>
          <w:p>
            <w:pPr>
              <w:pStyle w:val="Compact"/>
              <w:jc w:val="left"/>
            </w:pPr>
            <w:r>
              <w:t xml:space="preserve">A</w:t>
            </w:r>
          </w:p>
        </w:tc>
        <w:tc>
          <w:tcPr/>
          <w:p>
            <w:pPr>
              <w:pStyle w:val="Compact"/>
              <w:jc w:val="left"/>
            </w:pPr>
            <w:r>
              <w:t xml:space="preserve">sì / sì (iniezione e compressa)</w:t>
            </w:r>
          </w:p>
        </w:tc>
        <w:tc>
          <w:tcPr/>
          <w:p>
            <w:pPr>
              <w:pStyle w:val="Compact"/>
              <w:jc w:val="left"/>
            </w:pPr>
            <w:r>
              <w:t xml:space="preserve">342 / 793</w:t>
            </w:r>
          </w:p>
        </w:tc>
      </w:tr>
      <w:tr>
        <w:tc>
          <w:tcPr/>
          <w:p>
            <w:pPr>
              <w:pStyle w:val="Compact"/>
              <w:jc w:val="left"/>
            </w:pPr>
            <w:r>
              <w:t xml:space="preserve">Tirzepatide</w:t>
            </w:r>
          </w:p>
        </w:tc>
        <w:tc>
          <w:tcPr/>
          <w:p>
            <w:pPr>
              <w:pStyle w:val="Compact"/>
              <w:jc w:val="left"/>
            </w:pPr>
            <w:r>
              <w:t xml:space="preserve">A</w:t>
            </w:r>
          </w:p>
        </w:tc>
        <w:tc>
          <w:tcPr/>
          <w:p>
            <w:pPr>
              <w:pStyle w:val="Compact"/>
              <w:jc w:val="left"/>
            </w:pPr>
            <w:r>
              <w:t xml:space="preserve">sì / sì</w:t>
            </w:r>
          </w:p>
        </w:tc>
        <w:tc>
          <w:tcPr/>
          <w:p>
            <w:pPr>
              <w:pStyle w:val="Compact"/>
              <w:jc w:val="left"/>
            </w:pPr>
            <w:r>
              <w:t xml:space="preserve">144 / 307</w:t>
            </w:r>
          </w:p>
        </w:tc>
      </w:tr>
      <w:tr>
        <w:tc>
          <w:tcPr/>
          <w:p>
            <w:pPr>
              <w:pStyle w:val="Compact"/>
              <w:jc w:val="left"/>
            </w:pPr>
            <w:r>
              <w:t xml:space="preserve">Retatrutide</w:t>
            </w:r>
          </w:p>
        </w:tc>
        <w:tc>
          <w:tcPr/>
          <w:p>
            <w:pPr>
              <w:pStyle w:val="Compact"/>
              <w:jc w:val="left"/>
            </w:pPr>
            <w:r>
              <w:t xml:space="preserve">B</w:t>
            </w:r>
          </w:p>
        </w:tc>
        <w:tc>
          <w:tcPr/>
          <w:p>
            <w:pPr>
              <w:pStyle w:val="Compact"/>
              <w:jc w:val="left"/>
            </w:pPr>
            <w:r>
              <w:t xml:space="preserve">no / no</w:t>
            </w:r>
          </w:p>
        </w:tc>
        <w:tc>
          <w:tcPr/>
          <w:p>
            <w:pPr>
              <w:pStyle w:val="Compact"/>
              <w:jc w:val="left"/>
            </w:pPr>
            <w:r>
              <w:t xml:space="preserve">10 / 32</w:t>
            </w:r>
          </w:p>
        </w:tc>
      </w:tr>
      <w:tr>
        <w:tc>
          <w:tcPr/>
          <w:p>
            <w:pPr>
              <w:pStyle w:val="Compact"/>
              <w:jc w:val="left"/>
            </w:pPr>
            <w:r>
              <w:t xml:space="preserve">Survodutide</w:t>
            </w:r>
          </w:p>
        </w:tc>
        <w:tc>
          <w:tcPr/>
          <w:p>
            <w:pPr>
              <w:pStyle w:val="Compact"/>
              <w:jc w:val="left"/>
            </w:pPr>
            <w:r>
              <w:t xml:space="preserve">B</w:t>
            </w:r>
          </w:p>
        </w:tc>
        <w:tc>
          <w:tcPr/>
          <w:p>
            <w:pPr>
              <w:pStyle w:val="Compact"/>
              <w:jc w:val="left"/>
            </w:pPr>
            <w:r>
              <w:t xml:space="preserve">no / no</w:t>
            </w:r>
          </w:p>
        </w:tc>
        <w:tc>
          <w:tcPr/>
          <w:p>
            <w:pPr>
              <w:pStyle w:val="Compact"/>
              <w:jc w:val="left"/>
            </w:pPr>
            <w:r>
              <w:t xml:space="preserve">10 / 29</w:t>
            </w:r>
          </w:p>
        </w:tc>
      </w:tr>
      <w:tr>
        <w:tc>
          <w:tcPr/>
          <w:p>
            <w:pPr>
              <w:pStyle w:val="Compact"/>
              <w:jc w:val="left"/>
            </w:pPr>
            <w:r>
              <w:t xml:space="preserve">Mazdutide</w:t>
            </w:r>
          </w:p>
        </w:tc>
        <w:tc>
          <w:tcPr/>
          <w:p>
            <w:pPr>
              <w:pStyle w:val="Compact"/>
              <w:jc w:val="left"/>
            </w:pPr>
            <w:r>
              <w:t xml:space="preserve">A</w:t>
            </w:r>
          </w:p>
        </w:tc>
        <w:tc>
          <w:tcPr/>
          <w:p>
            <w:pPr>
              <w:pStyle w:val="Compact"/>
              <w:jc w:val="left"/>
            </w:pPr>
            <w:r>
              <w:t xml:space="preserve">no / no (solo Cina, 2025)</w:t>
            </w:r>
          </w:p>
        </w:tc>
        <w:tc>
          <w:tcPr/>
          <w:p>
            <w:pPr>
              <w:pStyle w:val="Compact"/>
              <w:jc w:val="left"/>
            </w:pPr>
            <w:r>
              <w:t xml:space="preserve">9 / 44</w:t>
            </w:r>
          </w:p>
        </w:tc>
      </w:tr>
      <w:tr>
        <w:tc>
          <w:tcPr/>
          <w:p>
            <w:pPr>
              <w:pStyle w:val="Compact"/>
              <w:jc w:val="left"/>
            </w:pPr>
            <w:r>
              <w:t xml:space="preserve">Cagrilintide / CagriSema</w:t>
            </w:r>
          </w:p>
        </w:tc>
        <w:tc>
          <w:tcPr/>
          <w:p>
            <w:pPr>
              <w:pStyle w:val="Compact"/>
              <w:jc w:val="left"/>
            </w:pPr>
            <w:r>
              <w:t xml:space="preserve">B</w:t>
            </w:r>
          </w:p>
        </w:tc>
        <w:tc>
          <w:tcPr/>
          <w:p>
            <w:pPr>
              <w:pStyle w:val="Compact"/>
              <w:jc w:val="left"/>
            </w:pPr>
            <w:r>
              <w:t xml:space="preserve">no / no</w:t>
            </w:r>
          </w:p>
        </w:tc>
        <w:tc>
          <w:tcPr/>
          <w:p>
            <w:pPr>
              <w:pStyle w:val="Compact"/>
              <w:jc w:val="left"/>
            </w:pPr>
            <w:r>
              <w:t xml:space="preserve">15 / 44</w:t>
            </w:r>
          </w:p>
        </w:tc>
      </w:tr>
      <w:tr>
        <w:tc>
          <w:tcPr/>
          <w:p>
            <w:pPr>
              <w:pStyle w:val="Compact"/>
              <w:jc w:val="left"/>
            </w:pPr>
            <w:r>
              <w:t xml:space="preserve">Amycretin</w:t>
            </w:r>
          </w:p>
        </w:tc>
        <w:tc>
          <w:tcPr/>
          <w:p>
            <w:pPr>
              <w:pStyle w:val="Compact"/>
              <w:jc w:val="left"/>
            </w:pPr>
            <w:r>
              <w:t xml:space="preserve">B</w:t>
            </w:r>
          </w:p>
        </w:tc>
        <w:tc>
          <w:tcPr/>
          <w:p>
            <w:pPr>
              <w:pStyle w:val="Compact"/>
              <w:jc w:val="left"/>
            </w:pPr>
            <w:r>
              <w:t xml:space="preserve">no / no</w:t>
            </w:r>
          </w:p>
        </w:tc>
        <w:tc>
          <w:tcPr/>
          <w:p>
            <w:pPr>
              <w:pStyle w:val="Compact"/>
              <w:jc w:val="left"/>
            </w:pPr>
            <w:r>
              <w:t xml:space="preserve">4 / 1 (nota)</w:t>
            </w:r>
          </w:p>
        </w:tc>
      </w:tr>
      <w:tr>
        <w:tc>
          <w:tcPr/>
          <w:p>
            <w:pPr>
              <w:pStyle w:val="Compact"/>
              <w:jc w:val="left"/>
            </w:pPr>
            <w:r>
              <w:t xml:space="preserve">Maridebart cafraglutide</w:t>
            </w:r>
          </w:p>
        </w:tc>
        <w:tc>
          <w:tcPr/>
          <w:p>
            <w:pPr>
              <w:pStyle w:val="Compact"/>
              <w:jc w:val="left"/>
            </w:pPr>
            <w:r>
              <w:t xml:space="preserve">B</w:t>
            </w:r>
          </w:p>
        </w:tc>
        <w:tc>
          <w:tcPr/>
          <w:p>
            <w:pPr>
              <w:pStyle w:val="Compact"/>
              <w:jc w:val="left"/>
            </w:pPr>
            <w:r>
              <w:t xml:space="preserve">no / no</w:t>
            </w:r>
          </w:p>
        </w:tc>
        <w:tc>
          <w:tcPr/>
          <w:p>
            <w:pPr>
              <w:pStyle w:val="Compact"/>
              <w:jc w:val="left"/>
            </w:pPr>
            <w:r>
              <w:t xml:space="preserve">2 / 28</w:t>
            </w:r>
          </w:p>
        </w:tc>
      </w:tr>
      <w:tr>
        <w:tc>
          <w:tcPr/>
          <w:p>
            <w:pPr>
              <w:pStyle w:val="Compact"/>
              <w:jc w:val="left"/>
            </w:pPr>
            <w:r>
              <w:t xml:space="preserve">Pramlintide</w:t>
            </w:r>
          </w:p>
        </w:tc>
        <w:tc>
          <w:tcPr/>
          <w:p>
            <w:pPr>
              <w:pStyle w:val="Compact"/>
              <w:jc w:val="left"/>
            </w:pPr>
            <w:r>
              <w:t xml:space="preserve">A</w:t>
            </w:r>
          </w:p>
        </w:tc>
        <w:tc>
          <w:tcPr/>
          <w:p>
            <w:pPr>
              <w:pStyle w:val="Compact"/>
              <w:jc w:val="left"/>
            </w:pPr>
            <w:r>
              <w:t xml:space="preserve">no / sì</w:t>
            </w:r>
          </w:p>
        </w:tc>
        <w:tc>
          <w:tcPr/>
          <w:p>
            <w:pPr>
              <w:pStyle w:val="Compact"/>
              <w:jc w:val="left"/>
            </w:pPr>
            <w:r>
              <w:t xml:space="preserve">76 / 64</w:t>
            </w:r>
          </w:p>
        </w:tc>
      </w:tr>
      <w:tr>
        <w:tc>
          <w:tcPr/>
          <w:p>
            <w:pPr>
              <w:pStyle w:val="Compact"/>
              <w:jc w:val="left"/>
            </w:pPr>
            <w:r>
              <w:t xml:space="preserve">Setmelanotide</w:t>
            </w:r>
          </w:p>
        </w:tc>
        <w:tc>
          <w:tcPr/>
          <w:p>
            <w:pPr>
              <w:pStyle w:val="Compact"/>
              <w:jc w:val="left"/>
            </w:pPr>
            <w:r>
              <w:t xml:space="preserve">A</w:t>
            </w:r>
          </w:p>
        </w:tc>
        <w:tc>
          <w:tcPr/>
          <w:p>
            <w:pPr>
              <w:pStyle w:val="Compact"/>
              <w:jc w:val="left"/>
            </w:pPr>
            <w:r>
              <w:t xml:space="preserve">sì / sì (rare forme genetiche)</w:t>
            </w:r>
          </w:p>
        </w:tc>
        <w:tc>
          <w:tcPr/>
          <w:p>
            <w:pPr>
              <w:pStyle w:val="Compact"/>
              <w:jc w:val="left"/>
            </w:pPr>
            <w:r>
              <w:t xml:space="preserve">15 / 27</w:t>
            </w:r>
          </w:p>
        </w:tc>
      </w:tr>
      <w:tr>
        <w:tc>
          <w:tcPr/>
          <w:p>
            <w:pPr>
              <w:pStyle w:val="Compact"/>
              <w:jc w:val="left"/>
            </w:pPr>
            <w:r>
              <w:t xml:space="preserve">AOD-9604</w:t>
            </w:r>
          </w:p>
        </w:tc>
        <w:tc>
          <w:tcPr/>
          <w:p>
            <w:pPr>
              <w:pStyle w:val="Compact"/>
              <w:jc w:val="left"/>
            </w:pPr>
            <w:r>
              <w:t xml:space="preserve">D</w:t>
            </w:r>
          </w:p>
        </w:tc>
        <w:tc>
          <w:tcPr/>
          <w:p>
            <w:pPr>
              <w:pStyle w:val="Compact"/>
              <w:jc w:val="left"/>
            </w:pPr>
            <w:r>
              <w:t xml:space="preserve">no / no</w:t>
            </w:r>
          </w:p>
        </w:tc>
        <w:tc>
          <w:tcPr/>
          <w:p>
            <w:pPr>
              <w:pStyle w:val="Compact"/>
              <w:jc w:val="left"/>
            </w:pPr>
            <w:r>
              <w:t xml:space="preserve">0 / 0</w:t>
            </w:r>
          </w:p>
        </w:tc>
      </w:tr>
      <w:tr>
        <w:tc>
          <w:tcPr/>
          <w:p>
            <w:pPr>
              <w:pStyle w:val="Compact"/>
              <w:jc w:val="left"/>
            </w:pPr>
            <w:r>
              <w:t xml:space="preserve">Orforglipron (non è un peptide)</w:t>
            </w:r>
          </w:p>
        </w:tc>
        <w:tc>
          <w:tcPr/>
          <w:p>
            <w:pPr>
              <w:pStyle w:val="Compact"/>
              <w:jc w:val="left"/>
            </w:pPr>
            <w:r>
              <w:t xml:space="preserve">A</w:t>
            </w:r>
          </w:p>
        </w:tc>
        <w:tc>
          <w:tcPr/>
          <w:p>
            <w:pPr>
              <w:pStyle w:val="Compact"/>
              <w:jc w:val="left"/>
            </w:pPr>
            <w:r>
              <w:t xml:space="preserve">no / domanda presentata (da verificare)</w:t>
            </w:r>
          </w:p>
        </w:tc>
        <w:tc>
          <w:tcPr/>
          <w:p>
            <w:pPr>
              <w:pStyle w:val="Compact"/>
              <w:jc w:val="left"/>
            </w:pPr>
            <w:r>
              <w:t xml:space="preserve">20 / 53</w:t>
            </w:r>
          </w:p>
        </w:tc>
      </w:tr>
    </w:tbl>
    <w:p>
      <w:pPr>
        <w:pStyle w:val="BodyText"/>
      </w:pPr>
      <w:r>
        <w:t xml:space="preserve">Nota alla tabella: per l’</w:t>
      </w:r>
      <w:r>
        <w:rPr>
          <w:bCs/>
          <w:b/>
        </w:rPr>
        <w:t xml:space="preserve">amycretin</w:t>
      </w:r>
      <w:r>
        <w:t xml:space="preserve"> </w:t>
      </w:r>
      <w:r>
        <w:t xml:space="preserve">la ricerca nel registro ha trovato una sola voce; con il nome zenagamtide e il codice di sviluppo sono registrati circa 30 studi, tra cui il programma di fase 3 avviato nel 2026. Per la</w:t>
      </w:r>
      <w:r>
        <w:t xml:space="preserve"> </w:t>
      </w:r>
      <w:r>
        <w:rPr>
          <w:bCs/>
          <w:b/>
        </w:rPr>
        <w:t xml:space="preserve">mazdutide</w:t>
      </w:r>
      <w:r>
        <w:t xml:space="preserve"> </w:t>
      </w:r>
      <w:r>
        <w:t xml:space="preserve">gli studi provengono quasi solo dalla Cina; per l’</w:t>
      </w:r>
      <w:r>
        <w:rPr>
          <w:bCs/>
          <w:b/>
        </w:rPr>
        <w:t xml:space="preserve">orforglipron</w:t>
      </w:r>
      <w:r>
        <w:t xml:space="preserve"> </w:t>
      </w:r>
      <w:r>
        <w:t xml:space="preserve">l’approvazione era in sospeso alla chiusura redazionale.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Peptide</w:t>
            </w:r>
          </w:p>
        </w:tc>
        <w:tc>
          <w:tcPr/>
          <w:p>
            <w:pPr>
              <w:pStyle w:val="Compact"/>
              <w:jc w:val="left"/>
            </w:pPr>
            <w:r>
              <w:t xml:space="preserve">Risultato chiave</w:t>
            </w:r>
          </w:p>
        </w:tc>
        <w:tc>
          <w:tcPr/>
          <w:p>
            <w:pPr>
              <w:pStyle w:val="Compact"/>
              <w:jc w:val="left"/>
            </w:pPr>
            <w:r>
              <w:t xml:space="preserve">Rischio principale</w:t>
            </w:r>
          </w:p>
        </w:tc>
      </w:tr>
      <w:tr>
        <w:tc>
          <w:tcPr/>
          <w:p>
            <w:pPr>
              <w:pStyle w:val="Compact"/>
              <w:jc w:val="left"/>
            </w:pPr>
            <w:r>
              <w:t xml:space="preserve">Exenatide</w:t>
            </w:r>
          </w:p>
        </w:tc>
        <w:tc>
          <w:tcPr/>
          <w:p>
            <w:pPr>
              <w:pStyle w:val="Compact"/>
              <w:jc w:val="left"/>
            </w:pPr>
            <w:r>
              <w:t xml:space="preserve">EXSCEL: rischio cardiovascolare non aumentato, ma nemmeno ridotto in modo significativo (HR 0,91; PMID 28910237)</w:t>
            </w:r>
          </w:p>
        </w:tc>
        <w:tc>
          <w:tcPr/>
          <w:p>
            <w:pPr>
              <w:pStyle w:val="Compact"/>
              <w:jc w:val="left"/>
            </w:pPr>
            <w:r>
              <w:t xml:space="preserve">Nausea, noduli, anticorpi</w:t>
            </w:r>
          </w:p>
        </w:tc>
      </w:tr>
      <w:tr>
        <w:tc>
          <w:tcPr/>
          <w:p>
            <w:pPr>
              <w:pStyle w:val="Compact"/>
              <w:jc w:val="left"/>
            </w:pPr>
            <w:r>
              <w:t xml:space="preserve">Liraglutide</w:t>
            </w:r>
          </w:p>
        </w:tc>
        <w:tc>
          <w:tcPr/>
          <w:p>
            <w:pPr>
              <w:pStyle w:val="Compact"/>
              <w:jc w:val="left"/>
            </w:pPr>
            <w:r>
              <w:t xml:space="preserve">LEADER: 13% in meno di eventi cardiovascolari (PMID 27295427); SCALE: −8,4 vs. −2,8 kg (PMID 26132939)</w:t>
            </w:r>
          </w:p>
        </w:tc>
        <w:tc>
          <w:tcPr/>
          <w:p>
            <w:pPr>
              <w:pStyle w:val="Compact"/>
              <w:jc w:val="left"/>
            </w:pPr>
            <w:r>
              <w:t xml:space="preserve">Disturbi gastrointestinali, colecisti</w:t>
            </w:r>
          </w:p>
        </w:tc>
      </w:tr>
      <w:tr>
        <w:tc>
          <w:tcPr/>
          <w:p>
            <w:pPr>
              <w:pStyle w:val="Compact"/>
              <w:jc w:val="left"/>
            </w:pPr>
            <w:r>
              <w:t xml:space="preserve">Dulaglutide</w:t>
            </w:r>
          </w:p>
        </w:tc>
        <w:tc>
          <w:tcPr/>
          <w:p>
            <w:pPr>
              <w:pStyle w:val="Compact"/>
              <w:jc w:val="left"/>
            </w:pPr>
            <w:r>
              <w:t xml:space="preserve">REWIND: 12% in meno di eventi cardiovascolari gravi su 9.901 partecipanti (PMID 31189511)</w:t>
            </w:r>
          </w:p>
        </w:tc>
        <w:tc>
          <w:tcPr/>
          <w:p>
            <w:pPr>
              <w:pStyle w:val="Compact"/>
              <w:jc w:val="left"/>
            </w:pPr>
            <w:r>
              <w:t xml:space="preserve">Gastrointestinali; ipoglicemia in combinazione</w:t>
            </w:r>
          </w:p>
        </w:tc>
      </w:tr>
      <w:tr>
        <w:tc>
          <w:tcPr/>
          <w:p>
            <w:pPr>
              <w:pStyle w:val="Compact"/>
              <w:jc w:val="left"/>
            </w:pPr>
            <w:r>
              <w:t xml:space="preserve">Semaglutide</w:t>
            </w:r>
          </w:p>
        </w:tc>
        <w:tc>
          <w:tcPr/>
          <w:p>
            <w:pPr>
              <w:pStyle w:val="Compact"/>
              <w:jc w:val="left"/>
            </w:pPr>
            <w:r>
              <w:t xml:space="preserve">STEP 1: −14,9% vs. −2,4% (PMID 33567185); SELECT: 20% in meno di eventi cardiovascolari (PMID 37952131)</w:t>
            </w:r>
          </w:p>
        </w:tc>
        <w:tc>
          <w:tcPr/>
          <w:p>
            <w:pPr>
              <w:pStyle w:val="Compact"/>
              <w:jc w:val="left"/>
            </w:pPr>
            <w:r>
              <w:t xml:space="preserve">Gastrointestinali, colecisti, raro segnale di NAION, contraffazioni</w:t>
            </w:r>
          </w:p>
        </w:tc>
      </w:tr>
      <w:tr>
        <w:tc>
          <w:tcPr/>
          <w:p>
            <w:pPr>
              <w:pStyle w:val="Compact"/>
              <w:jc w:val="left"/>
            </w:pPr>
            <w:r>
              <w:t xml:space="preserve">Tirzepatide</w:t>
            </w:r>
          </w:p>
        </w:tc>
        <w:tc>
          <w:tcPr/>
          <w:p>
            <w:pPr>
              <w:pStyle w:val="Compact"/>
              <w:jc w:val="left"/>
            </w:pPr>
            <w:r>
              <w:t xml:space="preserve">SURMOUNT-5: −20,2% vs. −13,7% con semaglutide (PMID 40353578)</w:t>
            </w:r>
          </w:p>
        </w:tc>
        <w:tc>
          <w:tcPr/>
          <w:p>
            <w:pPr>
              <w:pStyle w:val="Compact"/>
              <w:jc w:val="left"/>
            </w:pPr>
            <w:r>
              <w:t xml:space="preserve">Gastrointestinali, vie biliari; ripresa del peso dopo la sospensione</w:t>
            </w:r>
          </w:p>
        </w:tc>
      </w:tr>
      <w:tr>
        <w:tc>
          <w:tcPr/>
          <w:p>
            <w:pPr>
              <w:pStyle w:val="Compact"/>
              <w:jc w:val="left"/>
            </w:pPr>
            <w:r>
              <w:t xml:space="preserve">Retatrutide</w:t>
            </w:r>
          </w:p>
        </w:tc>
        <w:tc>
          <w:tcPr/>
          <w:p>
            <w:pPr>
              <w:pStyle w:val="Compact"/>
              <w:jc w:val="left"/>
            </w:pPr>
            <w:r>
              <w:t xml:space="preserve">TRIUMPH-1: fino a −25,0% vs. −3,9% dopo 80 settimane (PMID 42814954)</w:t>
            </w:r>
          </w:p>
        </w:tc>
        <w:tc>
          <w:tcPr/>
          <w:p>
            <w:pPr>
              <w:pStyle w:val="Compact"/>
              <w:jc w:val="left"/>
            </w:pPr>
            <w:r>
              <w:t xml:space="preserve">Gastrointestinali, disestesie cutanee, più interruzioni ad alto dosaggio</w:t>
            </w:r>
          </w:p>
        </w:tc>
      </w:tr>
      <w:tr>
        <w:tc>
          <w:tcPr/>
          <w:p>
            <w:pPr>
              <w:pStyle w:val="Compact"/>
              <w:jc w:val="left"/>
            </w:pPr>
            <w:r>
              <w:t xml:space="preserve">Survodutide</w:t>
            </w:r>
          </w:p>
        </w:tc>
        <w:tc>
          <w:tcPr/>
          <w:p>
            <w:pPr>
              <w:pStyle w:val="Compact"/>
              <w:jc w:val="left"/>
            </w:pPr>
            <w:r>
              <w:t xml:space="preserve">SYNCHRONIZE-1: fino a −13,0% vs. −5,4% dopo 76 settimane (PMID 42253238)</w:t>
            </w:r>
          </w:p>
        </w:tc>
        <w:tc>
          <w:tcPr/>
          <w:p>
            <w:pPr>
              <w:pStyle w:val="Compact"/>
              <w:jc w:val="left"/>
            </w:pPr>
            <w:r>
              <w:t xml:space="preserve">disturbi gastrointestinali molto frequenti</w:t>
            </w:r>
          </w:p>
        </w:tc>
      </w:tr>
      <w:tr>
        <w:tc>
          <w:tcPr/>
          <w:p>
            <w:pPr>
              <w:pStyle w:val="Compact"/>
              <w:jc w:val="left"/>
            </w:pPr>
            <w:r>
              <w:t xml:space="preserve">Mazdutide</w:t>
            </w:r>
          </w:p>
        </w:tc>
        <w:tc>
          <w:tcPr/>
          <w:p>
            <w:pPr>
              <w:pStyle w:val="Compact"/>
              <w:jc w:val="left"/>
            </w:pPr>
            <w:r>
              <w:t xml:space="preserve">GLORY-1: fino a −14,0% vs. +0,3% dopo 48 settimane (PMID 40421736)</w:t>
            </w:r>
          </w:p>
        </w:tc>
        <w:tc>
          <w:tcPr/>
          <w:p>
            <w:pPr>
              <w:pStyle w:val="Compact"/>
              <w:jc w:val="left"/>
            </w:pPr>
            <w:r>
              <w:t xml:space="preserve">Gastrointestinali, soprattutto vomito</w:t>
            </w:r>
          </w:p>
        </w:tc>
      </w:tr>
      <w:tr>
        <w:tc>
          <w:tcPr/>
          <w:p>
            <w:pPr>
              <w:pStyle w:val="Compact"/>
              <w:jc w:val="left"/>
            </w:pPr>
            <w:r>
              <w:t xml:space="preserve">Cagrilintide / CagriSema</w:t>
            </w:r>
          </w:p>
        </w:tc>
        <w:tc>
          <w:tcPr/>
          <w:p>
            <w:pPr>
              <w:pStyle w:val="Compact"/>
              <w:jc w:val="left"/>
            </w:pPr>
            <w:r>
              <w:t xml:space="preserve">REDEFINE 1: −20,4% vs. −3,0% dopo 68 settimane (PMID 40544433)</w:t>
            </w:r>
          </w:p>
        </w:tc>
        <w:tc>
          <w:tcPr/>
          <w:p>
            <w:pPr>
              <w:pStyle w:val="Compact"/>
              <w:jc w:val="left"/>
            </w:pPr>
            <w:r>
              <w:t xml:space="preserve">Disturbi gastrointestinali in circa l’80%</w:t>
            </w:r>
          </w:p>
        </w:tc>
      </w:tr>
      <w:tr>
        <w:tc>
          <w:tcPr/>
          <w:p>
            <w:pPr>
              <w:pStyle w:val="Compact"/>
              <w:jc w:val="left"/>
            </w:pPr>
            <w:r>
              <w:t xml:space="preserve">Amycretin</w:t>
            </w:r>
          </w:p>
        </w:tc>
        <w:tc>
          <w:tcPr/>
          <w:p>
            <w:pPr>
              <w:pStyle w:val="Compact"/>
              <w:jc w:val="left"/>
            </w:pPr>
            <w:r>
              <w:t xml:space="preserve">Fase 1b/2a: fino a −24,3% vs. −1,1% dopo 36 settimane (PMID 40550231)</w:t>
            </w:r>
          </w:p>
        </w:tc>
        <w:tc>
          <w:tcPr/>
          <w:p>
            <w:pPr>
              <w:pStyle w:val="Compact"/>
              <w:jc w:val="left"/>
            </w:pPr>
            <w:r>
              <w:t xml:space="preserve">Gastrointestinali; conseguenze a lungo termine sconosciute</w:t>
            </w:r>
          </w:p>
        </w:tc>
      </w:tr>
      <w:tr>
        <w:tc>
          <w:tcPr/>
          <w:p>
            <w:pPr>
              <w:pStyle w:val="Compact"/>
              <w:jc w:val="left"/>
            </w:pPr>
            <w:r>
              <w:t xml:space="preserve">Maridebart cafraglutide</w:t>
            </w:r>
          </w:p>
        </w:tc>
        <w:tc>
          <w:tcPr/>
          <w:p>
            <w:pPr>
              <w:pStyle w:val="Compact"/>
              <w:jc w:val="left"/>
            </w:pPr>
            <w:r>
              <w:t xml:space="preserve">Fase 2: da −12,3 a −16,2% vs. −2,5% dopo 52 settimane (PMID 40549887)</w:t>
            </w:r>
          </w:p>
        </w:tc>
        <w:tc>
          <w:tcPr/>
          <w:p>
            <w:pPr>
              <w:pStyle w:val="Compact"/>
              <w:jc w:val="left"/>
            </w:pPr>
            <w:r>
              <w:t xml:space="preserve">Gastrointestinali; durata d’azione molto lunga</w:t>
            </w:r>
          </w:p>
        </w:tc>
      </w:tr>
      <w:tr>
        <w:tc>
          <w:tcPr/>
          <w:p>
            <w:pPr>
              <w:pStyle w:val="Compact"/>
              <w:jc w:val="left"/>
            </w:pPr>
            <w:r>
              <w:t xml:space="preserve">Pramlintide</w:t>
            </w:r>
          </w:p>
        </w:tc>
        <w:tc>
          <w:tcPr/>
          <w:p>
            <w:pPr>
              <w:pStyle w:val="Compact"/>
              <w:jc w:val="left"/>
            </w:pPr>
            <w:r>
              <w:t xml:space="preserve">HbA1c −0,62 punti percentuali, peso −1,4 kg (PMID 12610038)</w:t>
            </w:r>
          </w:p>
        </w:tc>
        <w:tc>
          <w:tcPr/>
          <w:p>
            <w:pPr>
              <w:pStyle w:val="Compact"/>
              <w:jc w:val="left"/>
            </w:pPr>
            <w:r>
              <w:t xml:space="preserve">ipoglicemia grave con insulina, nausea</w:t>
            </w:r>
          </w:p>
        </w:tc>
      </w:tr>
      <w:tr>
        <w:tc>
          <w:tcPr/>
          <w:p>
            <w:pPr>
              <w:pStyle w:val="Compact"/>
              <w:jc w:val="left"/>
            </w:pPr>
            <w:r>
              <w:t xml:space="preserve">Setmelanotide</w:t>
            </w:r>
          </w:p>
        </w:tc>
        <w:tc>
          <w:tcPr/>
          <w:p>
            <w:pPr>
              <w:pStyle w:val="Compact"/>
              <w:jc w:val="left"/>
            </w:pPr>
            <w:r>
              <w:t xml:space="preserve">TRANSCEND: BMI −16,5% vs. +3,3% nell’obesità ipotalamica (PMID 42418774)</w:t>
            </w:r>
          </w:p>
        </w:tc>
        <w:tc>
          <w:tcPr/>
          <w:p>
            <w:pPr>
              <w:pStyle w:val="Compact"/>
              <w:jc w:val="left"/>
            </w:pPr>
            <w:r>
              <w:t xml:space="preserve">Punti di iniezione, iperpigmentazione cutanea, nausea</w:t>
            </w:r>
          </w:p>
        </w:tc>
      </w:tr>
      <w:tr>
        <w:tc>
          <w:tcPr/>
          <w:p>
            <w:pPr>
              <w:pStyle w:val="Compact"/>
              <w:jc w:val="left"/>
            </w:pPr>
            <w:r>
              <w:t xml:space="preserve">AOD-9604</w:t>
            </w:r>
          </w:p>
        </w:tc>
        <w:tc>
          <w:tcPr/>
          <w:p>
            <w:pPr>
              <w:pStyle w:val="Compact"/>
              <w:jc w:val="left"/>
            </w:pPr>
            <w:r>
              <w:t xml:space="preserve">Solo dati sugli animali: nei topi minore aumento di peso (PMID 11673763)</w:t>
            </w:r>
          </w:p>
        </w:tc>
        <w:tc>
          <w:tcPr/>
          <w:p>
            <w:pPr>
              <w:pStyle w:val="Compact"/>
              <w:jc w:val="left"/>
            </w:pPr>
            <w:r>
              <w:t xml:space="preserve">Effetto nell’uomo sconosciuto</w:t>
            </w:r>
          </w:p>
        </w:tc>
      </w:tr>
      <w:tr>
        <w:tc>
          <w:tcPr/>
          <w:p>
            <w:pPr>
              <w:pStyle w:val="Compact"/>
              <w:jc w:val="left"/>
            </w:pPr>
            <w:r>
              <w:t xml:space="preserve">Orforglipron</w:t>
            </w:r>
          </w:p>
        </w:tc>
        <w:tc>
          <w:tcPr/>
          <w:p>
            <w:pPr>
              <w:pStyle w:val="Compact"/>
              <w:jc w:val="left"/>
            </w:pPr>
            <w:r>
              <w:t xml:space="preserve">ATTAIN-1: fino a −11,2% vs. −2,1% come compressa (PMID 40960239)</w:t>
            </w:r>
          </w:p>
        </w:tc>
        <w:tc>
          <w:tcPr/>
          <w:p>
            <w:pPr>
              <w:pStyle w:val="Compact"/>
              <w:jc w:val="left"/>
            </w:pPr>
            <w:r>
              <w:t xml:space="preserve">Gastrointestinali, un po’ più di interruzioni rispetto al semaglutide in compresse</w:t>
            </w:r>
          </w:p>
        </w:tc>
      </w:tr>
    </w:tbl>
    <w:bookmarkEnd w:id="2527"/>
    <w:bookmarkStart w:id="2528" w:name="X8b9e50e2f777a280aebbd52677e749c149eafe6"/>
    <w:p>
      <w:pPr>
        <w:pStyle w:val="Heading3"/>
      </w:pPr>
      <w:r>
        <w:t xml:space="preserve">B. Guarigione, rigenerazione e sistema immunitario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Peptide</w:t>
            </w:r>
          </w:p>
        </w:tc>
        <w:tc>
          <w:tcPr/>
          <w:p>
            <w:pPr>
              <w:pStyle w:val="Compact"/>
              <w:jc w:val="left"/>
            </w:pPr>
            <w:r>
              <w:t xml:space="preserve">Evidenza</w:t>
            </w:r>
          </w:p>
        </w:tc>
        <w:tc>
          <w:tcPr/>
          <w:p>
            <w:pPr>
              <w:pStyle w:val="Compact"/>
              <w:jc w:val="left"/>
            </w:pPr>
            <w:r>
              <w:t xml:space="preserve">Approvazione UE / USA</w:t>
            </w:r>
          </w:p>
        </w:tc>
        <w:tc>
          <w:tcPr/>
          <w:p>
            <w:pPr>
              <w:pStyle w:val="Compact"/>
              <w:jc w:val="left"/>
            </w:pPr>
            <w:r>
              <w:t xml:space="preserve">Studi sull’uomo / registro</w:t>
            </w:r>
          </w:p>
        </w:tc>
      </w:tr>
      <w:tr>
        <w:tc>
          <w:tcPr/>
          <w:p>
            <w:pPr>
              <w:pStyle w:val="Compact"/>
              <w:jc w:val="left"/>
            </w:pPr>
            <w:r>
              <w:t xml:space="preserve">BPC-157</w:t>
            </w:r>
          </w:p>
        </w:tc>
        <w:tc>
          <w:tcPr/>
          <w:p>
            <w:pPr>
              <w:pStyle w:val="Compact"/>
              <w:jc w:val="left"/>
            </w:pPr>
            <w:r>
              <w:t xml:space="preserve">C</w:t>
            </w:r>
          </w:p>
        </w:tc>
        <w:tc>
          <w:tcPr/>
          <w:p>
            <w:pPr>
              <w:pStyle w:val="Compact"/>
              <w:jc w:val="left"/>
            </w:pPr>
            <w:r>
              <w:t xml:space="preserve">no / no</w:t>
            </w:r>
          </w:p>
        </w:tc>
        <w:tc>
          <w:tcPr/>
          <w:p>
            <w:pPr>
              <w:pStyle w:val="Compact"/>
              <w:jc w:val="left"/>
            </w:pPr>
            <w:r>
              <w:t xml:space="preserve">0 / 4 (nota)</w:t>
            </w:r>
          </w:p>
        </w:tc>
      </w:tr>
      <w:tr>
        <w:tc>
          <w:tcPr/>
          <w:p>
            <w:pPr>
              <w:pStyle w:val="Compact"/>
              <w:jc w:val="left"/>
            </w:pPr>
            <w:r>
              <w:t xml:space="preserve">TB-500 / timosina beta 4</w:t>
            </w:r>
          </w:p>
        </w:tc>
        <w:tc>
          <w:tcPr/>
          <w:p>
            <w:pPr>
              <w:pStyle w:val="Compact"/>
              <w:jc w:val="left"/>
            </w:pPr>
            <w:r>
              <w:t xml:space="preserve">B (Tβ4) / D (TB-500)</w:t>
            </w:r>
          </w:p>
        </w:tc>
        <w:tc>
          <w:tcPr/>
          <w:p>
            <w:pPr>
              <w:pStyle w:val="Compact"/>
              <w:jc w:val="left"/>
            </w:pPr>
            <w:r>
              <w:t xml:space="preserve">no / no</w:t>
            </w:r>
          </w:p>
        </w:tc>
        <w:tc>
          <w:tcPr/>
          <w:p>
            <w:pPr>
              <w:pStyle w:val="Compact"/>
              <w:jc w:val="left"/>
            </w:pPr>
            <w:r>
              <w:t xml:space="preserve">9 / 18 (nota)</w:t>
            </w:r>
          </w:p>
        </w:tc>
      </w:tr>
      <w:tr>
        <w:tc>
          <w:tcPr/>
          <w:p>
            <w:pPr>
              <w:pStyle w:val="Compact"/>
              <w:jc w:val="left"/>
            </w:pPr>
            <w:r>
              <w:t xml:space="preserve">Timosina alfa 1</w:t>
            </w:r>
          </w:p>
        </w:tc>
        <w:tc>
          <w:tcPr/>
          <w:p>
            <w:pPr>
              <w:pStyle w:val="Compact"/>
              <w:jc w:val="left"/>
            </w:pPr>
            <w:r>
              <w:t xml:space="preserve">B</w:t>
            </w:r>
          </w:p>
        </w:tc>
        <w:tc>
          <w:tcPr/>
          <w:p>
            <w:pPr>
              <w:pStyle w:val="Compact"/>
              <w:jc w:val="left"/>
            </w:pPr>
            <w:r>
              <w:t xml:space="preserve">no / no (approvata in Cina e altrove)</w:t>
            </w:r>
          </w:p>
        </w:tc>
        <w:tc>
          <w:tcPr/>
          <w:p>
            <w:pPr>
              <w:pStyle w:val="Compact"/>
              <w:jc w:val="left"/>
            </w:pPr>
            <w:r>
              <w:t xml:space="preserve">90 / 66</w:t>
            </w:r>
          </w:p>
        </w:tc>
      </w:tr>
      <w:tr>
        <w:tc>
          <w:tcPr/>
          <w:p>
            <w:pPr>
              <w:pStyle w:val="Compact"/>
              <w:jc w:val="left"/>
            </w:pPr>
            <w:r>
              <w:t xml:space="preserve">KPV</w:t>
            </w:r>
          </w:p>
        </w:tc>
        <w:tc>
          <w:tcPr/>
          <w:p>
            <w:pPr>
              <w:pStyle w:val="Compact"/>
              <w:jc w:val="left"/>
            </w:pPr>
            <w:r>
              <w:t xml:space="preserve">D</w:t>
            </w:r>
          </w:p>
        </w:tc>
        <w:tc>
          <w:tcPr/>
          <w:p>
            <w:pPr>
              <w:pStyle w:val="Compact"/>
              <w:jc w:val="left"/>
            </w:pPr>
            <w:r>
              <w:t xml:space="preserve">no / no</w:t>
            </w:r>
          </w:p>
        </w:tc>
        <w:tc>
          <w:tcPr/>
          <w:p>
            <w:pPr>
              <w:pStyle w:val="Compact"/>
              <w:jc w:val="left"/>
            </w:pPr>
            <w:r>
              <w:t xml:space="preserve">0 / 0</w:t>
            </w:r>
          </w:p>
        </w:tc>
      </w:tr>
      <w:tr>
        <w:tc>
          <w:tcPr/>
          <w:p>
            <w:pPr>
              <w:pStyle w:val="Compact"/>
              <w:jc w:val="left"/>
            </w:pPr>
            <w:r>
              <w:t xml:space="preserve">LL-37</w:t>
            </w:r>
          </w:p>
        </w:tc>
        <w:tc>
          <w:tcPr/>
          <w:p>
            <w:pPr>
              <w:pStyle w:val="Compact"/>
              <w:jc w:val="left"/>
            </w:pPr>
            <w:r>
              <w:t xml:space="preserve">B</w:t>
            </w:r>
          </w:p>
        </w:tc>
        <w:tc>
          <w:tcPr/>
          <w:p>
            <w:pPr>
              <w:pStyle w:val="Compact"/>
              <w:jc w:val="left"/>
            </w:pPr>
            <w:r>
              <w:t xml:space="preserve">no / no</w:t>
            </w:r>
          </w:p>
        </w:tc>
        <w:tc>
          <w:tcPr/>
          <w:p>
            <w:pPr>
              <w:pStyle w:val="Compact"/>
              <w:jc w:val="left"/>
            </w:pPr>
            <w:r>
              <w:t xml:space="preserve">91 / 20 (nota)</w:t>
            </w:r>
          </w:p>
        </w:tc>
      </w:tr>
      <w:tr>
        <w:tc>
          <w:tcPr/>
          <w:p>
            <w:pPr>
              <w:pStyle w:val="Compact"/>
              <w:jc w:val="left"/>
            </w:pPr>
            <w:r>
              <w:t xml:space="preserve">ARA-290</w:t>
            </w:r>
          </w:p>
        </w:tc>
        <w:tc>
          <w:tcPr/>
          <w:p>
            <w:pPr>
              <w:pStyle w:val="Compact"/>
              <w:jc w:val="left"/>
            </w:pPr>
            <w:r>
              <w:t xml:space="preserve">B</w:t>
            </w:r>
          </w:p>
        </w:tc>
        <w:tc>
          <w:tcPr/>
          <w:p>
            <w:pPr>
              <w:pStyle w:val="Compact"/>
              <w:jc w:val="left"/>
            </w:pPr>
            <w:r>
              <w:t xml:space="preserve">no / no</w:t>
            </w:r>
          </w:p>
        </w:tc>
        <w:tc>
          <w:tcPr/>
          <w:p>
            <w:pPr>
              <w:pStyle w:val="Compact"/>
              <w:jc w:val="left"/>
            </w:pPr>
            <w:r>
              <w:t xml:space="preserve">5 / 5</w:t>
            </w:r>
          </w:p>
        </w:tc>
      </w:tr>
      <w:tr>
        <w:tc>
          <w:tcPr/>
          <w:p>
            <w:pPr>
              <w:pStyle w:val="Compact"/>
              <w:jc w:val="left"/>
            </w:pPr>
            <w:r>
              <w:t xml:space="preserve">Larazotide</w:t>
            </w:r>
          </w:p>
        </w:tc>
        <w:tc>
          <w:tcPr/>
          <w:p>
            <w:pPr>
              <w:pStyle w:val="Compact"/>
              <w:jc w:val="left"/>
            </w:pPr>
            <w:r>
              <w:t xml:space="preserve">B</w:t>
            </w:r>
          </w:p>
        </w:tc>
        <w:tc>
          <w:tcPr/>
          <w:p>
            <w:pPr>
              <w:pStyle w:val="Compact"/>
              <w:jc w:val="left"/>
            </w:pPr>
            <w:r>
              <w:t xml:space="preserve">no / no</w:t>
            </w:r>
          </w:p>
        </w:tc>
        <w:tc>
          <w:tcPr/>
          <w:p>
            <w:pPr>
              <w:pStyle w:val="Compact"/>
              <w:jc w:val="left"/>
            </w:pPr>
            <w:r>
              <w:t xml:space="preserve">4 / 10 (nota)</w:t>
            </w:r>
          </w:p>
        </w:tc>
      </w:tr>
      <w:tr>
        <w:tc>
          <w:tcPr/>
          <w:p>
            <w:pPr>
              <w:pStyle w:val="Compact"/>
              <w:jc w:val="left"/>
            </w:pPr>
            <w:r>
              <w:t xml:space="preserve">Timalina</w:t>
            </w:r>
          </w:p>
        </w:tc>
        <w:tc>
          <w:tcPr/>
          <w:p>
            <w:pPr>
              <w:pStyle w:val="Compact"/>
              <w:jc w:val="left"/>
            </w:pPr>
            <w:r>
              <w:t xml:space="preserve">C</w:t>
            </w:r>
          </w:p>
        </w:tc>
        <w:tc>
          <w:tcPr/>
          <w:p>
            <w:pPr>
              <w:pStyle w:val="Compact"/>
              <w:jc w:val="left"/>
            </w:pPr>
            <w:r>
              <w:t xml:space="preserve">no / no (approvata in Russia)</w:t>
            </w:r>
          </w:p>
        </w:tc>
        <w:tc>
          <w:tcPr/>
          <w:p>
            <w:pPr>
              <w:pStyle w:val="Compact"/>
              <w:jc w:val="left"/>
            </w:pPr>
            <w:r>
              <w:t xml:space="preserve">17 / 0</w:t>
            </w:r>
          </w:p>
        </w:tc>
      </w:tr>
    </w:tbl>
    <w:p>
      <w:pPr>
        <w:pStyle w:val="BodyText"/>
      </w:pPr>
      <w:r>
        <w:t xml:space="preserve">Note alla tabella: per il</w:t>
      </w:r>
      <w:r>
        <w:t xml:space="preserve"> </w:t>
      </w:r>
      <w:r>
        <w:rPr>
          <w:bCs/>
          <w:b/>
        </w:rPr>
        <w:t xml:space="preserve">BPC-157</w:t>
      </w:r>
      <w:r>
        <w:t xml:space="preserve"> </w:t>
      </w:r>
      <w:r>
        <w:t xml:space="preserve">nessuna pubblicazione soddisfaceva i criteri di filtro della ricerca automatica; in realtà esistono tre piccole indagini non controllate con complessivamente circa 30 persone. Per il</w:t>
      </w:r>
      <w:r>
        <w:t xml:space="preserve"> </w:t>
      </w:r>
      <w:r>
        <w:rPr>
          <w:bCs/>
          <w:b/>
        </w:rPr>
        <w:t xml:space="preserve">TB-500</w:t>
      </w:r>
      <w:r>
        <w:t xml:space="preserve"> </w:t>
      </w:r>
      <w:r>
        <w:t xml:space="preserve">i risultati riguardano l’intera proteina timosina beta 4 (solo sei come principio attivo); nessuno studia il TB-500. Per l’</w:t>
      </w:r>
      <w:r>
        <w:rPr>
          <w:bCs/>
          <w:b/>
        </w:rPr>
        <w:t xml:space="preserve">LL-37</w:t>
      </w:r>
      <w:r>
        <w:t xml:space="preserve"> </w:t>
      </w:r>
      <w:r>
        <w:t xml:space="preserve">la maggior parte dei risultati misura l’LL-37 solo come valore di laboratorio, per esempio in studi sulla vitamina D; gli studi in cui è stato somministrato l’LL-37 stesso sono solo cinque in PubMed e due nel registro. Per il</w:t>
      </w:r>
      <w:r>
        <w:t xml:space="preserve"> </w:t>
      </w:r>
      <w:r>
        <w:rPr>
          <w:bCs/>
          <w:b/>
        </w:rPr>
        <w:t xml:space="preserve">larazotide</w:t>
      </w:r>
      <w:r>
        <w:t xml:space="preserve"> </w:t>
      </w:r>
      <w:r>
        <w:t xml:space="preserve">la ricerca ha trovato 29 voci di registro, di cui 19 riguardano un altro farmaco con lo stesso codice di sviluppo precedente; la tabella riporta il numero corretto.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Peptide</w:t>
            </w:r>
          </w:p>
        </w:tc>
        <w:tc>
          <w:tcPr/>
          <w:p>
            <w:pPr>
              <w:pStyle w:val="Compact"/>
              <w:jc w:val="left"/>
            </w:pPr>
            <w:r>
              <w:t xml:space="preserve">Risultato chiave</w:t>
            </w:r>
          </w:p>
        </w:tc>
        <w:tc>
          <w:tcPr/>
          <w:p>
            <w:pPr>
              <w:pStyle w:val="Compact"/>
              <w:jc w:val="left"/>
            </w:pPr>
            <w:r>
              <w:t xml:space="preserve">Rischio principale</w:t>
            </w:r>
          </w:p>
        </w:tc>
      </w:tr>
      <w:tr>
        <w:tc>
          <w:tcPr/>
          <w:p>
            <w:pPr>
              <w:pStyle w:val="Compact"/>
              <w:jc w:val="left"/>
            </w:pPr>
            <w:r>
              <w:t xml:space="preserve">BPC-157</w:t>
            </w:r>
          </w:p>
        </w:tc>
        <w:tc>
          <w:tcPr/>
          <w:p>
            <w:pPr>
              <w:pStyle w:val="Compact"/>
              <w:jc w:val="left"/>
            </w:pPr>
            <w:r>
              <w:t xml:space="preserve">Tre indagini pilota non controllate, evidenza molto bassa secondo una rassegna (PMID 42885452)</w:t>
            </w:r>
          </w:p>
        </w:tc>
        <w:tc>
          <w:tcPr/>
          <w:p>
            <w:pPr>
              <w:pStyle w:val="Compact"/>
              <w:jc w:val="left"/>
            </w:pPr>
            <w:r>
              <w:t xml:space="preserve">sicurezza a lungo termine sconosciuta, qualità del mercato grigio</w:t>
            </w:r>
          </w:p>
        </w:tc>
      </w:tr>
      <w:tr>
        <w:tc>
          <w:tcPr/>
          <w:p>
            <w:pPr>
              <w:pStyle w:val="Compact"/>
              <w:jc w:val="left"/>
            </w:pPr>
            <w:r>
              <w:t xml:space="preserve">TB-500 / timosina beta 4</w:t>
            </w:r>
          </w:p>
        </w:tc>
        <w:tc>
          <w:tcPr/>
          <w:p>
            <w:pPr>
              <w:pStyle w:val="Compact"/>
              <w:jc w:val="left"/>
            </w:pPr>
            <w:r>
              <w:t xml:space="preserve">Tβ4 dopo infarto: dimensione dell’infarto non significativamente minore (PMID 41229390); TB-500 non verificato</w:t>
            </w:r>
          </w:p>
        </w:tc>
        <w:tc>
          <w:tcPr/>
          <w:p>
            <w:pPr>
              <w:pStyle w:val="Compact"/>
              <w:jc w:val="left"/>
            </w:pPr>
            <w:r>
              <w:t xml:space="preserve">contenuto non chiaro, teoricamente promozione tumorale</w:t>
            </w:r>
          </w:p>
        </w:tc>
      </w:tr>
      <w:tr>
        <w:tc>
          <w:tcPr/>
          <w:p>
            <w:pPr>
              <w:pStyle w:val="Compact"/>
              <w:jc w:val="left"/>
            </w:pPr>
            <w:r>
              <w:t xml:space="preserve">Timosina alfa 1</w:t>
            </w:r>
          </w:p>
        </w:tc>
        <w:tc>
          <w:tcPr/>
          <w:p>
            <w:pPr>
              <w:pStyle w:val="Compact"/>
              <w:jc w:val="left"/>
            </w:pPr>
            <w:r>
              <w:t xml:space="preserve">TESTS nella sepsi: mortalità a 28 giorni 23,4% vs. 24,1%, nessuna differenza (PMID 39814420)</w:t>
            </w:r>
          </w:p>
        </w:tc>
        <w:tc>
          <w:tcPr/>
          <w:p>
            <w:pPr>
              <w:pStyle w:val="Compact"/>
              <w:jc w:val="left"/>
            </w:pPr>
            <w:r>
              <w:t xml:space="preserve">possibili svantaggi in sottogruppi; mercato grigio</w:t>
            </w:r>
          </w:p>
        </w:tc>
      </w:tr>
      <w:tr>
        <w:tc>
          <w:tcPr/>
          <w:p>
            <w:pPr>
              <w:pStyle w:val="Compact"/>
              <w:jc w:val="left"/>
            </w:pPr>
            <w:r>
              <w:t xml:space="preserve">KPV</w:t>
            </w:r>
          </w:p>
        </w:tc>
        <w:tc>
          <w:tcPr/>
          <w:p>
            <w:pPr>
              <w:pStyle w:val="Compact"/>
              <w:jc w:val="left"/>
            </w:pPr>
            <w:r>
              <w:t xml:space="preserve">Solo dati sugli animali: meno infiammazione intestinale nei topi (PMID 18061177)</w:t>
            </w:r>
          </w:p>
        </w:tc>
        <w:tc>
          <w:tcPr/>
          <w:p>
            <w:pPr>
              <w:pStyle w:val="Compact"/>
              <w:jc w:val="left"/>
            </w:pPr>
            <w:r>
              <w:t xml:space="preserve">profilo nell’uomo del tutto sconosciuto</w:t>
            </w:r>
          </w:p>
        </w:tc>
      </w:tr>
      <w:tr>
        <w:tc>
          <w:tcPr/>
          <w:p>
            <w:pPr>
              <w:pStyle w:val="Compact"/>
              <w:jc w:val="left"/>
            </w:pPr>
            <w:r>
              <w:t xml:space="preserve">LL-37</w:t>
            </w:r>
          </w:p>
        </w:tc>
        <w:tc>
          <w:tcPr/>
          <w:p>
            <w:pPr>
              <w:pStyle w:val="Compact"/>
              <w:jc w:val="left"/>
            </w:pPr>
            <w:r>
              <w:t xml:space="preserve">HEAL LL-37: le ulcere delle gambe non sono guarite meglio che con il placebo (PMID 34687253)</w:t>
            </w:r>
          </w:p>
        </w:tc>
        <w:tc>
          <w:tcPr/>
          <w:p>
            <w:pPr>
              <w:pStyle w:val="Compact"/>
              <w:jc w:val="left"/>
            </w:pPr>
            <w:r>
              <w:t xml:space="preserve">Reazioni infiammatorie e autoimmuni</w:t>
            </w:r>
          </w:p>
        </w:tc>
      </w:tr>
      <w:tr>
        <w:tc>
          <w:tcPr/>
          <w:p>
            <w:pPr>
              <w:pStyle w:val="Compact"/>
              <w:jc w:val="left"/>
            </w:pPr>
            <w:r>
              <w:t xml:space="preserve">ARA-290</w:t>
            </w:r>
          </w:p>
        </w:tc>
        <w:tc>
          <w:tcPr/>
          <w:p>
            <w:pPr>
              <w:pStyle w:val="Compact"/>
              <w:jc w:val="left"/>
            </w:pPr>
            <w:r>
              <w:t xml:space="preserve">Fase 2b: fibre nervose aumentate solo con una di tre dosi (PMID 28475703)</w:t>
            </w:r>
          </w:p>
        </w:tc>
        <w:tc>
          <w:tcPr/>
          <w:p>
            <w:pPr>
              <w:pStyle w:val="Compact"/>
              <w:jc w:val="left"/>
            </w:pPr>
            <w:r>
              <w:t xml:space="preserve">pochissimi dati oltre le dodici settimane</w:t>
            </w:r>
          </w:p>
        </w:tc>
      </w:tr>
      <w:tr>
        <w:tc>
          <w:tcPr/>
          <w:p>
            <w:pPr>
              <w:pStyle w:val="Compact"/>
              <w:jc w:val="left"/>
            </w:pPr>
            <w:r>
              <w:t xml:space="preserve">Larazotide</w:t>
            </w:r>
          </w:p>
        </w:tc>
        <w:tc>
          <w:tcPr/>
          <w:p>
            <w:pPr>
              <w:pStyle w:val="Compact"/>
              <w:jc w:val="left"/>
            </w:pPr>
            <w:r>
              <w:t xml:space="preserve">Solo la più bassa di tre dosi migliore del placebo (PMID 25683116); fase 3 interrotta</w:t>
            </w:r>
          </w:p>
        </w:tc>
        <w:tc>
          <w:tcPr/>
          <w:p>
            <w:pPr>
              <w:pStyle w:val="Compact"/>
              <w:jc w:val="left"/>
            </w:pPr>
            <w:r>
              <w:t xml:space="preserve">dieta senza glutine allentata</w:t>
            </w:r>
          </w:p>
        </w:tc>
      </w:tr>
      <w:tr>
        <w:tc>
          <w:tcPr/>
          <w:p>
            <w:pPr>
              <w:pStyle w:val="Compact"/>
              <w:jc w:val="left"/>
            </w:pPr>
            <w:r>
              <w:t xml:space="preserve">Timalina</w:t>
            </w:r>
          </w:p>
        </w:tc>
        <w:tc>
          <w:tcPr/>
          <w:p>
            <w:pPr>
              <w:pStyle w:val="Compact"/>
              <w:jc w:val="left"/>
            </w:pPr>
            <w:r>
              <w:t xml:space="preserve">Osservazione russo-ucraina: mortalità più bassa, assegnazione non chiara (PMID 14523363)</w:t>
            </w:r>
          </w:p>
        </w:tc>
        <w:tc>
          <w:tcPr/>
          <w:p>
            <w:pPr>
              <w:pStyle w:val="Compact"/>
              <w:jc w:val="left"/>
            </w:pPr>
            <w:r>
              <w:t xml:space="preserve">estratto animale, rischi legati ai lotti</w:t>
            </w:r>
          </w:p>
        </w:tc>
      </w:tr>
    </w:tbl>
    <w:bookmarkEnd w:id="2528"/>
    <w:bookmarkStart w:id="2529" w:name="c.-asse-dellormone-della-crescita"/>
    <w:p>
      <w:pPr>
        <w:pStyle w:val="Heading3"/>
      </w:pPr>
      <w:r>
        <w:t xml:space="preserve">C. Asse dell’ormone della crescita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Peptide</w:t>
            </w:r>
          </w:p>
        </w:tc>
        <w:tc>
          <w:tcPr/>
          <w:p>
            <w:pPr>
              <w:pStyle w:val="Compact"/>
              <w:jc w:val="left"/>
            </w:pPr>
            <w:r>
              <w:t xml:space="preserve">Evidenza</w:t>
            </w:r>
          </w:p>
        </w:tc>
        <w:tc>
          <w:tcPr/>
          <w:p>
            <w:pPr>
              <w:pStyle w:val="Compact"/>
              <w:jc w:val="left"/>
            </w:pPr>
            <w:r>
              <w:t xml:space="preserve">Approvazione UE / USA</w:t>
            </w:r>
          </w:p>
        </w:tc>
        <w:tc>
          <w:tcPr/>
          <w:p>
            <w:pPr>
              <w:pStyle w:val="Compact"/>
              <w:jc w:val="left"/>
            </w:pPr>
            <w:r>
              <w:t xml:space="preserve">Studi sull’uomo / registro</w:t>
            </w:r>
          </w:p>
        </w:tc>
      </w:tr>
      <w:tr>
        <w:tc>
          <w:tcPr/>
          <w:p>
            <w:pPr>
              <w:pStyle w:val="Compact"/>
              <w:jc w:val="left"/>
            </w:pPr>
            <w:r>
              <w:t xml:space="preserve">Sermorelina</w:t>
            </w:r>
          </w:p>
        </w:tc>
        <w:tc>
          <w:tcPr/>
          <w:p>
            <w:pPr>
              <w:pStyle w:val="Compact"/>
              <w:jc w:val="left"/>
            </w:pPr>
            <w:r>
              <w:t xml:space="preserve">B</w:t>
            </w:r>
          </w:p>
        </w:tc>
        <w:tc>
          <w:tcPr/>
          <w:p>
            <w:pPr>
              <w:pStyle w:val="Compact"/>
              <w:jc w:val="left"/>
            </w:pPr>
            <w:r>
              <w:t xml:space="preserve">no / un tempo sì, ritirata dal mercato</w:t>
            </w:r>
          </w:p>
        </w:tc>
        <w:tc>
          <w:tcPr/>
          <w:p>
            <w:pPr>
              <w:pStyle w:val="Compact"/>
              <w:jc w:val="left"/>
            </w:pPr>
            <w:r>
              <w:t xml:space="preserve">0 / 27 (nota)</w:t>
            </w:r>
          </w:p>
        </w:tc>
      </w:tr>
      <w:tr>
        <w:tc>
          <w:tcPr/>
          <w:p>
            <w:pPr>
              <w:pStyle w:val="Compact"/>
              <w:jc w:val="left"/>
            </w:pPr>
            <w:r>
              <w:t xml:space="preserve">Tesamorelina</w:t>
            </w:r>
          </w:p>
        </w:tc>
        <w:tc>
          <w:tcPr/>
          <w:p>
            <w:pPr>
              <w:pStyle w:val="Compact"/>
              <w:jc w:val="left"/>
            </w:pPr>
            <w:r>
              <w:t xml:space="preserve">A</w:t>
            </w:r>
          </w:p>
        </w:tc>
        <w:tc>
          <w:tcPr/>
          <w:p>
            <w:pPr>
              <w:pStyle w:val="Compact"/>
              <w:jc w:val="left"/>
            </w:pPr>
            <w:r>
              <w:t xml:space="preserve">no / sì (lipodistrofia da HIV)</w:t>
            </w:r>
          </w:p>
        </w:tc>
        <w:tc>
          <w:tcPr/>
          <w:p>
            <w:pPr>
              <w:pStyle w:val="Compact"/>
              <w:jc w:val="left"/>
            </w:pPr>
            <w:r>
              <w:t xml:space="preserve">23 / 23</w:t>
            </w:r>
          </w:p>
        </w:tc>
      </w:tr>
      <w:tr>
        <w:tc>
          <w:tcPr/>
          <w:p>
            <w:pPr>
              <w:pStyle w:val="Compact"/>
              <w:jc w:val="left"/>
            </w:pPr>
            <w:r>
              <w:t xml:space="preserve">CJC-1295</w:t>
            </w:r>
          </w:p>
        </w:tc>
        <w:tc>
          <w:tcPr/>
          <w:p>
            <w:pPr>
              <w:pStyle w:val="Compact"/>
              <w:jc w:val="left"/>
            </w:pPr>
            <w:r>
              <w:t xml:space="preserve">C</w:t>
            </w:r>
          </w:p>
        </w:tc>
        <w:tc>
          <w:tcPr/>
          <w:p>
            <w:pPr>
              <w:pStyle w:val="Compact"/>
              <w:jc w:val="left"/>
            </w:pPr>
            <w:r>
              <w:t xml:space="preserve">no / no</w:t>
            </w:r>
          </w:p>
        </w:tc>
        <w:tc>
          <w:tcPr/>
          <w:p>
            <w:pPr>
              <w:pStyle w:val="Compact"/>
              <w:jc w:val="left"/>
            </w:pPr>
            <w:r>
              <w:t xml:space="preserve">2 / 1</w:t>
            </w:r>
          </w:p>
        </w:tc>
      </w:tr>
      <w:tr>
        <w:tc>
          <w:tcPr/>
          <w:p>
            <w:pPr>
              <w:pStyle w:val="Compact"/>
              <w:jc w:val="left"/>
            </w:pPr>
            <w:r>
              <w:t xml:space="preserve">Ipamorelina</w:t>
            </w:r>
          </w:p>
        </w:tc>
        <w:tc>
          <w:tcPr/>
          <w:p>
            <w:pPr>
              <w:pStyle w:val="Compact"/>
              <w:jc w:val="left"/>
            </w:pPr>
            <w:r>
              <w:t xml:space="preserve">B</w:t>
            </w:r>
          </w:p>
        </w:tc>
        <w:tc>
          <w:tcPr/>
          <w:p>
            <w:pPr>
              <w:pStyle w:val="Compact"/>
              <w:jc w:val="left"/>
            </w:pPr>
            <w:r>
              <w:t xml:space="preserve">no / no</w:t>
            </w:r>
          </w:p>
        </w:tc>
        <w:tc>
          <w:tcPr/>
          <w:p>
            <w:pPr>
              <w:pStyle w:val="Compact"/>
              <w:jc w:val="left"/>
            </w:pPr>
            <w:r>
              <w:t xml:space="preserve">2 / 3</w:t>
            </w:r>
          </w:p>
        </w:tc>
      </w:tr>
      <w:tr>
        <w:tc>
          <w:tcPr/>
          <w:p>
            <w:pPr>
              <w:pStyle w:val="Compact"/>
              <w:jc w:val="left"/>
            </w:pPr>
            <w:r>
              <w:t xml:space="preserve">GHRP-2</w:t>
            </w:r>
          </w:p>
        </w:tc>
        <w:tc>
          <w:tcPr/>
          <w:p>
            <w:pPr>
              <w:pStyle w:val="Compact"/>
              <w:jc w:val="left"/>
            </w:pPr>
            <w:r>
              <w:t xml:space="preserve">B</w:t>
            </w:r>
          </w:p>
        </w:tc>
        <w:tc>
          <w:tcPr/>
          <w:p>
            <w:pPr>
              <w:pStyle w:val="Compact"/>
              <w:jc w:val="left"/>
            </w:pPr>
            <w:r>
              <w:t xml:space="preserve">no / no (Giappone: diagnostico)</w:t>
            </w:r>
          </w:p>
        </w:tc>
        <w:tc>
          <w:tcPr/>
          <w:p>
            <w:pPr>
              <w:pStyle w:val="Compact"/>
              <w:jc w:val="left"/>
            </w:pPr>
            <w:r>
              <w:t xml:space="preserve">55 / 0 (nota)</w:t>
            </w:r>
          </w:p>
        </w:tc>
      </w:tr>
      <w:tr>
        <w:tc>
          <w:tcPr/>
          <w:p>
            <w:pPr>
              <w:pStyle w:val="Compact"/>
              <w:jc w:val="left"/>
            </w:pPr>
            <w:r>
              <w:t xml:space="preserve">GHRP-6</w:t>
            </w:r>
          </w:p>
        </w:tc>
        <w:tc>
          <w:tcPr/>
          <w:p>
            <w:pPr>
              <w:pStyle w:val="Compact"/>
              <w:jc w:val="left"/>
            </w:pPr>
            <w:r>
              <w:t xml:space="preserve">C</w:t>
            </w:r>
          </w:p>
        </w:tc>
        <w:tc>
          <w:tcPr/>
          <w:p>
            <w:pPr>
              <w:pStyle w:val="Compact"/>
              <w:jc w:val="left"/>
            </w:pPr>
            <w:r>
              <w:t xml:space="preserve">no / no</w:t>
            </w:r>
          </w:p>
        </w:tc>
        <w:tc>
          <w:tcPr/>
          <w:p>
            <w:pPr>
              <w:pStyle w:val="Compact"/>
              <w:jc w:val="left"/>
            </w:pPr>
            <w:r>
              <w:t xml:space="preserve">40 / 0 (nota)</w:t>
            </w:r>
          </w:p>
        </w:tc>
      </w:tr>
      <w:tr>
        <w:tc>
          <w:tcPr/>
          <w:p>
            <w:pPr>
              <w:pStyle w:val="Compact"/>
              <w:jc w:val="left"/>
            </w:pPr>
            <w:r>
              <w:t xml:space="preserve">Exarelina</w:t>
            </w:r>
          </w:p>
        </w:tc>
        <w:tc>
          <w:tcPr/>
          <w:p>
            <w:pPr>
              <w:pStyle w:val="Compact"/>
              <w:jc w:val="left"/>
            </w:pPr>
            <w:r>
              <w:t xml:space="preserve">C</w:t>
            </w:r>
          </w:p>
        </w:tc>
        <w:tc>
          <w:tcPr/>
          <w:p>
            <w:pPr>
              <w:pStyle w:val="Compact"/>
              <w:jc w:val="left"/>
            </w:pPr>
            <w:r>
              <w:t xml:space="preserve">no / no</w:t>
            </w:r>
          </w:p>
        </w:tc>
        <w:tc>
          <w:tcPr/>
          <w:p>
            <w:pPr>
              <w:pStyle w:val="Compact"/>
              <w:jc w:val="left"/>
            </w:pPr>
            <w:r>
              <w:t xml:space="preserve">58 / 0 (nota)</w:t>
            </w:r>
          </w:p>
        </w:tc>
      </w:tr>
      <w:tr>
        <w:tc>
          <w:tcPr/>
          <w:p>
            <w:pPr>
              <w:pStyle w:val="Compact"/>
              <w:jc w:val="left"/>
            </w:pPr>
            <w:r>
              <w:t xml:space="preserve">Macimorelina</w:t>
            </w:r>
          </w:p>
        </w:tc>
        <w:tc>
          <w:tcPr/>
          <w:p>
            <w:pPr>
              <w:pStyle w:val="Compact"/>
              <w:jc w:val="left"/>
            </w:pPr>
            <w:r>
              <w:t xml:space="preserve">A</w:t>
            </w:r>
          </w:p>
        </w:tc>
        <w:tc>
          <w:tcPr/>
          <w:p>
            <w:pPr>
              <w:pStyle w:val="Compact"/>
              <w:jc w:val="left"/>
            </w:pPr>
            <w:r>
              <w:t xml:space="preserve">sì / sì (solo diagnostico)</w:t>
            </w:r>
          </w:p>
        </w:tc>
        <w:tc>
          <w:tcPr/>
          <w:p>
            <w:pPr>
              <w:pStyle w:val="Compact"/>
              <w:jc w:val="left"/>
            </w:pPr>
            <w:r>
              <w:t xml:space="preserve">4 / 6</w:t>
            </w:r>
          </w:p>
        </w:tc>
      </w:tr>
      <w:tr>
        <w:tc>
          <w:tcPr/>
          <w:p>
            <w:pPr>
              <w:pStyle w:val="Compact"/>
              <w:jc w:val="left"/>
            </w:pPr>
            <w:r>
              <w:t xml:space="preserve">Mecasermina (IGF-1)</w:t>
            </w:r>
          </w:p>
        </w:tc>
        <w:tc>
          <w:tcPr/>
          <w:p>
            <w:pPr>
              <w:pStyle w:val="Compact"/>
              <w:jc w:val="left"/>
            </w:pPr>
            <w:r>
              <w:t xml:space="preserve">A</w:t>
            </w:r>
          </w:p>
        </w:tc>
        <w:tc>
          <w:tcPr/>
          <w:p>
            <w:pPr>
              <w:pStyle w:val="Compact"/>
              <w:jc w:val="left"/>
            </w:pPr>
            <w:r>
              <w:t xml:space="preserve">sì / sì</w:t>
            </w:r>
          </w:p>
        </w:tc>
        <w:tc>
          <w:tcPr/>
          <w:p>
            <w:pPr>
              <w:pStyle w:val="Compact"/>
              <w:jc w:val="left"/>
            </w:pPr>
            <w:r>
              <w:t xml:space="preserve">21 / 37</w:t>
            </w:r>
          </w:p>
        </w:tc>
      </w:tr>
      <w:tr>
        <w:tc>
          <w:tcPr/>
          <w:p>
            <w:pPr>
              <w:pStyle w:val="Compact"/>
              <w:jc w:val="left"/>
            </w:pPr>
            <w:r>
              <w:t xml:space="preserve">IGF-1 LR3</w:t>
            </w:r>
          </w:p>
        </w:tc>
        <w:tc>
          <w:tcPr/>
          <w:p>
            <w:pPr>
              <w:pStyle w:val="Compact"/>
              <w:jc w:val="left"/>
            </w:pPr>
            <w:r>
              <w:t xml:space="preserve">D</w:t>
            </w:r>
          </w:p>
        </w:tc>
        <w:tc>
          <w:tcPr/>
          <w:p>
            <w:pPr>
              <w:pStyle w:val="Compact"/>
              <w:jc w:val="left"/>
            </w:pPr>
            <w:r>
              <w:t xml:space="preserve">no / no</w:t>
            </w:r>
          </w:p>
        </w:tc>
        <w:tc>
          <w:tcPr/>
          <w:p>
            <w:pPr>
              <w:pStyle w:val="Compact"/>
              <w:jc w:val="left"/>
            </w:pPr>
            <w:r>
              <w:t xml:space="preserve">0 / 0</w:t>
            </w:r>
          </w:p>
        </w:tc>
      </w:tr>
      <w:tr>
        <w:tc>
          <w:tcPr/>
          <w:p>
            <w:pPr>
              <w:pStyle w:val="Compact"/>
              <w:jc w:val="left"/>
            </w:pPr>
            <w:r>
              <w:t xml:space="preserve">Ibutamoren (non è un peptide)</w:t>
            </w:r>
          </w:p>
        </w:tc>
        <w:tc>
          <w:tcPr/>
          <w:p>
            <w:pPr>
              <w:pStyle w:val="Compact"/>
              <w:jc w:val="left"/>
            </w:pPr>
            <w:r>
              <w:t xml:space="preserve">B</w:t>
            </w:r>
          </w:p>
        </w:tc>
        <w:tc>
          <w:tcPr/>
          <w:p>
            <w:pPr>
              <w:pStyle w:val="Compact"/>
              <w:jc w:val="left"/>
            </w:pPr>
            <w:r>
              <w:t xml:space="preserve">no / no</w:t>
            </w:r>
          </w:p>
        </w:tc>
        <w:tc>
          <w:tcPr/>
          <w:p>
            <w:pPr>
              <w:pStyle w:val="Compact"/>
              <w:jc w:val="left"/>
            </w:pPr>
            <w:r>
              <w:t xml:space="preserve">19 / 8</w:t>
            </w:r>
          </w:p>
        </w:tc>
      </w:tr>
    </w:tbl>
    <w:p>
      <w:pPr>
        <w:pStyle w:val="BodyText"/>
      </w:pPr>
      <w:r>
        <w:t xml:space="preserve">Note alla tabella: per la</w:t>
      </w:r>
      <w:r>
        <w:t xml:space="preserve"> </w:t>
      </w:r>
      <w:r>
        <w:rPr>
          <w:bCs/>
          <w:b/>
        </w:rPr>
        <w:t xml:space="preserve">sermorelina</w:t>
      </w:r>
      <w:r>
        <w:t xml:space="preserve"> </w:t>
      </w:r>
      <w:r>
        <w:t xml:space="preserve">la ricerca per nome non trova alcuno studio sull’uomo, perché la maggior parte dei lavori è uscita come «GHRH(1-29)» o «GRF 1-29»; con una ricerca mirata si tratta di diverse decine di piccoli studi, per lo più precedenti al 2000. Molti dei 27 risultati del registro riguardano invece la tesamorelina o i test al GHRH in generale. Per</w:t>
      </w:r>
      <w:r>
        <w:t xml:space="preserve"> </w:t>
      </w:r>
      <w:r>
        <w:rPr>
          <w:bCs/>
          <w:b/>
        </w:rPr>
        <w:t xml:space="preserve">GHRP-2, GHRP-6 ed exarelina</w:t>
      </w:r>
      <w:r>
        <w:t xml:space="preserve"> </w:t>
      </w:r>
      <w:r>
        <w:t xml:space="preserve">quasi tutti i lavori usano la sostanza solo come sostanza di test una tantum per studiare la regolazione ormonale; sul beneficio non dicono nulla.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Peptide</w:t>
            </w:r>
          </w:p>
        </w:tc>
        <w:tc>
          <w:tcPr/>
          <w:p>
            <w:pPr>
              <w:pStyle w:val="Compact"/>
              <w:jc w:val="left"/>
            </w:pPr>
            <w:r>
              <w:t xml:space="preserve">Risultato chiave</w:t>
            </w:r>
          </w:p>
        </w:tc>
        <w:tc>
          <w:tcPr/>
          <w:p>
            <w:pPr>
              <w:pStyle w:val="Compact"/>
              <w:jc w:val="left"/>
            </w:pPr>
            <w:r>
              <w:t xml:space="preserve">Rischio principale</w:t>
            </w:r>
          </w:p>
        </w:tc>
      </w:tr>
      <w:tr>
        <w:tc>
          <w:tcPr/>
          <w:p>
            <w:pPr>
              <w:pStyle w:val="Compact"/>
              <w:jc w:val="left"/>
            </w:pPr>
            <w:r>
              <w:t xml:space="preserve">Sermorelina</w:t>
            </w:r>
          </w:p>
        </w:tc>
        <w:tc>
          <w:tcPr/>
          <w:p>
            <w:pPr>
              <w:pStyle w:val="Compact"/>
              <w:jc w:val="left"/>
            </w:pPr>
            <w:r>
              <w:t xml:space="preserve">110 bambini con deficit di GH: crescita da 4,1 a 7,2 cm/anno (PMID 8772599)</w:t>
            </w:r>
          </w:p>
        </w:tc>
        <w:tc>
          <w:tcPr/>
          <w:p>
            <w:pPr>
              <w:pStyle w:val="Compact"/>
              <w:jc w:val="left"/>
            </w:pPr>
            <w:r>
              <w:t xml:space="preserve">Flush; conseguenze a lungo termine negli adulti non chiarite</w:t>
            </w:r>
          </w:p>
        </w:tc>
      </w:tr>
      <w:tr>
        <w:tc>
          <w:tcPr/>
          <w:p>
            <w:pPr>
              <w:pStyle w:val="Compact"/>
              <w:jc w:val="left"/>
            </w:pPr>
            <w:r>
              <w:t xml:space="preserve">Tesamorelina</w:t>
            </w:r>
          </w:p>
        </w:tc>
        <w:tc>
          <w:tcPr/>
          <w:p>
            <w:pPr>
              <w:pStyle w:val="Compact"/>
              <w:jc w:val="left"/>
            </w:pPr>
            <w:r>
              <w:t xml:space="preserve">Due studi di fase 3 con 806 persone: grasso addominale viscerale −15,4% rispetto al placebo (PMID 20554713)</w:t>
            </w:r>
          </w:p>
        </w:tc>
        <w:tc>
          <w:tcPr/>
          <w:p>
            <w:pPr>
              <w:pStyle w:val="Compact"/>
              <w:jc w:val="left"/>
            </w:pPr>
            <w:r>
              <w:t xml:space="preserve">Dolori articolari, ritenzione idrica, glicemia</w:t>
            </w:r>
          </w:p>
        </w:tc>
      </w:tr>
      <w:tr>
        <w:tc>
          <w:tcPr/>
          <w:p>
            <w:pPr>
              <w:pStyle w:val="Compact"/>
              <w:jc w:val="left"/>
            </w:pPr>
            <w:r>
              <w:t xml:space="preserve">CJC-1295</w:t>
            </w:r>
          </w:p>
        </w:tc>
        <w:tc>
          <w:tcPr/>
          <w:p>
            <w:pPr>
              <w:pStyle w:val="Compact"/>
              <w:jc w:val="left"/>
            </w:pPr>
            <w:r>
              <w:t xml:space="preserve">Iniezione singola: GH aumentato di 2–10 volte, IGF-1 di 1,5–3 volte (PMID 16352683)</w:t>
            </w:r>
          </w:p>
        </w:tc>
        <w:tc>
          <w:tcPr/>
          <w:p>
            <w:pPr>
              <w:pStyle w:val="Compact"/>
              <w:jc w:val="left"/>
            </w:pPr>
            <w:r>
              <w:t xml:space="preserve">Stimolazione continua non studiata, contenuto non chiaro</w:t>
            </w:r>
          </w:p>
        </w:tc>
      </w:tr>
      <w:tr>
        <w:tc>
          <w:tcPr/>
          <w:p>
            <w:pPr>
              <w:pStyle w:val="Compact"/>
              <w:jc w:val="left"/>
            </w:pPr>
            <w:r>
              <w:t xml:space="preserve">Ipamorelina</w:t>
            </w:r>
          </w:p>
        </w:tc>
        <w:tc>
          <w:tcPr/>
          <w:p>
            <w:pPr>
              <w:pStyle w:val="Compact"/>
              <w:jc w:val="left"/>
            </w:pPr>
            <w:r>
              <w:t xml:space="preserve">Fase 2 dopo chirurgia intestinale: nessun beneficio significativo (PMID 25331030)</w:t>
            </w:r>
          </w:p>
        </w:tc>
        <w:tc>
          <w:tcPr/>
          <w:p>
            <w:pPr>
              <w:pStyle w:val="Compact"/>
              <w:jc w:val="left"/>
            </w:pPr>
            <w:r>
              <w:t xml:space="preserve">nessun dato sull’uso prolungato; molecole modificate</w:t>
            </w:r>
          </w:p>
        </w:tc>
      </w:tr>
      <w:tr>
        <w:tc>
          <w:tcPr/>
          <w:p>
            <w:pPr>
              <w:pStyle w:val="Compact"/>
              <w:jc w:val="left"/>
            </w:pPr>
            <w:r>
              <w:t xml:space="preserve">GHRP-2</w:t>
            </w:r>
          </w:p>
        </w:tc>
        <w:tc>
          <w:tcPr/>
          <w:p>
            <w:pPr>
              <w:pStyle w:val="Compact"/>
              <w:jc w:val="left"/>
            </w:pPr>
            <w:r>
              <w:t xml:space="preserve">Come test ha distinto in modo affidabile il deficit di GH dalle persone sane (PMID 17609397)</w:t>
            </w:r>
          </w:p>
        </w:tc>
        <w:tc>
          <w:tcPr/>
          <w:p>
            <w:pPr>
              <w:pStyle w:val="Compact"/>
              <w:jc w:val="left"/>
            </w:pPr>
            <w:r>
              <w:t xml:space="preserve">Fame intensa, aumento degli ormoni dello stress</w:t>
            </w:r>
          </w:p>
        </w:tc>
      </w:tr>
      <w:tr>
        <w:tc>
          <w:tcPr/>
          <w:p>
            <w:pPr>
              <w:pStyle w:val="Compact"/>
              <w:jc w:val="left"/>
            </w:pPr>
            <w:r>
              <w:t xml:space="preserve">GHRP-6</w:t>
            </w:r>
          </w:p>
        </w:tc>
        <w:tc>
          <w:tcPr/>
          <w:p>
            <w:pPr>
              <w:pStyle w:val="Compact"/>
              <w:jc w:val="left"/>
            </w:pPr>
            <w:r>
              <w:t xml:space="preserve">Test combinato ha riconosciuto in modo affidabile il deficit di GH (PMID 11030292)</w:t>
            </w:r>
          </w:p>
        </w:tc>
        <w:tc>
          <w:tcPr/>
          <w:p>
            <w:pPr>
              <w:pStyle w:val="Compact"/>
              <w:jc w:val="left"/>
            </w:pPr>
            <w:r>
              <w:t xml:space="preserve">Flush, aumenti ormonali, fame</w:t>
            </w:r>
          </w:p>
        </w:tc>
      </w:tr>
      <w:tr>
        <w:tc>
          <w:tcPr/>
          <w:p>
            <w:pPr>
              <w:pStyle w:val="Compact"/>
              <w:jc w:val="left"/>
            </w:pPr>
            <w:r>
              <w:t xml:space="preserve">Exarelina</w:t>
            </w:r>
          </w:p>
        </w:tc>
        <w:tc>
          <w:tcPr/>
          <w:p>
            <w:pPr>
              <w:pStyle w:val="Compact"/>
              <w:jc w:val="left"/>
            </w:pPr>
            <w:r>
              <w:t xml:space="preserve">Perdita di efficacia in 16 settimane, composizione corporea invariata (PMID 9589671)</w:t>
            </w:r>
          </w:p>
        </w:tc>
        <w:tc>
          <w:tcPr/>
          <w:p>
            <w:pPr>
              <w:pStyle w:val="Compact"/>
              <w:jc w:val="left"/>
            </w:pPr>
            <w:r>
              <w:t xml:space="preserve">Ormoni dello stress, prolattina, perdita di efficacia</w:t>
            </w:r>
          </w:p>
        </w:tc>
      </w:tr>
      <w:tr>
        <w:tc>
          <w:tcPr/>
          <w:p>
            <w:pPr>
              <w:pStyle w:val="Compact"/>
              <w:jc w:val="left"/>
            </w:pPr>
            <w:r>
              <w:t xml:space="preserve">Macimorelina</w:t>
            </w:r>
          </w:p>
        </w:tc>
        <w:tc>
          <w:tcPr/>
          <w:p>
            <w:pPr>
              <w:pStyle w:val="Compact"/>
              <w:jc w:val="left"/>
            </w:pPr>
            <w:r>
              <w:t xml:space="preserve">Test con sensibilità dell’87% e specificità del 96% rispetto al test all’insulina (PMID 29860473)</w:t>
            </w:r>
          </w:p>
        </w:tc>
        <w:tc>
          <w:tcPr/>
          <w:p>
            <w:pPr>
              <w:pStyle w:val="Compact"/>
              <w:jc w:val="left"/>
            </w:pPr>
            <w:r>
              <w:t xml:space="preserve">Prolungamento del QT in caso di sovradosaggio</w:t>
            </w:r>
          </w:p>
        </w:tc>
      </w:tr>
      <w:tr>
        <w:tc>
          <w:tcPr/>
          <w:p>
            <w:pPr>
              <w:pStyle w:val="Compact"/>
              <w:jc w:val="left"/>
            </w:pPr>
            <w:r>
              <w:t xml:space="preserve">Mecasermina (IGF-1)</w:t>
            </w:r>
          </w:p>
        </w:tc>
        <w:tc>
          <w:tcPr/>
          <w:p>
            <w:pPr>
              <w:pStyle w:val="Compact"/>
              <w:jc w:val="left"/>
            </w:pPr>
            <w:r>
              <w:t xml:space="preserve">76 bambini con resistenza al GH: crescita da 2,8 a 8,0 cm/anno (PMID 17192294)</w:t>
            </w:r>
          </w:p>
        </w:tc>
        <w:tc>
          <w:tcPr/>
          <w:p>
            <w:pPr>
              <w:pStyle w:val="Compact"/>
              <w:jc w:val="left"/>
            </w:pPr>
            <w:r>
              <w:t xml:space="preserve">Ipoglicemia; avvertenza su neoplasie</w:t>
            </w:r>
          </w:p>
        </w:tc>
      </w:tr>
      <w:tr>
        <w:tc>
          <w:tcPr/>
          <w:p>
            <w:pPr>
              <w:pStyle w:val="Compact"/>
              <w:jc w:val="left"/>
            </w:pPr>
            <w:r>
              <w:t xml:space="preserve">IGF-1 LR3</w:t>
            </w:r>
          </w:p>
        </w:tc>
        <w:tc>
          <w:tcPr/>
          <w:p>
            <w:pPr>
              <w:pStyle w:val="Compact"/>
              <w:jc w:val="left"/>
            </w:pPr>
            <w:r>
              <w:t xml:space="preserve">Nessuno studio sull’uomo; nel flacone del mercato nero una variante di laboratorio (PMID 20675162)</w:t>
            </w:r>
          </w:p>
        </w:tc>
        <w:tc>
          <w:tcPr/>
          <w:p>
            <w:pPr>
              <w:pStyle w:val="Compact"/>
              <w:jc w:val="left"/>
            </w:pPr>
            <w:r>
              <w:t xml:space="preserve">Ipoglicemia, segnali di crescita (teorico)</w:t>
            </w:r>
          </w:p>
        </w:tc>
      </w:tr>
      <w:tr>
        <w:tc>
          <w:tcPr/>
          <w:p>
            <w:pPr>
              <w:pStyle w:val="Compact"/>
              <w:jc w:val="left"/>
            </w:pPr>
            <w:r>
              <w:t xml:space="preserve">Ibutamoren</w:t>
            </w:r>
          </w:p>
        </w:tc>
        <w:tc>
          <w:tcPr/>
          <w:p>
            <w:pPr>
              <w:pStyle w:val="Compact"/>
              <w:jc w:val="left"/>
            </w:pPr>
            <w:r>
              <w:t xml:space="preserve">65 anziani: massa magra +1,1 kg, forza e funzione invariate (PMID 18981485)</w:t>
            </w:r>
          </w:p>
        </w:tc>
        <w:tc>
          <w:tcPr/>
          <w:p>
            <w:pPr>
              <w:pStyle w:val="Compact"/>
              <w:jc w:val="left"/>
            </w:pPr>
            <w:r>
              <w:t xml:space="preserve">Segnale di insufficienza cardiaca, glicemia più alta</w:t>
            </w:r>
          </w:p>
        </w:tc>
      </w:tr>
    </w:tbl>
    <w:bookmarkEnd w:id="2529"/>
    <w:bookmarkStart w:id="2530" w:name="d.-cervello-sonno-e-longevità"/>
    <w:p>
      <w:pPr>
        <w:pStyle w:val="Heading3"/>
      </w:pPr>
      <w:r>
        <w:t xml:space="preserve">D. Cervello, sonno e longevità</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Peptide</w:t>
            </w:r>
          </w:p>
        </w:tc>
        <w:tc>
          <w:tcPr/>
          <w:p>
            <w:pPr>
              <w:pStyle w:val="Compact"/>
              <w:jc w:val="left"/>
            </w:pPr>
            <w:r>
              <w:t xml:space="preserve">Evidenza</w:t>
            </w:r>
          </w:p>
        </w:tc>
        <w:tc>
          <w:tcPr/>
          <w:p>
            <w:pPr>
              <w:pStyle w:val="Compact"/>
              <w:jc w:val="left"/>
            </w:pPr>
            <w:r>
              <w:t xml:space="preserve">Approvazione UE / USA</w:t>
            </w:r>
          </w:p>
        </w:tc>
        <w:tc>
          <w:tcPr/>
          <w:p>
            <w:pPr>
              <w:pStyle w:val="Compact"/>
              <w:jc w:val="left"/>
            </w:pPr>
            <w:r>
              <w:t xml:space="preserve">Studi sull’uomo / registro</w:t>
            </w:r>
          </w:p>
        </w:tc>
      </w:tr>
      <w:tr>
        <w:tc>
          <w:tcPr/>
          <w:p>
            <w:pPr>
              <w:pStyle w:val="Compact"/>
              <w:jc w:val="left"/>
            </w:pPr>
            <w:r>
              <w:t xml:space="preserve">Semax</w:t>
            </w:r>
          </w:p>
        </w:tc>
        <w:tc>
          <w:tcPr/>
          <w:p>
            <w:pPr>
              <w:pStyle w:val="Compact"/>
              <w:jc w:val="left"/>
            </w:pPr>
            <w:r>
              <w:t xml:space="preserve">C</w:t>
            </w:r>
          </w:p>
        </w:tc>
        <w:tc>
          <w:tcPr/>
          <w:p>
            <w:pPr>
              <w:pStyle w:val="Compact"/>
              <w:jc w:val="left"/>
            </w:pPr>
            <w:r>
              <w:t xml:space="preserve">no / no (registrato in Russia)</w:t>
            </w:r>
          </w:p>
        </w:tc>
        <w:tc>
          <w:tcPr/>
          <w:p>
            <w:pPr>
              <w:pStyle w:val="Compact"/>
              <w:jc w:val="left"/>
            </w:pPr>
            <w:r>
              <w:t xml:space="preserve">4 / 0</w:t>
            </w:r>
          </w:p>
        </w:tc>
      </w:tr>
      <w:tr>
        <w:tc>
          <w:tcPr/>
          <w:p>
            <w:pPr>
              <w:pStyle w:val="Compact"/>
              <w:jc w:val="left"/>
            </w:pPr>
            <w:r>
              <w:t xml:space="preserve">Selank</w:t>
            </w:r>
          </w:p>
        </w:tc>
        <w:tc>
          <w:tcPr/>
          <w:p>
            <w:pPr>
              <w:pStyle w:val="Compact"/>
              <w:jc w:val="left"/>
            </w:pPr>
            <w:r>
              <w:t xml:space="preserve">C</w:t>
            </w:r>
          </w:p>
        </w:tc>
        <w:tc>
          <w:tcPr/>
          <w:p>
            <w:pPr>
              <w:pStyle w:val="Compact"/>
              <w:jc w:val="left"/>
            </w:pPr>
            <w:r>
              <w:t xml:space="preserve">no / no (registrato in Russia)</w:t>
            </w:r>
          </w:p>
        </w:tc>
        <w:tc>
          <w:tcPr/>
          <w:p>
            <w:pPr>
              <w:pStyle w:val="Compact"/>
              <w:jc w:val="left"/>
            </w:pPr>
            <w:r>
              <w:t xml:space="preserve">3 / 2 (nota)</w:t>
            </w:r>
          </w:p>
        </w:tc>
      </w:tr>
      <w:tr>
        <w:tc>
          <w:tcPr/>
          <w:p>
            <w:pPr>
              <w:pStyle w:val="Compact"/>
              <w:jc w:val="left"/>
            </w:pPr>
            <w:r>
              <w:t xml:space="preserve">Cerebrolysin</w:t>
            </w:r>
          </w:p>
        </w:tc>
        <w:tc>
          <w:tcPr/>
          <w:p>
            <w:pPr>
              <w:pStyle w:val="Compact"/>
              <w:jc w:val="left"/>
            </w:pPr>
            <w:r>
              <w:t xml:space="preserve">B</w:t>
            </w:r>
          </w:p>
        </w:tc>
        <w:tc>
          <w:tcPr/>
          <w:p>
            <w:pPr>
              <w:pStyle w:val="Compact"/>
              <w:jc w:val="left"/>
            </w:pPr>
            <w:r>
              <w:t xml:space="preserve">nazionale (tra cui Austria) / no</w:t>
            </w:r>
          </w:p>
        </w:tc>
        <w:tc>
          <w:tcPr/>
          <w:p>
            <w:pPr>
              <w:pStyle w:val="Compact"/>
              <w:jc w:val="left"/>
            </w:pPr>
            <w:r>
              <w:t xml:space="preserve">88 / 43</w:t>
            </w:r>
          </w:p>
        </w:tc>
      </w:tr>
      <w:tr>
        <w:tc>
          <w:tcPr/>
          <w:p>
            <w:pPr>
              <w:pStyle w:val="Compact"/>
              <w:jc w:val="left"/>
            </w:pPr>
            <w:r>
              <w:t xml:space="preserve">Dihexa</w:t>
            </w:r>
          </w:p>
        </w:tc>
        <w:tc>
          <w:tcPr/>
          <w:p>
            <w:pPr>
              <w:pStyle w:val="Compact"/>
              <w:jc w:val="left"/>
            </w:pPr>
            <w:r>
              <w:t xml:space="preserve">D</w:t>
            </w:r>
          </w:p>
        </w:tc>
        <w:tc>
          <w:tcPr/>
          <w:p>
            <w:pPr>
              <w:pStyle w:val="Compact"/>
              <w:jc w:val="left"/>
            </w:pPr>
            <w:r>
              <w:t xml:space="preserve">no / no</w:t>
            </w:r>
          </w:p>
        </w:tc>
        <w:tc>
          <w:tcPr/>
          <w:p>
            <w:pPr>
              <w:pStyle w:val="Compact"/>
              <w:jc w:val="left"/>
            </w:pPr>
            <w:r>
              <w:t xml:space="preserve">0 / 0</w:t>
            </w:r>
          </w:p>
        </w:tc>
      </w:tr>
      <w:tr>
        <w:tc>
          <w:tcPr/>
          <w:p>
            <w:pPr>
              <w:pStyle w:val="Compact"/>
              <w:jc w:val="left"/>
            </w:pPr>
            <w:r>
              <w:t xml:space="preserve">DSIP</w:t>
            </w:r>
          </w:p>
        </w:tc>
        <w:tc>
          <w:tcPr/>
          <w:p>
            <w:pPr>
              <w:pStyle w:val="Compact"/>
              <w:jc w:val="left"/>
            </w:pPr>
            <w:r>
              <w:t xml:space="preserve">C</w:t>
            </w:r>
          </w:p>
        </w:tc>
        <w:tc>
          <w:tcPr/>
          <w:p>
            <w:pPr>
              <w:pStyle w:val="Compact"/>
              <w:jc w:val="left"/>
            </w:pPr>
            <w:r>
              <w:t xml:space="preserve">no / no</w:t>
            </w:r>
          </w:p>
        </w:tc>
        <w:tc>
          <w:tcPr/>
          <w:p>
            <w:pPr>
              <w:pStyle w:val="Compact"/>
              <w:jc w:val="left"/>
            </w:pPr>
            <w:r>
              <w:t xml:space="preserve">18 / 1 (nota)</w:t>
            </w:r>
          </w:p>
        </w:tc>
      </w:tr>
      <w:tr>
        <w:tc>
          <w:tcPr/>
          <w:p>
            <w:pPr>
              <w:pStyle w:val="Compact"/>
              <w:jc w:val="left"/>
            </w:pPr>
            <w:r>
              <w:t xml:space="preserve">Epitalon</w:t>
            </w:r>
          </w:p>
        </w:tc>
        <w:tc>
          <w:tcPr/>
          <w:p>
            <w:pPr>
              <w:pStyle w:val="Compact"/>
              <w:jc w:val="left"/>
            </w:pPr>
            <w:r>
              <w:t xml:space="preserve">C</w:t>
            </w:r>
          </w:p>
        </w:tc>
        <w:tc>
          <w:tcPr/>
          <w:p>
            <w:pPr>
              <w:pStyle w:val="Compact"/>
              <w:jc w:val="left"/>
            </w:pPr>
            <w:r>
              <w:t xml:space="preserve">no / no</w:t>
            </w:r>
          </w:p>
        </w:tc>
        <w:tc>
          <w:tcPr/>
          <w:p>
            <w:pPr>
              <w:pStyle w:val="Compact"/>
              <w:jc w:val="left"/>
            </w:pPr>
            <w:r>
              <w:t xml:space="preserve">1 / 1 (nota)</w:t>
            </w:r>
          </w:p>
        </w:tc>
      </w:tr>
      <w:tr>
        <w:tc>
          <w:tcPr/>
          <w:p>
            <w:pPr>
              <w:pStyle w:val="Compact"/>
              <w:jc w:val="left"/>
            </w:pPr>
            <w:r>
              <w:t xml:space="preserve">Pinealon</w:t>
            </w:r>
          </w:p>
        </w:tc>
        <w:tc>
          <w:tcPr/>
          <w:p>
            <w:pPr>
              <w:pStyle w:val="Compact"/>
              <w:jc w:val="left"/>
            </w:pPr>
            <w:r>
              <w:t xml:space="preserve">C</w:t>
            </w:r>
          </w:p>
        </w:tc>
        <w:tc>
          <w:tcPr/>
          <w:p>
            <w:pPr>
              <w:pStyle w:val="Compact"/>
              <w:jc w:val="left"/>
            </w:pPr>
            <w:r>
              <w:t xml:space="preserve">no / no</w:t>
            </w:r>
          </w:p>
        </w:tc>
        <w:tc>
          <w:tcPr/>
          <w:p>
            <w:pPr>
              <w:pStyle w:val="Compact"/>
              <w:jc w:val="left"/>
            </w:pPr>
            <w:r>
              <w:t xml:space="preserve">1 / 0</w:t>
            </w:r>
          </w:p>
        </w:tc>
      </w:tr>
      <w:tr>
        <w:tc>
          <w:tcPr/>
          <w:p>
            <w:pPr>
              <w:pStyle w:val="Compact"/>
              <w:jc w:val="left"/>
            </w:pPr>
            <w:r>
              <w:t xml:space="preserve">MOTS-c</w:t>
            </w:r>
          </w:p>
        </w:tc>
        <w:tc>
          <w:tcPr/>
          <w:p>
            <w:pPr>
              <w:pStyle w:val="Compact"/>
              <w:jc w:val="left"/>
            </w:pPr>
            <w:r>
              <w:t xml:space="preserve">D</w:t>
            </w:r>
          </w:p>
        </w:tc>
        <w:tc>
          <w:tcPr/>
          <w:p>
            <w:pPr>
              <w:pStyle w:val="Compact"/>
              <w:jc w:val="left"/>
            </w:pPr>
            <w:r>
              <w:t xml:space="preserve">no / no</w:t>
            </w:r>
          </w:p>
        </w:tc>
        <w:tc>
          <w:tcPr/>
          <w:p>
            <w:pPr>
              <w:pStyle w:val="Compact"/>
              <w:jc w:val="left"/>
            </w:pPr>
            <w:r>
              <w:t xml:space="preserve">5 / 4 (nota)</w:t>
            </w:r>
          </w:p>
        </w:tc>
      </w:tr>
      <w:tr>
        <w:tc>
          <w:tcPr/>
          <w:p>
            <w:pPr>
              <w:pStyle w:val="Compact"/>
              <w:jc w:val="left"/>
            </w:pPr>
            <w:r>
              <w:t xml:space="preserve">Umanina</w:t>
            </w:r>
          </w:p>
        </w:tc>
        <w:tc>
          <w:tcPr/>
          <w:p>
            <w:pPr>
              <w:pStyle w:val="Compact"/>
              <w:jc w:val="left"/>
            </w:pPr>
            <w:r>
              <w:t xml:space="preserve">D</w:t>
            </w:r>
          </w:p>
        </w:tc>
        <w:tc>
          <w:tcPr/>
          <w:p>
            <w:pPr>
              <w:pStyle w:val="Compact"/>
              <w:jc w:val="left"/>
            </w:pPr>
            <w:r>
              <w:t xml:space="preserve">no / no</w:t>
            </w:r>
          </w:p>
        </w:tc>
        <w:tc>
          <w:tcPr/>
          <w:p>
            <w:pPr>
              <w:pStyle w:val="Compact"/>
              <w:jc w:val="left"/>
            </w:pPr>
            <w:r>
              <w:t xml:space="preserve">8 / 3 (nota)</w:t>
            </w:r>
          </w:p>
        </w:tc>
      </w:tr>
      <w:tr>
        <w:tc>
          <w:tcPr/>
          <w:p>
            <w:pPr>
              <w:pStyle w:val="Compact"/>
              <w:jc w:val="left"/>
            </w:pPr>
            <w:r>
              <w:t xml:space="preserve">SS-31 (elamipretide)</w:t>
            </w:r>
          </w:p>
        </w:tc>
        <w:tc>
          <w:tcPr/>
          <w:p>
            <w:pPr>
              <w:pStyle w:val="Compact"/>
              <w:jc w:val="left"/>
            </w:pPr>
            <w:r>
              <w:t xml:space="preserve">B</w:t>
            </w:r>
          </w:p>
        </w:tc>
        <w:tc>
          <w:tcPr/>
          <w:p>
            <w:pPr>
              <w:pStyle w:val="Compact"/>
              <w:jc w:val="left"/>
            </w:pPr>
            <w:r>
              <w:t xml:space="preserve">no / sì, accelerata (solo sindrome di Barth)</w:t>
            </w:r>
          </w:p>
        </w:tc>
        <w:tc>
          <w:tcPr/>
          <w:p>
            <w:pPr>
              <w:pStyle w:val="Compact"/>
              <w:jc w:val="left"/>
            </w:pPr>
            <w:r>
              <w:t xml:space="preserve">19 / 21</w:t>
            </w:r>
          </w:p>
        </w:tc>
      </w:tr>
      <w:tr>
        <w:tc>
          <w:tcPr/>
          <w:p>
            <w:pPr>
              <w:pStyle w:val="Compact"/>
              <w:jc w:val="left"/>
            </w:pPr>
            <w:r>
              <w:t xml:space="preserve">FOXO4-DRI</w:t>
            </w:r>
          </w:p>
        </w:tc>
        <w:tc>
          <w:tcPr/>
          <w:p>
            <w:pPr>
              <w:pStyle w:val="Compact"/>
              <w:jc w:val="left"/>
            </w:pPr>
            <w:r>
              <w:t xml:space="preserve">D</w:t>
            </w:r>
          </w:p>
        </w:tc>
        <w:tc>
          <w:tcPr/>
          <w:p>
            <w:pPr>
              <w:pStyle w:val="Compact"/>
              <w:jc w:val="left"/>
            </w:pPr>
            <w:r>
              <w:t xml:space="preserve">no / no</w:t>
            </w:r>
          </w:p>
        </w:tc>
        <w:tc>
          <w:tcPr/>
          <w:p>
            <w:pPr>
              <w:pStyle w:val="Compact"/>
              <w:jc w:val="left"/>
            </w:pPr>
            <w:r>
              <w:t xml:space="preserve">0 / 0</w:t>
            </w:r>
          </w:p>
        </w:tc>
      </w:tr>
      <w:tr>
        <w:tc>
          <w:tcPr/>
          <w:p>
            <w:pPr>
              <w:pStyle w:val="Compact"/>
              <w:jc w:val="left"/>
            </w:pPr>
            <w:r>
              <w:t xml:space="preserve">Glutatione</w:t>
            </w:r>
          </w:p>
        </w:tc>
        <w:tc>
          <w:tcPr/>
          <w:p>
            <w:pPr>
              <w:pStyle w:val="Compact"/>
              <w:jc w:val="left"/>
            </w:pPr>
            <w:r>
              <w:t xml:space="preserve">B</w:t>
            </w:r>
          </w:p>
        </w:tc>
        <w:tc>
          <w:tcPr/>
          <w:p>
            <w:pPr>
              <w:pStyle w:val="Compact"/>
              <w:jc w:val="left"/>
            </w:pPr>
            <w:r>
              <w:t xml:space="preserve">integratore / integratore</w:t>
            </w:r>
          </w:p>
        </w:tc>
        <w:tc>
          <w:tcPr/>
          <w:p>
            <w:pPr>
              <w:pStyle w:val="Compact"/>
              <w:jc w:val="left"/>
            </w:pPr>
            <w:r>
              <w:t xml:space="preserve">161 / 273 (nota)</w:t>
            </w:r>
          </w:p>
        </w:tc>
      </w:tr>
    </w:tbl>
    <w:p>
      <w:pPr>
        <w:pStyle w:val="BodyText"/>
      </w:pPr>
      <w:r>
        <w:t xml:space="preserve">Note alla tabella: per</w:t>
      </w:r>
      <w:r>
        <w:t xml:space="preserve"> </w:t>
      </w:r>
      <w:r>
        <w:rPr>
          <w:bCs/>
          <w:b/>
        </w:rPr>
        <w:t xml:space="preserve">Selank</w:t>
      </w:r>
      <w:r>
        <w:t xml:space="preserve"> </w:t>
      </w:r>
      <w:r>
        <w:t xml:space="preserve">e</w:t>
      </w:r>
      <w:r>
        <w:t xml:space="preserve"> </w:t>
      </w:r>
      <w:r>
        <w:rPr>
          <w:bCs/>
          <w:b/>
        </w:rPr>
        <w:t xml:space="preserve">DSIP</w:t>
      </w:r>
      <w:r>
        <w:t xml:space="preserve"> </w:t>
      </w:r>
      <w:r>
        <w:t xml:space="preserve">i risultati del registro riguardano altre procedure o altri temi; non esiste uno studio registrato con il peptide. L’unica voce di registro sull’</w:t>
      </w:r>
      <w:r>
        <w:rPr>
          <w:bCs/>
          <w:b/>
        </w:rPr>
        <w:t xml:space="preserve">Epitalon</w:t>
      </w:r>
      <w:r>
        <w:t xml:space="preserve"> </w:t>
      </w:r>
      <w:r>
        <w:t xml:space="preserve">è uno studio non controllato con un siero per la pelle, in cui l’Epitalon è uno di cinque componenti. Per</w:t>
      </w:r>
      <w:r>
        <w:t xml:space="preserve"> </w:t>
      </w:r>
      <w:r>
        <w:rPr>
          <w:bCs/>
          <w:b/>
        </w:rPr>
        <w:t xml:space="preserve">MOTS-c</w:t>
      </w:r>
      <w:r>
        <w:t xml:space="preserve"> </w:t>
      </w:r>
      <w:r>
        <w:t xml:space="preserve">e</w:t>
      </w:r>
      <w:r>
        <w:t xml:space="preserve"> </w:t>
      </w:r>
      <w:r>
        <w:rPr>
          <w:bCs/>
          <w:b/>
        </w:rPr>
        <w:t xml:space="preserve">umanina</w:t>
      </w:r>
      <w:r>
        <w:t xml:space="preserve"> </w:t>
      </w:r>
      <w:r>
        <w:t xml:space="preserve">in nessuna delle pubblicazioni è stato somministrato il peptide; misurano i livelli endogeni. Per il</w:t>
      </w:r>
      <w:r>
        <w:t xml:space="preserve"> </w:t>
      </w:r>
      <w:r>
        <w:rPr>
          <w:bCs/>
          <w:b/>
        </w:rPr>
        <w:t xml:space="preserve">glutatione</w:t>
      </w:r>
      <w:r>
        <w:t xml:space="preserve"> </w:t>
      </w:r>
      <w:r>
        <w:t xml:space="preserve">molti risultati misurano il glutatione solo come valore di laboratorio o riguardano l’enzima glutatione-S-transferasi; gli studi con somministrazione di glutatione sono una minoranza di alcune decine.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Peptide</w:t>
            </w:r>
          </w:p>
        </w:tc>
        <w:tc>
          <w:tcPr/>
          <w:p>
            <w:pPr>
              <w:pStyle w:val="Compact"/>
              <w:jc w:val="left"/>
            </w:pPr>
            <w:r>
              <w:t xml:space="preserve">Risultato chiave</w:t>
            </w:r>
          </w:p>
        </w:tc>
        <w:tc>
          <w:tcPr/>
          <w:p>
            <w:pPr>
              <w:pStyle w:val="Compact"/>
              <w:jc w:val="left"/>
            </w:pPr>
            <w:r>
              <w:t xml:space="preserve">Rischio principale</w:t>
            </w:r>
          </w:p>
        </w:tc>
      </w:tr>
      <w:tr>
        <w:tc>
          <w:tcPr/>
          <w:p>
            <w:pPr>
              <w:pStyle w:val="Compact"/>
              <w:jc w:val="left"/>
            </w:pPr>
            <w:r>
              <w:t xml:space="preserve">Semax</w:t>
            </w:r>
          </w:p>
        </w:tc>
        <w:tc>
          <w:tcPr/>
          <w:p>
            <w:pPr>
              <w:pStyle w:val="Compact"/>
              <w:jc w:val="left"/>
            </w:pPr>
            <w:r>
              <w:t xml:space="preserve">Studio in aperto dopo ictus: BDNF più alto, miglioramento più rapido (PMID 29798983)</w:t>
            </w:r>
          </w:p>
        </w:tc>
        <w:tc>
          <w:tcPr/>
          <w:p>
            <w:pPr>
              <w:pStyle w:val="Compact"/>
              <w:jc w:val="left"/>
            </w:pPr>
            <w:r>
              <w:t xml:space="preserve">nessun dato di sicurezza sistematico</w:t>
            </w:r>
          </w:p>
        </w:tc>
      </w:tr>
      <w:tr>
        <w:tc>
          <w:tcPr/>
          <w:p>
            <w:pPr>
              <w:pStyle w:val="Compact"/>
              <w:jc w:val="left"/>
            </w:pPr>
            <w:r>
              <w:t xml:space="preserve">Selank</w:t>
            </w:r>
          </w:p>
        </w:tc>
        <w:tc>
          <w:tcPr/>
          <w:p>
            <w:pPr>
              <w:pStyle w:val="Compact"/>
              <w:jc w:val="left"/>
            </w:pPr>
            <w:r>
              <w:t xml:space="preserve">Effetto ansiolitico simile al medazepam, senza gruppo placebo (PMID 18454096)</w:t>
            </w:r>
          </w:p>
        </w:tc>
        <w:tc>
          <w:tcPr/>
          <w:p>
            <w:pPr>
              <w:pStyle w:val="Compact"/>
              <w:jc w:val="left"/>
            </w:pPr>
            <w:r>
              <w:t xml:space="preserve">nessun dato a lungo termine; mercato grigio</w:t>
            </w:r>
          </w:p>
        </w:tc>
      </w:tr>
      <w:tr>
        <w:tc>
          <w:tcPr/>
          <w:p>
            <w:pPr>
              <w:pStyle w:val="Compact"/>
              <w:jc w:val="left"/>
            </w:pPr>
            <w:r>
              <w:t xml:space="preserve">Cerebrolysin</w:t>
            </w:r>
          </w:p>
        </w:tc>
        <w:tc>
          <w:tcPr/>
          <w:p>
            <w:pPr>
              <w:pStyle w:val="Compact"/>
              <w:jc w:val="left"/>
            </w:pPr>
            <w:r>
              <w:t xml:space="preserve">CASTA con 1.070 persone: endpoint primario mancato (PMID 22282884)</w:t>
            </w:r>
          </w:p>
        </w:tc>
        <w:tc>
          <w:tcPr/>
          <w:p>
            <w:pPr>
              <w:pStyle w:val="Compact"/>
              <w:jc w:val="left"/>
            </w:pPr>
            <w:r>
              <w:t xml:space="preserve">possibile segnale di effetti collaterali gravi (Cochrane)</w:t>
            </w:r>
          </w:p>
        </w:tc>
      </w:tr>
      <w:tr>
        <w:tc>
          <w:tcPr/>
          <w:p>
            <w:pPr>
              <w:pStyle w:val="Compact"/>
              <w:jc w:val="left"/>
            </w:pPr>
            <w:r>
              <w:t xml:space="preserve">Dihexa</w:t>
            </w:r>
          </w:p>
        </w:tc>
        <w:tc>
          <w:tcPr/>
          <w:p>
            <w:pPr>
              <w:pStyle w:val="Compact"/>
              <w:jc w:val="left"/>
            </w:pPr>
            <w:r>
              <w:t xml:space="preserve">Solo dati sugli animali; uno studio centrale sui ratti è stato ritirato nel 2025 (PMID 25187433, ritiro PMID 40312093)</w:t>
            </w:r>
          </w:p>
        </w:tc>
        <w:tc>
          <w:tcPr/>
          <w:p>
            <w:pPr>
              <w:pStyle w:val="Compact"/>
              <w:jc w:val="left"/>
            </w:pPr>
            <w:r>
              <w:t xml:space="preserve">nessun dato sull’uomo; rischio oncologico teorico</w:t>
            </w:r>
          </w:p>
        </w:tc>
      </w:tr>
      <w:tr>
        <w:tc>
          <w:tcPr/>
          <w:p>
            <w:pPr>
              <w:pStyle w:val="Compact"/>
              <w:jc w:val="left"/>
            </w:pPr>
            <w:r>
              <w:t xml:space="preserve">DSIP</w:t>
            </w:r>
          </w:p>
        </w:tc>
        <w:tc>
          <w:tcPr/>
          <w:p>
            <w:pPr>
              <w:pStyle w:val="Compact"/>
              <w:jc w:val="left"/>
            </w:pPr>
            <w:r>
              <w:t xml:space="preserve">16 persone con insonnia: solo effetti deboli (PMID 1299794)</w:t>
            </w:r>
          </w:p>
        </w:tc>
        <w:tc>
          <w:tcPr/>
          <w:p>
            <w:pPr>
              <w:pStyle w:val="Compact"/>
              <w:jc w:val="left"/>
            </w:pPr>
            <w:r>
              <w:t xml:space="preserve">nessun dato di sicurezza sistematico</w:t>
            </w:r>
          </w:p>
        </w:tc>
      </w:tr>
      <w:tr>
        <w:tc>
          <w:tcPr/>
          <w:p>
            <w:pPr>
              <w:pStyle w:val="Compact"/>
              <w:jc w:val="left"/>
            </w:pPr>
            <w:r>
              <w:t xml:space="preserve">Epitalon</w:t>
            </w:r>
          </w:p>
        </w:tc>
        <w:tc>
          <w:tcPr/>
          <w:p>
            <w:pPr>
              <w:pStyle w:val="Compact"/>
              <w:jc w:val="left"/>
            </w:pPr>
            <w:r>
              <w:t xml:space="preserve">Nei topi nessuna durata media della vita più lunga (PMID 14501183)</w:t>
            </w:r>
          </w:p>
        </w:tc>
        <w:tc>
          <w:tcPr/>
          <w:p>
            <w:pPr>
              <w:pStyle w:val="Compact"/>
              <w:jc w:val="left"/>
            </w:pPr>
            <w:r>
              <w:t xml:space="preserve">nessun dato sull’uomo; questione telomerasi</w:t>
            </w:r>
          </w:p>
        </w:tc>
      </w:tr>
      <w:tr>
        <w:tc>
          <w:tcPr/>
          <w:p>
            <w:pPr>
              <w:pStyle w:val="Compact"/>
              <w:jc w:val="left"/>
            </w:pPr>
            <w:r>
              <w:t xml:space="preserve">Pinealon</w:t>
            </w:r>
          </w:p>
        </w:tc>
        <w:tc>
          <w:tcPr/>
          <w:p>
            <w:pPr>
              <w:pStyle w:val="Compact"/>
              <w:jc w:val="left"/>
            </w:pPr>
            <w:r>
              <w:t xml:space="preserve">32 anziani, non controllato; anche inibizione dell’emopoiesi (PMID 26390612)</w:t>
            </w:r>
          </w:p>
        </w:tc>
        <w:tc>
          <w:tcPr/>
          <w:p>
            <w:pPr>
              <w:pStyle w:val="Compact"/>
              <w:jc w:val="left"/>
            </w:pPr>
            <w:r>
              <w:t xml:space="preserve">nessun dato di sicurezza sistematico</w:t>
            </w:r>
          </w:p>
        </w:tc>
      </w:tr>
      <w:tr>
        <w:tc>
          <w:tcPr/>
          <w:p>
            <w:pPr>
              <w:pStyle w:val="Compact"/>
              <w:jc w:val="left"/>
            </w:pPr>
            <w:r>
              <w:t xml:space="preserve">MOTS-c</w:t>
            </w:r>
          </w:p>
        </w:tc>
        <w:tc>
          <w:tcPr/>
          <w:p>
            <w:pPr>
              <w:pStyle w:val="Compact"/>
              <w:jc w:val="left"/>
            </w:pPr>
            <w:r>
              <w:t xml:space="preserve">Solo dati sugli animali sulla somministrazione: nei topi meno sovrappeso (PMID 25738459)</w:t>
            </w:r>
          </w:p>
        </w:tc>
        <w:tc>
          <w:tcPr/>
          <w:p>
            <w:pPr>
              <w:pStyle w:val="Compact"/>
              <w:jc w:val="left"/>
            </w:pPr>
            <w:r>
              <w:t xml:space="preserve">nessun dato sulla somministrazione nell’uomo</w:t>
            </w:r>
          </w:p>
        </w:tc>
      </w:tr>
      <w:tr>
        <w:tc>
          <w:tcPr/>
          <w:p>
            <w:pPr>
              <w:pStyle w:val="Compact"/>
              <w:jc w:val="left"/>
            </w:pPr>
            <w:r>
              <w:t xml:space="preserve">Umanina</w:t>
            </w:r>
          </w:p>
        </w:tc>
        <w:tc>
          <w:tcPr/>
          <w:p>
            <w:pPr>
              <w:pStyle w:val="Compact"/>
              <w:jc w:val="left"/>
            </w:pPr>
            <w:r>
              <w:t xml:space="preserve">Solo misurazioni dei livelli nell’uomo (PMID 32575074)</w:t>
            </w:r>
          </w:p>
        </w:tc>
        <w:tc>
          <w:tcPr/>
          <w:p>
            <w:pPr>
              <w:pStyle w:val="Compact"/>
              <w:jc w:val="left"/>
            </w:pPr>
            <w:r>
              <w:t xml:space="preserve">nei topi maggiore crescita del cancro al seno (PMID 32444831)</w:t>
            </w:r>
          </w:p>
        </w:tc>
      </w:tr>
      <w:tr>
        <w:tc>
          <w:tcPr/>
          <w:p>
            <w:pPr>
              <w:pStyle w:val="Compact"/>
              <w:jc w:val="left"/>
            </w:pPr>
            <w:r>
              <w:t xml:space="preserve">SS-31 (elamipretide)</w:t>
            </w:r>
          </w:p>
        </w:tc>
        <w:tc>
          <w:tcPr/>
          <w:p>
            <w:pPr>
              <w:pStyle w:val="Compact"/>
              <w:jc w:val="left"/>
            </w:pPr>
            <w:r>
              <w:t xml:space="preserve">MMPOWER-3 con 218 persone: nessun beneficio nella miopatia (PMID 37268435)</w:t>
            </w:r>
          </w:p>
        </w:tc>
        <w:tc>
          <w:tcPr/>
          <w:p>
            <w:pPr>
              <w:pStyle w:val="Compact"/>
              <w:jc w:val="left"/>
            </w:pPr>
            <w:r>
              <w:t xml:space="preserve">Punti di iniezione; prodotto del mercato grigio non identico</w:t>
            </w:r>
          </w:p>
        </w:tc>
      </w:tr>
      <w:tr>
        <w:tc>
          <w:tcPr/>
          <w:p>
            <w:pPr>
              <w:pStyle w:val="Compact"/>
              <w:jc w:val="left"/>
            </w:pPr>
            <w:r>
              <w:t xml:space="preserve">FOXO4-DRI</w:t>
            </w:r>
          </w:p>
        </w:tc>
        <w:tc>
          <w:tcPr/>
          <w:p>
            <w:pPr>
              <w:pStyle w:val="Compact"/>
              <w:jc w:val="left"/>
            </w:pPr>
            <w:r>
              <w:t xml:space="preserve">Solo dati sugli animali: nei topi invecchiati migliore forma fisica (PMID 28340339)</w:t>
            </w:r>
          </w:p>
        </w:tc>
        <w:tc>
          <w:tcPr/>
          <w:p>
            <w:pPr>
              <w:pStyle w:val="Compact"/>
              <w:jc w:val="left"/>
            </w:pPr>
            <w:r>
              <w:t xml:space="preserve">nessun dato sull’uomo; intervento su p53</w:t>
            </w:r>
          </w:p>
        </w:tc>
      </w:tr>
      <w:tr>
        <w:tc>
          <w:tcPr/>
          <w:p>
            <w:pPr>
              <w:pStyle w:val="Compact"/>
              <w:jc w:val="left"/>
            </w:pPr>
            <w:r>
              <w:t xml:space="preserve">Glutatione</w:t>
            </w:r>
          </w:p>
        </w:tc>
        <w:tc>
          <w:tcPr/>
          <w:p>
            <w:pPr>
              <w:pStyle w:val="Compact"/>
              <w:jc w:val="left"/>
            </w:pPr>
            <w:r>
              <w:t xml:space="preserve">Fase 3 con 185 persone: nessuna protezione dai danni nervosi da chemioterapia (PMID 24619793)</w:t>
            </w:r>
          </w:p>
        </w:tc>
        <w:tc>
          <w:tcPr/>
          <w:p>
            <w:pPr>
              <w:pStyle w:val="Compact"/>
              <w:jc w:val="left"/>
            </w:pPr>
            <w:r>
              <w:t xml:space="preserve">Infusioni per schiarire la pelle: avvertenze delle autorità</w:t>
            </w:r>
          </w:p>
        </w:tc>
      </w:tr>
    </w:tbl>
    <w:bookmarkEnd w:id="2530"/>
    <w:bookmarkStart w:id="2531" w:name="e.-ormoni-sessualità-e-pigmentazione"/>
    <w:p>
      <w:pPr>
        <w:pStyle w:val="Heading3"/>
      </w:pPr>
      <w:r>
        <w:t xml:space="preserve">E. Ormoni, sessualità e pigmentazione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Peptide</w:t>
            </w:r>
          </w:p>
        </w:tc>
        <w:tc>
          <w:tcPr/>
          <w:p>
            <w:pPr>
              <w:pStyle w:val="Compact"/>
              <w:jc w:val="left"/>
            </w:pPr>
            <w:r>
              <w:t xml:space="preserve">Evidenza</w:t>
            </w:r>
          </w:p>
        </w:tc>
        <w:tc>
          <w:tcPr/>
          <w:p>
            <w:pPr>
              <w:pStyle w:val="Compact"/>
              <w:jc w:val="left"/>
            </w:pPr>
            <w:r>
              <w:t xml:space="preserve">Approvazione UE / USA</w:t>
            </w:r>
          </w:p>
        </w:tc>
        <w:tc>
          <w:tcPr/>
          <w:p>
            <w:pPr>
              <w:pStyle w:val="Compact"/>
              <w:jc w:val="left"/>
            </w:pPr>
            <w:r>
              <w:t xml:space="preserve">Studi sull’uomo / registro</w:t>
            </w:r>
          </w:p>
        </w:tc>
      </w:tr>
      <w:tr>
        <w:tc>
          <w:tcPr/>
          <w:p>
            <w:pPr>
              <w:pStyle w:val="Compact"/>
              <w:jc w:val="left"/>
            </w:pPr>
            <w:r>
              <w:t xml:space="preserve">Bremelanotide (PT-141)</w:t>
            </w:r>
          </w:p>
        </w:tc>
        <w:tc>
          <w:tcPr/>
          <w:p>
            <w:pPr>
              <w:pStyle w:val="Compact"/>
              <w:jc w:val="left"/>
            </w:pPr>
            <w:r>
              <w:t xml:space="preserve">A</w:t>
            </w:r>
          </w:p>
        </w:tc>
        <w:tc>
          <w:tcPr/>
          <w:p>
            <w:pPr>
              <w:pStyle w:val="Compact"/>
              <w:jc w:val="left"/>
            </w:pPr>
            <w:r>
              <w:t xml:space="preserve">no / sì (Vyleesi)</w:t>
            </w:r>
          </w:p>
        </w:tc>
        <w:tc>
          <w:tcPr/>
          <w:p>
            <w:pPr>
              <w:pStyle w:val="Compact"/>
              <w:jc w:val="left"/>
            </w:pPr>
            <w:r>
              <w:t xml:space="preserve">16 / 10</w:t>
            </w:r>
          </w:p>
        </w:tc>
      </w:tr>
      <w:tr>
        <w:tc>
          <w:tcPr/>
          <w:p>
            <w:pPr>
              <w:pStyle w:val="Compact"/>
              <w:jc w:val="left"/>
            </w:pPr>
            <w:r>
              <w:t xml:space="preserve">Melanotan II</w:t>
            </w:r>
          </w:p>
        </w:tc>
        <w:tc>
          <w:tcPr/>
          <w:p>
            <w:pPr>
              <w:pStyle w:val="Compact"/>
              <w:jc w:val="left"/>
            </w:pPr>
            <w:r>
              <w:t xml:space="preserve">C</w:t>
            </w:r>
          </w:p>
        </w:tc>
        <w:tc>
          <w:tcPr/>
          <w:p>
            <w:pPr>
              <w:pStyle w:val="Compact"/>
              <w:jc w:val="left"/>
            </w:pPr>
            <w:r>
              <w:t xml:space="preserve">no / no</w:t>
            </w:r>
          </w:p>
        </w:tc>
        <w:tc>
          <w:tcPr/>
          <w:p>
            <w:pPr>
              <w:pStyle w:val="Compact"/>
              <w:jc w:val="left"/>
            </w:pPr>
            <w:r>
              <w:t xml:space="preserve">8 / 0 (nota)</w:t>
            </w:r>
          </w:p>
        </w:tc>
      </w:tr>
      <w:tr>
        <w:tc>
          <w:tcPr/>
          <w:p>
            <w:pPr>
              <w:pStyle w:val="Compact"/>
              <w:jc w:val="left"/>
            </w:pPr>
            <w:r>
              <w:t xml:space="preserve">Afamelanotide</w:t>
            </w:r>
          </w:p>
        </w:tc>
        <w:tc>
          <w:tcPr/>
          <w:p>
            <w:pPr>
              <w:pStyle w:val="Compact"/>
              <w:jc w:val="left"/>
            </w:pPr>
            <w:r>
              <w:t xml:space="preserve">A</w:t>
            </w:r>
          </w:p>
        </w:tc>
        <w:tc>
          <w:tcPr/>
          <w:p>
            <w:pPr>
              <w:pStyle w:val="Compact"/>
              <w:jc w:val="left"/>
            </w:pPr>
            <w:r>
              <w:t xml:space="preserve">sì / sì (Scenesse, solo EPP)</w:t>
            </w:r>
          </w:p>
        </w:tc>
        <w:tc>
          <w:tcPr/>
          <w:p>
            <w:pPr>
              <w:pStyle w:val="Compact"/>
              <w:jc w:val="left"/>
            </w:pPr>
            <w:r>
              <w:t xml:space="preserve">10 / 23 (nota)</w:t>
            </w:r>
          </w:p>
        </w:tc>
      </w:tr>
      <w:tr>
        <w:tc>
          <w:tcPr/>
          <w:p>
            <w:pPr>
              <w:pStyle w:val="Compact"/>
              <w:jc w:val="left"/>
            </w:pPr>
            <w:r>
              <w:t xml:space="preserve">Kisspeptina</w:t>
            </w:r>
          </w:p>
        </w:tc>
        <w:tc>
          <w:tcPr/>
          <w:p>
            <w:pPr>
              <w:pStyle w:val="Compact"/>
              <w:jc w:val="left"/>
            </w:pPr>
            <w:r>
              <w:t xml:space="preserve">B</w:t>
            </w:r>
          </w:p>
        </w:tc>
        <w:tc>
          <w:tcPr/>
          <w:p>
            <w:pPr>
              <w:pStyle w:val="Compact"/>
              <w:jc w:val="left"/>
            </w:pPr>
            <w:r>
              <w:t xml:space="preserve">no / no</w:t>
            </w:r>
          </w:p>
        </w:tc>
        <w:tc>
          <w:tcPr/>
          <w:p>
            <w:pPr>
              <w:pStyle w:val="Compact"/>
              <w:jc w:val="left"/>
            </w:pPr>
            <w:r>
              <w:t xml:space="preserve">37 / 36</w:t>
            </w:r>
          </w:p>
        </w:tc>
      </w:tr>
      <w:tr>
        <w:tc>
          <w:tcPr/>
          <w:p>
            <w:pPr>
              <w:pStyle w:val="Compact"/>
              <w:jc w:val="left"/>
            </w:pPr>
            <w:r>
              <w:t xml:space="preserve">Ossitocina (spray nasale)</w:t>
            </w:r>
          </w:p>
        </w:tc>
        <w:tc>
          <w:tcPr/>
          <w:p>
            <w:pPr>
              <w:pStyle w:val="Compact"/>
              <w:jc w:val="left"/>
            </w:pPr>
            <w:r>
              <w:t xml:space="preserve">B</w:t>
            </w:r>
          </w:p>
        </w:tc>
        <w:tc>
          <w:tcPr/>
          <w:p>
            <w:pPr>
              <w:pStyle w:val="Compact"/>
              <w:jc w:val="left"/>
            </w:pPr>
            <w:r>
              <w:t xml:space="preserve">solo ostetricia / solo ostetricia</w:t>
            </w:r>
          </w:p>
        </w:tc>
        <w:tc>
          <w:tcPr/>
          <w:p>
            <w:pPr>
              <w:pStyle w:val="Compact"/>
              <w:jc w:val="left"/>
            </w:pPr>
            <w:r>
              <w:t xml:space="preserve">349 / 263</w:t>
            </w:r>
          </w:p>
        </w:tc>
      </w:tr>
      <w:tr>
        <w:tc>
          <w:tcPr/>
          <w:p>
            <w:pPr>
              <w:pStyle w:val="Compact"/>
              <w:jc w:val="left"/>
            </w:pPr>
            <w:r>
              <w:t xml:space="preserve">Gonadorelina</w:t>
            </w:r>
          </w:p>
        </w:tc>
        <w:tc>
          <w:tcPr/>
          <w:p>
            <w:pPr>
              <w:pStyle w:val="Compact"/>
              <w:jc w:val="left"/>
            </w:pPr>
            <w:r>
              <w:t xml:space="preserve">B</w:t>
            </w:r>
          </w:p>
        </w:tc>
        <w:tc>
          <w:tcPr/>
          <w:p>
            <w:pPr>
              <w:pStyle w:val="Compact"/>
              <w:jc w:val="left"/>
            </w:pPr>
            <w:r>
              <w:t xml:space="preserve">nazionale in singoli Stati / no</w:t>
            </w:r>
          </w:p>
        </w:tc>
        <w:tc>
          <w:tcPr/>
          <w:p>
            <w:pPr>
              <w:pStyle w:val="Compact"/>
              <w:jc w:val="left"/>
            </w:pPr>
            <w:r>
              <w:t xml:space="preserve">9 / 1.000 (nota)</w:t>
            </w:r>
          </w:p>
        </w:tc>
      </w:tr>
    </w:tbl>
    <w:p>
      <w:pPr>
        <w:pStyle w:val="BodyText"/>
      </w:pPr>
      <w:r>
        <w:t xml:space="preserve">Note alla tabella: per il</w:t>
      </w:r>
      <w:r>
        <w:t xml:space="preserve"> </w:t>
      </w:r>
      <w:r>
        <w:rPr>
          <w:bCs/>
          <w:b/>
        </w:rPr>
        <w:t xml:space="preserve">Melanotan II</w:t>
      </w:r>
      <w:r>
        <w:t xml:space="preserve"> </w:t>
      </w:r>
      <w:r>
        <w:t xml:space="preserve">quattro degli otto risultati di PubMed riguardano il Melanotan I (il futuro afamelanotide); l’unica voce di registro si è rivelata non affidabile. Per l’</w:t>
      </w:r>
      <w:r>
        <w:rPr>
          <w:bCs/>
          <w:b/>
        </w:rPr>
        <w:t xml:space="preserve">afamelanotide</w:t>
      </w:r>
      <w:r>
        <w:t xml:space="preserve"> </w:t>
      </w:r>
      <w:r>
        <w:t xml:space="preserve">mancano nel conteggio gli studi più vecchi con i nomi Melanotan I o NDP-MSH. Per l’</w:t>
      </w:r>
      <w:r>
        <w:rPr>
          <w:bCs/>
          <w:b/>
        </w:rPr>
        <w:t xml:space="preserve">ossitocina</w:t>
      </w:r>
      <w:r>
        <w:t xml:space="preserve"> </w:t>
      </w:r>
      <w:r>
        <w:t xml:space="preserve">è approvato solo l’uso come infusione o iniezione in ostetricia, non lo spray nasale. I numeri per la</w:t>
      </w:r>
      <w:r>
        <w:t xml:space="preserve"> </w:t>
      </w:r>
      <w:r>
        <w:rPr>
          <w:bCs/>
          <w:b/>
        </w:rPr>
        <w:t xml:space="preserve">gonadorelina</w:t>
      </w:r>
      <w:r>
        <w:t xml:space="preserve"> </w:t>
      </w:r>
      <w:r>
        <w:t xml:space="preserve">sono inutilizzabili: la ricerca nel registro ha raggiunto il limite massimo di 1.000 risultati, perché il registro include il termine generale «Gonadotropin-Releasing Hormone»; quasi tutti i risultati riguardano analoghi del GnRH, per esempio nel cancro della prostata, solo circa dieci l’ormone identico a quello endogeno. Il numero di PubMed è troppo basso, perché la maggior parte degli studi scrive «GnRH» o «LHRH».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Peptide</w:t>
            </w:r>
          </w:p>
        </w:tc>
        <w:tc>
          <w:tcPr/>
          <w:p>
            <w:pPr>
              <w:pStyle w:val="Compact"/>
              <w:jc w:val="left"/>
            </w:pPr>
            <w:r>
              <w:t xml:space="preserve">Risultato chiave</w:t>
            </w:r>
          </w:p>
        </w:tc>
        <w:tc>
          <w:tcPr/>
          <w:p>
            <w:pPr>
              <w:pStyle w:val="Compact"/>
              <w:jc w:val="left"/>
            </w:pPr>
            <w:r>
              <w:t xml:space="preserve">Rischio principale</w:t>
            </w:r>
          </w:p>
        </w:tc>
      </w:tr>
      <w:tr>
        <w:tc>
          <w:tcPr/>
          <w:p>
            <w:pPr>
              <w:pStyle w:val="Compact"/>
              <w:jc w:val="left"/>
            </w:pPr>
            <w:r>
              <w:t xml:space="preserve">Bremelanotide (PT-141)</w:t>
            </w:r>
          </w:p>
        </w:tc>
        <w:tc>
          <w:tcPr/>
          <w:p>
            <w:pPr>
              <w:pStyle w:val="Compact"/>
              <w:jc w:val="left"/>
            </w:pPr>
            <w:r>
              <w:t xml:space="preserve">RECONNECT, 1.267 donne: solo un piccolo vantaggio rispetto al placebo (PMID 31599840)</w:t>
            </w:r>
          </w:p>
        </w:tc>
        <w:tc>
          <w:tcPr/>
          <w:p>
            <w:pPr>
              <w:pStyle w:val="Compact"/>
              <w:jc w:val="left"/>
            </w:pPr>
            <w:r>
              <w:t xml:space="preserve">Nausea in circa il 40%, breve aumento della pressione</w:t>
            </w:r>
          </w:p>
        </w:tc>
      </w:tr>
      <w:tr>
        <w:tc>
          <w:tcPr/>
          <w:p>
            <w:pPr>
              <w:pStyle w:val="Compact"/>
              <w:jc w:val="left"/>
            </w:pPr>
            <w:r>
              <w:t xml:space="preserve">Melanotan II</w:t>
            </w:r>
          </w:p>
        </w:tc>
        <w:tc>
          <w:tcPr/>
          <w:p>
            <w:pPr>
              <w:pStyle w:val="Compact"/>
              <w:jc w:val="left"/>
            </w:pPr>
            <w:r>
              <w:t xml:space="preserve">Piccoli studi crossover: erezioni in 17 uomini su 20, nausea frequente (PMID 11035391)</w:t>
            </w:r>
          </w:p>
        </w:tc>
        <w:tc>
          <w:tcPr/>
          <w:p>
            <w:pPr>
              <w:pStyle w:val="Compact"/>
              <w:jc w:val="left"/>
            </w:pPr>
            <w:r>
              <w:t xml:space="preserve">Alterazioni dei nei, casi clinici di melanoma, priapismo</w:t>
            </w:r>
          </w:p>
        </w:tc>
      </w:tr>
      <w:tr>
        <w:tc>
          <w:tcPr/>
          <w:p>
            <w:pPr>
              <w:pStyle w:val="Compact"/>
              <w:jc w:val="left"/>
            </w:pPr>
            <w:r>
              <w:t xml:space="preserve">Afamelanotide</w:t>
            </w:r>
          </w:p>
        </w:tc>
        <w:tc>
          <w:tcPr/>
          <w:p>
            <w:pPr>
              <w:pStyle w:val="Compact"/>
              <w:jc w:val="left"/>
            </w:pPr>
            <w:r>
              <w:t xml:space="preserve">Due RCT: tempo senza dolore alla luce del sole più lungo nella EPP (PMID 26132941)</w:t>
            </w:r>
          </w:p>
        </w:tc>
        <w:tc>
          <w:tcPr/>
          <w:p>
            <w:pPr>
              <w:pStyle w:val="Compact"/>
              <w:jc w:val="left"/>
            </w:pPr>
            <w:r>
              <w:t xml:space="preserve">Nausea, mal di testa; controlli cutanei necessari</w:t>
            </w:r>
          </w:p>
        </w:tc>
      </w:tr>
      <w:tr>
        <w:tc>
          <w:tcPr/>
          <w:p>
            <w:pPr>
              <w:pStyle w:val="Compact"/>
              <w:jc w:val="left"/>
            </w:pPr>
            <w:r>
              <w:t xml:space="preserve">Kisspeptina</w:t>
            </w:r>
          </w:p>
        </w:tc>
        <w:tc>
          <w:tcPr/>
          <w:p>
            <w:pPr>
              <w:pStyle w:val="Compact"/>
              <w:jc w:val="left"/>
            </w:pPr>
            <w:r>
              <w:t xml:space="preserve">60 donne a rischio di OHSS: maturazione degli ovociti nel 95%, nessuna OHSS grave (PMID 26192876)</w:t>
            </w:r>
          </w:p>
        </w:tc>
        <w:tc>
          <w:tcPr/>
          <w:p>
            <w:pPr>
              <w:pStyle w:val="Compact"/>
              <w:jc w:val="left"/>
            </w:pPr>
            <w:r>
              <w:t xml:space="preserve">Abitudine fino alla soppressione dell’asse ormonale</w:t>
            </w:r>
          </w:p>
        </w:tc>
      </w:tr>
      <w:tr>
        <w:tc>
          <w:tcPr/>
          <w:p>
            <w:pPr>
              <w:pStyle w:val="Compact"/>
              <w:jc w:val="left"/>
            </w:pPr>
            <w:r>
              <w:t xml:space="preserve">Ossitocina (spray nasale)</w:t>
            </w:r>
          </w:p>
        </w:tc>
        <w:tc>
          <w:tcPr/>
          <w:p>
            <w:pPr>
              <w:pStyle w:val="Compact"/>
              <w:jc w:val="left"/>
            </w:pPr>
            <w:r>
              <w:t xml:space="preserve">SOARS-B, 290 bambini con autismo: nessuna differenza rispetto al placebo (PMID 34644471)</w:t>
            </w:r>
          </w:p>
        </w:tc>
        <w:tc>
          <w:tcPr/>
          <w:p>
            <w:pPr>
              <w:pStyle w:val="Compact"/>
              <w:jc w:val="left"/>
            </w:pPr>
            <w:r>
              <w:t xml:space="preserve">Ritenzione idrica a dosi elevate, induzione delle contrazioni</w:t>
            </w:r>
          </w:p>
        </w:tc>
      </w:tr>
      <w:tr>
        <w:tc>
          <w:tcPr/>
          <w:p>
            <w:pPr>
              <w:pStyle w:val="Compact"/>
              <w:jc w:val="left"/>
            </w:pPr>
            <w:r>
              <w:t xml:space="preserve">Gonadorelina</w:t>
            </w:r>
          </w:p>
        </w:tc>
        <w:tc>
          <w:tcPr/>
          <w:p>
            <w:pPr>
              <w:pStyle w:val="Compact"/>
              <w:jc w:val="left"/>
            </w:pPr>
            <w:r>
              <w:t xml:space="preserve">Somministrazione pulsatile: ovulazione nel 91% e nel 96% di 109 donne (PMID 2122733)</w:t>
            </w:r>
          </w:p>
        </w:tc>
        <w:tc>
          <w:tcPr/>
          <w:p>
            <w:pPr>
              <w:pStyle w:val="Compact"/>
              <w:jc w:val="left"/>
            </w:pPr>
            <w:r>
              <w:t xml:space="preserve">con ritmo errato soppressione dell’asse ormonale</w:t>
            </w:r>
          </w:p>
        </w:tc>
      </w:tr>
    </w:tbl>
    <w:bookmarkEnd w:id="2531"/>
    <w:bookmarkStart w:id="2532" w:name="f.-collagene-alimentazione-e-cosmetica"/>
    <w:p>
      <w:pPr>
        <w:pStyle w:val="Heading3"/>
      </w:pPr>
      <w:r>
        <w:t xml:space="preserve">F. Collagene, alimentazione e cosmetica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Peptide</w:t>
            </w:r>
          </w:p>
        </w:tc>
        <w:tc>
          <w:tcPr/>
          <w:p>
            <w:pPr>
              <w:pStyle w:val="Compact"/>
              <w:jc w:val="left"/>
            </w:pPr>
            <w:r>
              <w:t xml:space="preserve">Evidenza</w:t>
            </w:r>
          </w:p>
        </w:tc>
        <w:tc>
          <w:tcPr/>
          <w:p>
            <w:pPr>
              <w:pStyle w:val="Compact"/>
              <w:jc w:val="left"/>
            </w:pPr>
            <w:r>
              <w:t xml:space="preserve">Approvazione UE / USA</w:t>
            </w:r>
          </w:p>
        </w:tc>
        <w:tc>
          <w:tcPr/>
          <w:p>
            <w:pPr>
              <w:pStyle w:val="Compact"/>
              <w:jc w:val="left"/>
            </w:pPr>
            <w:r>
              <w:t xml:space="preserve">Studi sull’uomo / registro</w:t>
            </w:r>
          </w:p>
        </w:tc>
      </w:tr>
      <w:tr>
        <w:tc>
          <w:tcPr/>
          <w:p>
            <w:pPr>
              <w:pStyle w:val="Compact"/>
              <w:jc w:val="left"/>
            </w:pPr>
            <w:r>
              <w:t xml:space="preserve">Peptidi di collagene</w:t>
            </w:r>
          </w:p>
        </w:tc>
        <w:tc>
          <w:tcPr/>
          <w:p>
            <w:pPr>
              <w:pStyle w:val="Compact"/>
              <w:jc w:val="left"/>
            </w:pPr>
            <w:r>
              <w:t xml:space="preserve">B</w:t>
            </w:r>
          </w:p>
        </w:tc>
        <w:tc>
          <w:tcPr/>
          <w:p>
            <w:pPr>
              <w:pStyle w:val="Compact"/>
              <w:jc w:val="left"/>
            </w:pPr>
            <w:r>
              <w:t xml:space="preserve">alimento / integratore</w:t>
            </w:r>
          </w:p>
        </w:tc>
        <w:tc>
          <w:tcPr/>
          <w:p>
            <w:pPr>
              <w:pStyle w:val="Compact"/>
              <w:jc w:val="left"/>
            </w:pPr>
            <w:r>
              <w:t xml:space="preserve">101 / 237 (nota)</w:t>
            </w:r>
          </w:p>
        </w:tc>
      </w:tr>
      <w:tr>
        <w:tc>
          <w:tcPr/>
          <w:p>
            <w:pPr>
              <w:pStyle w:val="Compact"/>
              <w:jc w:val="left"/>
            </w:pPr>
            <w:r>
              <w:t xml:space="preserve">Lattotripeptidi</w:t>
            </w:r>
          </w:p>
        </w:tc>
        <w:tc>
          <w:tcPr/>
          <w:p>
            <w:pPr>
              <w:pStyle w:val="Compact"/>
              <w:jc w:val="left"/>
            </w:pPr>
            <w:r>
              <w:t xml:space="preserve">B</w:t>
            </w:r>
          </w:p>
        </w:tc>
        <w:tc>
          <w:tcPr/>
          <w:p>
            <w:pPr>
              <w:pStyle w:val="Compact"/>
              <w:jc w:val="left"/>
            </w:pPr>
            <w:r>
              <w:t xml:space="preserve">alimento / integratore</w:t>
            </w:r>
          </w:p>
        </w:tc>
        <w:tc>
          <w:tcPr/>
          <w:p>
            <w:pPr>
              <w:pStyle w:val="Compact"/>
              <w:jc w:val="left"/>
            </w:pPr>
            <w:r>
              <w:t xml:space="preserve">21 / 0</w:t>
            </w:r>
          </w:p>
        </w:tc>
      </w:tr>
      <w:tr>
        <w:tc>
          <w:tcPr/>
          <w:p>
            <w:pPr>
              <w:pStyle w:val="Compact"/>
              <w:jc w:val="left"/>
            </w:pPr>
            <w:r>
              <w:t xml:space="preserve">Carnosina</w:t>
            </w:r>
          </w:p>
        </w:tc>
        <w:tc>
          <w:tcPr/>
          <w:p>
            <w:pPr>
              <w:pStyle w:val="Compact"/>
              <w:jc w:val="left"/>
            </w:pPr>
            <w:r>
              <w:t xml:space="preserve">B</w:t>
            </w:r>
          </w:p>
        </w:tc>
        <w:tc>
          <w:tcPr/>
          <w:p>
            <w:pPr>
              <w:pStyle w:val="Compact"/>
              <w:jc w:val="left"/>
            </w:pPr>
            <w:r>
              <w:t xml:space="preserve">integratore / integratore</w:t>
            </w:r>
          </w:p>
        </w:tc>
        <w:tc>
          <w:tcPr/>
          <w:p>
            <w:pPr>
              <w:pStyle w:val="Compact"/>
              <w:jc w:val="left"/>
            </w:pPr>
            <w:r>
              <w:t xml:space="preserve">57 / 53</w:t>
            </w:r>
          </w:p>
        </w:tc>
      </w:tr>
      <w:tr>
        <w:tc>
          <w:tcPr/>
          <w:p>
            <w:pPr>
              <w:pStyle w:val="Compact"/>
              <w:jc w:val="left"/>
            </w:pPr>
            <w:r>
              <w:t xml:space="preserve">GHK-Cu</w:t>
            </w:r>
          </w:p>
        </w:tc>
        <w:tc>
          <w:tcPr/>
          <w:p>
            <w:pPr>
              <w:pStyle w:val="Compact"/>
              <w:jc w:val="left"/>
            </w:pPr>
            <w:r>
              <w:t xml:space="preserve">C</w:t>
            </w:r>
          </w:p>
        </w:tc>
        <w:tc>
          <w:tcPr/>
          <w:p>
            <w:pPr>
              <w:pStyle w:val="Compact"/>
              <w:jc w:val="left"/>
            </w:pPr>
            <w:r>
              <w:t xml:space="preserve">cosmetico / cosmetico</w:t>
            </w:r>
          </w:p>
        </w:tc>
        <w:tc>
          <w:tcPr/>
          <w:p>
            <w:pPr>
              <w:pStyle w:val="Compact"/>
              <w:jc w:val="left"/>
            </w:pPr>
            <w:r>
              <w:t xml:space="preserve">1 / 24 (nota)</w:t>
            </w:r>
          </w:p>
        </w:tc>
      </w:tr>
      <w:tr>
        <w:tc>
          <w:tcPr/>
          <w:p>
            <w:pPr>
              <w:pStyle w:val="Compact"/>
              <w:jc w:val="left"/>
            </w:pPr>
            <w:r>
              <w:t xml:space="preserve">Palmitoil pentapeptide-4</w:t>
            </w:r>
          </w:p>
        </w:tc>
        <w:tc>
          <w:tcPr/>
          <w:p>
            <w:pPr>
              <w:pStyle w:val="Compact"/>
              <w:jc w:val="left"/>
            </w:pPr>
            <w:r>
              <w:t xml:space="preserve">B (debole)</w:t>
            </w:r>
          </w:p>
        </w:tc>
        <w:tc>
          <w:tcPr/>
          <w:p>
            <w:pPr>
              <w:pStyle w:val="Compact"/>
              <w:jc w:val="left"/>
            </w:pPr>
            <w:r>
              <w:t xml:space="preserve">cosmetico / cosmetico</w:t>
            </w:r>
          </w:p>
        </w:tc>
        <w:tc>
          <w:tcPr/>
          <w:p>
            <w:pPr>
              <w:pStyle w:val="Compact"/>
              <w:jc w:val="left"/>
            </w:pPr>
            <w:r>
              <w:t xml:space="preserve">1 / 0</w:t>
            </w:r>
          </w:p>
        </w:tc>
      </w:tr>
      <w:tr>
        <w:tc>
          <w:tcPr/>
          <w:p>
            <w:pPr>
              <w:pStyle w:val="Compact"/>
              <w:jc w:val="left"/>
            </w:pPr>
            <w:r>
              <w:t xml:space="preserve">Acetil esapeptide-8</w:t>
            </w:r>
          </w:p>
        </w:tc>
        <w:tc>
          <w:tcPr/>
          <w:p>
            <w:pPr>
              <w:pStyle w:val="Compact"/>
              <w:jc w:val="left"/>
            </w:pPr>
            <w:r>
              <w:t xml:space="preserve">B (debole)</w:t>
            </w:r>
          </w:p>
        </w:tc>
        <w:tc>
          <w:tcPr/>
          <w:p>
            <w:pPr>
              <w:pStyle w:val="Compact"/>
              <w:jc w:val="left"/>
            </w:pPr>
            <w:r>
              <w:t xml:space="preserve">cosmetico / cosmetico</w:t>
            </w:r>
          </w:p>
        </w:tc>
        <w:tc>
          <w:tcPr/>
          <w:p>
            <w:pPr>
              <w:pStyle w:val="Compact"/>
              <w:jc w:val="left"/>
            </w:pPr>
            <w:r>
              <w:t xml:space="preserve">3 / 7</w:t>
            </w:r>
          </w:p>
        </w:tc>
      </w:tr>
    </w:tbl>
    <w:p>
      <w:pPr>
        <w:pStyle w:val="BodyText"/>
      </w:pPr>
      <w:r>
        <w:t xml:space="preserve">Note alla tabella: per i</w:t>
      </w:r>
      <w:r>
        <w:t xml:space="preserve"> </w:t>
      </w:r>
      <w:r>
        <w:rPr>
          <w:bCs/>
          <w:b/>
        </w:rPr>
        <w:t xml:space="preserve">peptidi di collagene</w:t>
      </w:r>
      <w:r>
        <w:t xml:space="preserve"> </w:t>
      </w:r>
      <w:r>
        <w:t xml:space="preserve">una parte considerevole dei risultati del registro riguarda altri temi, per esempio impianti di collagene in odontoiatria o il farmaco antitumorale endostatina. Per il</w:t>
      </w:r>
      <w:r>
        <w:t xml:space="preserve"> </w:t>
      </w:r>
      <w:r>
        <w:rPr>
          <w:bCs/>
          <w:b/>
        </w:rPr>
        <w:t xml:space="preserve">GHK-Cu</w:t>
      </w:r>
      <w:r>
        <w:t xml:space="preserve"> </w:t>
      </w:r>
      <w:r>
        <w:t xml:space="preserve">quasi tutti i risultati del registro riguardano altri composti del rame, per esempio il rame-64 radioattivo per l’imaging; solo una voce credibile studia davvero il GHK. Per nessuna sostanza di questo gruppo è autorizzato nell’UE uno slogan pubblicitario relativo alla salute; per i lattotripeptidi l’Autorità europea per la sicurezza alimentare (EFSA) ha respinto l’indicazione richiesta sulla pressione arteriosa.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Peptide</w:t>
            </w:r>
          </w:p>
        </w:tc>
        <w:tc>
          <w:tcPr/>
          <w:p>
            <w:pPr>
              <w:pStyle w:val="Compact"/>
              <w:jc w:val="left"/>
            </w:pPr>
            <w:r>
              <w:t xml:space="preserve">Risultato chiave</w:t>
            </w:r>
          </w:p>
        </w:tc>
        <w:tc>
          <w:tcPr/>
          <w:p>
            <w:pPr>
              <w:pStyle w:val="Compact"/>
              <w:jc w:val="left"/>
            </w:pPr>
            <w:r>
              <w:t xml:space="preserve">Rischio principale</w:t>
            </w:r>
          </w:p>
        </w:tc>
      </w:tr>
      <w:tr>
        <w:tc>
          <w:tcPr/>
          <w:p>
            <w:pPr>
              <w:pStyle w:val="Compact"/>
              <w:jc w:val="left"/>
            </w:pPr>
            <w:r>
              <w:t xml:space="preserve">Peptidi di collagene</w:t>
            </w:r>
          </w:p>
        </w:tc>
        <w:tc>
          <w:tcPr/>
          <w:p>
            <w:pPr>
              <w:pStyle w:val="Compact"/>
              <w:jc w:val="left"/>
            </w:pPr>
            <w:r>
              <w:t xml:space="preserve">Artrosi: effetti da piccoli a moderati (PMID 38218227); beneficio per la pelle non presente negli studi indipendenti (PMID 40324552)</w:t>
            </w:r>
          </w:p>
        </w:tc>
        <w:tc>
          <w:tcPr/>
          <w:p>
            <w:pPr>
              <w:pStyle w:val="Compact"/>
              <w:jc w:val="left"/>
            </w:pPr>
            <w:r>
              <w:t xml:space="preserve">Sostituzione di misure efficaci; ossalato in caso di tendenza ai calcoli renali</w:t>
            </w:r>
          </w:p>
        </w:tc>
      </w:tr>
      <w:tr>
        <w:tc>
          <w:tcPr/>
          <w:p>
            <w:pPr>
              <w:pStyle w:val="Compact"/>
              <w:jc w:val="left"/>
            </w:pPr>
            <w:r>
              <w:t xml:space="preserve">Lattotripeptidi</w:t>
            </w:r>
          </w:p>
        </w:tc>
        <w:tc>
          <w:tcPr/>
          <w:p>
            <w:pPr>
              <w:pStyle w:val="Compact"/>
              <w:jc w:val="left"/>
            </w:pPr>
            <w:r>
              <w:t xml:space="preserve">Meta-analisi, 30 RCT: sistolica −2,95 mmHg, con distorsione da pubblicazione (PMID 25608938)</w:t>
            </w:r>
          </w:p>
        </w:tc>
        <w:tc>
          <w:tcPr/>
          <w:p>
            <w:pPr>
              <w:pStyle w:val="Compact"/>
              <w:jc w:val="left"/>
            </w:pPr>
            <w:r>
              <w:t xml:space="preserve">Sostituzione di un trattamento antipertensivo efficace</w:t>
            </w:r>
          </w:p>
        </w:tc>
      </w:tr>
      <w:tr>
        <w:tc>
          <w:tcPr/>
          <w:p>
            <w:pPr>
              <w:pStyle w:val="Compact"/>
              <w:jc w:val="left"/>
            </w:pPr>
            <w:r>
              <w:t xml:space="preserve">Carnosina</w:t>
            </w:r>
          </w:p>
        </w:tc>
        <w:tc>
          <w:tcPr/>
          <w:p>
            <w:pPr>
              <w:pStyle w:val="Compact"/>
              <w:jc w:val="left"/>
            </w:pPr>
            <w:r>
              <w:t xml:space="preserve">Meta-analisi, 8 RCT: valori di glicemia e HbA1c un po’ più bassi (PMID 40999397)</w:t>
            </w:r>
          </w:p>
        </w:tc>
        <w:tc>
          <w:tcPr/>
          <w:p>
            <w:pPr>
              <w:pStyle w:val="Compact"/>
              <w:jc w:val="left"/>
            </w:pPr>
            <w:r>
              <w:t xml:space="preserve">nessuno rilevante; mancano dati a lungo termine</w:t>
            </w:r>
          </w:p>
        </w:tc>
      </w:tr>
      <w:tr>
        <w:tc>
          <w:tcPr/>
          <w:p>
            <w:pPr>
              <w:pStyle w:val="Compact"/>
              <w:jc w:val="left"/>
            </w:pPr>
            <w:r>
              <w:t xml:space="preserve">GHK-Cu</w:t>
            </w:r>
          </w:p>
        </w:tc>
        <w:tc>
          <w:tcPr/>
          <w:p>
            <w:pPr>
              <w:pStyle w:val="Compact"/>
              <w:jc w:val="left"/>
            </w:pPr>
            <w:r>
              <w:t xml:space="preserve">Ulcere del piede: area della ferita mediana −98,5% vs. −60,8% (PMID 17147644)</w:t>
            </w:r>
          </w:p>
        </w:tc>
        <w:tc>
          <w:tcPr/>
          <w:p>
            <w:pPr>
              <w:pStyle w:val="Compact"/>
              <w:jc w:val="left"/>
            </w:pPr>
            <w:r>
              <w:t xml:space="preserve">Iniezioni di prodotti del mercato grigio non verificate</w:t>
            </w:r>
          </w:p>
        </w:tc>
      </w:tr>
      <w:tr>
        <w:tc>
          <w:tcPr/>
          <w:p>
            <w:pPr>
              <w:pStyle w:val="Compact"/>
              <w:jc w:val="left"/>
            </w:pPr>
            <w:r>
              <w:t xml:space="preserve">Palmitoil pentapeptide-4</w:t>
            </w:r>
          </w:p>
        </w:tc>
        <w:tc>
          <w:tcPr/>
          <w:p>
            <w:pPr>
              <w:pStyle w:val="Compact"/>
              <w:jc w:val="left"/>
            </w:pPr>
            <w:r>
              <w:t xml:space="preserve">93 donne, studio a metà viso: meno rughe dopo 12 settimane (PMID 18492182)</w:t>
            </w:r>
          </w:p>
        </w:tc>
        <w:tc>
          <w:tcPr/>
          <w:p>
            <w:pPr>
              <w:pStyle w:val="Compact"/>
              <w:jc w:val="left"/>
            </w:pPr>
            <w:r>
              <w:t xml:space="preserve">raramente irritazione cutanea</w:t>
            </w:r>
          </w:p>
        </w:tc>
      </w:tr>
      <w:tr>
        <w:tc>
          <w:tcPr/>
          <w:p>
            <w:pPr>
              <w:pStyle w:val="Compact"/>
              <w:jc w:val="left"/>
            </w:pPr>
            <w:r>
              <w:t xml:space="preserve">Acetil esapeptide-8</w:t>
            </w:r>
          </w:p>
        </w:tc>
        <w:tc>
          <w:tcPr/>
          <w:p>
            <w:pPr>
              <w:pStyle w:val="Compact"/>
              <w:jc w:val="left"/>
            </w:pPr>
            <w:r>
              <w:t xml:space="preserve">19 donne, studio a metà viso: nessuna differenza dopo 4 settimane (PMID 38024099)</w:t>
            </w:r>
          </w:p>
        </w:tc>
        <w:tc>
          <w:tcPr/>
          <w:p>
            <w:pPr>
              <w:pStyle w:val="Compact"/>
              <w:jc w:val="left"/>
            </w:pPr>
            <w:r>
              <w:t xml:space="preserve">Iniezioni non approvate, caso clinico di infezione</w:t>
            </w:r>
          </w:p>
        </w:tc>
      </w:tr>
    </w:tbl>
    <w:bookmarkEnd w:id="2532"/>
    <w:bookmarkStart w:id="2536" w:name="X12411cd6f63be34f81e94705338bdd82caabb5f"/>
    <w:p>
      <w:pPr>
        <w:pStyle w:val="Heading3"/>
      </w:pPr>
      <w:r>
        <w:t xml:space="preserve">Analisi: quanto sono studiati i peptidi nel complesso?</w:t>
      </w:r>
    </w:p>
    <w:bookmarkStart w:id="2533" w:name="distribuzione-dei-livelli-di-evidenza"/>
    <w:p>
      <w:pPr>
        <w:pStyle w:val="Heading4"/>
      </w:pPr>
      <w:r>
        <w:t xml:space="preserve">Distribuzione dei livelli di evidenza</w:t>
      </w:r>
    </w:p>
    <w:p>
      <w:pPr>
        <w:pStyle w:val="FirstParagraph"/>
      </w:pPr>
      <w:r>
        <w:t xml:space="preserve">Le 58 voci di questo libro – 56 peptidi e due sostanze di confronto che non sono peptidi (orforglipron e ibutamoren) – si distribuiscono come segue: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Livello di evidenza</w:t>
            </w:r>
          </w:p>
        </w:tc>
        <w:tc>
          <w:tcPr/>
          <w:p>
            <w:pPr>
              <w:pStyle w:val="Compact"/>
              <w:jc w:val="left"/>
            </w:pPr>
            <w:r>
              <w:t xml:space="preserve">Numero</w:t>
            </w:r>
          </w:p>
        </w:tc>
        <w:tc>
          <w:tcPr/>
          <w:p>
            <w:pPr>
              <w:pStyle w:val="Compact"/>
              <w:jc w:val="left"/>
            </w:pPr>
            <w:r>
              <w:t xml:space="preserve">Quota</w:t>
            </w:r>
          </w:p>
        </w:tc>
        <w:tc>
          <w:tcPr/>
          <w:p>
            <w:pPr>
              <w:pStyle w:val="Compact"/>
              <w:jc w:val="left"/>
            </w:pPr>
            <w:r>
              <w:t xml:space="preserve">Esempi</w:t>
            </w:r>
          </w:p>
        </w:tc>
      </w:tr>
      <w:tr>
        <w:tc>
          <w:tcPr/>
          <w:p>
            <w:pPr>
              <w:pStyle w:val="Compact"/>
              <w:jc w:val="left"/>
            </w:pPr>
            <w:r>
              <w:t xml:space="preserve">A</w:t>
            </w:r>
          </w:p>
        </w:tc>
        <w:tc>
          <w:tcPr/>
          <w:p>
            <w:pPr>
              <w:pStyle w:val="Compact"/>
              <w:jc w:val="left"/>
            </w:pPr>
            <w:r>
              <w:t xml:space="preserve">14</w:t>
            </w:r>
          </w:p>
        </w:tc>
        <w:tc>
          <w:tcPr/>
          <w:p>
            <w:pPr>
              <w:pStyle w:val="Compact"/>
              <w:jc w:val="left"/>
            </w:pPr>
            <w:r>
              <w:t xml:space="preserve">24%</w:t>
            </w:r>
          </w:p>
        </w:tc>
        <w:tc>
          <w:tcPr/>
          <w:p>
            <w:pPr>
              <w:pStyle w:val="Compact"/>
              <w:jc w:val="left"/>
            </w:pPr>
            <w:r>
              <w:t xml:space="preserve">Semaglutide, tirzepatide, tesamorelina, afamelanotide</w:t>
            </w:r>
          </w:p>
        </w:tc>
      </w:tr>
      <w:tr>
        <w:tc>
          <w:tcPr/>
          <w:p>
            <w:pPr>
              <w:pStyle w:val="Compact"/>
              <w:jc w:val="left"/>
            </w:pPr>
            <w:r>
              <w:t xml:space="preserve">B</w:t>
            </w:r>
          </w:p>
        </w:tc>
        <w:tc>
          <w:tcPr/>
          <w:p>
            <w:pPr>
              <w:pStyle w:val="Compact"/>
              <w:jc w:val="left"/>
            </w:pPr>
            <w:r>
              <w:t xml:space="preserve">25</w:t>
            </w:r>
          </w:p>
        </w:tc>
        <w:tc>
          <w:tcPr/>
          <w:p>
            <w:pPr>
              <w:pStyle w:val="Compact"/>
              <w:jc w:val="left"/>
            </w:pPr>
            <w:r>
              <w:t xml:space="preserve">43%</w:t>
            </w:r>
          </w:p>
        </w:tc>
        <w:tc>
          <w:tcPr/>
          <w:p>
            <w:pPr>
              <w:pStyle w:val="Compact"/>
              <w:jc w:val="left"/>
            </w:pPr>
            <w:r>
              <w:t xml:space="preserve">Retatrutide, timosina alfa 1, glutatione, peptidi di collagene</w:t>
            </w:r>
          </w:p>
        </w:tc>
      </w:tr>
      <w:tr>
        <w:tc>
          <w:tcPr/>
          <w:p>
            <w:pPr>
              <w:pStyle w:val="Compact"/>
              <w:jc w:val="left"/>
            </w:pPr>
            <w:r>
              <w:t xml:space="preserve">C</w:t>
            </w:r>
          </w:p>
        </w:tc>
        <w:tc>
          <w:tcPr/>
          <w:p>
            <w:pPr>
              <w:pStyle w:val="Compact"/>
              <w:jc w:val="left"/>
            </w:pPr>
            <w:r>
              <w:t xml:space="preserve">12</w:t>
            </w:r>
          </w:p>
        </w:tc>
        <w:tc>
          <w:tcPr/>
          <w:p>
            <w:pPr>
              <w:pStyle w:val="Compact"/>
              <w:jc w:val="left"/>
            </w:pPr>
            <w:r>
              <w:t xml:space="preserve">21%</w:t>
            </w:r>
          </w:p>
        </w:tc>
        <w:tc>
          <w:tcPr/>
          <w:p>
            <w:pPr>
              <w:pStyle w:val="Compact"/>
              <w:jc w:val="left"/>
            </w:pPr>
            <w:r>
              <w:t xml:space="preserve">BPC-157, CJC-1295, Semax, Melanotan II</w:t>
            </w:r>
          </w:p>
        </w:tc>
      </w:tr>
      <w:tr>
        <w:tc>
          <w:tcPr/>
          <w:p>
            <w:pPr>
              <w:pStyle w:val="Compact"/>
              <w:jc w:val="left"/>
            </w:pPr>
            <w:r>
              <w:t xml:space="preserve">D</w:t>
            </w:r>
          </w:p>
        </w:tc>
        <w:tc>
          <w:tcPr/>
          <w:p>
            <w:pPr>
              <w:pStyle w:val="Compact"/>
              <w:jc w:val="left"/>
            </w:pPr>
            <w:r>
              <w:t xml:space="preserve">7</w:t>
            </w:r>
          </w:p>
        </w:tc>
        <w:tc>
          <w:tcPr/>
          <w:p>
            <w:pPr>
              <w:pStyle w:val="Compact"/>
              <w:jc w:val="left"/>
            </w:pPr>
            <w:r>
              <w:t xml:space="preserve">12%</w:t>
            </w:r>
          </w:p>
        </w:tc>
        <w:tc>
          <w:tcPr/>
          <w:p>
            <w:pPr>
              <w:pStyle w:val="Compact"/>
              <w:jc w:val="left"/>
            </w:pPr>
            <w:r>
              <w:t xml:space="preserve">AOD-9604, KPV, Dihexa, MOTS-c, IGF-1 LR3</w:t>
            </w:r>
          </w:p>
        </w:tc>
      </w:tr>
    </w:tbl>
    <w:p>
      <w:pPr>
        <w:pStyle w:val="BodyText"/>
      </w:pPr>
      <w:r>
        <w:t xml:space="preserve">Nota: nel conteggio il TB-500 è registrato con il livello B per la timosina beta 4; per il frammento TB-500 da solo vale il livello D.</w:t>
      </w:r>
    </w:p>
    <w:p>
      <w:pPr>
        <w:pStyle w:val="BodyText"/>
      </w:pPr>
      <w:r>
        <w:t xml:space="preserve">Tre schemi:</w:t>
      </w:r>
    </w:p>
    <w:p>
      <w:pPr>
        <w:numPr>
          <w:ilvl w:val="0"/>
          <w:numId w:val="1321"/>
        </w:numPr>
        <w:pStyle w:val="Compact"/>
      </w:pPr>
      <w:r>
        <w:rPr>
          <w:bCs/>
          <w:b/>
        </w:rPr>
        <w:t xml:space="preserve">Il livello A è raggiunto quasi solo da principi attivi che hanno seguito un regolare programma di autorizzazione di un’azienda farmaceutica.</w:t>
      </w:r>
      <w:r>
        <w:t xml:space="preserve"> </w:t>
      </w:r>
      <w:r>
        <w:t xml:space="preserve">Nove delle 14 voci con livello A provengono dal gruppo A (metabolismo e peso). Le altre sono tesamorelina, macimorelina e mecasermina dall’asse dell’ormone della crescita, oltre a bremelanotide e afamelanotide. Nessuna delle sostanze descritte nel gruppo B (guarigione) e nel gruppo D (cervello e longevità) raggiunge il livello A.</w:t>
      </w:r>
    </w:p>
    <w:p>
      <w:pPr>
        <w:numPr>
          <w:ilvl w:val="0"/>
          <w:numId w:val="1321"/>
        </w:numPr>
        <w:pStyle w:val="Compact"/>
      </w:pPr>
      <w:r>
        <w:rPr>
          <w:bCs/>
          <w:b/>
        </w:rPr>
        <w:t xml:space="preserve">Livello B significa spesso «verificato e non confermato».</w:t>
      </w:r>
      <w:r>
        <w:t xml:space="preserve"> </w:t>
      </w:r>
      <w:r>
        <w:t xml:space="preserve">In molte delle 25 voci lo studio randomizzato più grande ha mancato il suo obiettivo primario: timosina alfa 1 nella sepsi, LL-37 nelle ulcere delle gambe, ipamorelina dopo chirurgia intestinale, elamipretide nella miopatia, ossitocina nell’autismo, glutatione contro i danni nervosi da chemioterapia.</w:t>
      </w:r>
    </w:p>
    <w:p>
      <w:pPr>
        <w:numPr>
          <w:ilvl w:val="0"/>
          <w:numId w:val="1321"/>
        </w:numPr>
        <w:pStyle w:val="Compact"/>
      </w:pPr>
      <w:r>
        <w:rPr>
          <w:bCs/>
          <w:b/>
        </w:rPr>
        <w:t xml:space="preserve">Un terzo ha livello C o D.</w:t>
      </w:r>
      <w:r>
        <w:t xml:space="preserve"> </w:t>
      </w:r>
      <w:r>
        <w:t xml:space="preserve">19 voci su 58 si basano su studi sull’uomo piccoli e non controllati oppure solo su esperimenti sugli animali e in laboratorio – tra cui molte delle sostanze più pubblicizzate su internet.</w:t>
      </w:r>
    </w:p>
    <w:p>
      <w:pPr>
        <w:pStyle w:val="FirstParagraph"/>
      </w:pPr>
      <w:r>
        <w:t xml:space="preserve">Per gruppi:</w:t>
      </w:r>
    </w:p>
    <w:p>
      <w:pPr>
        <w:numPr>
          <w:ilvl w:val="0"/>
          <w:numId w:val="1322"/>
        </w:numPr>
        <w:pStyle w:val="Compact"/>
      </w:pPr>
      <w:r>
        <w:t xml:space="preserve">A. Metabolismo e peso (15 voci): 9 × A, 5 × B, 1 × D</w:t>
      </w:r>
    </w:p>
    <w:p>
      <w:pPr>
        <w:numPr>
          <w:ilvl w:val="0"/>
          <w:numId w:val="1322"/>
        </w:numPr>
        <w:pStyle w:val="Compact"/>
      </w:pPr>
      <w:r>
        <w:t xml:space="preserve">B. Guarigione e sistema immunitario (8): 5 × B, 2 × C, 1 × D</w:t>
      </w:r>
    </w:p>
    <w:p>
      <w:pPr>
        <w:numPr>
          <w:ilvl w:val="0"/>
          <w:numId w:val="1322"/>
        </w:numPr>
        <w:pStyle w:val="Compact"/>
      </w:pPr>
      <w:r>
        <w:t xml:space="preserve">C. Asse dell’ormone della crescita (11): 3 × A, 4 × B, 3 × C, 1 × D</w:t>
      </w:r>
    </w:p>
    <w:p>
      <w:pPr>
        <w:numPr>
          <w:ilvl w:val="0"/>
          <w:numId w:val="1322"/>
        </w:numPr>
        <w:pStyle w:val="Compact"/>
      </w:pPr>
      <w:r>
        <w:t xml:space="preserve">D. Cervello e longevità (12): 3 × B, 5 × C, 4 × D</w:t>
      </w:r>
    </w:p>
    <w:p>
      <w:pPr>
        <w:numPr>
          <w:ilvl w:val="0"/>
          <w:numId w:val="1322"/>
        </w:numPr>
        <w:pStyle w:val="Compact"/>
      </w:pPr>
      <w:r>
        <w:t xml:space="preserve">E. Ormoni e pigmentazione (6): 2 × A, 3 × B, 1 × C</w:t>
      </w:r>
    </w:p>
    <w:p>
      <w:pPr>
        <w:numPr>
          <w:ilvl w:val="0"/>
          <w:numId w:val="1322"/>
        </w:numPr>
        <w:pStyle w:val="Compact"/>
      </w:pPr>
      <w:r>
        <w:t xml:space="preserve">F. Collagene e cosmetica (6): 5 × B, 1 × C</w:t>
      </w:r>
    </w:p>
    <w:p>
      <w:pPr>
        <w:pStyle w:val="FirstParagraph"/>
      </w:pPr>
      <w:r>
        <w:t xml:space="preserve">Il gruppo D ha i dati più deboli: quattro dei suoi dodici peptidi non sono mai stati somministrati in uno studio pubblicato sull’uomo, altri cinque solo in studi piccoli, per lo più non randomizzati.</w:t>
      </w:r>
    </w:p>
    <w:bookmarkEnd w:id="2533"/>
    <w:bookmarkStart w:id="2534" w:name="approvato-o-no"/>
    <w:p>
      <w:pPr>
        <w:pStyle w:val="Heading4"/>
      </w:pPr>
      <w:r>
        <w:t xml:space="preserve">Approvato o no?</w:t>
      </w:r>
    </w:p>
    <w:p>
      <w:pPr>
        <w:pStyle w:val="FirstParagraph"/>
      </w:pPr>
      <w:r>
        <w:t xml:space="preserve">«Approvato» significa in questo libro: un’autorità per i farmaci ha verificato efficacia, sicurezza e qualità di produzione per un determinato impiego. Le 58 voci si possono quindi suddividere in cinque gruppi (situazione a ottobre 2026, da verificare):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Stato</w:t>
            </w:r>
          </w:p>
        </w:tc>
        <w:tc>
          <w:tcPr/>
          <w:p>
            <w:pPr>
              <w:pStyle w:val="Compact"/>
              <w:jc w:val="left"/>
            </w:pPr>
            <w:r>
              <w:t xml:space="preserve">Numero</w:t>
            </w:r>
          </w:p>
        </w:tc>
        <w:tc>
          <w:tcPr/>
          <w:p>
            <w:pPr>
              <w:pStyle w:val="Compact"/>
              <w:jc w:val="left"/>
            </w:pPr>
            <w:r>
              <w:t xml:space="preserve">Peptidi</w:t>
            </w:r>
          </w:p>
        </w:tc>
      </w:tr>
      <w:tr>
        <w:tc>
          <w:tcPr/>
          <w:p>
            <w:pPr>
              <w:pStyle w:val="Compact"/>
              <w:jc w:val="left"/>
            </w:pPr>
            <w:r>
              <w:t xml:space="preserve">Approvati come farmaci nell’UE e/o negli USA</w:t>
            </w:r>
          </w:p>
        </w:tc>
        <w:tc>
          <w:tcPr/>
          <w:p>
            <w:pPr>
              <w:pStyle w:val="Compact"/>
              <w:jc w:val="left"/>
            </w:pPr>
            <w:r>
              <w:t xml:space="preserve">14</w:t>
            </w:r>
          </w:p>
        </w:tc>
        <w:tc>
          <w:tcPr/>
          <w:p>
            <w:pPr>
              <w:pStyle w:val="Compact"/>
              <w:jc w:val="left"/>
            </w:pPr>
            <w:r>
              <w:t xml:space="preserve">Exenatide, liraglutide, dulaglutide, semaglutide, tirzepatide, setmelanotide, pramlintide, tesamorelina, macimorelina, mecasermina, afamelanotide, bremelanotide, SS-31, ossitocina (solo ostetricia)</w:t>
            </w:r>
          </w:p>
        </w:tc>
      </w:tr>
      <w:tr>
        <w:tc>
          <w:tcPr/>
          <w:p>
            <w:pPr>
              <w:pStyle w:val="Compact"/>
              <w:jc w:val="left"/>
            </w:pPr>
            <w:r>
              <w:t xml:space="preserve">Approvati solo a livello nazionale in singoli Stati UE o solo al di fuori di UE e USA</w:t>
            </w:r>
          </w:p>
        </w:tc>
        <w:tc>
          <w:tcPr/>
          <w:p>
            <w:pPr>
              <w:pStyle w:val="Compact"/>
              <w:jc w:val="left"/>
            </w:pPr>
            <w:r>
              <w:t xml:space="preserve">8</w:t>
            </w:r>
          </w:p>
        </w:tc>
        <w:tc>
          <w:tcPr/>
          <w:p>
            <w:pPr>
              <w:pStyle w:val="Compact"/>
              <w:jc w:val="left"/>
            </w:pPr>
            <w:r>
              <w:t xml:space="preserve">Cerebrolysin, gonadorelina, mazdutide (Cina), timosina alfa 1 (tra l’altro Cina), timalina, Semax, Selank (Russia), GHRP-2 (Giappone, diagnostico)</w:t>
            </w:r>
          </w:p>
        </w:tc>
      </w:tr>
      <w:tr>
        <w:tc>
          <w:tcPr/>
          <w:p>
            <w:pPr>
              <w:pStyle w:val="Compact"/>
              <w:jc w:val="left"/>
            </w:pPr>
            <w:r>
              <w:t xml:space="preserve">Un tempo approvati negli USA, oggi non più in commercio</w:t>
            </w:r>
          </w:p>
        </w:tc>
        <w:tc>
          <w:tcPr/>
          <w:p>
            <w:pPr>
              <w:pStyle w:val="Compact"/>
              <w:jc w:val="left"/>
            </w:pPr>
            <w:r>
              <w:t xml:space="preserve">1</w:t>
            </w:r>
          </w:p>
        </w:tc>
        <w:tc>
          <w:tcPr/>
          <w:p>
            <w:pPr>
              <w:pStyle w:val="Compact"/>
              <w:jc w:val="left"/>
            </w:pPr>
            <w:r>
              <w:t xml:space="preserve">Sermorelina</w:t>
            </w:r>
          </w:p>
        </w:tc>
      </w:tr>
      <w:tr>
        <w:tc>
          <w:tcPr/>
          <w:p>
            <w:pPr>
              <w:pStyle w:val="Compact"/>
              <w:jc w:val="left"/>
            </w:pPr>
            <w:r>
              <w:t xml:space="preserve">Consentiti come alimenti, integratori o cosmetici, senza autorizzazione come farmaci</w:t>
            </w:r>
          </w:p>
        </w:tc>
        <w:tc>
          <w:tcPr/>
          <w:p>
            <w:pPr>
              <w:pStyle w:val="Compact"/>
              <w:jc w:val="left"/>
            </w:pPr>
            <w:r>
              <w:t xml:space="preserve">7</w:t>
            </w:r>
          </w:p>
        </w:tc>
        <w:tc>
          <w:tcPr/>
          <w:p>
            <w:pPr>
              <w:pStyle w:val="Compact"/>
              <w:jc w:val="left"/>
            </w:pPr>
            <w:r>
              <w:t xml:space="preserve">Peptidi di collagene, lattotripeptidi, carnosina, glutatione, GHK-Cu, palmitoil pentapeptide-4, acetil esapeptide-8</w:t>
            </w:r>
          </w:p>
        </w:tc>
      </w:tr>
      <w:tr>
        <w:tc>
          <w:tcPr/>
          <w:p>
            <w:pPr>
              <w:pStyle w:val="Compact"/>
              <w:jc w:val="left"/>
            </w:pPr>
            <w:r>
              <w:t xml:space="preserve">Non approvati da nessuna parte</w:t>
            </w:r>
          </w:p>
        </w:tc>
        <w:tc>
          <w:tcPr/>
          <w:p>
            <w:pPr>
              <w:pStyle w:val="Compact"/>
              <w:jc w:val="left"/>
            </w:pPr>
            <w:r>
              <w:t xml:space="preserve">28</w:t>
            </w:r>
          </w:p>
        </w:tc>
        <w:tc>
          <w:tcPr/>
          <w:p>
            <w:pPr>
              <w:pStyle w:val="Compact"/>
              <w:jc w:val="left"/>
            </w:pPr>
            <w:r>
              <w:t xml:space="preserve">tra cui retatrutide, CagriSema, BPC-157, TB-500, CJC-1295, ipamorelina, Epitalon, MOTS-c, Melanotan II, IGF-1 LR3, orforglipron (domanda presentata) e ibutamoren</w:t>
            </w:r>
          </w:p>
        </w:tc>
      </w:tr>
    </w:tbl>
    <w:p>
      <w:pPr>
        <w:pStyle w:val="BodyText"/>
      </w:pPr>
      <w:r>
        <w:t xml:space="preserve">Solo circa un quarto delle voci è approvato come farmaco nell’UE o negli USA – per lo più per impieghi ben delimitati: afamelanotide per una rara intolleranza alla luce (protoporfiria eritropoietica, EPP), non per abbronzarsi; elamipretide solo per la sindrome di Barth; ossitocina solo per l’ostetricia, non come spray nasale; tesamorelina solo per un disturbo della distribuzione del grasso nell’HIV. Di fronte all’affermazione «approvato» vale quindi sempre la pena chiedersi: dove, per che cosa e in quale forma?</w:t>
      </w:r>
    </w:p>
    <w:p>
      <w:pPr>
        <w:pStyle w:val="BodyText"/>
      </w:pPr>
      <w:r>
        <w:t xml:space="preserve">Le 28 voci non approvate da nessuna parte si dividono in due gruppi. Retatrutide, survodutide, CagriSema, amycretin, maridebart cafraglutide e orforglipron sono in sviluppo regolare con studi di fase 3; per loro un’approvazione è probabile, ma non certa (valutazione). Sostanze come BPC-157, TB-500, CJC-1295, AOD-9604, Epitalon, MOTS-c, Dihexa o IGF-1 LR3 non hanno invece alcuna via di approvazione riconoscibile e vengono vendute prevalentemente come «Research Peptides». Le offerte del mercato grigio del primo gruppo non sono equiparabili ai farmaci verificati.</w:t>
      </w:r>
    </w:p>
    <w:bookmarkEnd w:id="2534"/>
    <w:bookmarkStart w:id="2535" w:name="stato-antidoping-secondo-la-wada"/>
    <w:p>
      <w:pPr>
        <w:pStyle w:val="Heading4"/>
      </w:pPr>
      <w:r>
        <w:t xml:space="preserve">Stato antidoping secondo la WADA</w:t>
      </w:r>
    </w:p>
    <w:p>
      <w:pPr>
        <w:pStyle w:val="FirstParagraph"/>
      </w:pPr>
      <w:r>
        <w:t xml:space="preserve">Per lo sport agonistico conta l’elenco delle sostanze proibite dell’Agenzia mondiale antidoping (WADA). Le classi più importanti:</w:t>
      </w:r>
    </w:p>
    <w:p>
      <w:pPr>
        <w:numPr>
          <w:ilvl w:val="0"/>
          <w:numId w:val="1323"/>
        </w:numPr>
        <w:pStyle w:val="Compact"/>
      </w:pPr>
      <w:r>
        <w:rPr>
          <w:bCs/>
          <w:b/>
        </w:rPr>
        <w:t xml:space="preserve">S0</w:t>
      </w:r>
      <w:r>
        <w:t xml:space="preserve"> </w:t>
      </w:r>
      <w:r>
        <w:t xml:space="preserve">– sostanze non approvate: tutte le sostanze senza autorizzazione come farmaco per uso umano, anche senza citazione per nome.</w:t>
      </w:r>
    </w:p>
    <w:p>
      <w:pPr>
        <w:numPr>
          <w:ilvl w:val="0"/>
          <w:numId w:val="1323"/>
        </w:numPr>
        <w:pStyle w:val="Compact"/>
      </w:pPr>
      <w:r>
        <w:rPr>
          <w:bCs/>
          <w:b/>
        </w:rPr>
        <w:t xml:space="preserve">S2</w:t>
      </w:r>
      <w:r>
        <w:t xml:space="preserve"> </w:t>
      </w:r>
      <w:r>
        <w:t xml:space="preserve">– ormoni peptidici, fattori di crescita e sostanze correlate, tra cui ormone della crescita, i suoi fattori di rilascio e frammenti, IGF-1, timosina beta 4 e, negli uomini, i fattori di rilascio dell’ormone luteinizzante (LH).</w:t>
      </w:r>
    </w:p>
    <w:p>
      <w:pPr>
        <w:numPr>
          <w:ilvl w:val="0"/>
          <w:numId w:val="1323"/>
        </w:numPr>
        <w:pStyle w:val="Compact"/>
      </w:pPr>
      <w:r>
        <w:rPr>
          <w:bCs/>
          <w:b/>
        </w:rPr>
        <w:t xml:space="preserve">S4</w:t>
      </w:r>
      <w:r>
        <w:t xml:space="preserve"> </w:t>
      </w:r>
      <w:r>
        <w:t xml:space="preserve">– modulatori ormonali e metabolici, tra cui gli attivatori dell’enzima AMPK.</w:t>
      </w:r>
    </w:p>
    <w:p>
      <w:pPr>
        <w:numPr>
          <w:ilvl w:val="0"/>
          <w:numId w:val="1323"/>
        </w:numPr>
        <w:pStyle w:val="Compact"/>
      </w:pPr>
      <w:r>
        <w:rPr>
          <w:bCs/>
          <w:b/>
        </w:rPr>
        <w:t xml:space="preserve">M2</w:t>
      </w:r>
      <w:r>
        <w:t xml:space="preserve"> </w:t>
      </w:r>
      <w:r>
        <w:t xml:space="preserve">– metodi proibiti, tra cui infusioni superiori a 100 ml nell’arco di dodici ore.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Peptidi</w:t>
            </w:r>
          </w:p>
        </w:tc>
        <w:tc>
          <w:tcPr/>
          <w:p>
            <w:pPr>
              <w:pStyle w:val="Compact"/>
              <w:jc w:val="left"/>
            </w:pPr>
            <w:r>
              <w:t xml:space="preserve">Stato WADA</w:t>
            </w:r>
          </w:p>
        </w:tc>
      </w:tr>
      <w:tr>
        <w:tc>
          <w:tcPr/>
          <w:p>
            <w:pPr>
              <w:pStyle w:val="Compact"/>
              <w:jc w:val="left"/>
            </w:pPr>
            <w:r>
              <w:t xml:space="preserve">AOD-9604, TB-500 / timosina beta 4, ARA-290, sermorelina, tesamorelina, CJC-1295, ipamorelina, GHRP-2, GHRP-6, exarelina, macimorelina, mecasermina, IGF-1 LR3, ibutamoren</w:t>
            </w:r>
          </w:p>
        </w:tc>
        <w:tc>
          <w:tcPr/>
          <w:p>
            <w:pPr>
              <w:pStyle w:val="Compact"/>
              <w:jc w:val="left"/>
            </w:pPr>
            <w:r>
              <w:t xml:space="preserve">vietati, S2</w:t>
            </w:r>
          </w:p>
        </w:tc>
      </w:tr>
      <w:tr>
        <w:tc>
          <w:tcPr/>
          <w:p>
            <w:pPr>
              <w:pStyle w:val="Compact"/>
              <w:jc w:val="left"/>
            </w:pPr>
            <w:r>
              <w:t xml:space="preserve">Gonadorelina; kisspeptina</w:t>
            </w:r>
          </w:p>
        </w:tc>
        <w:tc>
          <w:tcPr/>
          <w:p>
            <w:pPr>
              <w:pStyle w:val="Compact"/>
              <w:jc w:val="left"/>
            </w:pPr>
            <w:r>
              <w:t xml:space="preserve">vietate per gli uomini, S2; la kisspeptina, come principio attivo non approvato, anche S0</w:t>
            </w:r>
          </w:p>
        </w:tc>
      </w:tr>
      <w:tr>
        <w:tc>
          <w:tcPr/>
          <w:p>
            <w:pPr>
              <w:pStyle w:val="Compact"/>
              <w:jc w:val="left"/>
            </w:pPr>
            <w:r>
              <w:t xml:space="preserve">MOTS-c</w:t>
            </w:r>
          </w:p>
        </w:tc>
        <w:tc>
          <w:tcPr/>
          <w:p>
            <w:pPr>
              <w:pStyle w:val="Compact"/>
              <w:jc w:val="left"/>
            </w:pPr>
            <w:r>
              <w:t xml:space="preserve">vietato, S4 (attivatore di AMPK)</w:t>
            </w:r>
          </w:p>
        </w:tc>
      </w:tr>
      <w:tr>
        <w:tc>
          <w:tcPr/>
          <w:p>
            <w:pPr>
              <w:pStyle w:val="Compact"/>
              <w:jc w:val="left"/>
            </w:pPr>
            <w:r>
              <w:t xml:space="preserve">Retatrutide, survodutide, CagriSema, amycretin, maridebart cafraglutide, BPC-157, Melanotan II</w:t>
            </w:r>
          </w:p>
        </w:tc>
        <w:tc>
          <w:tcPr/>
          <w:p>
            <w:pPr>
              <w:pStyle w:val="Compact"/>
              <w:jc w:val="left"/>
            </w:pPr>
            <w:r>
              <w:t xml:space="preserve">vietati, S0</w:t>
            </w:r>
          </w:p>
        </w:tc>
      </w:tr>
      <w:tr>
        <w:tc>
          <w:tcPr/>
          <w:p>
            <w:pPr>
              <w:pStyle w:val="Compact"/>
              <w:jc w:val="left"/>
            </w:pPr>
            <w:r>
              <w:t xml:space="preserve">KPV, LL-37, Dihexa, Epitalon, Pinealon, umanina, FOXO4-DRI, orforglipron (fino all’approvazione)</w:t>
            </w:r>
          </w:p>
        </w:tc>
        <w:tc>
          <w:tcPr/>
          <w:p>
            <w:pPr>
              <w:pStyle w:val="Compact"/>
              <w:jc w:val="left"/>
            </w:pPr>
            <w:r>
              <w:t xml:space="preserve">non citati per nome, come sostanze non approvate presumibilmente S0</w:t>
            </w:r>
          </w:p>
        </w:tc>
      </w:tr>
      <w:tr>
        <w:tc>
          <w:tcPr/>
          <w:p>
            <w:pPr>
              <w:pStyle w:val="Compact"/>
              <w:jc w:val="left"/>
            </w:pPr>
            <w:r>
              <w:t xml:space="preserve">Mazdutide</w:t>
            </w:r>
          </w:p>
        </w:tc>
        <w:tc>
          <w:tcPr/>
          <w:p>
            <w:pPr>
              <w:pStyle w:val="Compact"/>
              <w:jc w:val="left"/>
            </w:pPr>
            <w:r>
              <w:t xml:space="preserve">non citata per nome; stato S0 non chiaro a causa dell’approvazione in Cina</w:t>
            </w:r>
          </w:p>
        </w:tc>
      </w:tr>
      <w:tr>
        <w:tc>
          <w:tcPr/>
          <w:p>
            <w:pPr>
              <w:pStyle w:val="Compact"/>
              <w:jc w:val="left"/>
            </w:pPr>
            <w:r>
              <w:t xml:space="preserve">GHK-Cu</w:t>
            </w:r>
          </w:p>
        </w:tc>
        <w:tc>
          <w:tcPr/>
          <w:p>
            <w:pPr>
              <w:pStyle w:val="Compact"/>
              <w:jc w:val="left"/>
            </w:pPr>
            <w:r>
              <w:t xml:space="preserve">come cosmetico non vietato; l’iniezione possibilmente S0</w:t>
            </w:r>
          </w:p>
        </w:tc>
      </w:tr>
      <w:tr>
        <w:tc>
          <w:tcPr/>
          <w:p>
            <w:pPr>
              <w:pStyle w:val="Compact"/>
              <w:jc w:val="left"/>
            </w:pPr>
            <w:r>
              <w:t xml:space="preserve">Glutatione</w:t>
            </w:r>
          </w:p>
        </w:tc>
        <w:tc>
          <w:tcPr/>
          <w:p>
            <w:pPr>
              <w:pStyle w:val="Compact"/>
              <w:jc w:val="left"/>
            </w:pPr>
            <w:r>
              <w:t xml:space="preserve">sostanza non vietata; infusioni superiori a 100 ml in dodici ore vietate (M2)</w:t>
            </w:r>
          </w:p>
        </w:tc>
      </w:tr>
      <w:tr>
        <w:tc>
          <w:tcPr/>
          <w:p>
            <w:pPr>
              <w:pStyle w:val="Compact"/>
              <w:jc w:val="left"/>
            </w:pPr>
            <w:r>
              <w:t xml:space="preserve">Semax, Selank, DSIP, SS-31, bremelanotide</w:t>
            </w:r>
          </w:p>
        </w:tc>
        <w:tc>
          <w:tcPr/>
          <w:p>
            <w:pPr>
              <w:pStyle w:val="Compact"/>
              <w:jc w:val="left"/>
            </w:pPr>
            <w:r>
              <w:t xml:space="preserve">non citati per nome; classificazione non univoca</w:t>
            </w:r>
          </w:p>
        </w:tc>
      </w:tr>
      <w:tr>
        <w:tc>
          <w:tcPr/>
          <w:p>
            <w:pPr>
              <w:pStyle w:val="Compact"/>
              <w:jc w:val="left"/>
            </w:pPr>
            <w:r>
              <w:t xml:space="preserve">Exenatide, liraglutide, dulaglutide, semaglutide, tirzepatide, pramlintide, setmelanotide, timosina alfa 1, larazotide, timalina, Cerebrolysin, afamelanotide, ossitocina, peptidi di collagene, lattotripeptidi, carnosina, palmitoil pentapeptide-4, acetil esapeptide-8</w:t>
            </w:r>
          </w:p>
        </w:tc>
        <w:tc>
          <w:tcPr/>
          <w:p>
            <w:pPr>
              <w:pStyle w:val="Compact"/>
              <w:jc w:val="left"/>
            </w:pPr>
            <w:r>
              <w:t xml:space="preserve">non elencati</w:t>
            </w:r>
          </w:p>
        </w:tc>
      </w:tr>
    </w:tbl>
    <w:p>
      <w:pPr>
        <w:pStyle w:val="BodyText"/>
      </w:pPr>
      <w:r>
        <w:t xml:space="preserve">L’elenco non è esaustivo: S0 comprende qualsiasi sostanza senza approvazione, S2 anche le «sostanze correlate» con effetto simile. Non citato per nome non significa quindi consentito. Proprio le sostanze dell’asse dell’ormone della crescita, popolari negli sport di forza, nonché BPC-157 e TB-500 sono espressamente vietate. In caso di dubbio forniscono informazioni le agenzie nazionali antidoping.</w:t>
      </w:r>
    </w:p>
    <w:bookmarkEnd w:id="2535"/>
    <w:bookmarkEnd w:id="2536"/>
    <w:bookmarkStart w:id="2537" w:name="che-cosa-mostra-la-panoramica"/>
    <w:p>
      <w:pPr>
        <w:pStyle w:val="Heading3"/>
      </w:pPr>
      <w:r>
        <w:t xml:space="preserve">Che cosa mostra la panoramica</w:t>
      </w:r>
    </w:p>
    <w:p>
      <w:pPr>
        <w:pStyle w:val="FirstParagraph"/>
      </w:pPr>
      <w:r>
        <w:t xml:space="preserve">I peptidi ben studiati sono quasi esclusivamente farmaci approvati, provenienti da grandi studi preregistrati. La maggior parte dei peptidi popolari su internet ha livello di evidenza C o D, non è approvata da nessuna parte ed è spesso vietata nello sport. In mezzo si collocano sostanze studiate seriamente nell’uomo, i cui studi però non hanno confermato il beneficio sperato. I due capitoli seguenti approfondiscono questo aspetto per i farmaci GLP-1 e per i peptidi di internet più popolari.</w:t>
      </w:r>
    </w:p>
    <w:bookmarkEnd w:id="2537"/>
    <w:bookmarkEnd w:id="2538"/>
    <w:bookmarkStart w:id="2580" w:name="glp-1-co.-a-confronto-diretto"/>
    <w:p>
      <w:pPr>
        <w:pStyle w:val="Heading2"/>
      </w:pPr>
      <w:r>
        <w:t xml:space="preserve">GLP-1 &amp; Co. a confronto diretto</w:t>
      </w:r>
    </w:p>
    <w:p>
      <w:pPr>
        <w:pStyle w:val="FirstParagraph"/>
      </w:pPr>
      <w:r>
        <w:t xml:space="preserve">Nessun altro gruppo di questo libro è studiato così bene come i farmaci incretinici: agonisti del recettore del GLP-1 come liraglutide e semaglutide, il doppio agonista tirzepatide e una serie di successori che agiscono anche sul recettore del glucagone o dell’amilina. Per questi farmaci esistono programmi registrativi con decine di migliaia di partecipanti, grandi studi cardiovascolari e, sempre più spesso, anche studi di confronto diretto. Questo capitolo mette a confronto i risultati principali. Tutti i numeri provengono dai capitoli della Parte II, gruppo A, e dagli studi lì citati; lì trovi anche i limiti di ogni singolo studio.</w:t>
      </w:r>
    </w:p>
    <w:p>
      <w:pPr>
        <w:pStyle w:val="BodyText"/>
      </w:pPr>
      <w:r>
        <w:t xml:space="preserve">Il capitolo non è uno strumento decisionale per un trattamento. Quale farmaco sia indicato nel singolo caso dipende da malattie concomitanti, tollerabilità, autorizzazione, rimborsabilità e disponibilità, ed è una decisione che spetta al medico. Fanno fede il rispettivo riassunto delle caratteristiche del prodotto e l’accompagnamento medico.</w:t>
      </w:r>
    </w:p>
    <w:bookmarkStart w:id="2539" w:name="Xbe2fb2e40a94e7d9a61e6e3be68e2c6f2b148fc"/>
    <w:p>
      <w:pPr>
        <w:pStyle w:val="Heading3"/>
      </w:pPr>
      <w:r>
        <w:t xml:space="preserve">Premessa: perché non si possono semplicemente affiancare gli studi</w:t>
      </w:r>
    </w:p>
    <w:p>
      <w:pPr>
        <w:pStyle w:val="FirstParagraph"/>
      </w:pPr>
      <w:r>
        <w:t xml:space="preserve">Le tabelle di questo capitolo invitano a confrontare numeri provenienti da studi diversi – per esempio il 20,9% di calo ponderale con tirzepatide contro il 14,9% con semaglutide. Questi confronti trasversali («cross-trial comparisons») sono ammissibili solo entro certi limiti. I motivi:</w:t>
      </w:r>
    </w:p>
    <w:p>
      <w:pPr>
        <w:numPr>
          <w:ilvl w:val="0"/>
          <w:numId w:val="1324"/>
        </w:numPr>
        <w:pStyle w:val="Compact"/>
      </w:pPr>
      <w:r>
        <w:rPr>
          <w:bCs/>
          <w:b/>
        </w:rPr>
        <w:t xml:space="preserve">Partecipanti diversi:</w:t>
      </w:r>
      <w:r>
        <w:t xml:space="preserve"> </w:t>
      </w:r>
      <w:r>
        <w:t xml:space="preserve">le persone con diabete di tipo 2 perdono, con tutti i farmaci incretinici, molto meno peso rispetto alle persone senza diabete. Gli studi in Cina o in Giappone includono persone con un peso iniziale più basso rispetto agli studi in Nord America ed Europa.</w:t>
      </w:r>
    </w:p>
    <w:p>
      <w:pPr>
        <w:numPr>
          <w:ilvl w:val="0"/>
          <w:numId w:val="1324"/>
        </w:numPr>
        <w:pStyle w:val="Compact"/>
      </w:pPr>
      <w:r>
        <w:rPr>
          <w:bCs/>
          <w:b/>
        </w:rPr>
        <w:t xml:space="preserve">Durata diversa:</w:t>
      </w:r>
      <w:r>
        <w:t xml:space="preserve"> </w:t>
      </w:r>
      <w:r>
        <w:t xml:space="preserve">una perdita di peso dopo 48 settimane non equivale a una dopo 80 settimane; molte curve si appiattiscono solo tardi.</w:t>
      </w:r>
    </w:p>
    <w:p>
      <w:pPr>
        <w:numPr>
          <w:ilvl w:val="0"/>
          <w:numId w:val="1324"/>
        </w:numPr>
        <w:pStyle w:val="Compact"/>
      </w:pPr>
      <w:r>
        <w:rPr>
          <w:bCs/>
          <w:b/>
        </w:rPr>
        <w:t xml:space="preserve">Analisi diversa:</w:t>
      </w:r>
      <w:r>
        <w:t xml:space="preserve"> </w:t>
      </w:r>
      <w:r>
        <w:t xml:space="preserve">alcuni studi analizzano tutti i partecipanti, anche quelli che hanno interrotto il trattamento (il cosiddetto stimatore della strategia di trattamento o «treatment policy»). Altri calcolano come se tutti avessero assunto il farmaco come previsto. La seconda variante fornisce numeri più favorevoli.</w:t>
      </w:r>
    </w:p>
    <w:p>
      <w:pPr>
        <w:numPr>
          <w:ilvl w:val="0"/>
          <w:numId w:val="1324"/>
        </w:numPr>
        <w:pStyle w:val="Compact"/>
      </w:pPr>
      <w:r>
        <w:rPr>
          <w:bCs/>
          <w:b/>
        </w:rPr>
        <w:t xml:space="preserve">Gruppi placebo diversi:</w:t>
      </w:r>
      <w:r>
        <w:t xml:space="preserve"> </w:t>
      </w:r>
      <w:r>
        <w:t xml:space="preserve">con il placebo i partecipanti hanno perso, a seconda dello studio, da nulla a oltre il 5% del proprio peso, a seconda dell’intensità della consulenza alimentare e sull’attività fisica che accompagnava lo studio.</w:t>
      </w:r>
    </w:p>
    <w:p>
      <w:pPr>
        <w:numPr>
          <w:ilvl w:val="0"/>
          <w:numId w:val="1324"/>
        </w:numPr>
        <w:pStyle w:val="Compact"/>
      </w:pPr>
      <w:r>
        <w:rPr>
          <w:bCs/>
          <w:b/>
        </w:rPr>
        <w:t xml:space="preserve">Fasi diverse:</w:t>
      </w:r>
      <w:r>
        <w:t xml:space="preserve"> </w:t>
      </w:r>
      <w:r>
        <w:t xml:space="preserve">i risultati dei piccoli studi di fase 2 risultano spesso più favorevoli rispetto ai successivi grandi studi di fase 3.</w:t>
      </w:r>
    </w:p>
    <w:p>
      <w:pPr>
        <w:pStyle w:val="FirstParagraph"/>
      </w:pPr>
      <w:r>
        <w:t xml:space="preserve">Un confronto è affidabile solo se due principi attivi sono stati assegnati casualmente nello</w:t>
      </w:r>
      <w:r>
        <w:t xml:space="preserve"> </w:t>
      </w:r>
      <w:r>
        <w:rPr>
          <w:iCs/>
          <w:i/>
        </w:rPr>
        <w:t xml:space="preserve">stesso</w:t>
      </w:r>
      <w:r>
        <w:t xml:space="preserve"> </w:t>
      </w:r>
      <w:r>
        <w:t xml:space="preserve">studio. Questi confronti diretti sono raccolti alla fine del capitolo. Le altre tabelle mostrano ordini di grandezza, non una classifica.</w:t>
      </w:r>
    </w:p>
    <w:bookmarkEnd w:id="2539"/>
    <w:bookmarkStart w:id="2546" w:name="perdita-di-peso-negli-studi-registrativi"/>
    <w:p>
      <w:pPr>
        <w:pStyle w:val="Heading3"/>
      </w:pPr>
      <w:r>
        <w:t xml:space="preserve">Perdita di peso negli studi registrativi</w:t>
      </w:r>
    </w:p>
    <w:p>
      <w:pPr>
        <w:pStyle w:val="FirstParagraph"/>
      </w:pPr>
      <w:r>
        <w:t xml:space="preserve">La tabella seguente mostra il principale studio controllato con placebo in adulti con sovrappeso o obesità</w:t>
      </w:r>
      <w:r>
        <w:t xml:space="preserve"> </w:t>
      </w:r>
      <w:r>
        <w:rPr>
          <w:iCs/>
          <w:i/>
        </w:rPr>
        <w:t xml:space="preserve">senza</w:t>
      </w:r>
      <w:r>
        <w:t xml:space="preserve"> </w:t>
      </w:r>
      <w:r>
        <w:t xml:space="preserve">diabete. È indicata la variazione media del peso corporeo alla dose più alta studiata rispetto al placebo. Exenatide, dulaglutide e pramlintide non sono autorizzati per la riduzione del peso e per questo non compaiono.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Principio attivo</w:t>
            </w:r>
          </w:p>
        </w:tc>
        <w:tc>
          <w:tcPr/>
          <w:p>
            <w:pPr>
              <w:pStyle w:val="Compact"/>
              <w:jc w:val="left"/>
            </w:pPr>
            <w:r>
              <w:t xml:space="preserve">Studio</w:t>
            </w:r>
          </w:p>
        </w:tc>
        <w:tc>
          <w:tcPr/>
          <w:p>
            <w:pPr>
              <w:pStyle w:val="Compact"/>
              <w:jc w:val="left"/>
            </w:pPr>
            <w:r>
              <w:t xml:space="preserve">Durata</w:t>
            </w:r>
          </w:p>
        </w:tc>
        <w:tc>
          <w:tcPr/>
          <w:p>
            <w:pPr>
              <w:pStyle w:val="Compact"/>
              <w:jc w:val="left"/>
            </w:pPr>
            <w:r>
              <w:t xml:space="preserve">Perdita di peso vs. placebo</w:t>
            </w:r>
          </w:p>
        </w:tc>
      </w:tr>
      <w:tr>
        <w:tc>
          <w:tcPr/>
          <w:p>
            <w:pPr>
              <w:pStyle w:val="Compact"/>
              <w:jc w:val="left"/>
            </w:pPr>
            <w:r>
              <w:t xml:space="preserve">Liraglutide 3,0 mg</w:t>
            </w:r>
          </w:p>
        </w:tc>
        <w:tc>
          <w:tcPr/>
          <w:p>
            <w:pPr>
              <w:pStyle w:val="Compact"/>
              <w:jc w:val="left"/>
            </w:pPr>
            <w:r>
              <w:t xml:space="preserve">SCALE (Pi-Sunyer 2015), PMID 26132939</w:t>
            </w:r>
          </w:p>
        </w:tc>
        <w:tc>
          <w:tcPr/>
          <w:p>
            <w:pPr>
              <w:pStyle w:val="Compact"/>
              <w:jc w:val="left"/>
            </w:pPr>
            <w:r>
              <w:t xml:space="preserve">56 settimane</w:t>
            </w:r>
          </w:p>
        </w:tc>
        <w:tc>
          <w:tcPr/>
          <w:p>
            <w:pPr>
              <w:pStyle w:val="Compact"/>
              <w:jc w:val="left"/>
            </w:pPr>
            <w:r>
              <w:t xml:space="preserve">−8,4 kg vs. −2,8 kg</w:t>
            </w:r>
          </w:p>
        </w:tc>
      </w:tr>
      <w:tr>
        <w:tc>
          <w:tcPr/>
          <w:p>
            <w:pPr>
              <w:pStyle w:val="Compact"/>
              <w:jc w:val="left"/>
            </w:pPr>
            <w:r>
              <w:t xml:space="preserve">Semaglutide 2,4 mg</w:t>
            </w:r>
          </w:p>
        </w:tc>
        <w:tc>
          <w:tcPr/>
          <w:p>
            <w:pPr>
              <w:pStyle w:val="Compact"/>
              <w:jc w:val="left"/>
            </w:pPr>
            <w:r>
              <w:t xml:space="preserve">STEP 1 (Wilding 2021), PMID 33567185</w:t>
            </w:r>
          </w:p>
        </w:tc>
        <w:tc>
          <w:tcPr/>
          <w:p>
            <w:pPr>
              <w:pStyle w:val="Compact"/>
              <w:jc w:val="left"/>
            </w:pPr>
            <w:r>
              <w:t xml:space="preserve">68 settimane</w:t>
            </w:r>
          </w:p>
        </w:tc>
        <w:tc>
          <w:tcPr/>
          <w:p>
            <w:pPr>
              <w:pStyle w:val="Compact"/>
              <w:jc w:val="left"/>
            </w:pPr>
            <w:r>
              <w:t xml:space="preserve">−14,9% vs. −2,4%</w:t>
            </w:r>
          </w:p>
        </w:tc>
      </w:tr>
      <w:tr>
        <w:tc>
          <w:tcPr/>
          <w:p>
            <w:pPr>
              <w:pStyle w:val="Compact"/>
              <w:jc w:val="left"/>
            </w:pPr>
            <w:r>
              <w:t xml:space="preserve">Semaglutide 7,2 mg</w:t>
            </w:r>
          </w:p>
        </w:tc>
        <w:tc>
          <w:tcPr/>
          <w:p>
            <w:pPr>
              <w:pStyle w:val="Compact"/>
              <w:jc w:val="left"/>
            </w:pPr>
            <w:r>
              <w:t xml:space="preserve">STEP UP (Wharton 2025), PMID 40961952</w:t>
            </w:r>
          </w:p>
        </w:tc>
        <w:tc>
          <w:tcPr/>
          <w:p>
            <w:pPr>
              <w:pStyle w:val="Compact"/>
              <w:jc w:val="left"/>
            </w:pPr>
            <w:r>
              <w:t xml:space="preserve">72 settimane</w:t>
            </w:r>
          </w:p>
        </w:tc>
        <w:tc>
          <w:tcPr/>
          <w:p>
            <w:pPr>
              <w:pStyle w:val="Compact"/>
              <w:jc w:val="left"/>
            </w:pPr>
            <w:r>
              <w:t xml:space="preserve">−18,7% vs. −3,9%</w:t>
            </w:r>
          </w:p>
        </w:tc>
      </w:tr>
      <w:tr>
        <w:tc>
          <w:tcPr/>
          <w:p>
            <w:pPr>
              <w:pStyle w:val="Compact"/>
              <w:jc w:val="left"/>
            </w:pPr>
            <w:r>
              <w:t xml:space="preserve">Semaglutide compressa 50 mg</w:t>
            </w:r>
          </w:p>
        </w:tc>
        <w:tc>
          <w:tcPr/>
          <w:p>
            <w:pPr>
              <w:pStyle w:val="Compact"/>
              <w:jc w:val="left"/>
            </w:pPr>
            <w:r>
              <w:t xml:space="preserve">OASIS 1 (Knop 2023), PMID 37385278</w:t>
            </w:r>
          </w:p>
        </w:tc>
        <w:tc>
          <w:tcPr/>
          <w:p>
            <w:pPr>
              <w:pStyle w:val="Compact"/>
              <w:jc w:val="left"/>
            </w:pPr>
            <w:r>
              <w:t xml:space="preserve">68 settimane</w:t>
            </w:r>
          </w:p>
        </w:tc>
        <w:tc>
          <w:tcPr/>
          <w:p>
            <w:pPr>
              <w:pStyle w:val="Compact"/>
              <w:jc w:val="left"/>
            </w:pPr>
            <w:r>
              <w:t xml:space="preserve">−15,1% vs. −2,4%</w:t>
            </w:r>
          </w:p>
        </w:tc>
      </w:tr>
      <w:tr>
        <w:tc>
          <w:tcPr/>
          <w:p>
            <w:pPr>
              <w:pStyle w:val="Compact"/>
              <w:jc w:val="left"/>
            </w:pPr>
            <w:r>
              <w:t xml:space="preserve">Tirzepatide 15 mg</w:t>
            </w:r>
          </w:p>
        </w:tc>
        <w:tc>
          <w:tcPr/>
          <w:p>
            <w:pPr>
              <w:pStyle w:val="Compact"/>
              <w:jc w:val="left"/>
            </w:pPr>
            <w:r>
              <w:t xml:space="preserve">SURMOUNT-1 (Jastreboff 2022), PMID 35658024</w:t>
            </w:r>
          </w:p>
        </w:tc>
        <w:tc>
          <w:tcPr/>
          <w:p>
            <w:pPr>
              <w:pStyle w:val="Compact"/>
              <w:jc w:val="left"/>
            </w:pPr>
            <w:r>
              <w:t xml:space="preserve">72 settimane</w:t>
            </w:r>
          </w:p>
        </w:tc>
        <w:tc>
          <w:tcPr/>
          <w:p>
            <w:pPr>
              <w:pStyle w:val="Compact"/>
              <w:jc w:val="left"/>
            </w:pPr>
            <w:r>
              <w:t xml:space="preserve">−20,9% vs. −3,1%</w:t>
            </w:r>
          </w:p>
        </w:tc>
      </w:tr>
      <w:tr>
        <w:tc>
          <w:tcPr/>
          <w:p>
            <w:pPr>
              <w:pStyle w:val="Compact"/>
              <w:jc w:val="left"/>
            </w:pPr>
            <w:r>
              <w:t xml:space="preserve">CagriSema</w:t>
            </w:r>
          </w:p>
        </w:tc>
        <w:tc>
          <w:tcPr/>
          <w:p>
            <w:pPr>
              <w:pStyle w:val="Compact"/>
              <w:jc w:val="left"/>
            </w:pPr>
            <w:r>
              <w:t xml:space="preserve">REDEFINE 1 (Garvey 2025), PMID 40544433</w:t>
            </w:r>
          </w:p>
        </w:tc>
        <w:tc>
          <w:tcPr/>
          <w:p>
            <w:pPr>
              <w:pStyle w:val="Compact"/>
              <w:jc w:val="left"/>
            </w:pPr>
            <w:r>
              <w:t xml:space="preserve">68 settimane</w:t>
            </w:r>
          </w:p>
        </w:tc>
        <w:tc>
          <w:tcPr/>
          <w:p>
            <w:pPr>
              <w:pStyle w:val="Compact"/>
              <w:jc w:val="left"/>
            </w:pPr>
            <w:r>
              <w:t xml:space="preserve">−20,4% vs. −3,0%</w:t>
            </w:r>
          </w:p>
        </w:tc>
      </w:tr>
      <w:tr>
        <w:tc>
          <w:tcPr/>
          <w:p>
            <w:pPr>
              <w:pStyle w:val="Compact"/>
              <w:jc w:val="left"/>
            </w:pPr>
            <w:r>
              <w:t xml:space="preserve">Retatrutide 12 mg</w:t>
            </w:r>
          </w:p>
        </w:tc>
        <w:tc>
          <w:tcPr/>
          <w:p>
            <w:pPr>
              <w:pStyle w:val="Compact"/>
              <w:jc w:val="left"/>
            </w:pPr>
            <w:r>
              <w:t xml:space="preserve">TRIUMPH-1 (Jastreboff 2026), PMID 42814954</w:t>
            </w:r>
          </w:p>
        </w:tc>
        <w:tc>
          <w:tcPr/>
          <w:p>
            <w:pPr>
              <w:pStyle w:val="Compact"/>
              <w:jc w:val="left"/>
            </w:pPr>
            <w:r>
              <w:t xml:space="preserve">80 settimane</w:t>
            </w:r>
          </w:p>
        </w:tc>
        <w:tc>
          <w:tcPr/>
          <w:p>
            <w:pPr>
              <w:pStyle w:val="Compact"/>
              <w:jc w:val="left"/>
            </w:pPr>
            <w:r>
              <w:t xml:space="preserve">−25,0% vs. −3,9%</w:t>
            </w:r>
          </w:p>
        </w:tc>
      </w:tr>
      <w:tr>
        <w:tc>
          <w:tcPr/>
          <w:p>
            <w:pPr>
              <w:pStyle w:val="Compact"/>
              <w:jc w:val="left"/>
            </w:pPr>
            <w:r>
              <w:t xml:space="preserve">Survodutide 6,0 mg</w:t>
            </w:r>
          </w:p>
        </w:tc>
        <w:tc>
          <w:tcPr/>
          <w:p>
            <w:pPr>
              <w:pStyle w:val="Compact"/>
              <w:jc w:val="left"/>
            </w:pPr>
            <w:r>
              <w:t xml:space="preserve">SYNCHRONIZE-1 (le Roux 2026), PMID 42253238</w:t>
            </w:r>
          </w:p>
        </w:tc>
        <w:tc>
          <w:tcPr/>
          <w:p>
            <w:pPr>
              <w:pStyle w:val="Compact"/>
              <w:jc w:val="left"/>
            </w:pPr>
            <w:r>
              <w:t xml:space="preserve">76 settimane</w:t>
            </w:r>
          </w:p>
        </w:tc>
        <w:tc>
          <w:tcPr/>
          <w:p>
            <w:pPr>
              <w:pStyle w:val="Compact"/>
              <w:jc w:val="left"/>
            </w:pPr>
            <w:r>
              <w:t xml:space="preserve">−13,0% vs. −5,4%</w:t>
            </w:r>
          </w:p>
        </w:tc>
      </w:tr>
      <w:tr>
        <w:tc>
          <w:tcPr/>
          <w:p>
            <w:pPr>
              <w:pStyle w:val="Compact"/>
              <w:jc w:val="left"/>
            </w:pPr>
            <w:r>
              <w:t xml:space="preserve">Mazdutide 6 mg</w:t>
            </w:r>
          </w:p>
        </w:tc>
        <w:tc>
          <w:tcPr/>
          <w:p>
            <w:pPr>
              <w:pStyle w:val="Compact"/>
              <w:jc w:val="left"/>
            </w:pPr>
            <w:r>
              <w:t xml:space="preserve">GLORY-1 (Ji 2025), PMID 40421736</w:t>
            </w:r>
          </w:p>
        </w:tc>
        <w:tc>
          <w:tcPr/>
          <w:p>
            <w:pPr>
              <w:pStyle w:val="Compact"/>
              <w:jc w:val="left"/>
            </w:pPr>
            <w:r>
              <w:t xml:space="preserve">48 settimane</w:t>
            </w:r>
          </w:p>
        </w:tc>
        <w:tc>
          <w:tcPr/>
          <w:p>
            <w:pPr>
              <w:pStyle w:val="Compact"/>
              <w:jc w:val="left"/>
            </w:pPr>
            <w:r>
              <w:t xml:space="preserve">−14,0% vs. +0,3%</w:t>
            </w:r>
          </w:p>
        </w:tc>
      </w:tr>
      <w:tr>
        <w:tc>
          <w:tcPr/>
          <w:p>
            <w:pPr>
              <w:pStyle w:val="Compact"/>
              <w:jc w:val="left"/>
            </w:pPr>
            <w:r>
              <w:t xml:space="preserve">Maridebart cafraglutide</w:t>
            </w:r>
          </w:p>
        </w:tc>
        <w:tc>
          <w:tcPr/>
          <w:p>
            <w:pPr>
              <w:pStyle w:val="Compact"/>
              <w:jc w:val="left"/>
            </w:pPr>
            <w:r>
              <w:t xml:space="preserve">Fase 2 (Jastreboff 2025), PMID 40549887</w:t>
            </w:r>
          </w:p>
        </w:tc>
        <w:tc>
          <w:tcPr/>
          <w:p>
            <w:pPr>
              <w:pStyle w:val="Compact"/>
              <w:jc w:val="left"/>
            </w:pPr>
            <w:r>
              <w:t xml:space="preserve">52 settimane</w:t>
            </w:r>
          </w:p>
        </w:tc>
        <w:tc>
          <w:tcPr/>
          <w:p>
            <w:pPr>
              <w:pStyle w:val="Compact"/>
              <w:jc w:val="left"/>
            </w:pPr>
            <w:r>
              <w:t xml:space="preserve">da −12,3 a −16,2% vs. −2,5%</w:t>
            </w:r>
          </w:p>
        </w:tc>
      </w:tr>
      <w:tr>
        <w:tc>
          <w:tcPr/>
          <w:p>
            <w:pPr>
              <w:pStyle w:val="Compact"/>
              <w:jc w:val="left"/>
            </w:pPr>
            <w:r>
              <w:t xml:space="preserve">Amicretina (iniezione)</w:t>
            </w:r>
          </w:p>
        </w:tc>
        <w:tc>
          <w:tcPr/>
          <w:p>
            <w:pPr>
              <w:pStyle w:val="Compact"/>
              <w:jc w:val="left"/>
            </w:pPr>
            <w:r>
              <w:t xml:space="preserve">Fase 1b/2a (Dahl 2025), PMID 40550231</w:t>
            </w:r>
          </w:p>
        </w:tc>
        <w:tc>
          <w:tcPr/>
          <w:p>
            <w:pPr>
              <w:pStyle w:val="Compact"/>
              <w:jc w:val="left"/>
            </w:pPr>
            <w:r>
              <w:t xml:space="preserve">36 settimane</w:t>
            </w:r>
          </w:p>
        </w:tc>
        <w:tc>
          <w:tcPr/>
          <w:p>
            <w:pPr>
              <w:pStyle w:val="Compact"/>
              <w:jc w:val="left"/>
            </w:pPr>
            <w:r>
              <w:t xml:space="preserve">fino a −24,3% vs. −1,1%</w:t>
            </w:r>
          </w:p>
        </w:tc>
      </w:tr>
      <w:tr>
        <w:tc>
          <w:tcPr/>
          <w:p>
            <w:pPr>
              <w:pStyle w:val="Compact"/>
              <w:jc w:val="left"/>
            </w:pPr>
            <w:r>
              <w:t xml:space="preserve">Orforglipron 36 mg (compressa, non un peptide)</w:t>
            </w:r>
          </w:p>
        </w:tc>
        <w:tc>
          <w:tcPr/>
          <w:p>
            <w:pPr>
              <w:pStyle w:val="Compact"/>
              <w:jc w:val="left"/>
            </w:pPr>
            <w:r>
              <w:t xml:space="preserve">ATTAIN-1 (Wharton 2025), PMID 40960239</w:t>
            </w:r>
          </w:p>
        </w:tc>
        <w:tc>
          <w:tcPr/>
          <w:p>
            <w:pPr>
              <w:pStyle w:val="Compact"/>
              <w:jc w:val="left"/>
            </w:pPr>
            <w:r>
              <w:t xml:space="preserve">72 settimane</w:t>
            </w:r>
          </w:p>
        </w:tc>
        <w:tc>
          <w:tcPr/>
          <w:p>
            <w:pPr>
              <w:pStyle w:val="Compact"/>
              <w:jc w:val="left"/>
            </w:pPr>
            <w:r>
              <w:t xml:space="preserve">−11,2% vs. −2,1%</w:t>
            </w:r>
          </w:p>
        </w:tc>
      </w:tr>
    </w:tbl>
    <w:p>
      <w:pPr>
        <w:pStyle w:val="BodyText"/>
      </w:pPr>
      <w:r>
        <w:t xml:space="preserve">Per inquadrare le singole righe:</w:t>
      </w:r>
    </w:p>
    <w:p>
      <w:pPr>
        <w:numPr>
          <w:ilvl w:val="0"/>
          <w:numId w:val="1325"/>
        </w:numPr>
        <w:pStyle w:val="Compact"/>
      </w:pPr>
      <w:r>
        <w:rPr>
          <w:bCs/>
          <w:b/>
        </w:rPr>
        <w:t xml:space="preserve">Liraglutide</w:t>
      </w:r>
      <w:r>
        <w:t xml:space="preserve"> </w:t>
      </w:r>
      <w:r>
        <w:t xml:space="preserve">è l’unico principio attivo per cui lo studio registrativo indica come risultato principale la perdita in chilogrammi; con un peso iniziale di 106,2 kg ciò corrisponde grosso modo all’8%. Nello studio di confronto diretto STEP 8 il valore è stato del −6,4% (vedi sotto).</w:t>
      </w:r>
    </w:p>
    <w:p>
      <w:pPr>
        <w:numPr>
          <w:ilvl w:val="0"/>
          <w:numId w:val="1325"/>
        </w:numPr>
        <w:pStyle w:val="Compact"/>
      </w:pPr>
      <w:r>
        <w:rPr>
          <w:bCs/>
          <w:b/>
        </w:rPr>
        <w:t xml:space="preserve">Retatrutide, CagriSema, survodutide, maridebart cafraglutide e amicretina</w:t>
      </w:r>
      <w:r>
        <w:t xml:space="preserve"> </w:t>
      </w:r>
      <w:r>
        <w:t xml:space="preserve">non sono autorizzati (situazione a ottobre 2026). Per maridebart cafraglutide e amicretina esistono solo dati di fase 2; lo studio sull’amicretina comprendeva 125 persone, e il valore si riferisce alla dose più alta di uno studio di determinazione della dose.</w:t>
      </w:r>
    </w:p>
    <w:p>
      <w:pPr>
        <w:numPr>
          <w:ilvl w:val="0"/>
          <w:numId w:val="1325"/>
        </w:numPr>
        <w:pStyle w:val="Compact"/>
      </w:pPr>
      <w:r>
        <w:rPr>
          <w:bCs/>
          <w:b/>
        </w:rPr>
        <w:t xml:space="preserve">Mazdutide</w:t>
      </w:r>
      <w:r>
        <w:t xml:space="preserve"> </w:t>
      </w:r>
      <w:r>
        <w:t xml:space="preserve">è autorizzato solo in Cina. GLORY-1 ha incluso, secondo i criteri cinesi, persone con un BMI a partire da 28 (o 24 con malattie concomitanti); il peso iniziale medio era di 87,2 kg. In GLORY-2, con una dose più alta, dopo 60 settimane i valori sono stati del −16,65% contro il −1,50%</w:t>
      </w:r>
      <w:r>
        <w:rPr>
          <w:rStyle w:val="FootnoteReference"/>
        </w:rPr>
        <w:footnoteReference w:id="2540"/>
      </w:r>
      <w:r>
        <w:t xml:space="preserve">.</w:t>
      </w:r>
    </w:p>
    <w:p>
      <w:pPr>
        <w:numPr>
          <w:ilvl w:val="0"/>
          <w:numId w:val="1325"/>
        </w:numPr>
        <w:pStyle w:val="Compact"/>
      </w:pPr>
      <w:r>
        <w:rPr>
          <w:bCs/>
          <w:b/>
        </w:rPr>
        <w:t xml:space="preserve">Survodutide</w:t>
      </w:r>
      <w:r>
        <w:t xml:space="preserve"> </w:t>
      </w:r>
      <w:r>
        <w:t xml:space="preserve">si distingue per l’elevata perdita di peso nel gruppo placebo, pari al 5,4%; l’analisi principale ha tenuto espressamente conto anche delle interruzioni e delle titolazioni prolungate.</w:t>
      </w:r>
    </w:p>
    <w:p>
      <w:pPr>
        <w:pStyle w:val="FirstParagraph"/>
      </w:pPr>
      <w:r>
        <w:t xml:space="preserve">Colpisce una progressione a gradini: gli agonisti puri del GLP-1 raggiungono in media circa l’8–15%, la dose più alta di semaglutide poco meno del 19%, le combinazioni con GIP o amilina circa il 20%, il triplo agonista retatrutide il 25%. Questa sequenza è sostenuta dai confronti diretti SURMOUNT-5, STEP 8 e REDEFINE 5; per retatrutide il confronto diretto con tirzepatide è ancora in sospeso</w:t>
      </w:r>
      <w:r>
        <w:rPr>
          <w:rStyle w:val="FootnoteReference"/>
        </w:rPr>
        <w:footnoteReference w:id="2541"/>
      </w:r>
      <w:r>
        <w:t xml:space="preserve">.</w:t>
      </w:r>
    </w:p>
    <w:bookmarkStart w:id="2542" w:name="Xfad8735bd56011e16a09db7cc118624aac7af80"/>
    <w:p>
      <w:pPr>
        <w:pStyle w:val="Heading4"/>
      </w:pPr>
      <w:r>
        <w:t xml:space="preserve">Con il diabete di tipo 2 la perdita di peso è minore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Principio attivo</w:t>
            </w:r>
          </w:p>
        </w:tc>
        <w:tc>
          <w:tcPr/>
          <w:p>
            <w:pPr>
              <w:pStyle w:val="Compact"/>
              <w:jc w:val="left"/>
            </w:pPr>
            <w:r>
              <w:t xml:space="preserve">Studio</w:t>
            </w:r>
          </w:p>
        </w:tc>
        <w:tc>
          <w:tcPr/>
          <w:p>
            <w:pPr>
              <w:pStyle w:val="Compact"/>
              <w:jc w:val="left"/>
            </w:pPr>
            <w:r>
              <w:t xml:space="preserve">Durata</w:t>
            </w:r>
          </w:p>
        </w:tc>
        <w:tc>
          <w:tcPr/>
          <w:p>
            <w:pPr>
              <w:pStyle w:val="Compact"/>
              <w:jc w:val="left"/>
            </w:pPr>
            <w:r>
              <w:t xml:space="preserve">Perdita di peso vs. placebo</w:t>
            </w:r>
          </w:p>
        </w:tc>
      </w:tr>
      <w:tr>
        <w:tc>
          <w:tcPr/>
          <w:p>
            <w:pPr>
              <w:pStyle w:val="Compact"/>
              <w:jc w:val="left"/>
            </w:pPr>
            <w:r>
              <w:t xml:space="preserve">Liraglutide 3,0 mg</w:t>
            </w:r>
          </w:p>
        </w:tc>
        <w:tc>
          <w:tcPr/>
          <w:p>
            <w:pPr>
              <w:pStyle w:val="Compact"/>
              <w:jc w:val="left"/>
            </w:pPr>
            <w:r>
              <w:t xml:space="preserve">SCALE Diabetes (Davies 2015), PMID 26284720</w:t>
            </w:r>
          </w:p>
        </w:tc>
        <w:tc>
          <w:tcPr/>
          <w:p>
            <w:pPr>
              <w:pStyle w:val="Compact"/>
              <w:jc w:val="left"/>
            </w:pPr>
            <w:r>
              <w:t xml:space="preserve">56 settimane</w:t>
            </w:r>
          </w:p>
        </w:tc>
        <w:tc>
          <w:tcPr/>
          <w:p>
            <w:pPr>
              <w:pStyle w:val="Compact"/>
              <w:jc w:val="left"/>
            </w:pPr>
            <w:r>
              <w:t xml:space="preserve">−6,0% vs. −2,0%</w:t>
            </w:r>
          </w:p>
        </w:tc>
      </w:tr>
      <w:tr>
        <w:tc>
          <w:tcPr/>
          <w:p>
            <w:pPr>
              <w:pStyle w:val="Compact"/>
              <w:jc w:val="left"/>
            </w:pPr>
            <w:r>
              <w:t xml:space="preserve">Semaglutide 2,4 mg</w:t>
            </w:r>
          </w:p>
        </w:tc>
        <w:tc>
          <w:tcPr/>
          <w:p>
            <w:pPr>
              <w:pStyle w:val="Compact"/>
              <w:jc w:val="left"/>
            </w:pPr>
            <w:r>
              <w:t xml:space="preserve">STEP 2 (Davies 2021), PMID 33667417</w:t>
            </w:r>
          </w:p>
        </w:tc>
        <w:tc>
          <w:tcPr/>
          <w:p>
            <w:pPr>
              <w:pStyle w:val="Compact"/>
              <w:jc w:val="left"/>
            </w:pPr>
            <w:r>
              <w:t xml:space="preserve">68 settimane</w:t>
            </w:r>
          </w:p>
        </w:tc>
        <w:tc>
          <w:tcPr/>
          <w:p>
            <w:pPr>
              <w:pStyle w:val="Compact"/>
              <w:jc w:val="left"/>
            </w:pPr>
            <w:r>
              <w:t xml:space="preserve">−9,6% vs. −3,4%</w:t>
            </w:r>
          </w:p>
        </w:tc>
      </w:tr>
      <w:tr>
        <w:tc>
          <w:tcPr/>
          <w:p>
            <w:pPr>
              <w:pStyle w:val="Compact"/>
              <w:jc w:val="left"/>
            </w:pPr>
            <w:r>
              <w:t xml:space="preserve">Tirzepatide 10/15 mg</w:t>
            </w:r>
          </w:p>
        </w:tc>
        <w:tc>
          <w:tcPr/>
          <w:p>
            <w:pPr>
              <w:pStyle w:val="Compact"/>
              <w:jc w:val="left"/>
            </w:pPr>
            <w:r>
              <w:t xml:space="preserve">SURMOUNT-2 (Garvey 2023), PMID 37385275</w:t>
            </w:r>
          </w:p>
        </w:tc>
        <w:tc>
          <w:tcPr/>
          <w:p>
            <w:pPr>
              <w:pStyle w:val="Compact"/>
              <w:jc w:val="left"/>
            </w:pPr>
            <w:r>
              <w:t xml:space="preserve">72 settimane</w:t>
            </w:r>
          </w:p>
        </w:tc>
        <w:tc>
          <w:tcPr/>
          <w:p>
            <w:pPr>
              <w:pStyle w:val="Compact"/>
              <w:jc w:val="left"/>
            </w:pPr>
            <w:r>
              <w:t xml:space="preserve">−12,8 / −14,7% vs. −3,2%</w:t>
            </w:r>
          </w:p>
        </w:tc>
      </w:tr>
      <w:tr>
        <w:tc>
          <w:tcPr/>
          <w:p>
            <w:pPr>
              <w:pStyle w:val="Compact"/>
              <w:jc w:val="left"/>
            </w:pPr>
            <w:r>
              <w:t xml:space="preserve">CagriSema</w:t>
            </w:r>
          </w:p>
        </w:tc>
        <w:tc>
          <w:tcPr/>
          <w:p>
            <w:pPr>
              <w:pStyle w:val="Compact"/>
              <w:jc w:val="left"/>
            </w:pPr>
            <w:r>
              <w:t xml:space="preserve">REDEFINE 2 (Davies 2025), PMID 40544432</w:t>
            </w:r>
          </w:p>
        </w:tc>
        <w:tc>
          <w:tcPr/>
          <w:p>
            <w:pPr>
              <w:pStyle w:val="Compact"/>
              <w:jc w:val="left"/>
            </w:pPr>
            <w:r>
              <w:t xml:space="preserve">68 settimane</w:t>
            </w:r>
          </w:p>
        </w:tc>
        <w:tc>
          <w:tcPr/>
          <w:p>
            <w:pPr>
              <w:pStyle w:val="Compact"/>
              <w:jc w:val="left"/>
            </w:pPr>
            <w:r>
              <w:t xml:space="preserve">−13,7% vs. −3,4%</w:t>
            </w:r>
          </w:p>
        </w:tc>
      </w:tr>
      <w:tr>
        <w:tc>
          <w:tcPr/>
          <w:p>
            <w:pPr>
              <w:pStyle w:val="Compact"/>
              <w:jc w:val="left"/>
            </w:pPr>
            <w:r>
              <w:t xml:space="preserve">Retatrutide 12 mg</w:t>
            </w:r>
          </w:p>
        </w:tc>
        <w:tc>
          <w:tcPr/>
          <w:p>
            <w:pPr>
              <w:pStyle w:val="Compact"/>
              <w:jc w:val="left"/>
            </w:pPr>
            <w:r>
              <w:t xml:space="preserve">TRIUMPH-2 (Bellido 2026), PMID 42810372</w:t>
            </w:r>
          </w:p>
        </w:tc>
        <w:tc>
          <w:tcPr/>
          <w:p>
            <w:pPr>
              <w:pStyle w:val="Compact"/>
              <w:jc w:val="left"/>
            </w:pPr>
            <w:r>
              <w:t xml:space="preserve">80 settimane</w:t>
            </w:r>
          </w:p>
        </w:tc>
        <w:tc>
          <w:tcPr/>
          <w:p>
            <w:pPr>
              <w:pStyle w:val="Compact"/>
              <w:jc w:val="left"/>
            </w:pPr>
            <w:r>
              <w:t xml:space="preserve">−18,8% vs. −5,1%</w:t>
            </w:r>
          </w:p>
        </w:tc>
      </w:tr>
      <w:tr>
        <w:tc>
          <w:tcPr/>
          <w:p>
            <w:pPr>
              <w:pStyle w:val="Compact"/>
              <w:jc w:val="left"/>
            </w:pPr>
            <w:r>
              <w:t xml:space="preserve">Survodutide</w:t>
            </w:r>
          </w:p>
        </w:tc>
        <w:tc>
          <w:tcPr/>
          <w:p>
            <w:pPr>
              <w:pStyle w:val="Compact"/>
              <w:jc w:val="left"/>
            </w:pPr>
            <w:r>
              <w:t xml:space="preserve">SYNCHRONIZE-2 (Wharton 2026), PMID 42820639</w:t>
            </w:r>
          </w:p>
        </w:tc>
        <w:tc>
          <w:tcPr/>
          <w:p>
            <w:pPr>
              <w:pStyle w:val="Compact"/>
              <w:jc w:val="left"/>
            </w:pPr>
            <w:r>
              <w:t xml:space="preserve">76 settimane</w:t>
            </w:r>
          </w:p>
        </w:tc>
        <w:tc>
          <w:tcPr/>
          <w:p>
            <w:pPr>
              <w:pStyle w:val="Compact"/>
              <w:jc w:val="left"/>
            </w:pPr>
            <w:r>
              <w:t xml:space="preserve">−8,2 / −9,8% vs. −3,9%</w:t>
            </w:r>
          </w:p>
        </w:tc>
      </w:tr>
      <w:tr>
        <w:tc>
          <w:tcPr/>
          <w:p>
            <w:pPr>
              <w:pStyle w:val="Compact"/>
              <w:jc w:val="left"/>
            </w:pPr>
            <w:r>
              <w:t xml:space="preserve">Orforglipron</w:t>
            </w:r>
          </w:p>
        </w:tc>
        <w:tc>
          <w:tcPr/>
          <w:p>
            <w:pPr>
              <w:pStyle w:val="Compact"/>
              <w:jc w:val="left"/>
            </w:pPr>
            <w:r>
              <w:t xml:space="preserve">ATTAIN-2 (Horn 2026), PMID 41275875</w:t>
            </w:r>
          </w:p>
        </w:tc>
        <w:tc>
          <w:tcPr/>
          <w:p>
            <w:pPr>
              <w:pStyle w:val="Compact"/>
              <w:jc w:val="left"/>
            </w:pPr>
            <w:r>
              <w:t xml:space="preserve">72 settimane</w:t>
            </w:r>
          </w:p>
        </w:tc>
        <w:tc>
          <w:tcPr/>
          <w:p>
            <w:pPr>
              <w:pStyle w:val="Compact"/>
              <w:jc w:val="left"/>
            </w:pPr>
            <w:r>
              <w:t xml:space="preserve">da −5,1 a −9,6% vs. −2,5%</w:t>
            </w:r>
          </w:p>
        </w:tc>
      </w:tr>
    </w:tbl>
    <w:p>
      <w:pPr>
        <w:pStyle w:val="BodyText"/>
      </w:pPr>
      <w:r>
        <w:t xml:space="preserve">Per ogni principio attivo il valore in presenza di diabete è nettamente più basso che in sua assenza, di solito di un quarto fino a un terzo. Questo schema è così costante che il confronto di uno studio sul diabete con uno studio sull’obesità senza diabete porta sempre fuori strada.</w:t>
      </w:r>
    </w:p>
    <w:bookmarkEnd w:id="2542"/>
    <w:bookmarkStart w:id="2545" w:name="dopo-la-sospensione"/>
    <w:p>
      <w:pPr>
        <w:pStyle w:val="Heading4"/>
      </w:pPr>
      <w:r>
        <w:t xml:space="preserve">Dopo la sospensione</w:t>
      </w:r>
    </w:p>
    <w:p>
      <w:pPr>
        <w:pStyle w:val="FirstParagraph"/>
      </w:pPr>
      <w:r>
        <w:t xml:space="preserve">Due studi hanno esaminato in modo mirato che cosa accade dopo la sospensione. In STEP 4 tutti i partecipanti hanno ricevuto inizialmente 20 settimane di semaglutide; in seguito il gruppo passato al placebo ha ripreso il 6,9% del peso in 48 settimane, mentre il gruppo con semaglutide ha perso un ulteriore 7,9%</w:t>
      </w:r>
      <w:r>
        <w:rPr>
          <w:rStyle w:val="FootnoteReference"/>
        </w:rPr>
        <w:footnoteReference w:id="2543"/>
      </w:r>
      <w:r>
        <w:t xml:space="preserve">. In SURMOUNT-4, dopo 36 settimane di tirzepatide, il gruppo placebo ha ripreso il 14,0% nelle 52 settimane successive</w:t>
      </w:r>
      <w:r>
        <w:rPr>
          <w:rStyle w:val="FootnoteReference"/>
        </w:rPr>
        <w:footnoteReference w:id="2544"/>
      </w:r>
      <w:r>
        <w:t xml:space="preserve">. Per entrambi i principi attivi vale: l’effetto dura solo finché si prosegue il trattamento. Per i principi attivi più recenti non esistono ancora dati pubblicati al riguardo.</w:t>
      </w:r>
    </w:p>
    <w:bookmarkEnd w:id="2545"/>
    <w:bookmarkEnd w:id="2546"/>
    <w:bookmarkStart w:id="2548" w:name="glicemia-hba1c"/>
    <w:p>
      <w:pPr>
        <w:pStyle w:val="Heading3"/>
      </w:pPr>
      <w:r>
        <w:t xml:space="preserve">Glicemia: HbA1c</w:t>
      </w:r>
    </w:p>
    <w:p>
      <w:pPr>
        <w:pStyle w:val="FirstParagraph"/>
      </w:pPr>
      <w:r>
        <w:t xml:space="preserve">Il valore di HbA1c («emoglobina glicata») indica quale quota del pigmento rosso del sangue è legata allo zucchero e rispecchia la glicemia media degli ultimi due o tre mesi. Una riduzione di un punto percentuale è considerata clinicamente rilevante. Quanto il valore diminuisca dipende molto dal valore di partenza: chi parte da 9% può scendere di più di chi parte da 7,5%.</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Principio attivo</w:t>
            </w:r>
          </w:p>
        </w:tc>
        <w:tc>
          <w:tcPr/>
          <w:p>
            <w:pPr>
              <w:pStyle w:val="Compact"/>
              <w:jc w:val="left"/>
            </w:pPr>
            <w:r>
              <w:t xml:space="preserve">Studio</w:t>
            </w:r>
          </w:p>
        </w:tc>
        <w:tc>
          <w:tcPr/>
          <w:p>
            <w:pPr>
              <w:pStyle w:val="Compact"/>
              <w:jc w:val="left"/>
            </w:pPr>
            <w:r>
              <w:t xml:space="preserve">Durata</w:t>
            </w:r>
          </w:p>
        </w:tc>
        <w:tc>
          <w:tcPr/>
          <w:p>
            <w:pPr>
              <w:pStyle w:val="Compact"/>
              <w:jc w:val="left"/>
            </w:pPr>
            <w:r>
              <w:t xml:space="preserve">Variazione di HbA1c (punti percentuali)</w:t>
            </w:r>
          </w:p>
        </w:tc>
      </w:tr>
      <w:tr>
        <w:tc>
          <w:tcPr/>
          <w:p>
            <w:pPr>
              <w:pStyle w:val="Compact"/>
              <w:jc w:val="left"/>
            </w:pPr>
            <w:r>
              <w:t xml:space="preserve">Exenatide due volte al giorno</w:t>
            </w:r>
          </w:p>
        </w:tc>
        <w:tc>
          <w:tcPr/>
          <w:p>
            <w:pPr>
              <w:pStyle w:val="Compact"/>
              <w:jc w:val="left"/>
            </w:pPr>
            <w:r>
              <w:t xml:space="preserve">DeFronzo 2005, PMID 15855572</w:t>
            </w:r>
          </w:p>
        </w:tc>
        <w:tc>
          <w:tcPr/>
          <w:p>
            <w:pPr>
              <w:pStyle w:val="Compact"/>
              <w:jc w:val="left"/>
            </w:pPr>
            <w:r>
              <w:t xml:space="preserve">30 settimane</w:t>
            </w:r>
          </w:p>
        </w:tc>
        <w:tc>
          <w:tcPr/>
          <w:p>
            <w:pPr>
              <w:pStyle w:val="Compact"/>
              <w:jc w:val="left"/>
            </w:pPr>
            <w:r>
              <w:t xml:space="preserve">−0,78 vs. +0,08 (placebo)</w:t>
            </w:r>
          </w:p>
        </w:tc>
      </w:tr>
      <w:tr>
        <w:tc>
          <w:tcPr/>
          <w:p>
            <w:pPr>
              <w:pStyle w:val="Compact"/>
              <w:jc w:val="left"/>
            </w:pPr>
            <w:r>
              <w:t xml:space="preserve">Pramlintide</w:t>
            </w:r>
          </w:p>
        </w:tc>
        <w:tc>
          <w:tcPr/>
          <w:p>
            <w:pPr>
              <w:pStyle w:val="Compact"/>
              <w:jc w:val="left"/>
            </w:pPr>
            <w:r>
              <w:t xml:space="preserve">Hollander 2003, PMID 12610038</w:t>
            </w:r>
          </w:p>
        </w:tc>
        <w:tc>
          <w:tcPr/>
          <w:p>
            <w:pPr>
              <w:pStyle w:val="Compact"/>
              <w:jc w:val="left"/>
            </w:pPr>
            <w:r>
              <w:t xml:space="preserve">52 settimane</w:t>
            </w:r>
          </w:p>
        </w:tc>
        <w:tc>
          <w:tcPr/>
          <w:p>
            <w:pPr>
              <w:pStyle w:val="Compact"/>
              <w:jc w:val="left"/>
            </w:pPr>
            <w:r>
              <w:t xml:space="preserve">−0,62 (in aggiunta all’insulina)</w:t>
            </w:r>
          </w:p>
        </w:tc>
      </w:tr>
      <w:tr>
        <w:tc>
          <w:tcPr/>
          <w:p>
            <w:pPr>
              <w:pStyle w:val="Compact"/>
              <w:jc w:val="left"/>
            </w:pPr>
            <w:r>
              <w:t xml:space="preserve">Liraglutide 1,8 mg</w:t>
            </w:r>
          </w:p>
        </w:tc>
        <w:tc>
          <w:tcPr/>
          <w:p>
            <w:pPr>
              <w:pStyle w:val="Compact"/>
              <w:jc w:val="left"/>
            </w:pPr>
            <w:r>
              <w:t xml:space="preserve">LEAD-3 (Garber 2009), PMID 18819705</w:t>
            </w:r>
          </w:p>
        </w:tc>
        <w:tc>
          <w:tcPr/>
          <w:p>
            <w:pPr>
              <w:pStyle w:val="Compact"/>
              <w:jc w:val="left"/>
            </w:pPr>
            <w:r>
              <w:t xml:space="preserve">52 settimane</w:t>
            </w:r>
          </w:p>
        </w:tc>
        <w:tc>
          <w:tcPr/>
          <w:p>
            <w:pPr>
              <w:pStyle w:val="Compact"/>
              <w:jc w:val="left"/>
            </w:pPr>
            <w:r>
              <w:t xml:space="preserve">−1,14 vs. −0,51 (glimepiride)</w:t>
            </w:r>
          </w:p>
        </w:tc>
      </w:tr>
      <w:tr>
        <w:tc>
          <w:tcPr/>
          <w:p>
            <w:pPr>
              <w:pStyle w:val="Compact"/>
              <w:jc w:val="left"/>
            </w:pPr>
            <w:r>
              <w:t xml:space="preserve">Dulaglutide 4,5 mg</w:t>
            </w:r>
          </w:p>
        </w:tc>
        <w:tc>
          <w:tcPr/>
          <w:p>
            <w:pPr>
              <w:pStyle w:val="Compact"/>
              <w:jc w:val="left"/>
            </w:pPr>
            <w:r>
              <w:t xml:space="preserve">AWARD-11 (Frias 2021), PMID 33397768</w:t>
            </w:r>
          </w:p>
        </w:tc>
        <w:tc>
          <w:tcPr/>
          <w:p>
            <w:pPr>
              <w:pStyle w:val="Compact"/>
              <w:jc w:val="left"/>
            </w:pPr>
            <w:r>
              <w:t xml:space="preserve">36 settimane</w:t>
            </w:r>
          </w:p>
        </w:tc>
        <w:tc>
          <w:tcPr/>
          <w:p>
            <w:pPr>
              <w:pStyle w:val="Compact"/>
              <w:jc w:val="left"/>
            </w:pPr>
            <w:r>
              <w:t xml:space="preserve">−1,77 vs. −1,54 (1,5 mg)</w:t>
            </w:r>
          </w:p>
        </w:tc>
      </w:tr>
      <w:tr>
        <w:tc>
          <w:tcPr/>
          <w:p>
            <w:pPr>
              <w:pStyle w:val="Compact"/>
              <w:jc w:val="left"/>
            </w:pPr>
            <w:r>
              <w:t xml:space="preserve">Semaglutide 1,0 mg</w:t>
            </w:r>
          </w:p>
        </w:tc>
        <w:tc>
          <w:tcPr/>
          <w:p>
            <w:pPr>
              <w:pStyle w:val="Compact"/>
              <w:jc w:val="left"/>
            </w:pPr>
            <w:r>
              <w:t xml:space="preserve">SUSTAIN 1 (Sorli 2017), PMID 28110911</w:t>
            </w:r>
          </w:p>
        </w:tc>
        <w:tc>
          <w:tcPr/>
          <w:p>
            <w:pPr>
              <w:pStyle w:val="Compact"/>
              <w:jc w:val="left"/>
            </w:pPr>
            <w:r>
              <w:t xml:space="preserve">30 settimane</w:t>
            </w:r>
          </w:p>
        </w:tc>
        <w:tc>
          <w:tcPr/>
          <w:p>
            <w:pPr>
              <w:pStyle w:val="Compact"/>
              <w:jc w:val="left"/>
            </w:pPr>
            <w:r>
              <w:t xml:space="preserve">−1,55 vs. −0,02 (placebo)</w:t>
            </w:r>
          </w:p>
        </w:tc>
      </w:tr>
      <w:tr>
        <w:tc>
          <w:tcPr/>
          <w:p>
            <w:pPr>
              <w:pStyle w:val="Compact"/>
              <w:jc w:val="left"/>
            </w:pPr>
            <w:r>
              <w:t xml:space="preserve">Semaglutide 2,0 mg</w:t>
            </w:r>
          </w:p>
        </w:tc>
        <w:tc>
          <w:tcPr/>
          <w:p>
            <w:pPr>
              <w:pStyle w:val="Compact"/>
              <w:jc w:val="left"/>
            </w:pPr>
            <w:r>
              <w:t xml:space="preserve">SUSTAIN FORTE (Frías 2021), PMID 34293304</w:t>
            </w:r>
          </w:p>
        </w:tc>
        <w:tc>
          <w:tcPr/>
          <w:p>
            <w:pPr>
              <w:pStyle w:val="Compact"/>
              <w:jc w:val="left"/>
            </w:pPr>
            <w:r>
              <w:t xml:space="preserve">40 settimane</w:t>
            </w:r>
          </w:p>
        </w:tc>
        <w:tc>
          <w:tcPr/>
          <w:p>
            <w:pPr>
              <w:pStyle w:val="Compact"/>
              <w:jc w:val="left"/>
            </w:pPr>
            <w:r>
              <w:t xml:space="preserve">−2,2 vs. −1,9 (1,0 mg)</w:t>
            </w:r>
          </w:p>
        </w:tc>
      </w:tr>
      <w:tr>
        <w:tc>
          <w:tcPr/>
          <w:p>
            <w:pPr>
              <w:pStyle w:val="Compact"/>
              <w:jc w:val="left"/>
            </w:pPr>
            <w:r>
              <w:t xml:space="preserve">Tirzepatide 5–15 mg</w:t>
            </w:r>
          </w:p>
        </w:tc>
        <w:tc>
          <w:tcPr/>
          <w:p>
            <w:pPr>
              <w:pStyle w:val="Compact"/>
              <w:jc w:val="left"/>
            </w:pPr>
            <w:r>
              <w:t xml:space="preserve">SURPASS-1 (Rosenstock 2021), PMID 34186022</w:t>
            </w:r>
          </w:p>
        </w:tc>
        <w:tc>
          <w:tcPr/>
          <w:p>
            <w:pPr>
              <w:pStyle w:val="Compact"/>
              <w:jc w:val="left"/>
            </w:pPr>
            <w:r>
              <w:t xml:space="preserve">40 settimane</w:t>
            </w:r>
          </w:p>
        </w:tc>
        <w:tc>
          <w:tcPr/>
          <w:p>
            <w:pPr>
              <w:pStyle w:val="Compact"/>
              <w:jc w:val="left"/>
            </w:pPr>
            <w:r>
              <w:t xml:space="preserve">da −1,87 a −2,07 vs. +0,04 (placebo)</w:t>
            </w:r>
          </w:p>
        </w:tc>
      </w:tr>
      <w:tr>
        <w:tc>
          <w:tcPr/>
          <w:p>
            <w:pPr>
              <w:pStyle w:val="Compact"/>
              <w:jc w:val="left"/>
            </w:pPr>
            <w:r>
              <w:t xml:space="preserve">Retatrutide</w:t>
            </w:r>
          </w:p>
        </w:tc>
        <w:tc>
          <w:tcPr/>
          <w:p>
            <w:pPr>
              <w:pStyle w:val="Compact"/>
              <w:jc w:val="left"/>
            </w:pPr>
            <w:r>
              <w:t xml:space="preserve">TRANSCEND-T2D-1 (Bajaj 2026), PMID 42250575</w:t>
            </w:r>
          </w:p>
        </w:tc>
        <w:tc>
          <w:tcPr/>
          <w:p>
            <w:pPr>
              <w:pStyle w:val="Compact"/>
              <w:jc w:val="left"/>
            </w:pPr>
            <w:r>
              <w:t xml:space="preserve">40 settimane</w:t>
            </w:r>
          </w:p>
        </w:tc>
        <w:tc>
          <w:tcPr/>
          <w:p>
            <w:pPr>
              <w:pStyle w:val="Compact"/>
              <w:jc w:val="left"/>
            </w:pPr>
            <w:r>
              <w:t xml:space="preserve">da −1,69 a −1,94 vs. −0,81 (placebo)</w:t>
            </w:r>
          </w:p>
        </w:tc>
      </w:tr>
      <w:tr>
        <w:tc>
          <w:tcPr/>
          <w:p>
            <w:pPr>
              <w:pStyle w:val="Compact"/>
              <w:jc w:val="left"/>
            </w:pPr>
            <w:r>
              <w:t xml:space="preserve">Mazdutide</w:t>
            </w:r>
          </w:p>
        </w:tc>
        <w:tc>
          <w:tcPr/>
          <w:p>
            <w:pPr>
              <w:pStyle w:val="Compact"/>
              <w:jc w:val="left"/>
            </w:pPr>
            <w:r>
              <w:t xml:space="preserve">DREAMS-1 (Zhu 2026), PMID 41407859</w:t>
            </w:r>
          </w:p>
        </w:tc>
        <w:tc>
          <w:tcPr/>
          <w:p>
            <w:pPr>
              <w:pStyle w:val="Compact"/>
              <w:jc w:val="left"/>
            </w:pPr>
            <w:r>
              <w:t xml:space="preserve">24 settimane</w:t>
            </w:r>
          </w:p>
        </w:tc>
        <w:tc>
          <w:tcPr/>
          <w:p>
            <w:pPr>
              <w:pStyle w:val="Compact"/>
              <w:jc w:val="left"/>
            </w:pPr>
            <w:r>
              <w:t xml:space="preserve">−1,57 / −2,15 vs. −0,14 (placebo)</w:t>
            </w:r>
          </w:p>
        </w:tc>
      </w:tr>
      <w:tr>
        <w:tc>
          <w:tcPr/>
          <w:p>
            <w:pPr>
              <w:pStyle w:val="Compact"/>
              <w:jc w:val="left"/>
            </w:pPr>
            <w:r>
              <w:t xml:space="preserve">CagriSema</w:t>
            </w:r>
          </w:p>
        </w:tc>
        <w:tc>
          <w:tcPr/>
          <w:p>
            <w:pPr>
              <w:pStyle w:val="Compact"/>
              <w:jc w:val="left"/>
            </w:pPr>
            <w:r>
              <w:t xml:space="preserve">REIMAGINE 1 (Aroda 2026), PMID 42251860</w:t>
            </w:r>
          </w:p>
        </w:tc>
        <w:tc>
          <w:tcPr/>
          <w:p>
            <w:pPr>
              <w:pStyle w:val="Compact"/>
              <w:jc w:val="left"/>
            </w:pPr>
            <w:r>
              <w:t xml:space="preserve">40 settimane</w:t>
            </w:r>
          </w:p>
        </w:tc>
        <w:tc>
          <w:tcPr/>
          <w:p>
            <w:pPr>
              <w:pStyle w:val="Compact"/>
              <w:jc w:val="left"/>
            </w:pPr>
            <w:r>
              <w:t xml:space="preserve">−1,8 vs. −0,1 (placebo)</w:t>
            </w:r>
          </w:p>
        </w:tc>
      </w:tr>
      <w:tr>
        <w:tc>
          <w:tcPr/>
          <w:p>
            <w:pPr>
              <w:pStyle w:val="Compact"/>
              <w:jc w:val="left"/>
            </w:pPr>
            <w:r>
              <w:t xml:space="preserve">Maridebart cafraglutide</w:t>
            </w:r>
          </w:p>
        </w:tc>
        <w:tc>
          <w:tcPr/>
          <w:p>
            <w:pPr>
              <w:pStyle w:val="Compact"/>
              <w:jc w:val="left"/>
            </w:pPr>
            <w:r>
              <w:t xml:space="preserve">Fase 2 (Jastreboff 2025), PMID 40549887</w:t>
            </w:r>
          </w:p>
        </w:tc>
        <w:tc>
          <w:tcPr/>
          <w:p>
            <w:pPr>
              <w:pStyle w:val="Compact"/>
              <w:jc w:val="left"/>
            </w:pPr>
            <w:r>
              <w:t xml:space="preserve">52 settimane</w:t>
            </w:r>
          </w:p>
        </w:tc>
        <w:tc>
          <w:tcPr/>
          <w:p>
            <w:pPr>
              <w:pStyle w:val="Compact"/>
              <w:jc w:val="left"/>
            </w:pPr>
            <w:r>
              <w:t xml:space="preserve">da −1,2 a −1,6 vs. +0,1 (placebo)</w:t>
            </w:r>
          </w:p>
        </w:tc>
      </w:tr>
      <w:tr>
        <w:tc>
          <w:tcPr/>
          <w:p>
            <w:pPr>
              <w:pStyle w:val="Compact"/>
              <w:jc w:val="left"/>
            </w:pPr>
            <w:r>
              <w:t xml:space="preserve">Orforglipron</w:t>
            </w:r>
          </w:p>
        </w:tc>
        <w:tc>
          <w:tcPr/>
          <w:p>
            <w:pPr>
              <w:pStyle w:val="Compact"/>
              <w:jc w:val="left"/>
            </w:pPr>
            <w:r>
              <w:t xml:space="preserve">ACHIEVE-1 (Rosenstock 2025), PMID 40544435</w:t>
            </w:r>
          </w:p>
        </w:tc>
        <w:tc>
          <w:tcPr/>
          <w:p>
            <w:pPr>
              <w:pStyle w:val="Compact"/>
              <w:jc w:val="left"/>
            </w:pPr>
            <w:r>
              <w:t xml:space="preserve">40 settimane</w:t>
            </w:r>
          </w:p>
        </w:tc>
        <w:tc>
          <w:tcPr/>
          <w:p>
            <w:pPr>
              <w:pStyle w:val="Compact"/>
              <w:jc w:val="left"/>
            </w:pPr>
            <w:r>
              <w:t xml:space="preserve">da −1,24 a −1,48 vs. −0,41 (placebo)</w:t>
            </w:r>
          </w:p>
        </w:tc>
      </w:tr>
    </w:tbl>
    <w:p>
      <w:pPr>
        <w:pStyle w:val="BodyText"/>
      </w:pPr>
      <w:r>
        <w:t xml:space="preserve">I principi attivi più vecchi, exenatide e pramlintide, riducono l’HbA1c di meno di un punto percentuale, gli agonisti del GLP-1 settimanali di circa 1,5 punti, tirzepatide e i nuovi agonisti multipli di circa 2 punti. Per la glicemia le differenze tra i principi attivi più recenti sono minori che per il peso. Lo mostra con particolare chiarezza REIMAGINE 2: lì CagriSema ha ridotto l’HbA1c solo di 0,16 punti percentuali in più rispetto a semaglutide 2,4 mg da solo (−1,91 vs. −1,75; Buse 2026, PMID 42251859). L’aggiunta di amilina agisce quindi soprattutto sul peso.</w:t>
      </w:r>
    </w:p>
    <w:p>
      <w:pPr>
        <w:pStyle w:val="BodyText"/>
      </w:pPr>
      <w:r>
        <w:t xml:space="preserve">Una differenza importante riguarda l’ipoglicemia. Poiché il GLP-1 potenzia la secrezione di insulina solo quando la glicemia è elevata, le ipoglicemie con questi farmaci da soli sono rare. Diventano più frequenti se si assumono contemporaneamente insulina o sulfoniluree. Con pramlintide, che si usa solo in aggiunta all’insulina ai pasti, l’ipoglicemia grave è il rischio principale</w:t>
      </w:r>
      <w:r>
        <w:rPr>
          <w:rStyle w:val="FootnoteReference"/>
        </w:rPr>
        <w:footnoteReference w:id="2547"/>
      </w:r>
      <w:r>
        <w:t xml:space="preserve">.</w:t>
      </w:r>
    </w:p>
    <w:bookmarkEnd w:id="2548"/>
    <w:bookmarkStart w:id="2556" w:name="studi-di-esito-cardiovascolare"/>
    <w:p>
      <w:pPr>
        <w:pStyle w:val="Heading3"/>
      </w:pPr>
      <w:r>
        <w:t xml:space="preserve">Studi di esito cardiovascolare</w:t>
      </w:r>
    </w:p>
    <w:p>
      <w:pPr>
        <w:pStyle w:val="FirstParagraph"/>
      </w:pPr>
      <w:r>
        <w:t xml:space="preserve">Gli studi di esito non misurano valori di laboratorio, ma eventi che contano per i pazienti: morte cardiovascolare, infarto e ictus, riassunti come «MACE» (major adverse cardiovascular events). L’hazard ratio (HR) indica quanto era alto il rischio rispetto al gruppo di controllo; 0,80 significa un rischio relativo inferiore del 20%.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 (principio attivo)</w:t>
            </w:r>
          </w:p>
        </w:tc>
        <w:tc>
          <w:tcPr/>
          <w:p>
            <w:pPr>
              <w:pStyle w:val="Compact"/>
              <w:jc w:val="left"/>
            </w:pPr>
            <w:r>
              <w:t xml:space="preserve">Partecipanti</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LEADER (liraglutide; Marso 2016), PMID 27295427</w:t>
            </w:r>
          </w:p>
        </w:tc>
        <w:tc>
          <w:tcPr/>
          <w:p>
            <w:pPr>
              <w:pStyle w:val="Compact"/>
              <w:jc w:val="left"/>
            </w:pPr>
            <w:r>
              <w:t xml:space="preserve">9.340 con diabete di tipo 2 e rischio elevato</w:t>
            </w:r>
          </w:p>
        </w:tc>
        <w:tc>
          <w:tcPr/>
          <w:p>
            <w:pPr>
              <w:pStyle w:val="Compact"/>
              <w:jc w:val="left"/>
            </w:pPr>
            <w:r>
              <w:t xml:space="preserve">mediana 3,8 anni</w:t>
            </w:r>
          </w:p>
        </w:tc>
        <w:tc>
          <w:tcPr/>
          <w:p>
            <w:pPr>
              <w:pStyle w:val="Compact"/>
              <w:jc w:val="left"/>
            </w:pPr>
            <w:r>
              <w:t xml:space="preserve">13,0% vs. 14,9%; HR 0,87</w:t>
            </w:r>
          </w:p>
        </w:tc>
      </w:tr>
      <w:tr>
        <w:tc>
          <w:tcPr/>
          <w:p>
            <w:pPr>
              <w:pStyle w:val="Compact"/>
              <w:jc w:val="left"/>
            </w:pPr>
            <w:r>
              <w:t xml:space="preserve">SUSTAIN 6 (semaglutide; Marso 2016), PMID 27633186</w:t>
            </w:r>
          </w:p>
        </w:tc>
        <w:tc>
          <w:tcPr/>
          <w:p>
            <w:pPr>
              <w:pStyle w:val="Compact"/>
              <w:jc w:val="left"/>
            </w:pPr>
            <w:r>
              <w:t xml:space="preserve">3.297 con diabete di tipo 2 e rischio elevato</w:t>
            </w:r>
          </w:p>
        </w:tc>
        <w:tc>
          <w:tcPr/>
          <w:p>
            <w:pPr>
              <w:pStyle w:val="Compact"/>
              <w:jc w:val="left"/>
            </w:pPr>
            <w:r>
              <w:t xml:space="preserve">104 settimane</w:t>
            </w:r>
          </w:p>
        </w:tc>
        <w:tc>
          <w:tcPr/>
          <w:p>
            <w:pPr>
              <w:pStyle w:val="Compact"/>
              <w:jc w:val="left"/>
            </w:pPr>
            <w:r>
              <w:t xml:space="preserve">6,6% vs. 8,9%; HR 0,74</w:t>
            </w:r>
          </w:p>
        </w:tc>
      </w:tr>
      <w:tr>
        <w:tc>
          <w:tcPr/>
          <w:p>
            <w:pPr>
              <w:pStyle w:val="Compact"/>
              <w:jc w:val="left"/>
            </w:pPr>
            <w:r>
              <w:t xml:space="preserve">PIONEER 6 (semaglutide compressa; Husain 2019), PMID 31185157</w:t>
            </w:r>
          </w:p>
        </w:tc>
        <w:tc>
          <w:tcPr/>
          <w:p>
            <w:pPr>
              <w:pStyle w:val="Compact"/>
              <w:jc w:val="left"/>
            </w:pPr>
            <w:r>
              <w:t xml:space="preserve">3.183 con diabete di tipo 2 e rischio elevato</w:t>
            </w:r>
          </w:p>
        </w:tc>
        <w:tc>
          <w:tcPr/>
          <w:p>
            <w:pPr>
              <w:pStyle w:val="Compact"/>
              <w:jc w:val="left"/>
            </w:pPr>
            <w:r>
              <w:t xml:space="preserve">mediana 15,9 mesi</w:t>
            </w:r>
          </w:p>
        </w:tc>
        <w:tc>
          <w:tcPr/>
          <w:p>
            <w:pPr>
              <w:pStyle w:val="Compact"/>
              <w:jc w:val="left"/>
            </w:pPr>
            <w:r>
              <w:t xml:space="preserve">3,8% vs. 4,8%; HR 0,79, dimostrata solo la non inferiorità</w:t>
            </w:r>
          </w:p>
        </w:tc>
      </w:tr>
      <w:tr>
        <w:tc>
          <w:tcPr/>
          <w:p>
            <w:pPr>
              <w:pStyle w:val="Compact"/>
              <w:jc w:val="left"/>
            </w:pPr>
            <w:r>
              <w:t xml:space="preserve">SOUL (semaglutide compressa; McGuire 2025), PMID 40162642</w:t>
            </w:r>
          </w:p>
        </w:tc>
        <w:tc>
          <w:tcPr/>
          <w:p>
            <w:pPr>
              <w:pStyle w:val="Compact"/>
              <w:jc w:val="left"/>
            </w:pPr>
            <w:r>
              <w:t xml:space="preserve">9.650 con diabete di tipo 2 e malattia vascolare o renale</w:t>
            </w:r>
          </w:p>
        </w:tc>
        <w:tc>
          <w:tcPr/>
          <w:p>
            <w:pPr>
              <w:pStyle w:val="Compact"/>
              <w:jc w:val="left"/>
            </w:pPr>
            <w:r>
              <w:t xml:space="preserve">mediana 49,5 mesi</w:t>
            </w:r>
          </w:p>
        </w:tc>
        <w:tc>
          <w:tcPr/>
          <w:p>
            <w:pPr>
              <w:pStyle w:val="Compact"/>
              <w:jc w:val="left"/>
            </w:pPr>
            <w:r>
              <w:t xml:space="preserve">12,0% vs. 13,8%; HR 0,86</w:t>
            </w:r>
          </w:p>
        </w:tc>
      </w:tr>
      <w:tr>
        <w:tc>
          <w:tcPr/>
          <w:p>
            <w:pPr>
              <w:pStyle w:val="Compact"/>
              <w:jc w:val="left"/>
            </w:pPr>
            <w:r>
              <w:t xml:space="preserve">SELECT (semaglutide 2,4 mg; Lincoff 2023), PMID 37952131</w:t>
            </w:r>
          </w:p>
        </w:tc>
        <w:tc>
          <w:tcPr/>
          <w:p>
            <w:pPr>
              <w:pStyle w:val="Compact"/>
              <w:jc w:val="left"/>
            </w:pPr>
            <w:r>
              <w:t xml:space="preserve">17.604 con sovrappeso e malattia cardiovascolare, senza diabete</w:t>
            </w:r>
          </w:p>
        </w:tc>
        <w:tc>
          <w:tcPr/>
          <w:p>
            <w:pPr>
              <w:pStyle w:val="Compact"/>
              <w:jc w:val="left"/>
            </w:pPr>
            <w:r>
              <w:t xml:space="preserve">in media 39,8 mesi</w:t>
            </w:r>
          </w:p>
        </w:tc>
        <w:tc>
          <w:tcPr/>
          <w:p>
            <w:pPr>
              <w:pStyle w:val="Compact"/>
              <w:jc w:val="left"/>
            </w:pPr>
            <w:r>
              <w:t xml:space="preserve">6,5% vs. 8,0%; HR 0,80</w:t>
            </w:r>
          </w:p>
        </w:tc>
      </w:tr>
      <w:tr>
        <w:tc>
          <w:tcPr/>
          <w:p>
            <w:pPr>
              <w:pStyle w:val="Compact"/>
              <w:jc w:val="left"/>
            </w:pPr>
            <w:r>
              <w:t xml:space="preserve">REWIND (dulaglutide; Gerstein 2019), PMID 31189511</w:t>
            </w:r>
          </w:p>
        </w:tc>
        <w:tc>
          <w:tcPr/>
          <w:p>
            <w:pPr>
              <w:pStyle w:val="Compact"/>
              <w:jc w:val="left"/>
            </w:pPr>
            <w:r>
              <w:t xml:space="preserve">9.901 con diabete di tipo 2, con o senza malattia cardiovascolare pregressa</w:t>
            </w:r>
          </w:p>
        </w:tc>
        <w:tc>
          <w:tcPr/>
          <w:p>
            <w:pPr>
              <w:pStyle w:val="Compact"/>
              <w:jc w:val="left"/>
            </w:pPr>
            <w:r>
              <w:t xml:space="preserve">mediana 5,4 anni</w:t>
            </w:r>
          </w:p>
        </w:tc>
        <w:tc>
          <w:tcPr/>
          <w:p>
            <w:pPr>
              <w:pStyle w:val="Compact"/>
              <w:jc w:val="left"/>
            </w:pPr>
            <w:r>
              <w:t xml:space="preserve">12,0% vs. 13,4%; HR 0,88</w:t>
            </w:r>
          </w:p>
        </w:tc>
      </w:tr>
      <w:tr>
        <w:tc>
          <w:tcPr/>
          <w:p>
            <w:pPr>
              <w:pStyle w:val="Compact"/>
              <w:jc w:val="left"/>
            </w:pPr>
            <w:r>
              <w:t xml:space="preserve">EXSCEL (exenatide settimanale; Holman 2017), PMID 28910237</w:t>
            </w:r>
          </w:p>
        </w:tc>
        <w:tc>
          <w:tcPr/>
          <w:p>
            <w:pPr>
              <w:pStyle w:val="Compact"/>
              <w:jc w:val="left"/>
            </w:pPr>
            <w:r>
              <w:t xml:space="preserve">14.752 con diabete di tipo 2</w:t>
            </w:r>
          </w:p>
        </w:tc>
        <w:tc>
          <w:tcPr/>
          <w:p>
            <w:pPr>
              <w:pStyle w:val="Compact"/>
              <w:jc w:val="left"/>
            </w:pPr>
            <w:r>
              <w:t xml:space="preserve">mediana 3,2 anni</w:t>
            </w:r>
          </w:p>
        </w:tc>
        <w:tc>
          <w:tcPr/>
          <w:p>
            <w:pPr>
              <w:pStyle w:val="Compact"/>
              <w:jc w:val="left"/>
            </w:pPr>
            <w:r>
              <w:t xml:space="preserve">11,4% vs. 12,2%; HR 0,91, superiorità mancata di poco</w:t>
            </w:r>
          </w:p>
        </w:tc>
      </w:tr>
      <w:tr>
        <w:tc>
          <w:tcPr/>
          <w:p>
            <w:pPr>
              <w:pStyle w:val="Compact"/>
              <w:jc w:val="left"/>
            </w:pPr>
            <w:r>
              <w:t xml:space="preserve">SURPASS-CVOT (tirzepatide contro dulaglutide; Nicholls 2025), PMID 41406444</w:t>
            </w:r>
          </w:p>
        </w:tc>
        <w:tc>
          <w:tcPr/>
          <w:p>
            <w:pPr>
              <w:pStyle w:val="Compact"/>
              <w:jc w:val="left"/>
            </w:pPr>
            <w:r>
              <w:t xml:space="preserve">13.165 con diabete di tipo 2 e malattia vascolare</w:t>
            </w:r>
          </w:p>
        </w:tc>
        <w:tc>
          <w:tcPr/>
          <w:p>
            <w:pPr>
              <w:pStyle w:val="Compact"/>
              <w:jc w:val="left"/>
            </w:pPr>
            <w:r>
              <w:t xml:space="preserve">diversi anni</w:t>
            </w:r>
          </w:p>
        </w:tc>
        <w:tc>
          <w:tcPr/>
          <w:p>
            <w:pPr>
              <w:pStyle w:val="Compact"/>
              <w:jc w:val="left"/>
            </w:pPr>
            <w:r>
              <w:t xml:space="preserve">12,2% vs. 13,1%; HR 0,92, non inferiore</w:t>
            </w:r>
          </w:p>
        </w:tc>
      </w:tr>
      <w:tr>
        <w:tc>
          <w:tcPr/>
          <w:p>
            <w:pPr>
              <w:pStyle w:val="Compact"/>
              <w:jc w:val="left"/>
            </w:pPr>
            <w:r>
              <w:t xml:space="preserve">ACHIEVE-4 (orforglipron contro insulina glargine; Klein 2026), PMID 42815506</w:t>
            </w:r>
          </w:p>
        </w:tc>
        <w:tc>
          <w:tcPr/>
          <w:p>
            <w:pPr>
              <w:pStyle w:val="Compact"/>
              <w:jc w:val="left"/>
            </w:pPr>
            <w:r>
              <w:t xml:space="preserve">2.749 con diabete di tipo 2 e rischio elevato</w:t>
            </w:r>
          </w:p>
        </w:tc>
        <w:tc>
          <w:tcPr/>
          <w:p>
            <w:pPr>
              <w:pStyle w:val="Compact"/>
              <w:jc w:val="left"/>
            </w:pPr>
            <w:r>
              <w:t xml:space="preserve">mediana 2 anni</w:t>
            </w:r>
          </w:p>
        </w:tc>
        <w:tc>
          <w:tcPr/>
          <w:p>
            <w:pPr>
              <w:pStyle w:val="Compact"/>
              <w:jc w:val="left"/>
            </w:pPr>
            <w:r>
              <w:t xml:space="preserve">4,2% vs. 5,0% (MACE-4), non inferiore</w:t>
            </w:r>
          </w:p>
        </w:tc>
      </w:tr>
    </w:tbl>
    <w:p>
      <w:pPr>
        <w:pStyle w:val="BodyText"/>
      </w:pPr>
      <w:r>
        <w:t xml:space="preserve">Che cosa mostra questa tabella:</w:t>
      </w:r>
    </w:p>
    <w:p>
      <w:pPr>
        <w:numPr>
          <w:ilvl w:val="0"/>
          <w:numId w:val="1326"/>
        </w:numPr>
        <w:pStyle w:val="Compact"/>
      </w:pPr>
      <w:r>
        <w:rPr>
          <w:bCs/>
          <w:b/>
        </w:rPr>
        <w:t xml:space="preserve">La classe riduce il rischio.</w:t>
      </w:r>
      <w:r>
        <w:t xml:space="preserve"> </w:t>
      </w:r>
      <w:r>
        <w:t xml:space="preserve">Una meta-analisi di sette studi di esito controllati con placebo, con complessivamente 56.004 partecipanti, ha riscontrato per gli agonisti del recettore del GLP-1 nel diabete di tipo 2 il 12% in meno di eventi cardiovascolari gravi (HR 0,88), il 12% in meno di decessi per qualsiasi causa e il 9% in meno di ricoveri per scompenso cardiaco, senza differenze rilevanti tra i sottogruppi</w:t>
      </w:r>
      <w:r>
        <w:rPr>
          <w:rStyle w:val="FootnoteReference"/>
        </w:rPr>
        <w:footnoteReference w:id="2549"/>
      </w:r>
      <w:r>
        <w:t xml:space="preserve">. In questa meta-analisi sono confluiti anche due principi attivi che non sono trattati in questo libro.</w:t>
      </w:r>
    </w:p>
    <w:p>
      <w:pPr>
        <w:numPr>
          <w:ilvl w:val="0"/>
          <w:numId w:val="1326"/>
        </w:numPr>
        <w:pStyle w:val="Compact"/>
      </w:pPr>
      <w:r>
        <w:rPr>
          <w:bCs/>
          <w:b/>
        </w:rPr>
        <w:t xml:space="preserve">Le differenze tra i principi attivi sono incerte.</w:t>
      </w:r>
      <w:r>
        <w:t xml:space="preserve"> </w:t>
      </w:r>
      <w:r>
        <w:t xml:space="preserve">In EXSCEL exenatide si è collocato sul margine più debole; si discutono la molecola stessa, l’elevato tasso di interruzioni e il disegno pragmatico dello studio. Un impianto a pompa di exenatide (FREEDOM-CVO) ha soddisfatto solo il criterio di sicurezza (HR 1,21; Ruff 2022, PMID 34873344).</w:t>
      </w:r>
    </w:p>
    <w:p>
      <w:pPr>
        <w:numPr>
          <w:ilvl w:val="0"/>
          <w:numId w:val="1326"/>
        </w:numPr>
        <w:pStyle w:val="Compact"/>
      </w:pPr>
      <w:r>
        <w:rPr>
          <w:bCs/>
          <w:b/>
        </w:rPr>
        <w:t xml:space="preserve">SELECT è un caso particolare.</w:t>
      </w:r>
      <w:r>
        <w:t xml:space="preserve"> </w:t>
      </w:r>
      <w:r>
        <w:t xml:space="preserve">In questa panoramica è l’unico grande studio di esito condotto esclusivamente su persone</w:t>
      </w:r>
      <w:r>
        <w:t xml:space="preserve"> </w:t>
      </w:r>
      <w:r>
        <w:rPr>
          <w:iCs/>
          <w:i/>
        </w:rPr>
        <w:t xml:space="preserve">senza</w:t>
      </w:r>
      <w:r>
        <w:t xml:space="preserve"> </w:t>
      </w:r>
      <w:r>
        <w:t xml:space="preserve">diabete. In numeri assoluti, in poco più di tre anni circa 1,5 persone trattate su cento hanno avuto un evento grave in meno.</w:t>
      </w:r>
    </w:p>
    <w:p>
      <w:pPr>
        <w:numPr>
          <w:ilvl w:val="0"/>
          <w:numId w:val="1326"/>
        </w:numPr>
        <w:pStyle w:val="Compact"/>
      </w:pPr>
      <w:r>
        <w:rPr>
          <w:bCs/>
          <w:b/>
        </w:rPr>
        <w:t xml:space="preserve">Tirzepatide è stato testato contro un farmaco efficace.</w:t>
      </w:r>
      <w:r>
        <w:t xml:space="preserve"> </w:t>
      </w:r>
      <w:r>
        <w:t xml:space="preserve">SURPASS-CVOT non ha confrontato tirzepatide con il placebo, ma con dulaglutide, che in REWIND aveva a sua volta ridotto il rischio. Tirzepatide non è risultato inferiore; la superiorità formale è stata mancata di poco. Quanto grande sarebbe il beneficio rispetto a nessun trattamento si può stimare solo tramite modelli di calcolo.</w:t>
      </w:r>
    </w:p>
    <w:p>
      <w:pPr>
        <w:numPr>
          <w:ilvl w:val="0"/>
          <w:numId w:val="1326"/>
        </w:numPr>
        <w:pStyle w:val="Compact"/>
      </w:pPr>
      <w:r>
        <w:rPr>
          <w:bCs/>
          <w:b/>
        </w:rPr>
        <w:t xml:space="preserve">Scompenso cardiaco:</w:t>
      </w:r>
      <w:r>
        <w:t xml:space="preserve"> </w:t>
      </w:r>
      <w:r>
        <w:t xml:space="preserve">nell’insufficienza cardiaca con frazione di eiezione preservata e obesità, tirzepatide ha ridotto in SUMMIT, con 731 persone, l’endpoint combinato di morte cardiovascolare o peggioramento dello scompenso cardiaco (9,9% vs. 15,3%; HR 0,62; Packer 2025, PMID 39555826). La differenza era dovuta a un minor numero di eventi di peggioramento; i decessi sono stati rari. In STEP-HFpEF semaglutide ha migliorato i sintomi e la distanza percorsa</w:t>
      </w:r>
      <w:r>
        <w:rPr>
          <w:rStyle w:val="FootnoteReference"/>
        </w:rPr>
        <w:footnoteReference w:id="2550"/>
      </w:r>
      <w:r>
        <w:t xml:space="preserve">, ma non era disegnato per endpoint clinici forti.</w:t>
      </w:r>
    </w:p>
    <w:p>
      <w:pPr>
        <w:pStyle w:val="FirstParagraph"/>
      </w:pPr>
      <w:r>
        <w:rPr>
          <w:bCs/>
          <w:b/>
        </w:rPr>
        <w:t xml:space="preserve">Ancora in sospeso (studi registrati):</w:t>
      </w:r>
      <w:r>
        <w:t xml:space="preserve"> </w:t>
      </w:r>
      <w:r>
        <w:t xml:space="preserve">per i principi attivi più recenti mancano dati di esito. Gli studi in corso sono SURMOUNT-MMO su tirzepatide nell’obesità senza diabete</w:t>
      </w:r>
      <w:r>
        <w:rPr>
          <w:rStyle w:val="FootnoteReference"/>
        </w:rPr>
        <w:footnoteReference w:id="2551"/>
      </w:r>
      <w:r>
        <w:t xml:space="preserve">, TRIUMPH-Outcomes su retatrutide</w:t>
      </w:r>
      <w:r>
        <w:rPr>
          <w:rStyle w:val="FootnoteReference"/>
        </w:rPr>
        <w:footnoteReference w:id="2552"/>
      </w:r>
      <w:r>
        <w:t xml:space="preserve">, REDEFINE 3 su CagriSema</w:t>
      </w:r>
      <w:r>
        <w:rPr>
          <w:rStyle w:val="FootnoteReference"/>
        </w:rPr>
        <w:footnoteReference w:id="2553"/>
      </w:r>
      <w:r>
        <w:t xml:space="preserve">, uno studio su maridebart cafraglutide</w:t>
      </w:r>
      <w:r>
        <w:rPr>
          <w:rStyle w:val="FootnoteReference"/>
        </w:rPr>
        <w:footnoteReference w:id="2554"/>
      </w:r>
      <w:r>
        <w:t xml:space="preserve"> </w:t>
      </w:r>
      <w:r>
        <w:t xml:space="preserve">e uno su orforglipron</w:t>
      </w:r>
      <w:r>
        <w:rPr>
          <w:rStyle w:val="FootnoteReference"/>
        </w:rPr>
        <w:footnoteReference w:id="2555"/>
      </w:r>
      <w:r>
        <w:t xml:space="preserve">. Finché questi risultati non saranno disponibili, resta aperto se una maggiore perdita di peso porti anche a meno infarti e ictus. È un’aspettativa plausibile, ma non un risultato.</w:t>
      </w:r>
    </w:p>
    <w:bookmarkEnd w:id="2556"/>
    <w:bookmarkStart w:id="2564" w:name="rene-e-fegato"/>
    <w:p>
      <w:pPr>
        <w:pStyle w:val="Heading3"/>
      </w:pPr>
      <w:r>
        <w:t xml:space="preserve">Rene e fegato</w:t>
      </w:r>
    </w:p>
    <w:p>
      <w:pPr>
        <w:pStyle w:val="FirstParagraph"/>
      </w:pPr>
      <w:r>
        <w:rPr>
          <w:bCs/>
          <w:b/>
        </w:rPr>
        <w:t xml:space="preserve">Rene:</w:t>
      </w:r>
      <w:r>
        <w:t xml:space="preserve"> </w:t>
      </w:r>
      <w:r>
        <w:t xml:space="preserve">tra gli studi discussi in questo libro, solo FLOW ha un evento renale come endpoint principale. In 3.533 persone con diabete di tipo 2 e malattia renale cronica, semaglutide 1,0 mg ha ridotto del 24% gli eventi renali gravi e la morte per cause renali o cardiovascolari (331 vs. 410 eventi; HR 0,76). Lo studio è stato interrotto anticipatamente per efficacia; la mortalità totale era inferiore del 20%</w:t>
      </w:r>
      <w:r>
        <w:rPr>
          <w:rStyle w:val="FootnoteReference"/>
        </w:rPr>
        <w:footnoteReference w:id="2557"/>
      </w:r>
      <w:r>
        <w:t xml:space="preserve">. Negli studi di esito più vecchi, invece, il beneficio renale era dovuto soprattutto a una minore quantità di proteine nelle urine: in LEADER HR 0,78</w:t>
      </w:r>
      <w:r>
        <w:rPr>
          <w:rStyle w:val="FootnoteReference"/>
        </w:rPr>
        <w:footnoteReference w:id="2558"/>
      </w:r>
      <w:r>
        <w:t xml:space="preserve">, in REWIND HR 0,85</w:t>
      </w:r>
      <w:r>
        <w:rPr>
          <w:rStyle w:val="FootnoteReference"/>
        </w:rPr>
        <w:footnoteReference w:id="2559"/>
      </w:r>
      <w:r>
        <w:t xml:space="preserve">, sull’insieme dei sette studi HR 0,83</w:t>
      </w:r>
      <w:r>
        <w:rPr>
          <w:rStyle w:val="FootnoteReference"/>
        </w:rPr>
        <w:footnoteReference w:id="2560"/>
      </w:r>
      <w:r>
        <w:t xml:space="preserve">. In SOUL gli endpoint secondari confermativi, tra cui gli eventi renali, non differivano in modo significativo</w:t>
      </w:r>
      <w:r>
        <w:rPr>
          <w:rStyle w:val="FootnoteReference"/>
        </w:rPr>
        <w:footnoteReference w:id="2561"/>
      </w:r>
      <w:r>
        <w:t xml:space="preserve">. Nella malattia renale da moderata a grave, la funzione renale si è conservata meglio con dulaglutide che con insulina glargine (AWARD-7, Tuttle 2018, PMID 29910024). Per tirzepatide e i principi attivi più recenti non esistono ancora studi con eventi renali come endpoint principale.</w:t>
      </w:r>
    </w:p>
    <w:p>
      <w:pPr>
        <w:pStyle w:val="BodyText"/>
      </w:pPr>
      <w:r>
        <w:rPr>
          <w:bCs/>
          <w:b/>
        </w:rPr>
        <w:t xml:space="preserve">Fegato:</w:t>
      </w:r>
      <w:r>
        <w:t xml:space="preserve"> </w:t>
      </w:r>
      <w:r>
        <w:t xml:space="preserve">per la steatoepatite MASH (in precedenza NASH) esistono studi con biopsia per tre principi attivi: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Principio attivo</w:t>
            </w:r>
          </w:p>
        </w:tc>
        <w:tc>
          <w:tcPr/>
          <w:p>
            <w:pPr>
              <w:pStyle w:val="Compact"/>
              <w:jc w:val="left"/>
            </w:pPr>
            <w:r>
              <w:t xml:space="preserve">Studio</w:t>
            </w:r>
          </w:p>
        </w:tc>
        <w:tc>
          <w:tcPr/>
          <w:p>
            <w:pPr>
              <w:pStyle w:val="Compact"/>
              <w:jc w:val="left"/>
            </w:pPr>
            <w:r>
              <w:t xml:space="preserve">Durata</w:t>
            </w:r>
          </w:p>
        </w:tc>
        <w:tc>
          <w:tcPr/>
          <w:p>
            <w:pPr>
              <w:pStyle w:val="Compact"/>
              <w:jc w:val="left"/>
            </w:pPr>
            <w:r>
              <w:t xml:space="preserve">Risoluzione della MASH senza peggioramento della fibrosi</w:t>
            </w:r>
          </w:p>
        </w:tc>
      </w:tr>
      <w:tr>
        <w:tc>
          <w:tcPr/>
          <w:p>
            <w:pPr>
              <w:pStyle w:val="Compact"/>
              <w:jc w:val="left"/>
            </w:pPr>
            <w:r>
              <w:t xml:space="preserve">Semaglutide 2,4 mg</w:t>
            </w:r>
          </w:p>
        </w:tc>
        <w:tc>
          <w:tcPr/>
          <w:p>
            <w:pPr>
              <w:pStyle w:val="Compact"/>
              <w:jc w:val="left"/>
            </w:pPr>
            <w:r>
              <w:t xml:space="preserve">ESSENCE, fase 3 (Sanyal 2025), PMID 40305708</w:t>
            </w:r>
          </w:p>
        </w:tc>
        <w:tc>
          <w:tcPr/>
          <w:p>
            <w:pPr>
              <w:pStyle w:val="Compact"/>
              <w:jc w:val="left"/>
            </w:pPr>
            <w:r>
              <w:t xml:space="preserve">72 settimane (analisi intermedia, 800 persone)</w:t>
            </w:r>
          </w:p>
        </w:tc>
        <w:tc>
          <w:tcPr/>
          <w:p>
            <w:pPr>
              <w:pStyle w:val="Compact"/>
              <w:jc w:val="left"/>
            </w:pPr>
            <w:r>
              <w:t xml:space="preserve">62,9% vs. 34,3%; meno fibrosi 36,8% vs. 22,4%</w:t>
            </w:r>
          </w:p>
        </w:tc>
      </w:tr>
      <w:tr>
        <w:tc>
          <w:tcPr/>
          <w:p>
            <w:pPr>
              <w:pStyle w:val="Compact"/>
              <w:jc w:val="left"/>
            </w:pPr>
            <w:r>
              <w:t xml:space="preserve">Tirzepatide</w:t>
            </w:r>
          </w:p>
        </w:tc>
        <w:tc>
          <w:tcPr/>
          <w:p>
            <w:pPr>
              <w:pStyle w:val="Compact"/>
              <w:jc w:val="left"/>
            </w:pPr>
            <w:r>
              <w:t xml:space="preserve">SYNERGY-NASH, fase 2 (Loomba 2024), PMID 38856224</w:t>
            </w:r>
          </w:p>
        </w:tc>
        <w:tc>
          <w:tcPr/>
          <w:p>
            <w:pPr>
              <w:pStyle w:val="Compact"/>
              <w:jc w:val="left"/>
            </w:pPr>
            <w:r>
              <w:t xml:space="preserve">52 settimane, 190 persone</w:t>
            </w:r>
          </w:p>
        </w:tc>
        <w:tc>
          <w:tcPr/>
          <w:p>
            <w:pPr>
              <w:pStyle w:val="Compact"/>
              <w:jc w:val="left"/>
            </w:pPr>
            <w:r>
              <w:t xml:space="preserve">44–62% vs. 10%; meno fibrosi 51–55% vs. 30%</w:t>
            </w:r>
          </w:p>
        </w:tc>
      </w:tr>
      <w:tr>
        <w:tc>
          <w:tcPr/>
          <w:p>
            <w:pPr>
              <w:pStyle w:val="Compact"/>
              <w:jc w:val="left"/>
            </w:pPr>
            <w:r>
              <w:t xml:space="preserve">Survodutide</w:t>
            </w:r>
          </w:p>
        </w:tc>
        <w:tc>
          <w:tcPr/>
          <w:p>
            <w:pPr>
              <w:pStyle w:val="Compact"/>
              <w:jc w:val="left"/>
            </w:pPr>
            <w:r>
              <w:t xml:space="preserve">Fase 2 (Sanyal 2024), PMID 38847460</w:t>
            </w:r>
          </w:p>
        </w:tc>
        <w:tc>
          <w:tcPr/>
          <w:p>
            <w:pPr>
              <w:pStyle w:val="Compact"/>
              <w:jc w:val="left"/>
            </w:pPr>
            <w:r>
              <w:t xml:space="preserve">48 settimane, 293 persone</w:t>
            </w:r>
          </w:p>
        </w:tc>
        <w:tc>
          <w:tcPr/>
          <w:p>
            <w:pPr>
              <w:pStyle w:val="Compact"/>
              <w:jc w:val="left"/>
            </w:pPr>
            <w:r>
              <w:t xml:space="preserve">miglioramento della MASH 43–62% vs. 14%</w:t>
            </w:r>
          </w:p>
        </w:tc>
      </w:tr>
    </w:tbl>
    <w:p>
      <w:pPr>
        <w:pStyle w:val="BodyText"/>
      </w:pPr>
      <w:r>
        <w:t xml:space="preserve">Solo ESSENCE è uno studio di fase 3; se il trattamento prevenga anche cirrosi, insufficienza epatica e decessi lo dovrà mostrare la sua seconda parte, della durata di 240 settimane. Per survodutide sono in corso gli studi di fase 3 LIVERAGE</w:t>
      </w:r>
      <w:r>
        <w:rPr>
          <w:rStyle w:val="FootnoteReference"/>
        </w:rPr>
        <w:footnoteReference w:id="2562"/>
      </w:r>
      <w:r>
        <w:t xml:space="preserve"> </w:t>
      </w:r>
      <w:r>
        <w:t xml:space="preserve">e LIVERAGE-Cirrhosis</w:t>
      </w:r>
      <w:r>
        <w:rPr>
          <w:rStyle w:val="FootnoteReference"/>
        </w:rPr>
        <w:footnoteReference w:id="2563"/>
      </w:r>
      <w:r>
        <w:t xml:space="preserve">. Le percentuali più alte degli studi di fase 2 non sono direttamente confrontabili con ESSENCE, a causa dei gruppi piccoli e della durata più breve.</w:t>
      </w:r>
    </w:p>
    <w:bookmarkEnd w:id="2564"/>
    <w:bookmarkStart w:id="2575" w:name="Xb64adea461f1ee3e52e40dcf9280b3da8d2f884"/>
    <w:p>
      <w:pPr>
        <w:pStyle w:val="Heading3"/>
      </w:pPr>
      <w:r>
        <w:t xml:space="preserve">Effetti collaterali e tassi di interruzione</w:t>
      </w:r>
    </w:p>
    <w:p>
      <w:pPr>
        <w:pStyle w:val="FirstParagraph"/>
      </w:pPr>
      <w:r>
        <w:t xml:space="preserve">Il profilo degli effetti collaterali è simile in tutta la classe: nausea, diarrea, vomito e stitichezza, soprattutto durante l’aumento graduale della dose, per lo più lievi o moderati e transitori. Sono il motivo più frequente di interruzione della terapia. I tassi dipendono molto dalla dose e dalla velocità della titolazione e sono confrontabili tra studi solo approssimativamente.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Principio attivo</w:t>
            </w:r>
          </w:p>
        </w:tc>
        <w:tc>
          <w:tcPr/>
          <w:p>
            <w:pPr>
              <w:pStyle w:val="Compact"/>
              <w:jc w:val="left"/>
            </w:pPr>
            <w:r>
              <w:t xml:space="preserve">Studio</w:t>
            </w:r>
          </w:p>
        </w:tc>
        <w:tc>
          <w:tcPr/>
          <w:p>
            <w:pPr>
              <w:pStyle w:val="Compact"/>
              <w:jc w:val="left"/>
            </w:pPr>
            <w:r>
              <w:t xml:space="preserve">Disturbi gastrointestinali</w:t>
            </w:r>
          </w:p>
        </w:tc>
        <w:tc>
          <w:tcPr/>
          <w:p>
            <w:pPr>
              <w:pStyle w:val="Compact"/>
              <w:jc w:val="left"/>
            </w:pPr>
            <w:r>
              <w:t xml:space="preserve">Interruzione per effetti collaterali</w:t>
            </w:r>
          </w:p>
        </w:tc>
      </w:tr>
      <w:tr>
        <w:tc>
          <w:tcPr/>
          <w:p>
            <w:pPr>
              <w:pStyle w:val="Compact"/>
              <w:jc w:val="left"/>
            </w:pPr>
            <w:r>
              <w:t xml:space="preserve">Exenatide due volte al giorno</w:t>
            </w:r>
          </w:p>
        </w:tc>
        <w:tc>
          <w:tcPr/>
          <w:p>
            <w:pPr>
              <w:pStyle w:val="Compact"/>
              <w:jc w:val="left"/>
            </w:pPr>
            <w:r>
              <w:t xml:space="preserve">Heine 2005, PMID 16230722</w:t>
            </w:r>
          </w:p>
        </w:tc>
        <w:tc>
          <w:tcPr/>
          <w:p>
            <w:pPr>
              <w:pStyle w:val="Compact"/>
              <w:jc w:val="left"/>
            </w:pPr>
            <w:r>
              <w:t xml:space="preserve">nausea 57,1%</w:t>
            </w:r>
          </w:p>
        </w:tc>
        <w:tc>
          <w:tcPr/>
          <w:p>
            <w:pPr>
              <w:pStyle w:val="Compact"/>
              <w:jc w:val="left"/>
            </w:pPr>
            <w:r>
              <w:t xml:space="preserve">nessun dato nell’abstract</w:t>
            </w:r>
          </w:p>
        </w:tc>
      </w:tr>
      <w:tr>
        <w:tc>
          <w:tcPr/>
          <w:p>
            <w:pPr>
              <w:pStyle w:val="Compact"/>
              <w:jc w:val="left"/>
            </w:pPr>
            <w:r>
              <w:t xml:space="preserve">Dulaglutide</w:t>
            </w:r>
          </w:p>
        </w:tc>
        <w:tc>
          <w:tcPr/>
          <w:p>
            <w:pPr>
              <w:pStyle w:val="Compact"/>
              <w:jc w:val="left"/>
            </w:pPr>
            <w:r>
              <w:t xml:space="preserve">REWIND (Gerstein 2019), PMID 31189511</w:t>
            </w:r>
          </w:p>
        </w:tc>
        <w:tc>
          <w:tcPr/>
          <w:p>
            <w:pPr>
              <w:pStyle w:val="Compact"/>
              <w:jc w:val="left"/>
            </w:pPr>
            <w:r>
              <w:t xml:space="preserve">47,4% vs. 34,1%</w:t>
            </w:r>
          </w:p>
        </w:tc>
        <w:tc>
          <w:tcPr/>
          <w:p>
            <w:pPr>
              <w:pStyle w:val="Compact"/>
              <w:jc w:val="left"/>
            </w:pPr>
            <w:r>
              <w:t xml:space="preserve">nessun dato nell’abstract</w:t>
            </w:r>
          </w:p>
        </w:tc>
      </w:tr>
      <w:tr>
        <w:tc>
          <w:tcPr/>
          <w:p>
            <w:pPr>
              <w:pStyle w:val="Compact"/>
              <w:jc w:val="left"/>
            </w:pPr>
            <w:r>
              <w:t xml:space="preserve">Semaglutide 2,4 mg</w:t>
            </w:r>
          </w:p>
        </w:tc>
        <w:tc>
          <w:tcPr/>
          <w:p>
            <w:pPr>
              <w:pStyle w:val="Compact"/>
              <w:jc w:val="left"/>
            </w:pPr>
            <w:r>
              <w:t xml:space="preserve">STEP 1 (Wilding 2021), PMID 33567185</w:t>
            </w:r>
          </w:p>
        </w:tc>
        <w:tc>
          <w:tcPr/>
          <w:p>
            <w:pPr>
              <w:pStyle w:val="Compact"/>
              <w:jc w:val="left"/>
            </w:pPr>
            <w:r>
              <w:t xml:space="preserve">più frequenti nausea e diarrea</w:t>
            </w:r>
          </w:p>
        </w:tc>
        <w:tc>
          <w:tcPr/>
          <w:p>
            <w:pPr>
              <w:pStyle w:val="Compact"/>
              <w:jc w:val="left"/>
            </w:pPr>
            <w:r>
              <w:t xml:space="preserve">per disturbi gastrointestinali 4,5% vs. 0,8%</w:t>
            </w:r>
          </w:p>
        </w:tc>
      </w:tr>
      <w:tr>
        <w:tc>
          <w:tcPr/>
          <w:p>
            <w:pPr>
              <w:pStyle w:val="Compact"/>
              <w:jc w:val="left"/>
            </w:pPr>
            <w:r>
              <w:t xml:space="preserve">Semaglutide 2,4 mg</w:t>
            </w:r>
          </w:p>
        </w:tc>
        <w:tc>
          <w:tcPr/>
          <w:p>
            <w:pPr>
              <w:pStyle w:val="Compact"/>
              <w:jc w:val="left"/>
            </w:pPr>
            <w:r>
              <w:t xml:space="preserve">SELECT (Lincoff 2023), PMID 37952131</w:t>
            </w:r>
          </w:p>
        </w:tc>
        <w:tc>
          <w:tcPr/>
          <w:p>
            <w:pPr>
              <w:pStyle w:val="Compact"/>
              <w:jc w:val="left"/>
            </w:pPr>
            <w:r>
              <w:t xml:space="preserve">–</w:t>
            </w:r>
          </w:p>
        </w:tc>
        <w:tc>
          <w:tcPr/>
          <w:p>
            <w:pPr>
              <w:pStyle w:val="Compact"/>
              <w:jc w:val="left"/>
            </w:pPr>
            <w:r>
              <w:t xml:space="preserve">16,6% vs. 8,2% (in poco più di tre anni)</w:t>
            </w:r>
          </w:p>
        </w:tc>
      </w:tr>
      <w:tr>
        <w:tc>
          <w:tcPr/>
          <w:p>
            <w:pPr>
              <w:pStyle w:val="Compact"/>
              <w:jc w:val="left"/>
            </w:pPr>
            <w:r>
              <w:t xml:space="preserve">Tirzepatide</w:t>
            </w:r>
          </w:p>
        </w:tc>
        <w:tc>
          <w:tcPr/>
          <w:p>
            <w:pPr>
              <w:pStyle w:val="Compact"/>
              <w:jc w:val="left"/>
            </w:pPr>
            <w:r>
              <w:t xml:space="preserve">SURMOUNT-1 (Jastreboff 2022), PMID 35658024</w:t>
            </w:r>
          </w:p>
        </w:tc>
        <w:tc>
          <w:tcPr/>
          <w:p>
            <w:pPr>
              <w:pStyle w:val="Compact"/>
              <w:jc w:val="left"/>
            </w:pPr>
            <w:r>
              <w:t xml:space="preserve">i più frequenti, per lo più durante la titolazione</w:t>
            </w:r>
          </w:p>
        </w:tc>
        <w:tc>
          <w:tcPr/>
          <w:p>
            <w:pPr>
              <w:pStyle w:val="Compact"/>
              <w:jc w:val="left"/>
            </w:pPr>
            <w:r>
              <w:t xml:space="preserve">4,3–7,1% vs. 2,6%</w:t>
            </w:r>
          </w:p>
        </w:tc>
      </w:tr>
      <w:tr>
        <w:tc>
          <w:tcPr/>
          <w:p>
            <w:pPr>
              <w:pStyle w:val="Compact"/>
              <w:jc w:val="left"/>
            </w:pPr>
            <w:r>
              <w:t xml:space="preserve">CagriSema</w:t>
            </w:r>
          </w:p>
        </w:tc>
        <w:tc>
          <w:tcPr/>
          <w:p>
            <w:pPr>
              <w:pStyle w:val="Compact"/>
              <w:jc w:val="left"/>
            </w:pPr>
            <w:r>
              <w:t xml:space="preserve">REDEFINE 1 (Garvey 2025), PMID 40544433</w:t>
            </w:r>
          </w:p>
        </w:tc>
        <w:tc>
          <w:tcPr/>
          <w:p>
            <w:pPr>
              <w:pStyle w:val="Compact"/>
              <w:jc w:val="left"/>
            </w:pPr>
            <w:r>
              <w:t xml:space="preserve">79,6% vs. 39,9%</w:t>
            </w:r>
          </w:p>
        </w:tc>
        <w:tc>
          <w:tcPr/>
          <w:p>
            <w:pPr>
              <w:pStyle w:val="Compact"/>
              <w:jc w:val="left"/>
            </w:pPr>
            <w:r>
              <w:t xml:space="preserve">nessun dato nell’abstract</w:t>
            </w:r>
          </w:p>
        </w:tc>
      </w:tr>
      <w:tr>
        <w:tc>
          <w:tcPr/>
          <w:p>
            <w:pPr>
              <w:pStyle w:val="Compact"/>
              <w:jc w:val="left"/>
            </w:pPr>
            <w:r>
              <w:t xml:space="preserve">Retatrutide</w:t>
            </w:r>
          </w:p>
        </w:tc>
        <w:tc>
          <w:tcPr/>
          <w:p>
            <w:pPr>
              <w:pStyle w:val="Compact"/>
              <w:jc w:val="left"/>
            </w:pPr>
            <w:r>
              <w:t xml:space="preserve">TRIUMPH-2 (Bellido 2026), PMID 42810372</w:t>
            </w:r>
          </w:p>
        </w:tc>
        <w:tc>
          <w:tcPr/>
          <w:p>
            <w:pPr>
              <w:pStyle w:val="Compact"/>
              <w:jc w:val="left"/>
            </w:pPr>
            <w:r>
              <w:t xml:space="preserve">diarrea 27–34%, nausea 14–28% (placebo 13% e 8%)</w:t>
            </w:r>
          </w:p>
        </w:tc>
        <w:tc>
          <w:tcPr/>
          <w:p>
            <w:pPr>
              <w:pStyle w:val="Compact"/>
              <w:jc w:val="left"/>
            </w:pPr>
            <w:r>
              <w:t xml:space="preserve">4–12% vs. 5% (inclusi i decessi)</w:t>
            </w:r>
          </w:p>
        </w:tc>
      </w:tr>
      <w:tr>
        <w:tc>
          <w:tcPr/>
          <w:p>
            <w:pPr>
              <w:pStyle w:val="Compact"/>
              <w:jc w:val="left"/>
            </w:pPr>
            <w:r>
              <w:t xml:space="preserve">Survodutide</w:t>
            </w:r>
          </w:p>
        </w:tc>
        <w:tc>
          <w:tcPr/>
          <w:p>
            <w:pPr>
              <w:pStyle w:val="Compact"/>
              <w:jc w:val="left"/>
            </w:pPr>
            <w:r>
              <w:t xml:space="preserve">SYNCHRONIZE-1 (le Roux 2026), PMID 42253238</w:t>
            </w:r>
          </w:p>
        </w:tc>
        <w:tc>
          <w:tcPr/>
          <w:p>
            <w:pPr>
              <w:pStyle w:val="Compact"/>
              <w:jc w:val="left"/>
            </w:pPr>
            <w:r>
              <w:t xml:space="preserve">80,9 / 89,7% vs. 47,9%</w:t>
            </w:r>
          </w:p>
        </w:tc>
        <w:tc>
          <w:tcPr/>
          <w:p>
            <w:pPr>
              <w:pStyle w:val="Compact"/>
              <w:jc w:val="left"/>
            </w:pPr>
            <w:r>
              <w:t xml:space="preserve">nessun dato nell’abstract</w:t>
            </w:r>
          </w:p>
        </w:tc>
      </w:tr>
      <w:tr>
        <w:tc>
          <w:tcPr/>
          <w:p>
            <w:pPr>
              <w:pStyle w:val="Compact"/>
              <w:jc w:val="left"/>
            </w:pPr>
            <w:r>
              <w:t xml:space="preserve">Mazdutide</w:t>
            </w:r>
          </w:p>
        </w:tc>
        <w:tc>
          <w:tcPr/>
          <w:p>
            <w:pPr>
              <w:pStyle w:val="Compact"/>
              <w:jc w:val="left"/>
            </w:pPr>
            <w:r>
              <w:t xml:space="preserve">GLORY-1 (Ji 2025), PMID 40421736</w:t>
            </w:r>
          </w:p>
        </w:tc>
        <w:tc>
          <w:tcPr/>
          <w:p>
            <w:pPr>
              <w:pStyle w:val="Compact"/>
              <w:jc w:val="left"/>
            </w:pPr>
            <w:r>
              <w:t xml:space="preserve">effetto collaterale più frequente</w:t>
            </w:r>
          </w:p>
        </w:tc>
        <w:tc>
          <w:tcPr/>
          <w:p>
            <w:pPr>
              <w:pStyle w:val="Compact"/>
              <w:jc w:val="left"/>
            </w:pPr>
            <w:r>
              <w:t xml:space="preserve">0,5–1,5% vs. 1,0%</w:t>
            </w:r>
          </w:p>
        </w:tc>
      </w:tr>
      <w:tr>
        <w:tc>
          <w:tcPr/>
          <w:p>
            <w:pPr>
              <w:pStyle w:val="Compact"/>
              <w:jc w:val="left"/>
            </w:pPr>
            <w:r>
              <w:t xml:space="preserve">Orforglipron</w:t>
            </w:r>
          </w:p>
        </w:tc>
        <w:tc>
          <w:tcPr/>
          <w:p>
            <w:pPr>
              <w:pStyle w:val="Compact"/>
              <w:jc w:val="left"/>
            </w:pPr>
            <w:r>
              <w:t xml:space="preserve">ATTAIN-1 (Wharton 2025), PMID 40960239</w:t>
            </w:r>
          </w:p>
        </w:tc>
        <w:tc>
          <w:tcPr/>
          <w:p>
            <w:pPr>
              <w:pStyle w:val="Compact"/>
              <w:jc w:val="left"/>
            </w:pPr>
            <w:r>
              <w:t xml:space="preserve">effetto collaterale più frequente</w:t>
            </w:r>
          </w:p>
        </w:tc>
        <w:tc>
          <w:tcPr/>
          <w:p>
            <w:pPr>
              <w:pStyle w:val="Compact"/>
              <w:jc w:val="left"/>
            </w:pPr>
            <w:r>
              <w:t xml:space="preserve">5,3–10,3% vs. 2,7%</w:t>
            </w:r>
          </w:p>
        </w:tc>
      </w:tr>
    </w:tbl>
    <w:p>
      <w:pPr>
        <w:pStyle w:val="BodyText"/>
      </w:pPr>
      <w:r>
        <w:t xml:space="preserve">Alcune osservazioni:</w:t>
      </w:r>
    </w:p>
    <w:p>
      <w:pPr>
        <w:numPr>
          <w:ilvl w:val="0"/>
          <w:numId w:val="1327"/>
        </w:numPr>
        <w:pStyle w:val="Compact"/>
      </w:pPr>
      <w:r>
        <w:rPr>
          <w:bCs/>
          <w:b/>
        </w:rPr>
        <w:t xml:space="preserve">I preparati settimanali sono per lo più tollerati meglio delle forme più vecchie.</w:t>
      </w:r>
      <w:r>
        <w:t xml:space="preserve"> </w:t>
      </w:r>
      <w:r>
        <w:t xml:space="preserve">In DURATION-6 il 9% ha avuto nausea con exenatide settimanale, il 21% con liraglutide giornaliero</w:t>
      </w:r>
      <w:r>
        <w:rPr>
          <w:rStyle w:val="FootnoteReference"/>
        </w:rPr>
        <w:footnoteReference w:id="2565"/>
      </w:r>
      <w:r>
        <w:t xml:space="preserve">. In STEP 8 il 27,6% ha interrotto anticipatamente il trattamento con liraglutide, per qualsiasi motivo, contro il 13,5% con semaglutide; i disturbi gastrointestinali erano ugualmente frequenti in entrambi i gruppi (82,7% vs. 84,1%)</w:t>
      </w:r>
      <w:r>
        <w:rPr>
          <w:rStyle w:val="FootnoteReference"/>
        </w:rPr>
        <w:footnoteReference w:id="2566"/>
      </w:r>
      <w:r>
        <w:t xml:space="preserve">.</w:t>
      </w:r>
    </w:p>
    <w:p>
      <w:pPr>
        <w:numPr>
          <w:ilvl w:val="0"/>
          <w:numId w:val="1327"/>
        </w:numPr>
        <w:pStyle w:val="Compact"/>
      </w:pPr>
      <w:r>
        <w:rPr>
          <w:bCs/>
          <w:b/>
        </w:rPr>
        <w:t xml:space="preserve">Una maggiore efficacia non comporta necessariamente più disturbi.</w:t>
      </w:r>
      <w:r>
        <w:t xml:space="preserve"> </w:t>
      </w:r>
      <w:r>
        <w:t xml:space="preserve">In SURPASS-2 nausea (17–22% vs. 18%) e vomito (6–10% vs. 8%) erano ugualmente frequenti con tirzepatide e semaglutide; eventi avversi gravi si sono verificati con tirzepatide nel 5–7% contro il 3%</w:t>
      </w:r>
      <w:r>
        <w:rPr>
          <w:rStyle w:val="FootnoteReference"/>
        </w:rPr>
        <w:footnoteReference w:id="2567"/>
      </w:r>
      <w:r>
        <w:t xml:space="preserve">. In REDEFINE 5 il 53% con CagriSema e il 51% con semaglutide ha avuto disturbi gastrointestinali</w:t>
      </w:r>
      <w:r>
        <w:rPr>
          <w:rStyle w:val="FootnoteReference"/>
        </w:rPr>
        <w:footnoteReference w:id="2568"/>
      </w:r>
      <w:r>
        <w:t xml:space="preserve">.</w:t>
      </w:r>
    </w:p>
    <w:p>
      <w:pPr>
        <w:numPr>
          <w:ilvl w:val="0"/>
          <w:numId w:val="1327"/>
        </w:numPr>
        <w:pStyle w:val="Compact"/>
      </w:pPr>
      <w:r>
        <w:rPr>
          <w:bCs/>
          <w:b/>
        </w:rPr>
        <w:t xml:space="preserve">Con gli agonisti multipli le interruzioni aumentano alle dosi elevate.</w:t>
      </w:r>
      <w:r>
        <w:t xml:space="preserve"> </w:t>
      </w:r>
      <w:r>
        <w:t xml:space="preserve">Con retatrutide si sono verificate inoltre alterazioni della sensibilità cutanea (disestesia) nel 4–7% contro l’1% con il placebo – un segnale nuovo per questa classe. In uno studio statunitense di fase 2 con mazdutide, alla dose più alta il 20% ha interrotto a causa degli effetti collaterali</w:t>
      </w:r>
      <w:r>
        <w:rPr>
          <w:rStyle w:val="FootnoteReference"/>
        </w:rPr>
        <w:footnoteReference w:id="2569"/>
      </w:r>
      <w:r>
        <w:t xml:space="preserve">.</w:t>
      </w:r>
    </w:p>
    <w:p>
      <w:pPr>
        <w:numPr>
          <w:ilvl w:val="0"/>
          <w:numId w:val="1327"/>
        </w:numPr>
        <w:pStyle w:val="Compact"/>
      </w:pPr>
      <w:r>
        <w:rPr>
          <w:bCs/>
          <w:b/>
        </w:rPr>
        <w:t xml:space="preserve">Gli studi a lungo termine mostrano tassi di interruzione più alti degli studi brevi.</w:t>
      </w:r>
      <w:r>
        <w:t xml:space="preserve"> </w:t>
      </w:r>
      <w:r>
        <w:t xml:space="preserve">Il 16,6% di SELECT in oltre tre anni è un riferimento più realistico per il trattamento a lungo termine rispetto ai valori degli studi registrativi di 68 o 72 settimane.</w:t>
      </w:r>
    </w:p>
    <w:p>
      <w:pPr>
        <w:pStyle w:val="FirstParagraph"/>
      </w:pPr>
      <w:r>
        <w:rPr>
          <w:bCs/>
          <w:b/>
        </w:rPr>
        <w:t xml:space="preserve">Rischi di classe che riguardano tutti i principi attivi:</w:t>
      </w:r>
    </w:p>
    <w:p>
      <w:pPr>
        <w:numPr>
          <w:ilvl w:val="0"/>
          <w:numId w:val="1328"/>
        </w:numPr>
        <w:pStyle w:val="Compact"/>
      </w:pPr>
      <w:r>
        <w:rPr>
          <w:bCs/>
          <w:b/>
        </w:rPr>
        <w:t xml:space="preserve">Colecisti:</w:t>
      </w:r>
      <w:r>
        <w:t xml:space="preserve"> </w:t>
      </w:r>
      <w:r>
        <w:t xml:space="preserve">una meta-analisi di 76 studi randomizzati con 103.371 partecipanti ha rilevato un rischio aumentato del 37% di malattie della colecisti e delle vie biliari, e negli studi sulla perdita di peso un rischio più che doppio (rischio relativo 2,29; He 2022, PMID 35344001).</w:t>
      </w:r>
    </w:p>
    <w:p>
      <w:pPr>
        <w:numPr>
          <w:ilvl w:val="0"/>
          <w:numId w:val="1328"/>
        </w:numPr>
        <w:pStyle w:val="Compact"/>
      </w:pPr>
      <w:r>
        <w:rPr>
          <w:bCs/>
          <w:b/>
        </w:rPr>
        <w:t xml:space="preserve">Pancreas:</w:t>
      </w:r>
      <w:r>
        <w:t xml:space="preserve"> </w:t>
      </w:r>
      <w:r>
        <w:t xml:space="preserve">nella meta-analisi degli studi di esito nessun aumento del rischio di pancreatite o di tumore del pancreas</w:t>
      </w:r>
      <w:r>
        <w:rPr>
          <w:rStyle w:val="FootnoteReference"/>
        </w:rPr>
        <w:footnoteReference w:id="2570"/>
      </w:r>
      <w:r>
        <w:t xml:space="preserve">; nei dati assicurativi un segnale in caso di uso per la perdita di peso</w:t>
      </w:r>
      <w:r>
        <w:rPr>
          <w:rStyle w:val="FootnoteReference"/>
        </w:rPr>
        <w:footnoteReference w:id="2571"/>
      </w:r>
      <w:r>
        <w:t xml:space="preserve">.</w:t>
      </w:r>
    </w:p>
    <w:p>
      <w:pPr>
        <w:numPr>
          <w:ilvl w:val="0"/>
          <w:numId w:val="1328"/>
        </w:numPr>
        <w:pStyle w:val="Compact"/>
      </w:pPr>
      <w:r>
        <w:rPr>
          <w:bCs/>
          <w:b/>
        </w:rPr>
        <w:t xml:space="preserve">Tiroide:</w:t>
      </w:r>
      <w:r>
        <w:t xml:space="preserve"> </w:t>
      </w:r>
      <w:r>
        <w:t xml:space="preserve">tumori a cellule C nei roditori; nell’uomo un segnale in meta-analisi e studi osservazionali</w:t>
      </w:r>
      <w:r>
        <w:rPr>
          <w:rStyle w:val="FootnoteReference"/>
        </w:rPr>
        <w:footnoteReference w:id="2572"/>
      </w:r>
      <w:r>
        <w:t xml:space="preserve">, il cui significato è controverso.</w:t>
      </w:r>
    </w:p>
    <w:p>
      <w:pPr>
        <w:numPr>
          <w:ilvl w:val="0"/>
          <w:numId w:val="1328"/>
        </w:numPr>
        <w:pStyle w:val="Compact"/>
      </w:pPr>
      <w:r>
        <w:rPr>
          <w:bCs/>
          <w:b/>
        </w:rPr>
        <w:t xml:space="preserve">Occhi:</w:t>
      </w:r>
      <w:r>
        <w:t xml:space="preserve"> </w:t>
      </w:r>
      <w:r>
        <w:t xml:space="preserve">peggioramento di una retinopatia diabetica preesistente in SUSTAIN 6 (HR 1,76; Marso 2016, PMID 27633186); raro segnale di un disturbo della circolazione del nervo ottico (NAION) in studi osservazionali</w:t>
      </w:r>
      <w:r>
        <w:rPr>
          <w:rStyle w:val="FootnoteReference"/>
        </w:rPr>
        <w:footnoteReference w:id="2573"/>
      </w:r>
      <w:r>
        <w:t xml:space="preserve">.</w:t>
      </w:r>
    </w:p>
    <w:p>
      <w:pPr>
        <w:numPr>
          <w:ilvl w:val="0"/>
          <w:numId w:val="1328"/>
        </w:numPr>
        <w:pStyle w:val="Compact"/>
      </w:pPr>
      <w:r>
        <w:rPr>
          <w:bCs/>
          <w:b/>
        </w:rPr>
        <w:t xml:space="preserve">Massa muscolare:</w:t>
      </w:r>
      <w:r>
        <w:t xml:space="preserve"> </w:t>
      </w:r>
      <w:r>
        <w:t xml:space="preserve">circa un quarto del peso perso è massa magra, nella stessa proporzione che con altre forme di dimagrimento</w:t>
      </w:r>
      <w:r>
        <w:rPr>
          <w:rStyle w:val="FootnoteReference"/>
        </w:rPr>
        <w:footnoteReference w:id="2574"/>
      </w:r>
      <w:r>
        <w:t xml:space="preserve">.</w:t>
      </w:r>
    </w:p>
    <w:bookmarkEnd w:id="2575"/>
    <w:bookmarkStart w:id="2578" w:name="studi-di-confronto-diretto"/>
    <w:p>
      <w:pPr>
        <w:pStyle w:val="Heading3"/>
      </w:pPr>
      <w:r>
        <w:t xml:space="preserve">Studi di confronto diretto</w:t>
      </w:r>
    </w:p>
    <w:p>
      <w:pPr>
        <w:pStyle w:val="FirstParagraph"/>
      </w:pPr>
      <w:r>
        <w:t xml:space="preserve">La tabella seguente contiene studi randomizzati in cui due principi attivi della classe sono stati messi direttamente a confronto. Solo qui le differenze tra i principi attivi sono documentate in modo metodologicamente corretto. Molti di questi studi erano in aperto (non in cieco) e finanziati dal produttore del principio attivo più recente, e non sempre è stata usata la dose più alta autorizzata del farmaco di confronto.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Confronto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SURMOUNT-5 (Aronne 2025), PMID 40353578</w:t>
            </w:r>
          </w:p>
        </w:tc>
        <w:tc>
          <w:tcPr/>
          <w:p>
            <w:pPr>
              <w:pStyle w:val="Compact"/>
              <w:jc w:val="left"/>
            </w:pPr>
            <w:r>
              <w:t xml:space="preserve">tirzepatide vs. semaglutide 2,4 mg, obesità, in aperto</w:t>
            </w:r>
          </w:p>
        </w:tc>
        <w:tc>
          <w:tcPr/>
          <w:p>
            <w:pPr>
              <w:pStyle w:val="Compact"/>
              <w:jc w:val="left"/>
            </w:pPr>
            <w:r>
              <w:t xml:space="preserve">72 settimane</w:t>
            </w:r>
          </w:p>
        </w:tc>
        <w:tc>
          <w:tcPr/>
          <w:p>
            <w:pPr>
              <w:pStyle w:val="Compact"/>
              <w:jc w:val="left"/>
            </w:pPr>
            <w:r>
              <w:t xml:space="preserve">peso −20,2% vs. −13,7%</w:t>
            </w:r>
          </w:p>
        </w:tc>
      </w:tr>
      <w:tr>
        <w:tc>
          <w:tcPr/>
          <w:p>
            <w:pPr>
              <w:pStyle w:val="Compact"/>
              <w:jc w:val="left"/>
            </w:pPr>
            <w:r>
              <w:t xml:space="preserve">STEP 8 (Rubino 2022), PMID 35015037</w:t>
            </w:r>
          </w:p>
        </w:tc>
        <w:tc>
          <w:tcPr/>
          <w:p>
            <w:pPr>
              <w:pStyle w:val="Compact"/>
              <w:jc w:val="left"/>
            </w:pPr>
            <w:r>
              <w:t xml:space="preserve">semaglutide 2,4 mg vs. liraglutide 3,0 mg, obesità</w:t>
            </w:r>
          </w:p>
        </w:tc>
        <w:tc>
          <w:tcPr/>
          <w:p>
            <w:pPr>
              <w:pStyle w:val="Compact"/>
              <w:jc w:val="left"/>
            </w:pPr>
            <w:r>
              <w:t xml:space="preserve">68 settimane</w:t>
            </w:r>
          </w:p>
        </w:tc>
        <w:tc>
          <w:tcPr/>
          <w:p>
            <w:pPr>
              <w:pStyle w:val="Compact"/>
              <w:jc w:val="left"/>
            </w:pPr>
            <w:r>
              <w:t xml:space="preserve">peso −15,8% vs. −6,4%</w:t>
            </w:r>
          </w:p>
        </w:tc>
      </w:tr>
      <w:tr>
        <w:tc>
          <w:tcPr/>
          <w:p>
            <w:pPr>
              <w:pStyle w:val="Compact"/>
              <w:jc w:val="left"/>
            </w:pPr>
            <w:r>
              <w:t xml:space="preserve">REDEFINE 5 (Yamauchi 2026), PMID 42009015</w:t>
            </w:r>
          </w:p>
        </w:tc>
        <w:tc>
          <w:tcPr/>
          <w:p>
            <w:pPr>
              <w:pStyle w:val="Compact"/>
              <w:jc w:val="left"/>
            </w:pPr>
            <w:r>
              <w:t xml:space="preserve">CagriSema vs. semaglutide 2,4 mg, Giappone e Taiwan, in cieco</w:t>
            </w:r>
          </w:p>
        </w:tc>
        <w:tc>
          <w:tcPr/>
          <w:p>
            <w:pPr>
              <w:pStyle w:val="Compact"/>
              <w:jc w:val="left"/>
            </w:pPr>
            <w:r>
              <w:t xml:space="preserve">68 settimane</w:t>
            </w:r>
          </w:p>
        </w:tc>
        <w:tc>
          <w:tcPr/>
          <w:p>
            <w:pPr>
              <w:pStyle w:val="Compact"/>
              <w:jc w:val="left"/>
            </w:pPr>
            <w:r>
              <w:t xml:space="preserve">peso −18,4% vs. −11,9%</w:t>
            </w:r>
          </w:p>
        </w:tc>
      </w:tr>
      <w:tr>
        <w:tc>
          <w:tcPr/>
          <w:p>
            <w:pPr>
              <w:pStyle w:val="Compact"/>
              <w:jc w:val="left"/>
            </w:pPr>
            <w:r>
              <w:t xml:space="preserve">SURPASS-2 (Frías 2021), PMID 34170647</w:t>
            </w:r>
          </w:p>
        </w:tc>
        <w:tc>
          <w:tcPr/>
          <w:p>
            <w:pPr>
              <w:pStyle w:val="Compact"/>
              <w:jc w:val="left"/>
            </w:pPr>
            <w:r>
              <w:t xml:space="preserve">tirzepatide vs. semaglutide 1 mg, diabete di tipo 2, in aperto</w:t>
            </w:r>
          </w:p>
        </w:tc>
        <w:tc>
          <w:tcPr/>
          <w:p>
            <w:pPr>
              <w:pStyle w:val="Compact"/>
              <w:jc w:val="left"/>
            </w:pPr>
            <w:r>
              <w:t xml:space="preserve">40 settimane</w:t>
            </w:r>
          </w:p>
        </w:tc>
        <w:tc>
          <w:tcPr/>
          <w:p>
            <w:pPr>
              <w:pStyle w:val="Compact"/>
              <w:jc w:val="left"/>
            </w:pPr>
            <w:r>
              <w:t xml:space="preserve">HbA1c da −2,01 a −2,30 vs. −1,86; peso in più da −1,9 a −5,5 kg</w:t>
            </w:r>
          </w:p>
        </w:tc>
      </w:tr>
      <w:tr>
        <w:tc>
          <w:tcPr/>
          <w:p>
            <w:pPr>
              <w:pStyle w:val="Compact"/>
              <w:jc w:val="left"/>
            </w:pPr>
            <w:r>
              <w:t xml:space="preserve">REIMAGINE 2 (Buse 2026), PMID 42251859</w:t>
            </w:r>
          </w:p>
        </w:tc>
        <w:tc>
          <w:tcPr/>
          <w:p>
            <w:pPr>
              <w:pStyle w:val="Compact"/>
              <w:jc w:val="left"/>
            </w:pPr>
            <w:r>
              <w:t xml:space="preserve">CagriSema vs. semaglutide 2,4 mg, diabete di tipo 2</w:t>
            </w:r>
          </w:p>
        </w:tc>
        <w:tc>
          <w:tcPr/>
          <w:p>
            <w:pPr>
              <w:pStyle w:val="Compact"/>
              <w:jc w:val="left"/>
            </w:pPr>
            <w:r>
              <w:t xml:space="preserve">68 settimane</w:t>
            </w:r>
          </w:p>
        </w:tc>
        <w:tc>
          <w:tcPr/>
          <w:p>
            <w:pPr>
              <w:pStyle w:val="Compact"/>
              <w:jc w:val="left"/>
            </w:pPr>
            <w:r>
              <w:t xml:space="preserve">HbA1c −1,91 vs. −1,75</w:t>
            </w:r>
          </w:p>
        </w:tc>
      </w:tr>
      <w:tr>
        <w:tc>
          <w:tcPr/>
          <w:p>
            <w:pPr>
              <w:pStyle w:val="Compact"/>
              <w:jc w:val="left"/>
            </w:pPr>
            <w:r>
              <w:t xml:space="preserve">ACHIEVE-3 (Rosenstock 2026), PMID 41765029</w:t>
            </w:r>
          </w:p>
        </w:tc>
        <w:tc>
          <w:tcPr/>
          <w:p>
            <w:pPr>
              <w:pStyle w:val="Compact"/>
              <w:jc w:val="left"/>
            </w:pPr>
            <w:r>
              <w:t xml:space="preserve">orforglipron vs. semaglutide compressa, in aperto</w:t>
            </w:r>
          </w:p>
        </w:tc>
        <w:tc>
          <w:tcPr/>
          <w:p>
            <w:pPr>
              <w:pStyle w:val="Compact"/>
              <w:jc w:val="left"/>
            </w:pPr>
            <w:r>
              <w:t xml:space="preserve">52 settimane</w:t>
            </w:r>
          </w:p>
        </w:tc>
        <w:tc>
          <w:tcPr/>
          <w:p>
            <w:pPr>
              <w:pStyle w:val="Compact"/>
              <w:jc w:val="left"/>
            </w:pPr>
            <w:r>
              <w:t xml:space="preserve">HbA1c −1,91 vs. −1,47 (dose più alta in entrambi i casi)</w:t>
            </w:r>
          </w:p>
        </w:tc>
      </w:tr>
      <w:tr>
        <w:tc>
          <w:tcPr/>
          <w:p>
            <w:pPr>
              <w:pStyle w:val="Compact"/>
              <w:jc w:val="left"/>
            </w:pPr>
            <w:r>
              <w:t xml:space="preserve">SUSTAIN 7 (Pratley 2018), PMID 29397376</w:t>
            </w:r>
          </w:p>
        </w:tc>
        <w:tc>
          <w:tcPr/>
          <w:p>
            <w:pPr>
              <w:pStyle w:val="Compact"/>
              <w:jc w:val="left"/>
            </w:pPr>
            <w:r>
              <w:t xml:space="preserve">semaglutide vs. dulaglutide</w:t>
            </w:r>
          </w:p>
        </w:tc>
        <w:tc>
          <w:tcPr/>
          <w:p>
            <w:pPr>
              <w:pStyle w:val="Compact"/>
              <w:jc w:val="left"/>
            </w:pPr>
            <w:r>
              <w:t xml:space="preserve">40 settimane</w:t>
            </w:r>
          </w:p>
        </w:tc>
        <w:tc>
          <w:tcPr/>
          <w:p>
            <w:pPr>
              <w:pStyle w:val="Compact"/>
              <w:jc w:val="left"/>
            </w:pPr>
            <w:r>
              <w:t xml:space="preserve">HbA1c −1,8 vs. −1,4; peso −6,5 vs. −3,0 kg</w:t>
            </w:r>
          </w:p>
        </w:tc>
      </w:tr>
      <w:tr>
        <w:tc>
          <w:tcPr/>
          <w:p>
            <w:pPr>
              <w:pStyle w:val="Compact"/>
              <w:jc w:val="left"/>
            </w:pPr>
            <w:r>
              <w:t xml:space="preserve">SUSTAIN 10 (Capehorn 2020), PMID 31539622</w:t>
            </w:r>
          </w:p>
        </w:tc>
        <w:tc>
          <w:tcPr/>
          <w:p>
            <w:pPr>
              <w:pStyle w:val="Compact"/>
              <w:jc w:val="left"/>
            </w:pPr>
            <w:r>
              <w:t xml:space="preserve">semaglutide 1,0 mg vs. liraglutide 1,2 mg</w:t>
            </w:r>
          </w:p>
        </w:tc>
        <w:tc>
          <w:tcPr/>
          <w:p>
            <w:pPr>
              <w:pStyle w:val="Compact"/>
              <w:jc w:val="left"/>
            </w:pPr>
            <w:r>
              <w:t xml:space="preserve">30 settimane</w:t>
            </w:r>
          </w:p>
        </w:tc>
        <w:tc>
          <w:tcPr/>
          <w:p>
            <w:pPr>
              <w:pStyle w:val="Compact"/>
              <w:jc w:val="left"/>
            </w:pPr>
            <w:r>
              <w:t xml:space="preserve">HbA1c −1,7 vs. −1,0; peso −5,8 vs. −1,9 kg</w:t>
            </w:r>
          </w:p>
        </w:tc>
      </w:tr>
      <w:tr>
        <w:tc>
          <w:tcPr/>
          <w:p>
            <w:pPr>
              <w:pStyle w:val="Compact"/>
              <w:jc w:val="left"/>
            </w:pPr>
            <w:r>
              <w:t xml:space="preserve">SUSTAIN 3 (Ahmann 2018), PMID 29246950</w:t>
            </w:r>
          </w:p>
        </w:tc>
        <w:tc>
          <w:tcPr/>
          <w:p>
            <w:pPr>
              <w:pStyle w:val="Compact"/>
              <w:jc w:val="left"/>
            </w:pPr>
            <w:r>
              <w:t xml:space="preserve">semaglutide vs. exenatide settimanale, in aperto</w:t>
            </w:r>
          </w:p>
        </w:tc>
        <w:tc>
          <w:tcPr/>
          <w:p>
            <w:pPr>
              <w:pStyle w:val="Compact"/>
              <w:jc w:val="left"/>
            </w:pPr>
            <w:r>
              <w:t xml:space="preserve">56 settimane</w:t>
            </w:r>
          </w:p>
        </w:tc>
        <w:tc>
          <w:tcPr/>
          <w:p>
            <w:pPr>
              <w:pStyle w:val="Compact"/>
              <w:jc w:val="left"/>
            </w:pPr>
            <w:r>
              <w:t xml:space="preserve">HbA1c −1,5 vs. −0,9; peso −5,6 vs. −1,9 kg</w:t>
            </w:r>
          </w:p>
        </w:tc>
      </w:tr>
      <w:tr>
        <w:tc>
          <w:tcPr/>
          <w:p>
            <w:pPr>
              <w:pStyle w:val="Compact"/>
              <w:jc w:val="left"/>
            </w:pPr>
            <w:r>
              <w:t xml:space="preserve">PIONEER 4 (Pratley 2019), PMID 31186120</w:t>
            </w:r>
          </w:p>
        </w:tc>
        <w:tc>
          <w:tcPr/>
          <w:p>
            <w:pPr>
              <w:pStyle w:val="Compact"/>
              <w:jc w:val="left"/>
            </w:pPr>
            <w:r>
              <w:t xml:space="preserve">semaglutide compressa vs. liraglutide iniezione</w:t>
            </w:r>
          </w:p>
        </w:tc>
        <w:tc>
          <w:tcPr/>
          <w:p>
            <w:pPr>
              <w:pStyle w:val="Compact"/>
              <w:jc w:val="left"/>
            </w:pPr>
            <w:r>
              <w:t xml:space="preserve">26 settimane (studio 52)</w:t>
            </w:r>
          </w:p>
        </w:tc>
        <w:tc>
          <w:tcPr/>
          <w:p>
            <w:pPr>
              <w:pStyle w:val="Compact"/>
              <w:jc w:val="left"/>
            </w:pPr>
            <w:r>
              <w:t xml:space="preserve">HbA1c −1,2 vs. −1,1 (non inferiore)</w:t>
            </w:r>
          </w:p>
        </w:tc>
      </w:tr>
      <w:tr>
        <w:tc>
          <w:tcPr/>
          <w:p>
            <w:pPr>
              <w:pStyle w:val="Compact"/>
              <w:jc w:val="left"/>
            </w:pPr>
            <w:r>
              <w:t xml:space="preserve">AWARD-6 (Dungan 2014), PMID 25018121</w:t>
            </w:r>
          </w:p>
        </w:tc>
        <w:tc>
          <w:tcPr/>
          <w:p>
            <w:pPr>
              <w:pStyle w:val="Compact"/>
              <w:jc w:val="left"/>
            </w:pPr>
            <w:r>
              <w:t xml:space="preserve">dulaglutide vs. liraglutide 1,8 mg, in aperto</w:t>
            </w:r>
          </w:p>
        </w:tc>
        <w:tc>
          <w:tcPr/>
          <w:p>
            <w:pPr>
              <w:pStyle w:val="Compact"/>
              <w:jc w:val="left"/>
            </w:pPr>
            <w:r>
              <w:t xml:space="preserve">26 settimane</w:t>
            </w:r>
          </w:p>
        </w:tc>
        <w:tc>
          <w:tcPr/>
          <w:p>
            <w:pPr>
              <w:pStyle w:val="Compact"/>
              <w:jc w:val="left"/>
            </w:pPr>
            <w:r>
              <w:t xml:space="preserve">HbA1c −1,42 vs. −1,36, equivalente</w:t>
            </w:r>
          </w:p>
        </w:tc>
      </w:tr>
      <w:tr>
        <w:tc>
          <w:tcPr/>
          <w:p>
            <w:pPr>
              <w:pStyle w:val="Compact"/>
              <w:jc w:val="left"/>
            </w:pPr>
            <w:r>
              <w:t xml:space="preserve">DURATION-6 (Buse 2013), PMID 23141817</w:t>
            </w:r>
          </w:p>
        </w:tc>
        <w:tc>
          <w:tcPr/>
          <w:p>
            <w:pPr>
              <w:pStyle w:val="Compact"/>
              <w:jc w:val="left"/>
            </w:pPr>
            <w:r>
              <w:t xml:space="preserve">exenatide settimanale vs. liraglutide, in aperto</w:t>
            </w:r>
          </w:p>
        </w:tc>
        <w:tc>
          <w:tcPr/>
          <w:p>
            <w:pPr>
              <w:pStyle w:val="Compact"/>
              <w:jc w:val="left"/>
            </w:pPr>
            <w:r>
              <w:t xml:space="preserve">26 settimane</w:t>
            </w:r>
          </w:p>
        </w:tc>
        <w:tc>
          <w:tcPr/>
          <w:p>
            <w:pPr>
              <w:pStyle w:val="Compact"/>
              <w:jc w:val="left"/>
            </w:pPr>
            <w:r>
              <w:t xml:space="preserve">HbA1c −1,28 vs. −1,48; non inferiorità mancata</w:t>
            </w:r>
          </w:p>
        </w:tc>
      </w:tr>
      <w:tr>
        <w:tc>
          <w:tcPr/>
          <w:p>
            <w:pPr>
              <w:pStyle w:val="Compact"/>
              <w:jc w:val="left"/>
            </w:pPr>
            <w:r>
              <w:t xml:space="preserve">DREAMS-2 (Guo 2026), PMID 41407860</w:t>
            </w:r>
          </w:p>
        </w:tc>
        <w:tc>
          <w:tcPr/>
          <w:p>
            <w:pPr>
              <w:pStyle w:val="Compact"/>
              <w:jc w:val="left"/>
            </w:pPr>
            <w:r>
              <w:t xml:space="preserve">mazdutide vs. dulaglutide 1,5 mg, Cina</w:t>
            </w:r>
          </w:p>
        </w:tc>
        <w:tc>
          <w:tcPr/>
          <w:p>
            <w:pPr>
              <w:pStyle w:val="Compact"/>
              <w:jc w:val="left"/>
            </w:pPr>
            <w:r>
              <w:t xml:space="preserve">28 settimane</w:t>
            </w:r>
          </w:p>
        </w:tc>
        <w:tc>
          <w:tcPr/>
          <w:p>
            <w:pPr>
              <w:pStyle w:val="Compact"/>
              <w:jc w:val="left"/>
            </w:pPr>
            <w:r>
              <w:t xml:space="preserve">HbA1c in più −0,24 / −0,30</w:t>
            </w:r>
          </w:p>
        </w:tc>
      </w:tr>
      <w:tr>
        <w:tc>
          <w:tcPr/>
          <w:p>
            <w:pPr>
              <w:pStyle w:val="Compact"/>
              <w:jc w:val="left"/>
            </w:pPr>
            <w:r>
              <w:t xml:space="preserve">SURPASS-CVOT (Nicholls 2025), PMID 41406444</w:t>
            </w:r>
          </w:p>
        </w:tc>
        <w:tc>
          <w:tcPr/>
          <w:p>
            <w:pPr>
              <w:pStyle w:val="Compact"/>
              <w:jc w:val="left"/>
            </w:pPr>
            <w:r>
              <w:t xml:space="preserve">tirzepatide vs. dulaglutide, eventi cardiovascolari</w:t>
            </w:r>
          </w:p>
        </w:tc>
        <w:tc>
          <w:tcPr/>
          <w:p>
            <w:pPr>
              <w:pStyle w:val="Compact"/>
              <w:jc w:val="left"/>
            </w:pPr>
            <w:r>
              <w:t xml:space="preserve">diversi anni</w:t>
            </w:r>
          </w:p>
        </w:tc>
        <w:tc>
          <w:tcPr/>
          <w:p>
            <w:pPr>
              <w:pStyle w:val="Compact"/>
              <w:jc w:val="left"/>
            </w:pPr>
            <w:r>
              <w:t xml:space="preserve">HR 0,92, non inferiore</w:t>
            </w:r>
          </w:p>
        </w:tc>
      </w:tr>
    </w:tbl>
    <w:p>
      <w:pPr>
        <w:pStyle w:val="BodyText"/>
      </w:pPr>
      <w:r>
        <w:rPr>
          <w:bCs/>
          <w:b/>
        </w:rPr>
        <w:t xml:space="preserve">Che cosa mostrano i confronti diretti:</w:t>
      </w:r>
    </w:p>
    <w:p>
      <w:pPr>
        <w:numPr>
          <w:ilvl w:val="0"/>
          <w:numId w:val="1329"/>
        </w:numPr>
        <w:pStyle w:val="Compact"/>
      </w:pPr>
      <w:r>
        <w:rPr>
          <w:bCs/>
          <w:b/>
        </w:rPr>
        <w:t xml:space="preserve">Per il peso la graduatoria è chiara.</w:t>
      </w:r>
      <w:r>
        <w:t xml:space="preserve"> </w:t>
      </w:r>
      <w:r>
        <w:t xml:space="preserve">Semaglutide 2,4 mg ha superato liraglutide 3,0 mg di 9,4 punti percentuali (STEP 8), tirzepatide ha superato semaglutide 2,4 mg di 6,5 punti percentuali (SURMOUNT-5), CagriSema ha superato semaglutide 2,4 mg in Asia orientale anch’esso di 6,5 punti percentuali (REDEFINE 5). In SURMOUNT-5, con tirzepatide, più partecipanti hanno raggiunto ciascuna delle soglie del 10, 15, 20 e 25%, e la circonferenza vita si è ridotta di 18,4 cm contro 13,0 cm.</w:t>
      </w:r>
    </w:p>
    <w:p>
      <w:pPr>
        <w:numPr>
          <w:ilvl w:val="0"/>
          <w:numId w:val="1329"/>
        </w:numPr>
        <w:pStyle w:val="Compact"/>
      </w:pPr>
      <w:r>
        <w:rPr>
          <w:bCs/>
          <w:b/>
        </w:rPr>
        <w:t xml:space="preserve">Per la glicemia le distanze sono minori.</w:t>
      </w:r>
      <w:r>
        <w:t xml:space="preserve"> </w:t>
      </w:r>
      <w:r>
        <w:t xml:space="preserve">Tra gli agonisti del GLP-1 settimanali ci sono per lo più solo decimi di punto; tirzepatide ha ridotto l’HbA1c in SURPASS-2 da 0,15 a 0,45 punti percentuali in più rispetto a semaglutide 1 mg.</w:t>
      </w:r>
    </w:p>
    <w:p>
      <w:pPr>
        <w:numPr>
          <w:ilvl w:val="0"/>
          <w:numId w:val="1329"/>
        </w:numPr>
        <w:pStyle w:val="Compact"/>
      </w:pPr>
      <w:r>
        <w:rPr>
          <w:bCs/>
          <w:b/>
        </w:rPr>
        <w:t xml:space="preserve">Per gli endpoint clinici forti esiste finora un solo confronto diretto.</w:t>
      </w:r>
      <w:r>
        <w:t xml:space="preserve"> </w:t>
      </w:r>
      <w:r>
        <w:t xml:space="preserve">SURPASS-CVOT ha mostrato che tirzepatide non è inferiore a dulaglutide; una superiorità non è stata dimostrata.</w:t>
      </w:r>
    </w:p>
    <w:p>
      <w:pPr>
        <w:numPr>
          <w:ilvl w:val="0"/>
          <w:numId w:val="1329"/>
        </w:numPr>
        <w:pStyle w:val="Compact"/>
      </w:pPr>
      <w:r>
        <w:rPr>
          <w:bCs/>
          <w:b/>
        </w:rPr>
        <w:t xml:space="preserve">I limiti sono considerevoli.</w:t>
      </w:r>
      <w:r>
        <w:t xml:space="preserve"> </w:t>
      </w:r>
      <w:r>
        <w:t xml:space="preserve">SURMOUNT-5 e SURPASS-2 erano in aperto e finanziati dal produttore di tirzepatide; SURPASS-2 ha usato semaglutide solo alla dose di 1 mg. REDEFINE 5 è stato condotto esclusivamente in Giappone e Taiwan. Le differenze in SURMOUNT-5 sono tuttavia così grandi che difficilmente si possono spiegare solo con queste debolezze.</w:t>
      </w:r>
    </w:p>
    <w:p>
      <w:pPr>
        <w:pStyle w:val="FirstParagraph"/>
      </w:pPr>
      <w:r>
        <w:rPr>
          <w:bCs/>
          <w:b/>
        </w:rPr>
        <w:t xml:space="preserve">Ancora in sospeso (studi registrati):</w:t>
      </w:r>
      <w:r>
        <w:t xml:space="preserve"> </w:t>
      </w:r>
      <w:r>
        <w:t xml:space="preserve">il confronto diretto di retatrutide con tirzepatide in 800 adulti con obesità</w:t>
      </w:r>
      <w:r>
        <w:rPr>
          <w:rStyle w:val="FootnoteReference"/>
        </w:rPr>
        <w:footnoteReference w:id="2576"/>
      </w:r>
      <w:r>
        <w:t xml:space="preserve"> </w:t>
      </w:r>
      <w:r>
        <w:t xml:space="preserve">dovrebbe concludersi alla fine del 2026. Lo studio di confronto di CagriSema contro tirzepatide nell’obesità (REDEFINE 4, NCT06131437) risulta concluso secondo il registro, ma alla chiusura redazionale non era disponibile una pubblicazione sottoposta a revisione paritaria. Mazdutide viene testato in Cina contro semaglutide</w:t>
      </w:r>
      <w:r>
        <w:rPr>
          <w:rStyle w:val="FootnoteReference"/>
        </w:rPr>
        <w:footnoteReference w:id="2577"/>
      </w:r>
      <w:r>
        <w:t xml:space="preserve">.</w:t>
      </w:r>
    </w:p>
    <w:bookmarkEnd w:id="2578"/>
    <w:bookmarkStart w:id="2579" w:name="conclusione-58"/>
    <w:p>
      <w:pPr>
        <w:pStyle w:val="Heading3"/>
      </w:pPr>
      <w:r>
        <w:t xml:space="preserve">Conclusione</w:t>
      </w:r>
    </w:p>
    <w:p>
      <w:pPr>
        <w:pStyle w:val="FirstParagraph"/>
      </w:pPr>
      <w:r>
        <w:t xml:space="preserve">I farmaci incretinici formano una chiara progressione a gradini: per la perdita di peso, i valori medi degli studi registrativi vanno da circa l’8% (liraglutide), passando per poco meno del 15% (semaglutide 2,4 mg) e circa il 20% (tirzepatide, CagriSema), fino al 25% (retatrutide), e i confronti diretti confermano questa sequenza per le coppie finora confrontate. Per cuore e reni il beneficio è finora documentato in studi controllati con placebo solo per i vecchi agonisti del GLP-1 e per semaglutide; se i successori più potenti offrano di più su questo fronte resta aperto. Gli effetti collaterali sono simili in tutta la classe e riguardano soprattutto l’apparato gastrointestinale; i tassi di interruzione aumentano con la dose e con la durata del trattamento. I confronti trasversali tra singoli studi restano un orientamento approssimativo – per la scelta di un farmaco nel singolo caso fanno fede il riassunto delle caratteristiche del prodotto e la consulenza medica.</w:t>
      </w:r>
    </w:p>
    <w:bookmarkEnd w:id="2579"/>
    <w:bookmarkEnd w:id="2580"/>
    <w:bookmarkStart w:id="2603" w:name="promesse-contro-prove"/>
    <w:p>
      <w:pPr>
        <w:pStyle w:val="Heading2"/>
      </w:pPr>
      <w:r>
        <w:t xml:space="preserve">Promesse contro prove</w:t>
      </w:r>
    </w:p>
    <w:p>
      <w:pPr>
        <w:pStyle w:val="FirstParagraph"/>
      </w:pPr>
      <w:r>
        <w:t xml:space="preserve">Chi cerca peptidi su internet si imbatte presto in negozi, video e forum in cui certe sostanze vengono descritte a parole grosse: dovrebbero riparare i tendini, rallentare l’invecchiamento, sciogliere il grasso o affinare la memoria. Questo capitolo mette a confronto queste tipiche promesse pubblicitarie con ciò che gli studi sull’uomo hanno effettivamente dimostrato.</w:t>
      </w:r>
    </w:p>
    <w:p>
      <w:pPr>
        <w:pStyle w:val="BodyText"/>
      </w:pPr>
      <w:r>
        <w:t xml:space="preserve">Sono stati scelti i peptidi più pubblicizzati nel 2026 su internet in lingua tedesca e inglese. Le promesse sono formulate in modo generico e riassumono affermazioni ricorrenti; non provengono da un venditore specifico. La colonna «Che cosa mostrano gli studi sull’uomo» si basa sui capitoli della Parte II, nei quali le fonti sono discusse in dettaglio. Gli esperimenti sugli animali e i risultati di laboratorio sono indicati espressamente come tali.</w:t>
      </w:r>
    </w:p>
    <w:p>
      <w:pPr>
        <w:pStyle w:val="BodyText"/>
      </w:pPr>
      <w:r>
        <w:t xml:space="preserve">Una premessa: il fatto che un beneficio non sia dimostrato non significa automaticamente che una sostanza sia inefficace. Significa che nessuno lo sa – nemmeno i venditori che la vendono. Allo stesso modo vale: per sostanze poco studiate, il fatto che non siano stati pubblicati effetti collaterali non significa che siano sicure, ma solo che nessuno li ha cercati in modo sistematico.</w:t>
      </w:r>
    </w:p>
    <w:bookmarkStart w:id="2581" w:name="X4f23a557e296e9c919bd131b16ec2dd5828feb2"/>
    <w:p>
      <w:pPr>
        <w:pStyle w:val="Heading3"/>
      </w:pPr>
      <w:r>
        <w:t xml:space="preserve">I peptidi più popolari alla verifica dei fatti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Peptide</w:t>
            </w:r>
          </w:p>
        </w:tc>
        <w:tc>
          <w:tcPr/>
          <w:p>
            <w:pPr>
              <w:pStyle w:val="Compact"/>
              <w:jc w:val="left"/>
            </w:pPr>
            <w:r>
              <w:t xml:space="preserve">Promessa pubblicitaria tipica</w:t>
            </w:r>
          </w:p>
        </w:tc>
        <w:tc>
          <w:tcPr/>
          <w:p>
            <w:pPr>
              <w:pStyle w:val="Compact"/>
              <w:jc w:val="left"/>
            </w:pPr>
            <w:r>
              <w:t xml:space="preserve">Che cosa mostrano gli studi sull’uomo</w:t>
            </w:r>
          </w:p>
        </w:tc>
        <w:tc>
          <w:tcPr/>
          <w:p>
            <w:pPr>
              <w:pStyle w:val="Compact"/>
              <w:jc w:val="left"/>
            </w:pPr>
            <w:r>
              <w:t xml:space="preserve">Evidenza</w:t>
            </w:r>
          </w:p>
        </w:tc>
      </w:tr>
      <w:tr>
        <w:tc>
          <w:tcPr/>
          <w:p>
            <w:pPr>
              <w:pStyle w:val="Compact"/>
              <w:jc w:val="left"/>
            </w:pPr>
            <w:r>
              <w:t xml:space="preserve">BPC-157</w:t>
            </w:r>
          </w:p>
        </w:tc>
        <w:tc>
          <w:tcPr/>
          <w:p>
            <w:pPr>
              <w:pStyle w:val="Compact"/>
              <w:jc w:val="left"/>
            </w:pPr>
            <w:r>
              <w:t xml:space="preserve">Accelera la guarigione di tendini, legamenti, muscoli e intestino</w:t>
            </w:r>
          </w:p>
        </w:tc>
        <w:tc>
          <w:tcPr/>
          <w:p>
            <w:pPr>
              <w:pStyle w:val="Compact"/>
              <w:jc w:val="left"/>
            </w:pPr>
            <w:r>
              <w:t xml:space="preserve">Tre indagini non controllate con complessivamente 30 persone (ginocchio, vescica, tollerabilità); valore probatorio molto basso secondo una revisione sistematica (Poolton 2026, PMID 42885452). I numerosi risultati positivi provengono da esperimenti sugli animali, per lo più di un unico gruppo di ricerca.</w:t>
            </w:r>
          </w:p>
        </w:tc>
        <w:tc>
          <w:tcPr/>
          <w:p>
            <w:pPr>
              <w:pStyle w:val="Compact"/>
              <w:jc w:val="left"/>
            </w:pPr>
            <w:r>
              <w:t xml:space="preserve">C</w:t>
            </w:r>
          </w:p>
        </w:tc>
      </w:tr>
      <w:tr>
        <w:tc>
          <w:tcPr/>
          <w:p>
            <w:pPr>
              <w:pStyle w:val="Compact"/>
              <w:jc w:val="left"/>
            </w:pPr>
            <w:r>
              <w:t xml:space="preserve">TB-500</w:t>
            </w:r>
          </w:p>
        </w:tc>
        <w:tc>
          <w:tcPr/>
          <w:p>
            <w:pPr>
              <w:pStyle w:val="Compact"/>
              <w:jc w:val="left"/>
            </w:pPr>
            <w:r>
              <w:t xml:space="preserve">Ripara tessuti, tendini e muscoli, rende più mobili</w:t>
            </w:r>
          </w:p>
        </w:tc>
        <w:tc>
          <w:tcPr/>
          <w:p>
            <w:pPr>
              <w:pStyle w:val="Compact"/>
              <w:jc w:val="left"/>
            </w:pPr>
            <w:r>
              <w:t xml:space="preserve">TB-500 non è mai stato testato in uno studio sull’uomo pubblicato. La proteina intera timosina beta-4, dopo un infarto, non ha ridotto in modo significativo le dimensioni complessive dell’infarto (Zhang 2025, PMID 41229390). I prodotti del mercato grigio non contenevano sempre quanto dichiarato (Delcourt 2023, PMID 36482504).</w:t>
            </w:r>
          </w:p>
        </w:tc>
        <w:tc>
          <w:tcPr/>
          <w:p>
            <w:pPr>
              <w:pStyle w:val="Compact"/>
              <w:jc w:val="left"/>
            </w:pPr>
            <w:r>
              <w:t xml:space="preserve">D (TB-500)</w:t>
            </w:r>
          </w:p>
        </w:tc>
      </w:tr>
      <w:tr>
        <w:tc>
          <w:tcPr/>
          <w:p>
            <w:pPr>
              <w:pStyle w:val="Compact"/>
              <w:jc w:val="left"/>
            </w:pPr>
            <w:r>
              <w:t xml:space="preserve">CJC-1295</w:t>
            </w:r>
          </w:p>
        </w:tc>
        <w:tc>
          <w:tcPr/>
          <w:p>
            <w:pPr>
              <w:pStyle w:val="Compact"/>
              <w:jc w:val="left"/>
            </w:pPr>
            <w:r>
              <w:t xml:space="preserve">Aumenta l’ormone della crescita per costruire muscoli, ridurre il grasso e dormire meglio</w:t>
            </w:r>
          </w:p>
        </w:tc>
        <w:tc>
          <w:tcPr/>
          <w:p>
            <w:pPr>
              <w:pStyle w:val="Compact"/>
              <w:jc w:val="left"/>
            </w:pPr>
            <w:r>
              <w:t xml:space="preserve">In persone sane l’ormone della crescita e l’IGF-1 sono aumentati dopo una singola iniezione per circa sei-undici giorni (Teichman 2006, PMID 16352683). Se ne derivi un beneficio non è mai stato studiato. Per la variante più venduta, senza «DAC», non esiste alcuno studio sull’uomo.</w:t>
            </w:r>
          </w:p>
        </w:tc>
        <w:tc>
          <w:tcPr/>
          <w:p>
            <w:pPr>
              <w:pStyle w:val="Compact"/>
              <w:jc w:val="left"/>
            </w:pPr>
            <w:r>
              <w:t xml:space="preserve">C</w:t>
            </w:r>
          </w:p>
        </w:tc>
      </w:tr>
      <w:tr>
        <w:tc>
          <w:tcPr/>
          <w:p>
            <w:pPr>
              <w:pStyle w:val="Compact"/>
              <w:jc w:val="left"/>
            </w:pPr>
            <w:r>
              <w:t xml:space="preserve">Ipamorelina</w:t>
            </w:r>
          </w:p>
        </w:tc>
        <w:tc>
          <w:tcPr/>
          <w:p>
            <w:pPr>
              <w:pStyle w:val="Compact"/>
              <w:jc w:val="left"/>
            </w:pPr>
            <w:r>
              <w:t xml:space="preserve">Booster delicato dell’ormone della crescita senza effetti collaterali</w:t>
            </w:r>
          </w:p>
        </w:tc>
        <w:tc>
          <w:tcPr/>
          <w:p>
            <w:pPr>
              <w:pStyle w:val="Compact"/>
              <w:jc w:val="left"/>
            </w:pPr>
            <w:r>
              <w:t xml:space="preserve">Unico studio di efficacia pubblicato: 117 persone dopo un intervento intestinale, nessun beneficio significativo (Beck 2014, PMID 25331030). Nessuno studio sull’uomo su muscoli, grasso, sonno o invecchiamento.</w:t>
            </w:r>
          </w:p>
        </w:tc>
        <w:tc>
          <w:tcPr/>
          <w:p>
            <w:pPr>
              <w:pStyle w:val="Compact"/>
              <w:jc w:val="left"/>
            </w:pPr>
            <w:r>
              <w:t xml:space="preserve">B</w:t>
            </w:r>
          </w:p>
        </w:tc>
      </w:tr>
      <w:tr>
        <w:tc>
          <w:tcPr/>
          <w:p>
            <w:pPr>
              <w:pStyle w:val="Compact"/>
              <w:jc w:val="left"/>
            </w:pPr>
            <w:r>
              <w:t xml:space="preserve">Epitalon</w:t>
            </w:r>
          </w:p>
        </w:tc>
        <w:tc>
          <w:tcPr/>
          <w:p>
            <w:pPr>
              <w:pStyle w:val="Compact"/>
              <w:jc w:val="left"/>
            </w:pPr>
            <w:r>
              <w:t xml:space="preserve">Allunga i telomeri e riporta indietro l’orologio biologico</w:t>
            </w:r>
          </w:p>
        </w:tc>
        <w:tc>
          <w:tcPr/>
          <w:p>
            <w:pPr>
              <w:pStyle w:val="Compact"/>
              <w:jc w:val="left"/>
            </w:pPr>
            <w:r>
              <w:t xml:space="preserve">Allungamento dei telomeri solo in colture cellulari (Khavinson 2003, PMID 12937682). Nei topi nessun aumento della durata media della vita (Anisimov 2003, PMID 14501183). Nessuno studio randomizzato sufficientemente grande sull’uomo.</w:t>
            </w:r>
          </w:p>
        </w:tc>
        <w:tc>
          <w:tcPr/>
          <w:p>
            <w:pPr>
              <w:pStyle w:val="Compact"/>
              <w:jc w:val="left"/>
            </w:pPr>
            <w:r>
              <w:t xml:space="preserve">C</w:t>
            </w:r>
          </w:p>
        </w:tc>
      </w:tr>
      <w:tr>
        <w:tc>
          <w:tcPr/>
          <w:p>
            <w:pPr>
              <w:pStyle w:val="Compact"/>
              <w:jc w:val="left"/>
            </w:pPr>
            <w:r>
              <w:t xml:space="preserve">MOTS-c</w:t>
            </w:r>
          </w:p>
        </w:tc>
        <w:tc>
          <w:tcPr/>
          <w:p>
            <w:pPr>
              <w:pStyle w:val="Compact"/>
              <w:jc w:val="left"/>
            </w:pPr>
            <w:r>
              <w:t xml:space="preserve">«Sport in siringa»: più resistenza, meno grasso, migliore azione dell’insulina</w:t>
            </w:r>
          </w:p>
        </w:tc>
        <w:tc>
          <w:tcPr/>
          <w:p>
            <w:pPr>
              <w:pStyle w:val="Compact"/>
              <w:jc w:val="left"/>
            </w:pPr>
            <w:r>
              <w:t xml:space="preserve">Questi effetti sono emersi nei topi (Lee 2015, PMID 25738459). Nell’uomo esistono solo misurazioni dei livelli endogeni, nessuno studio pubblicato con somministrazione di MOTS-c.</w:t>
            </w:r>
          </w:p>
        </w:tc>
        <w:tc>
          <w:tcPr/>
          <w:p>
            <w:pPr>
              <w:pStyle w:val="Compact"/>
              <w:jc w:val="left"/>
            </w:pPr>
            <w:r>
              <w:t xml:space="preserve">D</w:t>
            </w:r>
          </w:p>
        </w:tc>
      </w:tr>
      <w:tr>
        <w:tc>
          <w:tcPr/>
          <w:p>
            <w:pPr>
              <w:pStyle w:val="Compact"/>
              <w:jc w:val="left"/>
            </w:pPr>
            <w:r>
              <w:t xml:space="preserve">Semax</w:t>
            </w:r>
          </w:p>
        </w:tc>
        <w:tc>
          <w:tcPr/>
          <w:p>
            <w:pPr>
              <w:pStyle w:val="Compact"/>
              <w:jc w:val="left"/>
            </w:pPr>
            <w:r>
              <w:t xml:space="preserve">Aumenta concentrazione, memoria e rendimento</w:t>
            </w:r>
          </w:p>
        </w:tc>
        <w:tc>
          <w:tcPr/>
          <w:p>
            <w:pPr>
              <w:pStyle w:val="Compact"/>
              <w:jc w:val="left"/>
            </w:pPr>
            <w:r>
              <w:t xml:space="preserve">Piccoli studi russi, per lo più non randomizzati, sull’ictus, per esempio uno studio con 110 persone (Gusev 2018, PMID 29798983). Per le persone sane nessun dato significativo.</w:t>
            </w:r>
          </w:p>
        </w:tc>
        <w:tc>
          <w:tcPr/>
          <w:p>
            <w:pPr>
              <w:pStyle w:val="Compact"/>
              <w:jc w:val="left"/>
            </w:pPr>
            <w:r>
              <w:t xml:space="preserve">C</w:t>
            </w:r>
          </w:p>
        </w:tc>
      </w:tr>
      <w:tr>
        <w:tc>
          <w:tcPr/>
          <w:p>
            <w:pPr>
              <w:pStyle w:val="Compact"/>
              <w:jc w:val="left"/>
            </w:pPr>
            <w:r>
              <w:t xml:space="preserve">Selank</w:t>
            </w:r>
          </w:p>
        </w:tc>
        <w:tc>
          <w:tcPr/>
          <w:p>
            <w:pPr>
              <w:pStyle w:val="Compact"/>
              <w:jc w:val="left"/>
            </w:pPr>
            <w:r>
              <w:t xml:space="preserve">Scioglie l’ansia senza stanchezza e dipendenza</w:t>
            </w:r>
          </w:p>
        </w:tc>
        <w:tc>
          <w:tcPr/>
          <w:p>
            <w:pPr>
              <w:pStyle w:val="Compact"/>
              <w:jc w:val="left"/>
            </w:pPr>
            <w:r>
              <w:t xml:space="preserve">Tre piccoli studi russi senza gruppo placebo, tra cui 62 persone a confronto con una benzodiazepina (Zozulia 2008, PMID 18454096). Non esistono studi sulla concentrazione in persone sane.</w:t>
            </w:r>
          </w:p>
        </w:tc>
        <w:tc>
          <w:tcPr/>
          <w:p>
            <w:pPr>
              <w:pStyle w:val="Compact"/>
              <w:jc w:val="left"/>
            </w:pPr>
            <w:r>
              <w:t xml:space="preserve">C</w:t>
            </w:r>
          </w:p>
        </w:tc>
      </w:tr>
      <w:tr>
        <w:tc>
          <w:tcPr/>
          <w:p>
            <w:pPr>
              <w:pStyle w:val="Compact"/>
              <w:jc w:val="left"/>
            </w:pPr>
            <w:r>
              <w:t xml:space="preserve">Melanotan II</w:t>
            </w:r>
          </w:p>
        </w:tc>
        <w:tc>
          <w:tcPr/>
          <w:p>
            <w:pPr>
              <w:pStyle w:val="Compact"/>
              <w:jc w:val="left"/>
            </w:pPr>
            <w:r>
              <w:t xml:space="preserve">Abbronzatura senza scottature, più desiderio</w:t>
            </w:r>
          </w:p>
        </w:tc>
        <w:tc>
          <w:tcPr/>
          <w:p>
            <w:pPr>
              <w:pStyle w:val="Compact"/>
              <w:jc w:val="left"/>
            </w:pPr>
            <w:r>
              <w:t xml:space="preserve">Piccoli studi pilota degli anni ’90 con circa due dozzine di persone, nausea frequente (Wessells 2000, PMID 11035391). Casi clinici di nuovi nei, melanomi e priapismo. Flaconi acquistati in negozi online contenevano da 4,32 a 8,84 mg invece di 10 mg (Breindahl 2015, PMID 24771717).</w:t>
            </w:r>
          </w:p>
        </w:tc>
        <w:tc>
          <w:tcPr/>
          <w:p>
            <w:pPr>
              <w:pStyle w:val="Compact"/>
              <w:jc w:val="left"/>
            </w:pPr>
            <w:r>
              <w:t xml:space="preserve">C</w:t>
            </w:r>
          </w:p>
        </w:tc>
      </w:tr>
      <w:tr>
        <w:tc>
          <w:tcPr/>
          <w:p>
            <w:pPr>
              <w:pStyle w:val="Compact"/>
              <w:jc w:val="left"/>
            </w:pPr>
            <w:r>
              <w:t xml:space="preserve">GHK-Cu</w:t>
            </w:r>
          </w:p>
        </w:tc>
        <w:tc>
          <w:tcPr/>
          <w:p>
            <w:pPr>
              <w:pStyle w:val="Compact"/>
              <w:jc w:val="left"/>
            </w:pPr>
            <w:r>
              <w:t xml:space="preserve">Rassoda la pelle, costruisce collagene, favorisce la crescita dei capelli</w:t>
            </w:r>
          </w:p>
        </w:tc>
        <w:tc>
          <w:tcPr/>
          <w:p>
            <w:pPr>
              <w:pStyle w:val="Compact"/>
              <w:jc w:val="left"/>
            </w:pPr>
            <w:r>
              <w:t xml:space="preserve">Un vecchio studio randomizzato sulle ulcere del piede diabetico con esito positivo (Mulder 1994, PMID 17147644). Un piccolo studio cutaneo dopo trattamento laser non ha trovato differenze misurabili (Miller 2006, PMID 16847171). Nessun dato sulle iniezioni.</w:t>
            </w:r>
          </w:p>
        </w:tc>
        <w:tc>
          <w:tcPr/>
          <w:p>
            <w:pPr>
              <w:pStyle w:val="Compact"/>
              <w:jc w:val="left"/>
            </w:pPr>
            <w:r>
              <w:t xml:space="preserve">C</w:t>
            </w:r>
          </w:p>
        </w:tc>
      </w:tr>
      <w:tr>
        <w:tc>
          <w:tcPr/>
          <w:p>
            <w:pPr>
              <w:pStyle w:val="Compact"/>
              <w:jc w:val="left"/>
            </w:pPr>
            <w:r>
              <w:t xml:space="preserve">AOD-9604</w:t>
            </w:r>
          </w:p>
        </w:tc>
        <w:tc>
          <w:tcPr/>
          <w:p>
            <w:pPr>
              <w:pStyle w:val="Compact"/>
              <w:jc w:val="left"/>
            </w:pPr>
            <w:r>
              <w:t xml:space="preserve">Frammento dell’ormone della crescita che brucia i grassi</w:t>
            </w:r>
          </w:p>
        </w:tc>
        <w:tc>
          <w:tcPr/>
          <w:p>
            <w:pPr>
              <w:pStyle w:val="Compact"/>
              <w:jc w:val="left"/>
            </w:pPr>
            <w:r>
              <w:t xml:space="preserve">Nei topi minore aumento di peso (Heffernan 2001, PMID 11673763). Sono stati condotti studi sull’uomo, ma mai pubblicati su riviste con revisione paritaria; lo sviluppo è stato interrotto.</w:t>
            </w:r>
          </w:p>
        </w:tc>
        <w:tc>
          <w:tcPr/>
          <w:p>
            <w:pPr>
              <w:pStyle w:val="Compact"/>
              <w:jc w:val="left"/>
            </w:pPr>
            <w:r>
              <w:t xml:space="preserve">D</w:t>
            </w:r>
          </w:p>
        </w:tc>
      </w:tr>
      <w:tr>
        <w:tc>
          <w:tcPr/>
          <w:p>
            <w:pPr>
              <w:pStyle w:val="Compact"/>
              <w:jc w:val="left"/>
            </w:pPr>
            <w:r>
              <w:t xml:space="preserve">Peptidi di collagene</w:t>
            </w:r>
          </w:p>
        </w:tc>
        <w:tc>
          <w:tcPr/>
          <w:p>
            <w:pPr>
              <w:pStyle w:val="Compact"/>
              <w:jc w:val="left"/>
            </w:pPr>
            <w:r>
              <w:t xml:space="preserve">Pelle più soda, articolazioni sane, più muscoli</w:t>
            </w:r>
          </w:p>
        </w:tc>
        <w:tc>
          <w:tcPr/>
          <w:p>
            <w:pPr>
              <w:pStyle w:val="Compact"/>
              <w:jc w:val="left"/>
            </w:pPr>
            <w:r>
              <w:t xml:space="preserve">Artrosi: in 35 studi randomizzati effetti da piccoli a moderati (PMID 38218227). Pelle: senza finanziamento dell’industria nessun effetto (Myung 2025, PMID 40324552). Muscolo: le proteine del siero hanno funzionato meglio del collagene (Oikawa 2020, PMID 31919527).</w:t>
            </w:r>
          </w:p>
        </w:tc>
        <w:tc>
          <w:tcPr/>
          <w:p>
            <w:pPr>
              <w:pStyle w:val="Compact"/>
              <w:jc w:val="left"/>
            </w:pPr>
            <w:r>
              <w:t xml:space="preserve">B</w:t>
            </w:r>
          </w:p>
        </w:tc>
      </w:tr>
      <w:tr>
        <w:tc>
          <w:tcPr/>
          <w:p>
            <w:pPr>
              <w:pStyle w:val="Compact"/>
              <w:jc w:val="left"/>
            </w:pPr>
            <w:r>
              <w:t xml:space="preserve">Glutatione</w:t>
            </w:r>
          </w:p>
        </w:tc>
        <w:tc>
          <w:tcPr/>
          <w:p>
            <w:pPr>
              <w:pStyle w:val="Compact"/>
              <w:jc w:val="left"/>
            </w:pPr>
            <w:r>
              <w:t xml:space="preserve">Disintossica, schiarisce la pelle, rafforza il sistema immunitario</w:t>
            </w:r>
          </w:p>
        </w:tc>
        <w:tc>
          <w:tcPr/>
          <w:p>
            <w:pPr>
              <w:pStyle w:val="Compact"/>
              <w:jc w:val="left"/>
            </w:pPr>
            <w:r>
              <w:t xml:space="preserve">In capsule ha aumentato i livelli nel sangue dopo sei mesi (Richie 2015, PMID 24791752). Come infusione non ha protetto 185 pazienti oncologici dai danni ai nervi (Leal 2014, PMID 24619793). Infusioni per schiarire la pelle: nessun beneficio dimostrato, secondo una revisione non giustificabili (Sarkar 2025, PMID 39444151).</w:t>
            </w:r>
          </w:p>
        </w:tc>
        <w:tc>
          <w:tcPr/>
          <w:p>
            <w:pPr>
              <w:pStyle w:val="Compact"/>
              <w:jc w:val="left"/>
            </w:pPr>
            <w:r>
              <w:t xml:space="preserve">B</w:t>
            </w:r>
          </w:p>
        </w:tc>
      </w:tr>
      <w:tr>
        <w:tc>
          <w:tcPr/>
          <w:p>
            <w:pPr>
              <w:pStyle w:val="Compact"/>
              <w:jc w:val="left"/>
            </w:pPr>
            <w:r>
              <w:t xml:space="preserve">Dihexa</w:t>
            </w:r>
          </w:p>
        </w:tc>
        <w:tc>
          <w:tcPr/>
          <w:p>
            <w:pPr>
              <w:pStyle w:val="Compact"/>
              <w:jc w:val="left"/>
            </w:pPr>
            <w:r>
              <w:t xml:space="preserve">Forma nuove sinapsi, più potente dei fattori di crescita endogeni</w:t>
            </w:r>
          </w:p>
        </w:tc>
        <w:tc>
          <w:tcPr/>
          <w:p>
            <w:pPr>
              <w:pStyle w:val="Compact"/>
              <w:jc w:val="left"/>
            </w:pPr>
            <w:r>
              <w:t xml:space="preserve">Mai studiato sull’uomo; effetti solo in ratti e topi, e un lavoro centrale in merito è stato ritirato nel 2025 (PMID 25187433). Il principio attivo affine fosgonimeton ha mancato in 287 persone con Alzheimer tutti gli obiettivi primari e secondari (Porsteinsson 2025, PMID 41393340).</w:t>
            </w:r>
          </w:p>
        </w:tc>
        <w:tc>
          <w:tcPr/>
          <w:p>
            <w:pPr>
              <w:pStyle w:val="Compact"/>
              <w:jc w:val="left"/>
            </w:pPr>
            <w:r>
              <w:t xml:space="preserve">D</w:t>
            </w:r>
          </w:p>
        </w:tc>
      </w:tr>
      <w:tr>
        <w:tc>
          <w:tcPr/>
          <w:p>
            <w:pPr>
              <w:pStyle w:val="Compact"/>
              <w:jc w:val="left"/>
            </w:pPr>
            <w:r>
              <w:t xml:space="preserve">IGF-1 LR3</w:t>
            </w:r>
          </w:p>
        </w:tc>
        <w:tc>
          <w:tcPr/>
          <w:p>
            <w:pPr>
              <w:pStyle w:val="Compact"/>
              <w:jc w:val="left"/>
            </w:pPr>
            <w:r>
              <w:t xml:space="preserve">IGF-1 più potente e a più lunga durata d’azione per la crescita muscolare</w:t>
            </w:r>
          </w:p>
        </w:tc>
        <w:tc>
          <w:tcPr/>
          <w:p>
            <w:pPr>
              <w:pStyle w:val="Compact"/>
              <w:jc w:val="left"/>
            </w:pPr>
            <w:r>
              <w:t xml:space="preserve">Nemmeno uno studio sull’uomo. Un flacone del mercato nero conteneva una variante di laboratorio mai pensata per le iniezioni (PMID 20675162).</w:t>
            </w:r>
          </w:p>
        </w:tc>
        <w:tc>
          <w:tcPr/>
          <w:p>
            <w:pPr>
              <w:pStyle w:val="Compact"/>
              <w:jc w:val="left"/>
            </w:pPr>
            <w:r>
              <w:t xml:space="preserve">D</w:t>
            </w:r>
          </w:p>
        </w:tc>
      </w:tr>
      <w:tr>
        <w:tc>
          <w:tcPr/>
          <w:p>
            <w:pPr>
              <w:pStyle w:val="Compact"/>
              <w:jc w:val="left"/>
            </w:pPr>
            <w:r>
              <w:t xml:space="preserve">Retatrutide dal mercato grigio</w:t>
            </w:r>
          </w:p>
        </w:tc>
        <w:tc>
          <w:tcPr/>
          <w:p>
            <w:pPr>
              <w:pStyle w:val="Compact"/>
              <w:jc w:val="left"/>
            </w:pPr>
            <w:r>
              <w:t xml:space="preserve">Il dimagrante più potente, già disponibile oggi</w:t>
            </w:r>
          </w:p>
        </w:tc>
        <w:tc>
          <w:tcPr/>
          <w:p>
            <w:pPr>
              <w:pStyle w:val="Compact"/>
              <w:jc w:val="left"/>
            </w:pPr>
            <w:r>
              <w:t xml:space="preserve">Il farmaco è ben studiato: in TRIUMPH-1 −25,0% di peso dopo 80 settimane alla dose più alta (Jastreboff 2026, PMID 42814954). Per la merce del mercato grigio ciò non vale: non autorizzata, contenuto e purezza non verificati (Rubin 2026, PMID 42853576).</w:t>
            </w:r>
          </w:p>
        </w:tc>
        <w:tc>
          <w:tcPr/>
          <w:p>
            <w:pPr>
              <w:pStyle w:val="Compact"/>
              <w:jc w:val="left"/>
            </w:pPr>
            <w:r>
              <w:t xml:space="preserve">B (farmaco)</w:t>
            </w:r>
          </w:p>
        </w:tc>
      </w:tr>
    </w:tbl>
    <w:p>
      <w:pPr>
        <w:pStyle w:val="BodyText"/>
      </w:pPr>
      <w:r>
        <w:t xml:space="preserve">Nota alla tabella: il livello di evidenza si riferisce all’uso pubblicizzato o alla sostanza così come viene venduta. Per TB-500 vale il livello D, per la proteina intera timosina beta-4 il livello B. Per retatrutide il livello B si riferisce al farmaco testato negli studi; per i prodotti del mercato grigio, il cui contenuto nessuno conosce, non è possibile indicare un livello di evidenza.</w:t>
      </w:r>
    </w:p>
    <w:p>
      <w:pPr>
        <w:pStyle w:val="BodyText"/>
      </w:pPr>
      <w:r>
        <w:t xml:space="preserve">Il quadro complessivo: delle 16 sostanze nessuna ha il livello di evidenza A. Cinque hanno il livello D, cioè non sono state studiate affatto sull’uomo. Per le sostanze di livello B – ipamorelina, collagene, glutatione – gli studi migliori non hanno confermato le promesse pubblicitarie o hanno trovato solo effetti piccoli. L’unica eccezione è retatrutide, la cui forte azione è dimostrata – ma non per il prodotto venduto sul mercato grigio.</w:t>
      </w:r>
    </w:p>
    <w:bookmarkEnd w:id="2581"/>
    <w:bookmarkStart w:id="2595" w:name="sei-schemi-dietro-le-promesse"/>
    <w:p>
      <w:pPr>
        <w:pStyle w:val="Heading3"/>
      </w:pPr>
      <w:r>
        <w:t xml:space="preserve">Sei schemi dietro le promesse</w:t>
      </w:r>
    </w:p>
    <w:p>
      <w:pPr>
        <w:pStyle w:val="FirstParagraph"/>
      </w:pPr>
      <w:r>
        <w:t xml:space="preserve">Chi legge la tabella riga per riga riconosce schemi ricorrenti. Aiutano a valutare anche affermazioni su peptidi che non compaiono in questo libro.</w:t>
      </w:r>
    </w:p>
    <w:bookmarkStart w:id="2583" w:name="dallanimale-alluomo"/>
    <w:p>
      <w:pPr>
        <w:pStyle w:val="Heading4"/>
      </w:pPr>
      <w:r>
        <w:t xml:space="preserve">1. Dall’animale all’uomo</w:t>
      </w:r>
    </w:p>
    <w:p>
      <w:pPr>
        <w:pStyle w:val="FirstParagraph"/>
      </w:pPr>
      <w:r>
        <w:t xml:space="preserve">Quasi tutte le promesse su BPC-157, TB-500, MOTS-c, Dihexa, AOD-9604 ed Epitalon si basano su esperimenti su ratti, topi o colture cellulari. Questi studi sono importanti per comprendere i meccanismi d’azione. Non predicono però se una sostanza agisca allo stesso modo nell’uomo: gran parte dei principi attivi che hanno successo negli esperimenti sugli animali fallisce negli studi sull’uomo. Un esempio attuale tratto da questo libro è il peptide per la memoria Dihexa. Nei ratti ha favorito l’apprendimento e la formazione di sinapsi; il principio attivo affine fosgonimeton, che avrebbe dovuto agire sullo stesso sistema di fattori di crescita, ha mancato in uno studio con 287 persone con Alzheimer tutti gli obiettivi primari e secondari</w:t>
      </w:r>
      <w:r>
        <w:rPr>
          <w:rStyle w:val="FootnoteReference"/>
        </w:rPr>
        <w:footnoteReference w:id="2582"/>
      </w:r>
      <w:r>
        <w:t xml:space="preserve">.</w:t>
      </w:r>
    </w:p>
    <w:p>
      <w:pPr>
        <w:pStyle w:val="BodyText"/>
      </w:pPr>
      <w:r>
        <w:t xml:space="preserve">Nel caso di BPC-157 si aggiunge un secondo problema: gli studi positivi sugli animali provengono per lo più da un unico gruppo di ricerca e sono stati replicati in modo indipendente solo raramente.</w:t>
      </w:r>
    </w:p>
    <w:bookmarkEnd w:id="2583"/>
    <w:bookmarkStart w:id="2585" w:name="X0c887ecfcfe0349a0277ee9f8e71798f21453ab"/>
    <w:p>
      <w:pPr>
        <w:pStyle w:val="Heading4"/>
      </w:pPr>
      <w:r>
        <w:t xml:space="preserve">2. Un valore misurato non è ancora un beneficio</w:t>
      </w:r>
    </w:p>
    <w:p>
      <w:pPr>
        <w:pStyle w:val="FirstParagraph"/>
      </w:pPr>
      <w:r>
        <w:t xml:space="preserve">CJC-1295 aumenta l’ormone della crescita, Epitalon attiva in colture cellulari la telomerasi, le capsule di glutatione aumentano il livello di glutatione nel sangue. Si tratta di valori sostitutivi («endpoint surrogati», vedi Parte I). Se ne derivi qualcosa che conta per le persone – più forza muscolare, una vita più lunga, meno malattie – è una questione a sé, che richiede studi propri. Per l’ormone della crescita l’esempio di ibutamoren mostra quanto possa essere grande il divario: in 65 anziani sani la massa magra è aumentata in un anno di 1,1 kg, ma forza e funzione fisica non sono migliorate</w:t>
      </w:r>
      <w:r>
        <w:rPr>
          <w:rStyle w:val="FootnoteReference"/>
        </w:rPr>
        <w:footnoteReference w:id="2584"/>
      </w:r>
      <w:r>
        <w:t xml:space="preserve">.</w:t>
      </w:r>
    </w:p>
    <w:bookmarkEnd w:id="2585"/>
    <w:bookmarkStart w:id="2587" w:name="scambio-di-sostanze"/>
    <w:p>
      <w:pPr>
        <w:pStyle w:val="Heading4"/>
      </w:pPr>
      <w:r>
        <w:t xml:space="preserve">3. Scambio di sostanze</w:t>
      </w:r>
    </w:p>
    <w:p>
      <w:pPr>
        <w:pStyle w:val="FirstParagraph"/>
      </w:pPr>
      <w:r>
        <w:t xml:space="preserve">Diverse promesse si basano su studi con una sostanza diversa da quella venduta:</w:t>
      </w:r>
    </w:p>
    <w:p>
      <w:pPr>
        <w:numPr>
          <w:ilvl w:val="0"/>
          <w:numId w:val="1330"/>
        </w:numPr>
        <w:pStyle w:val="Compact"/>
      </w:pPr>
      <w:r>
        <w:rPr>
          <w:bCs/>
          <w:b/>
        </w:rPr>
        <w:t xml:space="preserve">TB-500</w:t>
      </w:r>
      <w:r>
        <w:t xml:space="preserve"> </w:t>
      </w:r>
      <w:r>
        <w:t xml:space="preserve">è un frammento modificato. Gli studi sull’uomo riguardano la proteina intera timosina beta-4 – e anche questi quasi mai tendini, legamenti o muscoli.</w:t>
      </w:r>
    </w:p>
    <w:p>
      <w:pPr>
        <w:numPr>
          <w:ilvl w:val="0"/>
          <w:numId w:val="1330"/>
        </w:numPr>
        <w:pStyle w:val="Compact"/>
      </w:pPr>
      <w:r>
        <w:rPr>
          <w:bCs/>
          <w:b/>
        </w:rPr>
        <w:t xml:space="preserve">Epitalon</w:t>
      </w:r>
      <w:r>
        <w:t xml:space="preserve"> </w:t>
      </w:r>
      <w:r>
        <w:t xml:space="preserve">è un tetrapeptide sintetico. Lo studio spesso citato su una vita più lunga riguardava l’estratto bovino epitalamina, non era randomizzato e non è mai stato replicato in modo indipendente.</w:t>
      </w:r>
    </w:p>
    <w:p>
      <w:pPr>
        <w:numPr>
          <w:ilvl w:val="0"/>
          <w:numId w:val="1330"/>
        </w:numPr>
        <w:pStyle w:val="Compact"/>
      </w:pPr>
      <w:r>
        <w:rPr>
          <w:bCs/>
          <w:b/>
        </w:rPr>
        <w:t xml:space="preserve">CJC-1295</w:t>
      </w:r>
      <w:r>
        <w:t xml:space="preserve"> </w:t>
      </w:r>
      <w:r>
        <w:t xml:space="preserve">viene venduto per lo più senza il gruppo «DAC» usato negli studi sull’uomo.</w:t>
      </w:r>
    </w:p>
    <w:p>
      <w:pPr>
        <w:numPr>
          <w:ilvl w:val="0"/>
          <w:numId w:val="1330"/>
        </w:numPr>
        <w:pStyle w:val="Compact"/>
      </w:pPr>
      <w:r>
        <w:rPr>
          <w:bCs/>
          <w:b/>
        </w:rPr>
        <w:t xml:space="preserve">Retatrutide</w:t>
      </w:r>
      <w:r>
        <w:t xml:space="preserve"> </w:t>
      </w:r>
      <w:r>
        <w:t xml:space="preserve">del mercato grigio non è il farmaco degli studi. Le analisi di laboratorio di altri peptidi del mercato grigio mostrano che i flaconi contengono spesso meno principio attivo, di più o un principio attivo diverso da quello dichiarato; per ipamorelina e CJC-1295 i laboratori hanno trovato molecole modificate e non dichiarate</w:t>
      </w:r>
      <w:r>
        <w:rPr>
          <w:rStyle w:val="FootnoteReference"/>
        </w:rPr>
        <w:footnoteReference w:id="2586"/>
      </w:r>
      <w:r>
        <w:t xml:space="preserve">.</w:t>
      </w:r>
    </w:p>
    <w:bookmarkEnd w:id="2587"/>
    <w:bookmarkStart w:id="2591" w:name="X4cc5d1a8531c49ba8302539409e9b645185fa98"/>
    <w:p>
      <w:pPr>
        <w:pStyle w:val="Heading4"/>
      </w:pPr>
      <w:r>
        <w:t xml:space="preserve">4. Gli studi negativi non vengono menzionati</w:t>
      </w:r>
    </w:p>
    <w:p>
      <w:pPr>
        <w:pStyle w:val="FirstParagraph"/>
      </w:pPr>
      <w:r>
        <w:t xml:space="preserve">Per diversi peptidi esistono eccome studi randomizzati – solo che non hanno trovato alcun beneficio. Dopo interventi intestinali l’ipamorelina non ha accorciato in modo significativo il tempo fino al primo pasto</w:t>
      </w:r>
      <w:r>
        <w:rPr>
          <w:rStyle w:val="FootnoteReference"/>
        </w:rPr>
        <w:footnoteReference w:id="2588"/>
      </w:r>
      <w:r>
        <w:t xml:space="preserve">. Le infusioni di glutatione non hanno protetto dai danni ai nervi causati dalla chemioterapia</w:t>
      </w:r>
      <w:r>
        <w:rPr>
          <w:rStyle w:val="FootnoteReference"/>
        </w:rPr>
        <w:footnoteReference w:id="2589"/>
      </w:r>
      <w:r>
        <w:t xml:space="preserve">. Per il collagene il beneficio sulla pelle è scomparso non appena sono stati considerati solo gli studi con finanziamento indipendente</w:t>
      </w:r>
      <w:r>
        <w:rPr>
          <w:rStyle w:val="FootnoteReference"/>
        </w:rPr>
        <w:footnoteReference w:id="2590"/>
      </w:r>
      <w:r>
        <w:t xml:space="preserve">. Risultati di questo tipo non compaiono praticamente mai nei testi pubblicitari. Una presentazione seria cita studi positivi</w:t>
      </w:r>
      <w:r>
        <w:t xml:space="preserve"> </w:t>
      </w:r>
      <w:r>
        <w:rPr>
          <w:iCs/>
          <w:i/>
        </w:rPr>
        <w:t xml:space="preserve">e</w:t>
      </w:r>
      <w:r>
        <w:t xml:space="preserve"> </w:t>
      </w:r>
      <w:r>
        <w:t xml:space="preserve">negativi.</w:t>
      </w:r>
    </w:p>
    <w:bookmarkEnd w:id="2591"/>
    <w:bookmarkStart w:id="2592" w:name="piccoli-studi-da-un-ambiente-ristretto"/>
    <w:p>
      <w:pPr>
        <w:pStyle w:val="Heading4"/>
      </w:pPr>
      <w:r>
        <w:t xml:space="preserve">5. Piccoli studi da un ambiente ristretto</w:t>
      </w:r>
    </w:p>
    <w:p>
      <w:pPr>
        <w:pStyle w:val="FirstParagraph"/>
      </w:pPr>
      <w:r>
        <w:t xml:space="preserve">Semax, Selank, Epitalon e Pinealon sono stati studiati quasi esclusivamente in Russia, per lo più dagli stessi sviluppatori, in piccoli gruppi e spesso senza confronto con placebo. Questo non rende automaticamente sbagliati i risultati. Significa però che non sono mai stati verificati alle condizioni oggi richieste per un’autorizzazione: registrazione preventiva, cecità, dimensioni sufficienti e conferma da parte di gruppi indipendenti.</w:t>
      </w:r>
    </w:p>
    <w:bookmarkEnd w:id="2592"/>
    <w:bookmarkStart w:id="2594" w:name="Xeff9e67412a86ee3f66ad64bd64509161549763"/>
    <w:p>
      <w:pPr>
        <w:pStyle w:val="Heading4"/>
      </w:pPr>
      <w:r>
        <w:t xml:space="preserve">6. «Nessun effetto collaterale» per lo più significa «non studiato»</w:t>
      </w:r>
    </w:p>
    <w:p>
      <w:pPr>
        <w:pStyle w:val="FirstParagraph"/>
      </w:pPr>
      <w:r>
        <w:t xml:space="preserve">L’affermazione che un peptide sia «ben tollerato» o «senza effetti collaterali» si basa, per BPC-157, su complessivamente 30 persone. Con così pochi partecipanti si possono riconoscere solo problemi frequenti e immediati; un effetto collaterale che colpisce una persona su mille resterebbe invisibile. Per le sostanze che amplificano i segnali di crescita – secretagoghi dell’ormone della crescita, IGF-1 LR3, peptidi che favoriscono la formazione di nuovi vasi – esiste inoltre una preoccupazione teorica, ma non verificata, per la crescita tumorale. Per Melanotan II casi clinici descrivono nei nuovi e modificati e melanomi; un nesso causale non è dimostrato, ma nemmeno escluso. A ciò si aggiungono i rischi dei prodotti stessi: in flaconi di Melanotan II del mercato grigio sono stati trovati meno principio attivo di quanto dichiarato e impurità sconosciute</w:t>
      </w:r>
      <w:r>
        <w:rPr>
          <w:rStyle w:val="FootnoteReference"/>
        </w:rPr>
        <w:footnoteReference w:id="2593"/>
      </w:r>
      <w:r>
        <w:t xml:space="preserve">. Maggiori dettagli nella Parte IV.</w:t>
      </w:r>
    </w:p>
    <w:bookmarkEnd w:id="2594"/>
    <w:bookmarkEnd w:id="2595"/>
    <w:bookmarkStart w:id="2601" w:name="X6ca0a29e98a8b5b6d6eb4bf55c6168744c5637d"/>
    <w:p>
      <w:pPr>
        <w:pStyle w:val="Heading3"/>
      </w:pPr>
      <w:r>
        <w:t xml:space="preserve">Come distinguere le affermazioni serie da quelle non serie</w:t>
      </w:r>
    </w:p>
    <w:p>
      <w:pPr>
        <w:pStyle w:val="FirstParagraph"/>
      </w:pPr>
      <w:r>
        <w:t xml:space="preserve">La seguente checklist aiuta a valutare affermazioni sui peptidi – in negozi, video, forum o riviste. Non sostituisce una consulenza professionale, ma affina lo sguardo su quanto ci sia dietro un’affermazione.</w:t>
      </w:r>
    </w:p>
    <w:bookmarkStart w:id="2596" w:name="domande-sulla-fonte"/>
    <w:p>
      <w:pPr>
        <w:pStyle w:val="Heading4"/>
      </w:pPr>
      <w:r>
        <w:t xml:space="preserve">Domande sulla fonte</w:t>
      </w:r>
    </w:p>
    <w:p>
      <w:pPr>
        <w:numPr>
          <w:ilvl w:val="0"/>
          <w:numId w:val="1331"/>
        </w:numPr>
        <w:pStyle w:val="Compact"/>
      </w:pPr>
      <w:r>
        <w:rPr>
          <w:bCs/>
          <w:b/>
        </w:rPr>
        <w:t xml:space="preserve">Chi parla?</w:t>
      </w:r>
      <w:r>
        <w:t xml:space="preserve"> </w:t>
      </w:r>
      <w:r>
        <w:t xml:space="preserve">La persona o il sito vende la sostanza, offre corsi, consulenze o codici sconto? Un interesse economico non rende falsa un’affermazione, ma è un motivo per guardare con più attenzione.</w:t>
      </w:r>
    </w:p>
    <w:p>
      <w:pPr>
        <w:numPr>
          <w:ilvl w:val="0"/>
          <w:numId w:val="1331"/>
        </w:numPr>
        <w:pStyle w:val="Compact"/>
      </w:pPr>
      <w:r>
        <w:rPr>
          <w:bCs/>
          <w:b/>
        </w:rPr>
        <w:t xml:space="preserve">Vengono citati studi – e si possono trovare?</w:t>
      </w:r>
      <w:r>
        <w:t xml:space="preserve"> </w:t>
      </w:r>
      <w:r>
        <w:t xml:space="preserve">Le affermazioni serie indicano una fonte verificabile: un PMID, un DOI o un numero di registro (NCT). Puoi inserire gratuitamente qualsiasi PMID su PubMed e leggere l’abstract personalmente. Formulazioni come «gli studi dimostrano» senza indicazioni concrete sono un segnale d’allarme.</w:t>
      </w:r>
    </w:p>
    <w:p>
      <w:pPr>
        <w:numPr>
          <w:ilvl w:val="0"/>
          <w:numId w:val="1331"/>
        </w:numPr>
        <w:pStyle w:val="Compact"/>
      </w:pPr>
      <w:r>
        <w:rPr>
          <w:bCs/>
          <w:b/>
        </w:rPr>
        <w:t xml:space="preserve">Lo studio citato corrisponde all’affermazione?</w:t>
      </w:r>
      <w:r>
        <w:t xml:space="preserve"> </w:t>
      </w:r>
      <w:r>
        <w:t xml:space="preserve">Verifica se lo studio ha davvero esaminato la sostanza venduta, l’uso pubblicizzato e persone – oppure se si trattava di una molecola affine, di un’altra malattia o di ratti.</w:t>
      </w:r>
    </w:p>
    <w:bookmarkEnd w:id="2596"/>
    <w:bookmarkStart w:id="2597" w:name="domande-sullo-studio"/>
    <w:p>
      <w:pPr>
        <w:pStyle w:val="Heading4"/>
      </w:pPr>
      <w:r>
        <w:t xml:space="preserve">Domande sullo studio</w:t>
      </w:r>
    </w:p>
    <w:p>
      <w:pPr>
        <w:numPr>
          <w:ilvl w:val="0"/>
          <w:numId w:val="1332"/>
        </w:numPr>
        <w:pStyle w:val="Compact"/>
      </w:pPr>
      <w:r>
        <w:rPr>
          <w:bCs/>
          <w:b/>
        </w:rPr>
        <w:t xml:space="preserve">Uomo, animale o coltura cellulare?</w:t>
      </w:r>
      <w:r>
        <w:t xml:space="preserve"> </w:t>
      </w:r>
      <w:r>
        <w:t xml:space="preserve">Se nell’abstract compaiono «rats», «mice», «in vitro» o «cell culture», nulla è detto sull’effetto nell’uomo.</w:t>
      </w:r>
    </w:p>
    <w:p>
      <w:pPr>
        <w:numPr>
          <w:ilvl w:val="0"/>
          <w:numId w:val="1332"/>
        </w:numPr>
        <w:pStyle w:val="Compact"/>
      </w:pPr>
      <w:r>
        <w:rPr>
          <w:bCs/>
          <w:b/>
        </w:rPr>
        <w:t xml:space="preserve">C’era un gruppo di confronto?</w:t>
      </w:r>
      <w:r>
        <w:t xml:space="preserve"> </w:t>
      </w:r>
      <w:r>
        <w:t xml:space="preserve">Senza un gruppo placebo o di controllo non si può distinguere se un miglioramento dipenda dalla sostanza, dal tempo, da altri trattamenti o dall’aspettativa. Proprio per dolore, umore o sonno l’effetto placebo è grande.</w:t>
      </w:r>
    </w:p>
    <w:p>
      <w:pPr>
        <w:numPr>
          <w:ilvl w:val="0"/>
          <w:numId w:val="1332"/>
        </w:numPr>
        <w:pStyle w:val="Compact"/>
      </w:pPr>
      <w:r>
        <w:rPr>
          <w:bCs/>
          <w:b/>
        </w:rPr>
        <w:t xml:space="preserve">Quanti partecipanti?</w:t>
      </w:r>
      <w:r>
        <w:t xml:space="preserve"> </w:t>
      </w:r>
      <w:r>
        <w:t xml:space="preserve">Studi con 10 o 20 persone possono fornire indizi, ma non dimostrare un beneficio né individuare effetti collaterali rari.</w:t>
      </w:r>
    </w:p>
    <w:p>
      <w:pPr>
        <w:numPr>
          <w:ilvl w:val="0"/>
          <w:numId w:val="1332"/>
        </w:numPr>
        <w:pStyle w:val="Compact"/>
      </w:pPr>
      <w:r>
        <w:rPr>
          <w:bCs/>
          <w:b/>
        </w:rPr>
        <w:t xml:space="preserve">Che cosa è stato misurato?</w:t>
      </w:r>
      <w:r>
        <w:t xml:space="preserve"> </w:t>
      </w:r>
      <w:r>
        <w:t xml:space="preserve">Un valore di laboratorio che sale non è un beneficio percepibile. Chiediti: è stato misurato ciò che conta per le persone interessate – dolore, funzione, eventi di malattia, qualità della vita?</w:t>
      </w:r>
    </w:p>
    <w:p>
      <w:pPr>
        <w:numPr>
          <w:ilvl w:val="0"/>
          <w:numId w:val="1332"/>
        </w:numPr>
        <w:pStyle w:val="Compact"/>
      </w:pPr>
      <w:r>
        <w:rPr>
          <w:bCs/>
          <w:b/>
        </w:rPr>
        <w:t xml:space="preserve">Lo studio è stato registrato in anticipo?</w:t>
      </w:r>
      <w:r>
        <w:t xml:space="preserve"> </w:t>
      </w:r>
      <w:r>
        <w:t xml:space="preserve">Una registrazione su ClinicalTrials.gov o nel registro UE prima dell’inizio dello studio impedisce che gli obiettivi vengano scelti a posteriori in modo conveniente.</w:t>
      </w:r>
    </w:p>
    <w:p>
      <w:pPr>
        <w:numPr>
          <w:ilvl w:val="0"/>
          <w:numId w:val="1332"/>
        </w:numPr>
        <w:pStyle w:val="Compact"/>
      </w:pPr>
      <w:r>
        <w:rPr>
          <w:bCs/>
          <w:b/>
        </w:rPr>
        <w:t xml:space="preserve">Il risultato è stato replicato?</w:t>
      </w:r>
      <w:r>
        <w:t xml:space="preserve"> </w:t>
      </w:r>
      <w:r>
        <w:t xml:space="preserve">Un singolo risultato positivo di un unico gruppo di ricerca è un inizio, non una prova.</w:t>
      </w:r>
    </w:p>
    <w:bookmarkEnd w:id="2597"/>
    <w:bookmarkStart w:id="2598" w:name="segnali-dallarme-nel-linguaggio"/>
    <w:p>
      <w:pPr>
        <w:pStyle w:val="Heading4"/>
      </w:pPr>
      <w:r>
        <w:t xml:space="preserve">Segnali d’allarme nel linguaggio</w:t>
      </w:r>
    </w:p>
    <w:p>
      <w:pPr>
        <w:numPr>
          <w:ilvl w:val="0"/>
          <w:numId w:val="1333"/>
        </w:numPr>
        <w:pStyle w:val="Compact"/>
      </w:pPr>
      <w:r>
        <w:t xml:space="preserve">Promesse che riguardano contemporaneamente moltissimi disturbi diversi («per articolazioni, intestino, pelle, cervello e sistema immunitario»).</w:t>
      </w:r>
    </w:p>
    <w:p>
      <w:pPr>
        <w:numPr>
          <w:ilvl w:val="0"/>
          <w:numId w:val="1333"/>
        </w:numPr>
        <w:pStyle w:val="Compact"/>
      </w:pPr>
      <w:r>
        <w:t xml:space="preserve">Termini come «rimedio miracoloso», «consiglio segreto», «quello che i medici non ti dicono» o «soppresso dall’industria farmaceutica».</w:t>
      </w:r>
    </w:p>
    <w:p>
      <w:pPr>
        <w:numPr>
          <w:ilvl w:val="0"/>
          <w:numId w:val="1333"/>
        </w:numPr>
        <w:pStyle w:val="Compact"/>
      </w:pPr>
      <w:r>
        <w:t xml:space="preserve">L’affermazione «nessun effetto collaterale» per una sostanza che è stata a malapena studiata sull’uomo.</w:t>
      </w:r>
    </w:p>
    <w:p>
      <w:pPr>
        <w:numPr>
          <w:ilvl w:val="0"/>
          <w:numId w:val="1333"/>
        </w:numPr>
        <w:pStyle w:val="Compact"/>
      </w:pPr>
      <w:r>
        <w:t xml:space="preserve">Testimonianze e foto prima-dopo invece di dati di studio.</w:t>
      </w:r>
    </w:p>
    <w:p>
      <w:pPr>
        <w:numPr>
          <w:ilvl w:val="0"/>
          <w:numId w:val="1333"/>
        </w:numPr>
        <w:pStyle w:val="Compact"/>
      </w:pPr>
      <w:r>
        <w:t xml:space="preserve">La dicitura «solo per scopi di ricerca» o «non per il consumo umano» su un prodotto che al tempo stesso viene pubblicizzato con effetti sull’uomo. Questa contraddizione mostra che il venditore vuole aggirare le norme sui farmaci (vedi Parte I).</w:t>
      </w:r>
    </w:p>
    <w:p>
      <w:pPr>
        <w:numPr>
          <w:ilvl w:val="0"/>
          <w:numId w:val="1333"/>
        </w:numPr>
        <w:pStyle w:val="Compact"/>
      </w:pPr>
      <w:r>
        <w:t xml:space="preserve">Proposte di dosaggi, cicli o pacchetti combinati di più peptidi per sostanze senza autorizzazione. Per questi schemi non esiste alcuna base di studio.</w:t>
      </w:r>
    </w:p>
    <w:bookmarkEnd w:id="2598"/>
    <w:bookmarkStart w:id="2599" w:name="segni-di-una-presentazione-seria"/>
    <w:p>
      <w:pPr>
        <w:pStyle w:val="Heading4"/>
      </w:pPr>
      <w:r>
        <w:t xml:space="preserve">Segni di una presentazione seria</w:t>
      </w:r>
    </w:p>
    <w:p>
      <w:pPr>
        <w:numPr>
          <w:ilvl w:val="0"/>
          <w:numId w:val="1334"/>
        </w:numPr>
        <w:pStyle w:val="Compact"/>
      </w:pPr>
      <w:r>
        <w:t xml:space="preserve">I risultati sugli animali e di laboratorio sono indicati espressamente come tali.</w:t>
      </w:r>
    </w:p>
    <w:p>
      <w:pPr>
        <w:numPr>
          <w:ilvl w:val="0"/>
          <w:numId w:val="1334"/>
        </w:numPr>
        <w:pStyle w:val="Compact"/>
      </w:pPr>
      <w:r>
        <w:t xml:space="preserve">Vengono citati anche gli studi negativi e contraddittori, non solo quelli positivi.</w:t>
      </w:r>
    </w:p>
    <w:p>
      <w:pPr>
        <w:numPr>
          <w:ilvl w:val="0"/>
          <w:numId w:val="1334"/>
        </w:numPr>
        <w:pStyle w:val="Compact"/>
      </w:pPr>
      <w:r>
        <w:t xml:space="preserve">L’incertezza viene dichiarata apertamente («I dati non bastano per valutare …»).</w:t>
      </w:r>
    </w:p>
    <w:p>
      <w:pPr>
        <w:numPr>
          <w:ilvl w:val="0"/>
          <w:numId w:val="1334"/>
        </w:numPr>
        <w:pStyle w:val="Compact"/>
      </w:pPr>
      <w:r>
        <w:t xml:space="preserve">Vengono menzionati il quadro normativo e lo status antidoping.</w:t>
      </w:r>
    </w:p>
    <w:p>
      <w:pPr>
        <w:numPr>
          <w:ilvl w:val="0"/>
          <w:numId w:val="1334"/>
        </w:numPr>
        <w:pStyle w:val="Compact"/>
      </w:pPr>
      <w:r>
        <w:t xml:space="preserve">C’è un’indicazione chiara che i farmaci vanno gestiti dal medico e che i prodotti del mercato grigio non sono controllati.</w:t>
      </w:r>
    </w:p>
    <w:bookmarkEnd w:id="2599"/>
    <w:bookmarkStart w:id="2600" w:name="tre-domande-per-la-vita-quotidiana"/>
    <w:p>
      <w:pPr>
        <w:pStyle w:val="Heading4"/>
      </w:pPr>
      <w:r>
        <w:t xml:space="preserve">Tre domande per la vita quotidiana</w:t>
      </w:r>
    </w:p>
    <w:p>
      <w:pPr>
        <w:pStyle w:val="FirstParagraph"/>
      </w:pPr>
      <w:r>
        <w:t xml:space="preserve">Se hai poco tempo, spesso bastano tre domande:</w:t>
      </w:r>
    </w:p>
    <w:p>
      <w:pPr>
        <w:numPr>
          <w:ilvl w:val="0"/>
          <w:numId w:val="1335"/>
        </w:numPr>
        <w:pStyle w:val="Compact"/>
      </w:pPr>
      <w:r>
        <w:t xml:space="preserve">La sostanza è autorizzata nell’UE o negli USA come farmaco proprio per questo uso?</w:t>
      </w:r>
    </w:p>
    <w:p>
      <w:pPr>
        <w:numPr>
          <w:ilvl w:val="0"/>
          <w:numId w:val="1335"/>
        </w:numPr>
        <w:pStyle w:val="Compact"/>
      </w:pPr>
      <w:r>
        <w:t xml:space="preserve">Esiste almeno uno studio randomizzato, controllato con placebo, sull’uomo, che abbia dimostrato il beneficio dichiarato?</w:t>
      </w:r>
    </w:p>
    <w:p>
      <w:pPr>
        <w:numPr>
          <w:ilvl w:val="0"/>
          <w:numId w:val="1335"/>
        </w:numPr>
        <w:pStyle w:val="Compact"/>
      </w:pPr>
      <w:r>
        <w:t xml:space="preserve">Il prodotto proviene dalla farmacia – o da una fonte il cui contenuto nessuno controlla?</w:t>
      </w:r>
    </w:p>
    <w:p>
      <w:pPr>
        <w:pStyle w:val="FirstParagraph"/>
      </w:pPr>
      <w:r>
        <w:t xml:space="preserve">Se la risposta a tutte e tre le domande è «no», la promessa si basa sulla speranza, non sulle prove.</w:t>
      </w:r>
    </w:p>
    <w:bookmarkEnd w:id="2600"/>
    <w:bookmarkEnd w:id="2601"/>
    <w:bookmarkStart w:id="2602" w:name="conclusione-59"/>
    <w:p>
      <w:pPr>
        <w:pStyle w:val="Heading3"/>
      </w:pPr>
      <w:r>
        <w:t xml:space="preserve">Conclusione</w:t>
      </w:r>
    </w:p>
    <w:p>
      <w:pPr>
        <w:pStyle w:val="FirstParagraph"/>
      </w:pPr>
      <w:r>
        <w:t xml:space="preserve">I peptidi più popolari su internet sono quasi tutti quelli studiati peggio. Le loro promesse si basano per lo più su esperimenti sugli animali, su valori sostitutivi o su studi con un’altra sostanza; dove esistono studi randomizzati sull’uomo, per lo più non hanno confermato il beneficio pubblicizzato. Ciò non significa che nessuna di queste sostanze possa mai avere un beneficio – ma per nessuna i dati bastano a dimostrarlo. Chi sente un’affermazione su un peptide dovrebbe chiedere la fonte, verificare lo studio e tenere presente la differenza tra un farmaco controllato e un flacone del mercato grigio.</w:t>
      </w:r>
    </w:p>
    <w:bookmarkEnd w:id="2602"/>
    <w:bookmarkEnd w:id="2603"/>
    <w:bookmarkEnd w:id="2604"/>
    <w:bookmarkStart w:id="2825" w:name="parte-iv-rischi"/>
    <w:p>
      <w:pPr>
        <w:pStyle w:val="Heading1"/>
      </w:pPr>
      <w:r>
        <w:t xml:space="preserve">Parte IV – Rischi</w:t>
      </w:r>
    </w:p>
    <w:p>
      <w:pPr>
        <w:pStyle w:val="FirstParagraph"/>
      </w:pPr>
      <w:r>
        <w:t xml:space="preserve">Nella Parte II ogni peptide ha una propria sezione «Rischi ed effetti collaterali». Questa parte non ripete quelle sezioni. Le mette una accanto all’altra e si chiede, trasversalmente a tutti i principi attivi: quali organi sono coinvolti? Quali segnali d’allarme compaiono per più peptidi? Quanto è solido ciò che si sa? Chi cerca dettagli su una sostanza specifica trova a ogni punto un rimando al capitolo corrispondente.</w:t>
      </w:r>
    </w:p>
    <w:p>
      <w:pPr>
        <w:pStyle w:val="BodyText"/>
      </w:pPr>
      <w:r>
        <w:t xml:space="preserve">Prima di cominciare vale la pena dare un’occhiata rapida a come si valutano i rischi in generale. Tre distinzioni attraversano tutti i capitoli seguenti.</w:t>
      </w:r>
    </w:p>
    <w:p>
      <w:pPr>
        <w:pStyle w:val="BodyText"/>
      </w:pPr>
      <w:r>
        <w:rPr>
          <w:bCs/>
          <w:b/>
        </w:rPr>
        <w:t xml:space="preserve">Dimostrato, osservato o teorico.</w:t>
      </w:r>
      <w:r>
        <w:t xml:space="preserve"> </w:t>
      </w:r>
      <w:r>
        <w:t xml:space="preserve">Un rischio è dimostrato nel modo migliore quando negli studi randomizzati (RCT) si è verificato più spesso con il principio attivo che con il placebo. Gli studi osservazionali con dati assicurativi o di registro, invece, comprendono moltissime persone ed eventi rari, ma non possono separare con certezza la causa dalla circostanza concomitante. Le banche dati delle segnalazioni di effetti collaterali mostrano solo segnali: ciò che è noto e molto discusso viene segnalato più spesso. I rischi teorici, infine, derivano dal meccanismo d’azione, da esperimenti sugli animali o da colture cellulari. Non sono la prova di un danno – ma per sostanze mai studiate sistematicamente sull’uomo sono spesso l’unica informazione disponibile.</w:t>
      </w:r>
    </w:p>
    <w:p>
      <w:pPr>
        <w:pStyle w:val="BodyText"/>
      </w:pPr>
      <w:r>
        <w:rPr>
          <w:bCs/>
          <w:b/>
        </w:rPr>
        <w:t xml:space="preserve">La mancanza di dati non è sicurezza.</w:t>
      </w:r>
      <w:r>
        <w:t xml:space="preserve"> </w:t>
      </w:r>
      <w:r>
        <w:t xml:space="preserve">Se in tre piccole indagini con complessivamente 30 persone non sono emersi effetti collaterali legati al trattamento (così per BPC-157, Poolton 2026, PMID 42885452), ciò significa solo che non si sono verificati problemi molto frequenti e immediati. Un effetto collaterale che colpisce una persona su mille non può affatto essere individuato da uno studio così piccolo. Per molti peptidi dei gruppi B, C e D questa è la situazione di partenza.</w:t>
      </w:r>
    </w:p>
    <w:p>
      <w:pPr>
        <w:pStyle w:val="BodyText"/>
      </w:pPr>
      <w:r>
        <w:rPr>
          <w:bCs/>
          <w:b/>
        </w:rPr>
        <w:t xml:space="preserve">Rischio relativo e assoluto.</w:t>
      </w:r>
      <w:r>
        <w:t xml:space="preserve"> </w:t>
      </w:r>
      <w:r>
        <w:t xml:space="preserve">I titoli dei giornali riportano per lo più numeri relativi: «tre volte più frequente». Per la propria valutazione, però, conta quante persone sono effettivamente colpite. Un esempio tratto da questa parte: in uno studio di registro danese-norvegese un determinato disturbo della circolazione del nervo ottico era quasi tre volte più frequente con semaglutide che con un farmaco di confronto (hazard ratio 2,81). In numeri assoluti ciò significava circa 1,4 casi in più ogni 10.000 anni-persona</w:t>
      </w:r>
      <w:r>
        <w:rPr>
          <w:rStyle w:val="FootnoteReference"/>
        </w:rPr>
        <w:footnoteReference w:id="2605"/>
      </w:r>
      <w:r>
        <w:t xml:space="preserve">. Entrambe le cose sono vere – ed entrambe fanno parte dell’informazione.</w:t>
      </w:r>
    </w:p>
    <w:p>
      <w:pPr>
        <w:pStyle w:val="BodyText"/>
      </w:pPr>
      <w:r>
        <w:t xml:space="preserve">Infine conta il rapporto tra benefici e rischi. Un farmaco contro il diabete di tipo 2 che in grandi studi riduce infarti e ictus può avere effetti collaterali rari che non sarebbero accettabili per un prodotto abbronzante o per un «peptide della longevità» senza beneficio dimostrato. Chi usa un farmaco autorizzato con accompagnamento medico e un’indicazione chiara si trova in una situazione del tutto diversa da chi si inietta una polvere non controllata acquistata su internet. Come leggere gli studi è spiegato nella Parte I, nel capitolo «Leggere correttamente gli studi».</w:t>
      </w:r>
    </w:p>
    <w:p>
      <w:pPr>
        <w:pStyle w:val="BodyText"/>
      </w:pPr>
      <w:r>
        <w:t xml:space="preserve">La Parte IV è strutturata così: questo capitolo ordina gli effetti collaterali per apparati. Seguono capitoli sul rischio oncologico e sui segnali di crescita, sulle reazioni immunitarie, sulle analisi di laboratorio dei prodotti del mercato grigio e sulle interazioni e i gruppi di persone particolarmente a rischio.</w:t>
      </w:r>
    </w:p>
    <w:bookmarkStart w:id="2663" w:name="effetti-collaterali-per-apparato"/>
    <w:p>
      <w:pPr>
        <w:pStyle w:val="Heading2"/>
      </w:pPr>
      <w:r>
        <w:t xml:space="preserve">Effetti collaterali per apparato</w:t>
      </w:r>
    </w:p>
    <w:p>
      <w:pPr>
        <w:pStyle w:val="FirstParagraph"/>
      </w:pPr>
      <w:r>
        <w:t xml:space="preserve">La seguente panoramica riassume quali apparati sono più spesso coinvolti per quali peptidi. La colonna «Frequenza/prove» riporta un ordine di grandezza tipico tratto da uno degli studi discussi in questo capitolo o nel capitolo del peptide indicato. I numeri provengono da studi e popolazioni diversi e sono quindi confrontabili solo approssimativamente.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Apparato</w:t>
            </w:r>
          </w:p>
        </w:tc>
        <w:tc>
          <w:tcPr/>
          <w:p>
            <w:pPr>
              <w:pStyle w:val="Compact"/>
              <w:jc w:val="left"/>
            </w:pPr>
            <w:r>
              <w:t xml:space="preserve">Peptidi coinvolti</w:t>
            </w:r>
          </w:p>
        </w:tc>
        <w:tc>
          <w:tcPr/>
          <w:p>
            <w:pPr>
              <w:pStyle w:val="Compact"/>
              <w:jc w:val="left"/>
            </w:pPr>
            <w:r>
              <w:t xml:space="preserve">Frequenza/prove</w:t>
            </w:r>
          </w:p>
        </w:tc>
        <w:tc>
          <w:tcPr/>
          <w:p>
            <w:pPr>
              <w:pStyle w:val="Compact"/>
              <w:jc w:val="left"/>
            </w:pPr>
            <w:r>
              <w:t xml:space="preserve">Capitolo</w:t>
            </w:r>
          </w:p>
        </w:tc>
      </w:tr>
      <w:tr>
        <w:tc>
          <w:tcPr/>
          <w:p>
            <w:pPr>
              <w:pStyle w:val="Compact"/>
              <w:jc w:val="left"/>
            </w:pPr>
            <w:r>
              <w:t xml:space="preserve">Apparato gastrointestinale</w:t>
            </w:r>
          </w:p>
        </w:tc>
        <w:tc>
          <w:tcPr/>
          <w:p>
            <w:pPr>
              <w:pStyle w:val="Compact"/>
              <w:jc w:val="left"/>
            </w:pPr>
            <w:r>
              <w:t xml:space="preserve">tutti i farmaci GLP-1, pramlintide, bremelanotide, setmelanotide</w:t>
            </w:r>
          </w:p>
        </w:tc>
        <w:tc>
          <w:tcPr/>
          <w:p>
            <w:pPr>
              <w:pStyle w:val="Compact"/>
              <w:jc w:val="left"/>
            </w:pPr>
            <w:r>
              <w:t xml:space="preserve">molto frequente; CagriSema 79,6% vs. 39,9% con placebo (Garvey 2025, PMID 40544433)</w:t>
            </w:r>
          </w:p>
        </w:tc>
        <w:tc>
          <w:tcPr/>
          <w:p>
            <w:pPr>
              <w:pStyle w:val="Compact"/>
              <w:jc w:val="left"/>
            </w:pPr>
            <w:r>
              <w:t xml:space="preserve">Semaglutide, Survodutide, Cagrilintide</w:t>
            </w:r>
          </w:p>
        </w:tc>
      </w:tr>
      <w:tr>
        <w:tc>
          <w:tcPr/>
          <w:p>
            <w:pPr>
              <w:pStyle w:val="Compact"/>
              <w:jc w:val="left"/>
            </w:pPr>
            <w:r>
              <w:t xml:space="preserve">Colecisti</w:t>
            </w:r>
          </w:p>
        </w:tc>
        <w:tc>
          <w:tcPr/>
          <w:p>
            <w:pPr>
              <w:pStyle w:val="Compact"/>
              <w:jc w:val="left"/>
            </w:pPr>
            <w:r>
              <w:t xml:space="preserve">classe GLP-1, soprattutto in caso di perdita di peso</w:t>
            </w:r>
          </w:p>
        </w:tc>
        <w:tc>
          <w:tcPr/>
          <w:p>
            <w:pPr>
              <w:pStyle w:val="Compact"/>
              <w:jc w:val="left"/>
            </w:pPr>
            <w:r>
              <w:t xml:space="preserve">rischio relativo 1,37 (tutti gli studi), 2,29 (studi sul dimagrimento)</w:t>
            </w:r>
          </w:p>
        </w:tc>
        <w:tc>
          <w:tcPr/>
          <w:p>
            <w:pPr>
              <w:pStyle w:val="Compact"/>
              <w:jc w:val="left"/>
            </w:pPr>
            <w:r>
              <w:t xml:space="preserve">Liraglutide, Tirzepatide</w:t>
            </w:r>
          </w:p>
        </w:tc>
      </w:tr>
      <w:tr>
        <w:tc>
          <w:tcPr/>
          <w:p>
            <w:pPr>
              <w:pStyle w:val="Compact"/>
              <w:jc w:val="left"/>
            </w:pPr>
            <w:r>
              <w:t xml:space="preserve">Pancreas</w:t>
            </w:r>
          </w:p>
        </w:tc>
        <w:tc>
          <w:tcPr/>
          <w:p>
            <w:pPr>
              <w:pStyle w:val="Compact"/>
              <w:jc w:val="left"/>
            </w:pPr>
            <w:r>
              <w:t xml:space="preserve">classe GLP-1</w:t>
            </w:r>
          </w:p>
        </w:tc>
        <w:tc>
          <w:tcPr/>
          <w:p>
            <w:pPr>
              <w:pStyle w:val="Compact"/>
              <w:jc w:val="left"/>
            </w:pPr>
            <w:r>
              <w:t xml:space="preserve">segnale nelle meta-analisi, in assoluto raro</w:t>
            </w:r>
          </w:p>
        </w:tc>
        <w:tc>
          <w:tcPr/>
          <w:p>
            <w:pPr>
              <w:pStyle w:val="Compact"/>
              <w:jc w:val="left"/>
            </w:pPr>
            <w:r>
              <w:t xml:space="preserve">Exenatide, Semaglutide</w:t>
            </w:r>
          </w:p>
        </w:tc>
      </w:tr>
      <w:tr>
        <w:tc>
          <w:tcPr/>
          <w:p>
            <w:pPr>
              <w:pStyle w:val="Compact"/>
              <w:jc w:val="left"/>
            </w:pPr>
            <w:r>
              <w:t xml:space="preserve">Tiroide</w:t>
            </w:r>
          </w:p>
        </w:tc>
        <w:tc>
          <w:tcPr/>
          <w:p>
            <w:pPr>
              <w:pStyle w:val="Compact"/>
              <w:jc w:val="left"/>
            </w:pPr>
            <w:r>
              <w:t xml:space="preserve">classe GLP-1</w:t>
            </w:r>
          </w:p>
        </w:tc>
        <w:tc>
          <w:tcPr/>
          <w:p>
            <w:pPr>
              <w:pStyle w:val="Compact"/>
              <w:jc w:val="left"/>
            </w:pPr>
            <w:r>
              <w:t xml:space="preserve">reperto animale accertato, nell’uomo non uniforme</w:t>
            </w:r>
          </w:p>
        </w:tc>
        <w:tc>
          <w:tcPr/>
          <w:p>
            <w:pPr>
              <w:pStyle w:val="Compact"/>
              <w:jc w:val="left"/>
            </w:pPr>
            <w:r>
              <w:t xml:space="preserve">Liraglutide, capitolo Rischio oncologico</w:t>
            </w:r>
          </w:p>
        </w:tc>
      </w:tr>
      <w:tr>
        <w:tc>
          <w:tcPr/>
          <w:p>
            <w:pPr>
              <w:pStyle w:val="Compact"/>
              <w:jc w:val="left"/>
            </w:pPr>
            <w:r>
              <w:t xml:space="preserve">Occhi</w:t>
            </w:r>
          </w:p>
        </w:tc>
        <w:tc>
          <w:tcPr/>
          <w:p>
            <w:pPr>
              <w:pStyle w:val="Compact"/>
              <w:jc w:val="left"/>
            </w:pPr>
            <w:r>
              <w:t xml:space="preserve">semaglutide (NAION, retinopatia)</w:t>
            </w:r>
          </w:p>
        </w:tc>
        <w:tc>
          <w:tcPr/>
          <w:p>
            <w:pPr>
              <w:pStyle w:val="Compact"/>
              <w:jc w:val="left"/>
            </w:pPr>
            <w:r>
              <w:t xml:space="preserve">molto raro; circa 1,4 casi in più ogni 10.000 anni-persona</w:t>
            </w:r>
          </w:p>
        </w:tc>
        <w:tc>
          <w:tcPr/>
          <w:p>
            <w:pPr>
              <w:pStyle w:val="Compact"/>
              <w:jc w:val="left"/>
            </w:pPr>
            <w:r>
              <w:t xml:space="preserve">Semaglutide</w:t>
            </w:r>
          </w:p>
        </w:tc>
      </w:tr>
      <w:tr>
        <w:tc>
          <w:tcPr/>
          <w:p>
            <w:pPr>
              <w:pStyle w:val="Compact"/>
              <w:jc w:val="left"/>
            </w:pPr>
            <w:r>
              <w:t xml:space="preserve">Sistema cardiovascolare, ritenzione idrica</w:t>
            </w:r>
          </w:p>
        </w:tc>
        <w:tc>
          <w:tcPr/>
          <w:p>
            <w:pPr>
              <w:pStyle w:val="Compact"/>
              <w:jc w:val="left"/>
            </w:pPr>
            <w:r>
              <w:t xml:space="preserve">secretagoghi del GH, ibutamoren, bremelanotide, macimorelina, ossitocina</w:t>
            </w:r>
          </w:p>
        </w:tc>
        <w:tc>
          <w:tcPr/>
          <w:p>
            <w:pPr>
              <w:pStyle w:val="Compact"/>
              <w:jc w:val="left"/>
            </w:pPr>
            <w:r>
              <w:t xml:space="preserve">segnale di insufficienza cardiaca, picchi pressori, prolungamento del QT</w:t>
            </w:r>
          </w:p>
        </w:tc>
        <w:tc>
          <w:tcPr/>
          <w:p>
            <w:pPr>
              <w:pStyle w:val="Compact"/>
              <w:jc w:val="left"/>
            </w:pPr>
            <w:r>
              <w:t xml:space="preserve">Ibutamoren, Bremelanotide, Macimorelina</w:t>
            </w:r>
          </w:p>
        </w:tc>
      </w:tr>
      <w:tr>
        <w:tc>
          <w:tcPr/>
          <w:p>
            <w:pPr>
              <w:pStyle w:val="Compact"/>
              <w:jc w:val="left"/>
            </w:pPr>
            <w:r>
              <w:t xml:space="preserve">Psiche</w:t>
            </w:r>
          </w:p>
        </w:tc>
        <w:tc>
          <w:tcPr/>
          <w:p>
            <w:pPr>
              <w:pStyle w:val="Compact"/>
              <w:jc w:val="left"/>
            </w:pPr>
            <w:r>
              <w:t xml:space="preserve">classe GLP-1 (verificata), setmelanotide, Semax</w:t>
            </w:r>
          </w:p>
        </w:tc>
        <w:tc>
          <w:tcPr/>
          <w:p>
            <w:pPr>
              <w:pStyle w:val="Compact"/>
              <w:jc w:val="left"/>
            </w:pPr>
            <w:r>
              <w:t xml:space="preserve">nessun aumento del rischio in 86 RCT</w:t>
            </w:r>
          </w:p>
        </w:tc>
        <w:tc>
          <w:tcPr/>
          <w:p>
            <w:pPr>
              <w:pStyle w:val="Compact"/>
              <w:jc w:val="left"/>
            </w:pPr>
            <w:r>
              <w:t xml:space="preserve">Semaglutide, Tirzepatide, Setmelanotide</w:t>
            </w:r>
          </w:p>
        </w:tc>
      </w:tr>
      <w:tr>
        <w:tc>
          <w:tcPr/>
          <w:p>
            <w:pPr>
              <w:pStyle w:val="Compact"/>
              <w:jc w:val="left"/>
            </w:pPr>
            <w:r>
              <w:t xml:space="preserve">Pelle, pigmento</w:t>
            </w:r>
          </w:p>
        </w:tc>
        <w:tc>
          <w:tcPr/>
          <w:p>
            <w:pPr>
              <w:pStyle w:val="Compact"/>
              <w:jc w:val="left"/>
            </w:pPr>
            <w:r>
              <w:t xml:space="preserve">Melanotan II, setmelanotide, afamelanotide, bremelanotide, LL-37</w:t>
            </w:r>
          </w:p>
        </w:tc>
        <w:tc>
          <w:tcPr/>
          <w:p>
            <w:pPr>
              <w:pStyle w:val="Compact"/>
              <w:jc w:val="left"/>
            </w:pPr>
            <w:r>
              <w:t xml:space="preserve">pigmentazione con setmelanotide 62%; casi clinici di melanoma con Melanotan II</w:t>
            </w:r>
          </w:p>
        </w:tc>
        <w:tc>
          <w:tcPr/>
          <w:p>
            <w:pPr>
              <w:pStyle w:val="Compact"/>
              <w:jc w:val="left"/>
            </w:pPr>
            <w:r>
              <w:t xml:space="preserve">Melanotan II, Setmelanotide</w:t>
            </w:r>
          </w:p>
        </w:tc>
      </w:tr>
      <w:tr>
        <w:tc>
          <w:tcPr/>
          <w:p>
            <w:pPr>
              <w:pStyle w:val="Compact"/>
              <w:jc w:val="left"/>
            </w:pPr>
            <w:r>
              <w:t xml:space="preserve">Sistema ormonale</w:t>
            </w:r>
          </w:p>
        </w:tc>
        <w:tc>
          <w:tcPr/>
          <w:p>
            <w:pPr>
              <w:pStyle w:val="Compact"/>
              <w:jc w:val="left"/>
            </w:pPr>
            <w:r>
              <w:t xml:space="preserve">GHRP-2, GHRP-6, hexarelin, kisspeptina, gonadorelina</w:t>
            </w:r>
          </w:p>
        </w:tc>
        <w:tc>
          <w:tcPr/>
          <w:p>
            <w:pPr>
              <w:pStyle w:val="Compact"/>
              <w:jc w:val="left"/>
            </w:pPr>
            <w:r>
              <w:t xml:space="preserve">aumento di cortisolo e prolattina; soppressione dell’asse con somministrazione continua</w:t>
            </w:r>
          </w:p>
        </w:tc>
        <w:tc>
          <w:tcPr/>
          <w:p>
            <w:pPr>
              <w:pStyle w:val="Compact"/>
              <w:jc w:val="left"/>
            </w:pPr>
            <w:r>
              <w:t xml:space="preserve">Gruppo C, Kisspeptina</w:t>
            </w:r>
          </w:p>
        </w:tc>
      </w:tr>
      <w:tr>
        <w:tc>
          <w:tcPr/>
          <w:p>
            <w:pPr>
              <w:pStyle w:val="Compact"/>
              <w:jc w:val="left"/>
            </w:pPr>
            <w:r>
              <w:t xml:space="preserve">Glicemia</w:t>
            </w:r>
          </w:p>
        </w:tc>
        <w:tc>
          <w:tcPr/>
          <w:p>
            <w:pPr>
              <w:pStyle w:val="Compact"/>
              <w:jc w:val="left"/>
            </w:pPr>
            <w:r>
              <w:t xml:space="preserve">mecasermina, pramlintide, GLP-1 con insulina/sulfonilurea; asse del GH</w:t>
            </w:r>
          </w:p>
        </w:tc>
        <w:tc>
          <w:tcPr/>
          <w:p>
            <w:pPr>
              <w:pStyle w:val="Compact"/>
              <w:jc w:val="left"/>
            </w:pPr>
            <w:r>
              <w:t xml:space="preserve">ipoglicemia nel 49% con mecasermina; glicemia più alta con ibutamoren</w:t>
            </w:r>
          </w:p>
        </w:tc>
        <w:tc>
          <w:tcPr/>
          <w:p>
            <w:pPr>
              <w:pStyle w:val="Compact"/>
              <w:jc w:val="left"/>
            </w:pPr>
            <w:r>
              <w:t xml:space="preserve">Mecasermina, Pramlintide, Ibutamoren</w:t>
            </w:r>
          </w:p>
        </w:tc>
      </w:tr>
    </w:tbl>
    <w:bookmarkStart w:id="2615" w:name="apparato-gastrointestinale"/>
    <w:p>
      <w:pPr>
        <w:pStyle w:val="Heading3"/>
      </w:pPr>
      <w:r>
        <w:t xml:space="preserve">Apparato gastrointestinale</w:t>
      </w:r>
    </w:p>
    <w:p>
      <w:pPr>
        <w:pStyle w:val="FirstParagraph"/>
      </w:pPr>
      <w:r>
        <w:t xml:space="preserve">Nessun altro apparato è coinvolto così spesso. Nausea, vomito, diarrea e stitichezza sono gli effetti collaterali tipici di tutti i farmaci che agiscono sul recettore del GLP-1 – dal più vecchio exenatide, passando per semaglutide e tirzepatide, fino ai nuovi agonisti multipli. Una revisione che ha riassunto 60 meta-analisi con complessivamente 1.751 studi randomizzati ha trovato i segnali più sicuri proprio qui: la probabilità (odds) di nausea con gli agonisti del recettore del GLP-1 era circa due volte e mezzo quella dei gruppi di confronto (odds ratio 2,47), per il vomito quasi tre volte (2,78) e per la diarrea circa il doppio (1,94)</w:t>
      </w:r>
      <w:r>
        <w:rPr>
          <w:rStyle w:val="FootnoteReference"/>
        </w:rPr>
        <w:footnoteReference w:id="2606"/>
      </w:r>
      <w:r>
        <w:t xml:space="preserve">.</w:t>
      </w:r>
    </w:p>
    <w:p>
      <w:pPr>
        <w:pStyle w:val="BodyText"/>
      </w:pPr>
      <w:r>
        <w:t xml:space="preserve">Quanto siano frequenti i disturbi dipende molto dal principio attivo, dalla dose e dalla velocità dell’aumento della dose. Una meta-analisi a rete di 39 studi con 33.354 persone in sovrappeso senza diabete ha trovato per tutti i principi attivi esaminati un rischio aumentato di nausea, il più marcato per orforglipron, seguito da exenatide, tirzepatide, semaglutide e liraglutide</w:t>
      </w:r>
      <w:r>
        <w:rPr>
          <w:rStyle w:val="FootnoteReference"/>
        </w:rPr>
        <w:footnoteReference w:id="2607"/>
      </w:r>
      <w:r>
        <w:t xml:space="preserve">. Per i principi attivi con una componente aggiuntiva sul glucagone i tassi sono particolarmente alti: nello studio sulla steatosi epatica con survodutide il 66% ha avuto nausea contro il 23% con placebo</w:t>
      </w:r>
      <w:r>
        <w:rPr>
          <w:rStyle w:val="FootnoteReference"/>
        </w:rPr>
        <w:footnoteReference w:id="2608"/>
      </w:r>
      <w:r>
        <w:t xml:space="preserve">. I dettagli si trovano nei capitoli Survodutide, Mazdutide e Retatrutide.</w:t>
      </w:r>
    </w:p>
    <w:p>
      <w:pPr>
        <w:pStyle w:val="BodyText"/>
      </w:pPr>
      <w:r>
        <w:t xml:space="preserve">Anche al di fuori del gruppo GLP-1 la nausea è frequente. Con bremelanotide si è verificata negli studi di fase 3 nel 40,0% contro l’1,3% con placebo ed era il motivo più frequente di interruzione</w:t>
      </w:r>
      <w:r>
        <w:rPr>
          <w:rStyle w:val="FootnoteReference"/>
        </w:rPr>
        <w:footnoteReference w:id="2609"/>
      </w:r>
      <w:r>
        <w:t xml:space="preserve">. Con pramlintide il 63% ha riferito nausea, con placebo il 36%</w:t>
      </w:r>
      <w:r>
        <w:rPr>
          <w:rStyle w:val="FootnoteReference"/>
        </w:rPr>
        <w:footnoteReference w:id="2610"/>
      </w:r>
      <w:r>
        <w:t xml:space="preserve">. Con setmelanotide, in una meta-analisi di sette studi, la quota era del 36%</w:t>
      </w:r>
      <w:r>
        <w:rPr>
          <w:rStyle w:val="FootnoteReference"/>
        </w:rPr>
        <w:footnoteReference w:id="2611"/>
      </w:r>
      <w:r>
        <w:t xml:space="preserve">.</w:t>
      </w:r>
    </w:p>
    <w:p>
      <w:pPr>
        <w:pStyle w:val="BodyText"/>
      </w:pPr>
      <w:r>
        <w:t xml:space="preserve">Più importante della frequenza della nausea è la questione degli eventi gastrointestinali</w:t>
      </w:r>
      <w:r>
        <w:t xml:space="preserve"> </w:t>
      </w:r>
      <w:r>
        <w:rPr>
          <w:bCs/>
          <w:b/>
        </w:rPr>
        <w:t xml:space="preserve">gravi</w:t>
      </w:r>
      <w:r>
        <w:t xml:space="preserve">. Un’analisi di banca dati del 2023 aveva segnalato per gli agonisti del recettore del GLP-1 usati per perdere peso un rischio aumentato di pancreatite, occlusione intestinale e paralisi gastrica</w:t>
      </w:r>
      <w:r>
        <w:rPr>
          <w:rStyle w:val="FootnoteReference"/>
        </w:rPr>
        <w:footnoteReference w:id="2612"/>
      </w:r>
      <w:r>
        <w:t xml:space="preserve">. Una meta-analisi di 55 studi controllati con placebo con 106.395 partecipanti non lo ha confermato per la maggior parte di questi eventi. Erano aumentati i calcoli biliari (rischio relativo 1,46; due casi in più ogni 1.000 persone trattate) e probabilmente la malattia da reflusso (rischio relativo 2,19; quattro casi in più ogni 1.000). Per occlusione intestinale, paralisi gastrica, ulcere o emorragie non è emersa una differenza chiara</w:t>
      </w:r>
      <w:r>
        <w:rPr>
          <w:rStyle w:val="FootnoteReference"/>
        </w:rPr>
        <w:footnoteReference w:id="2613"/>
      </w:r>
      <w:r>
        <w:t xml:space="preserve">. In uno studio di coorte con dati di routine, tirzepatide e semaglutide differivano appena per quanto riguarda gli eventi gastrointestinali gravi</w:t>
      </w:r>
      <w:r>
        <w:rPr>
          <w:rStyle w:val="FootnoteReference"/>
        </w:rPr>
        <w:footnoteReference w:id="2614"/>
      </w:r>
      <w:r>
        <w:t xml:space="preserve">.</w:t>
      </w:r>
    </w:p>
    <w:p>
      <w:pPr>
        <w:pStyle w:val="BodyText"/>
      </w:pPr>
      <w:r>
        <w:t xml:space="preserve">Sul piano pratico è importante che vomito e diarrea persistenti possono portare a perdita di liquidi. Negli studi i disturbi compaiono soprattutto nella fase di aumento della dose; per questo i riassunti delle caratteristiche dei farmaci autorizzati prevedono un procedimento graduale, che deve essere accompagnato dal medico. Con prodotti del mercato grigio, il cui contenuto non è noto, uno schema del genere non può essere rispettato in modo affidabile (vedi capitolo «Prodotti del mercato grigio»).</w:t>
      </w:r>
    </w:p>
    <w:bookmarkEnd w:id="2615"/>
    <w:bookmarkStart w:id="2619" w:name="colecisti-e-pancreas"/>
    <w:p>
      <w:pPr>
        <w:pStyle w:val="Heading3"/>
      </w:pPr>
      <w:r>
        <w:t xml:space="preserve">Colecisti e pancreas</w:t>
      </w:r>
    </w:p>
    <w:p>
      <w:pPr>
        <w:pStyle w:val="FirstParagraph"/>
      </w:pPr>
      <w:r>
        <w:t xml:space="preserve">Per la colecisti il rischio è ormai ben documentato. Una meta-analisi di 76 studi randomizzati con 103.371 partecipanti ha trovato con gli agonisti del recettore del GLP-1 un rischio relativo aumentato del 37% di malattie della colecisti e delle vie biliari. Negli studi sulla perdita di peso il rischio relativo, pari a 2,29, era nettamente più alto che negli studi sul diabete</w:t>
      </w:r>
      <w:r>
        <w:rPr>
          <w:rStyle w:val="FootnoteReference"/>
        </w:rPr>
        <w:footnoteReference w:id="2616"/>
      </w:r>
      <w:r>
        <w:t xml:space="preserve">. Parte dell’effetto dovrebbe dipendere dalla rapida perdita di peso in sé, che notoriamente favorisce i calcoli biliari. In STEP TEENS 5 adolescenti su 133 con semaglutide hanno sviluppato calcoli biliari, con placebo nessuno</w:t>
      </w:r>
      <w:r>
        <w:rPr>
          <w:rStyle w:val="FootnoteReference"/>
        </w:rPr>
        <w:footnoteReference w:id="2617"/>
      </w:r>
      <w:r>
        <w:t xml:space="preserve">.</w:t>
      </w:r>
    </w:p>
    <w:p>
      <w:pPr>
        <w:pStyle w:val="BodyText"/>
      </w:pPr>
      <w:r>
        <w:t xml:space="preserve">Per il pancreas la situazione è meno chiara. Una meta-analisi di 62 studi con 66.232 partecipanti ha trovato nel complesso un rischio leggermente aumentato di pancreatite (rischio relativo 1,44). Quando gli studi sono stati separati in base al fatto che i partecipanti assumessero o meno altri farmaci, la differenza non era più statisticamente significativa in nessuno dei due gruppi</w:t>
      </w:r>
      <w:r>
        <w:rPr>
          <w:rStyle w:val="FootnoteReference"/>
        </w:rPr>
        <w:footnoteReference w:id="2618"/>
      </w:r>
      <w:r>
        <w:t xml:space="preserve">. La frequenza assoluta è bassa; nei grandi studi di esito una pancreatite si è verificata raramente. I riassunti delle caratteristiche del prodotto la elencano come effetto collaterale raro. Un dolore forte e persistente nella parte alta dell’addome, spesso irradiato alla schiena, va sempre chiarito dal medico durante l’uso di questi farmaci. Per la questione del tumore del pancreas si veda il capitolo seguente.</w:t>
      </w:r>
    </w:p>
    <w:bookmarkEnd w:id="2619"/>
    <w:bookmarkStart w:id="2621" w:name="tiroide"/>
    <w:p>
      <w:pPr>
        <w:pStyle w:val="Heading3"/>
      </w:pPr>
      <w:r>
        <w:t xml:space="preserve">Tiroide</w:t>
      </w:r>
    </w:p>
    <w:p>
      <w:pPr>
        <w:pStyle w:val="FirstParagraph"/>
      </w:pPr>
      <w:r>
        <w:t xml:space="preserve">La preoccupazione per la tiroide deriva da esperimenti sugli animali: in ratti e topi gli agonisti del recettore del GLP-1 hanno provocato iperplasie e tumori delle cellule C, che producono l’ormone calcitonina. Nell’uomo i dati non sono uniformi. Un indizio diretto di una stimolazione delle cellule C sarebbe un aumento della calcitonina nel sangue. Nello studio LEADER con 9.340 partecipanti i valori di calcitonina dopo 36 mesi non differivano tra liraglutide e placebo, e con liraglutide non si è verificato alcun carcinoma midollare della tiroide</w:t>
      </w:r>
      <w:r>
        <w:rPr>
          <w:rStyle w:val="FootnoteReference"/>
        </w:rPr>
        <w:footnoteReference w:id="2620"/>
      </w:r>
      <w:r>
        <w:t xml:space="preserve">. Come vada valutata nel complesso la questione del cancro è trattato nel capitolo «Rischio oncologico e segnali di crescita». Indipendentemente da ciò, i riassunti delle caratteristiche del prodotto prevedono una controindicazione in caso di carcinoma midollare della tiroide nell’anamnesi personale o familiare e di sindrome MEN 2.</w:t>
      </w:r>
    </w:p>
    <w:bookmarkEnd w:id="2621"/>
    <w:bookmarkStart w:id="2629" w:name="occhi-retina-e-nervo-ottico"/>
    <w:p>
      <w:pPr>
        <w:pStyle w:val="Heading3"/>
      </w:pPr>
      <w:r>
        <w:t xml:space="preserve">Occhi: retina e nervo ottico</w:t>
      </w:r>
    </w:p>
    <w:p>
      <w:pPr>
        <w:pStyle w:val="FirstParagraph"/>
      </w:pPr>
      <w:r>
        <w:t xml:space="preserve">Qui ci sono due questioni diverse.</w:t>
      </w:r>
    </w:p>
    <w:p>
      <w:pPr>
        <w:pStyle w:val="BodyText"/>
      </w:pPr>
      <w:r>
        <w:rPr>
          <w:bCs/>
          <w:b/>
        </w:rPr>
        <w:t xml:space="preserve">Retinopatia diabetica.</w:t>
      </w:r>
      <w:r>
        <w:t xml:space="preserve"> </w:t>
      </w:r>
      <w:r>
        <w:t xml:space="preserve">In SUSTAIN 6, uno studio cardiovascolare con 3.297 persone con diabete di tipo 2, le complicanze di una retinopatia diabetica si sono verificate più spesso con semaglutide che con placebo (hazard ratio 1,76)</w:t>
      </w:r>
      <w:r>
        <w:rPr>
          <w:rStyle w:val="FootnoteReference"/>
        </w:rPr>
        <w:footnoteReference w:id="2622"/>
      </w:r>
      <w:r>
        <w:t xml:space="preserve">. Si ipotizza che una riduzione molto rapida della glicemia peggiori temporaneamente una retinopatia già esistente – un fenomeno noto anche con l’insulina. Una meta-analisi di 78 studi con 73.640 partecipanti non ha trovato nel complesso alcun aumento del rischio di retinopatia diabetica (odds ratio 1,04) o di malattie oculari in generale</w:t>
      </w:r>
      <w:r>
        <w:rPr>
          <w:rStyle w:val="FootnoteReference"/>
        </w:rPr>
        <w:footnoteReference w:id="2623"/>
      </w:r>
      <w:r>
        <w:t xml:space="preserve">. Per le persone con retinopatia nota, l’accompagnamento oculistico resta comunque sensato.</w:t>
      </w:r>
    </w:p>
    <w:p>
      <w:pPr>
        <w:pStyle w:val="BodyText"/>
      </w:pPr>
      <w:r>
        <w:rPr>
          <w:bCs/>
          <w:b/>
        </w:rPr>
        <w:t xml:space="preserve">NAION.</w:t>
      </w:r>
      <w:r>
        <w:t xml:space="preserve"> </w:t>
      </w:r>
      <w:r>
        <w:t xml:space="preserve">La neuropatia ottica ischemica anteriore non arteritica è un disturbo della circolazione nella testa del nervo ottico, che per lo più senza dolore porta a un’improvvisa perdita della vista in un occhio. Da un primo studio di una clinica neuro-oftalmologica</w:t>
      </w:r>
      <w:r>
        <w:rPr>
          <w:rStyle w:val="FootnoteReference"/>
        </w:rPr>
        <w:footnoteReference w:id="2624"/>
      </w:r>
      <w:r>
        <w:t xml:space="preserve"> </w:t>
      </w:r>
      <w:r>
        <w:t xml:space="preserve">sono state pubblicate molte altre indagini, con risultati diversi:</w:t>
      </w:r>
    </w:p>
    <w:p>
      <w:pPr>
        <w:numPr>
          <w:ilvl w:val="0"/>
          <w:numId w:val="1336"/>
        </w:numPr>
        <w:pStyle w:val="Compact"/>
      </w:pPr>
      <w:r>
        <w:t xml:space="preserve">Lo studio di registro danese-norvegese ha trovato un rischio relativo aumentato (hazard ratio 2,81), in assoluto circa 1,4 casi in più ogni 10.000 anni-persona</w:t>
      </w:r>
      <w:r>
        <w:rPr>
          <w:rStyle w:val="FootnoteReference"/>
        </w:rPr>
        <w:footnoteReference w:id="2625"/>
      </w:r>
      <w:r>
        <w:t xml:space="preserve">.</w:t>
      </w:r>
    </w:p>
    <w:p>
      <w:pPr>
        <w:numPr>
          <w:ilvl w:val="0"/>
          <w:numId w:val="1336"/>
        </w:numPr>
        <w:pStyle w:val="Compact"/>
      </w:pPr>
      <w:r>
        <w:t xml:space="preserve">In una coorte statunitense di 159.398 persone con diabete di tipo 2, in due anni si sono ammalati lo 0,04% con semaglutide o tirzepatide e lo 0,02% nel gruppo di confronto (hazard ratio 1,76)</w:t>
      </w:r>
      <w:r>
        <w:rPr>
          <w:rStyle w:val="FootnoteReference"/>
        </w:rPr>
        <w:footnoteReference w:id="2626"/>
      </w:r>
      <w:r>
        <w:t xml:space="preserve">.</w:t>
      </w:r>
    </w:p>
    <w:p>
      <w:pPr>
        <w:numPr>
          <w:ilvl w:val="0"/>
          <w:numId w:val="1336"/>
        </w:numPr>
        <w:pStyle w:val="Compact"/>
      </w:pPr>
      <w:r>
        <w:t xml:space="preserve">Uno studio internazionale su banche dati con quasi 300.000 persone non ha trovato un nesso accertato</w:t>
      </w:r>
      <w:r>
        <w:rPr>
          <w:rStyle w:val="FootnoteReference"/>
        </w:rPr>
        <w:footnoteReference w:id="2627"/>
      </w:r>
      <w:r>
        <w:t xml:space="preserve">.</w:t>
      </w:r>
    </w:p>
    <w:p>
      <w:pPr>
        <w:numPr>
          <w:ilvl w:val="0"/>
          <w:numId w:val="1336"/>
        </w:numPr>
        <w:pStyle w:val="Compact"/>
      </w:pPr>
      <w:r>
        <w:t xml:space="preserve">Una meta-analisi ha visto il segnale solo negli studi osservazionali sul diabete, non negli studi randomizzati e non nell’obesità</w:t>
      </w:r>
      <w:r>
        <w:rPr>
          <w:rStyle w:val="FootnoteReference"/>
        </w:rPr>
        <w:footnoteReference w:id="2628"/>
      </w:r>
      <w:r>
        <w:t xml:space="preserve">.</w:t>
      </w:r>
    </w:p>
    <w:p>
      <w:pPr>
        <w:pStyle w:val="FirstParagraph"/>
      </w:pPr>
      <w:r>
        <w:t xml:space="preserve">In sintesi: un piccolo aumento del rischio è possibile, la frequenza assoluta è molto bassa. Nel 2025 l’Agenzia europea per i medicinali ha inserito la NAION nel riassunto delle caratteristiche del prodotto di semaglutide come effetto collaterale molto raro. Un’improvvisa perdita della vista è in ogni caso un’emergenza. Dettagli nel capitolo Semaglutide.</w:t>
      </w:r>
    </w:p>
    <w:bookmarkEnd w:id="2629"/>
    <w:bookmarkStart w:id="2638" w:name="X49718ed396568be5ac0babd81d961abd168a9c1"/>
    <w:p>
      <w:pPr>
        <w:pStyle w:val="Heading3"/>
      </w:pPr>
      <w:r>
        <w:t xml:space="preserve">Sistema cardiovascolare e ritenzione idrica</w:t>
      </w:r>
    </w:p>
    <w:p>
      <w:pPr>
        <w:pStyle w:val="FirstParagraph"/>
      </w:pPr>
      <w:r>
        <w:t xml:space="preserve">Per i farmaci GLP-1, secondo le conoscenze attuali, prevale il beneficio per cuore e vasi: in SUSTAIN 6 gli eventi cardiovascolari gravi si sono verificati meno spesso con semaglutide (6,6% contro 8,9%)</w:t>
      </w:r>
      <w:r>
        <w:rPr>
          <w:rStyle w:val="FootnoteReference"/>
        </w:rPr>
        <w:footnoteReference w:id="2630"/>
      </w:r>
      <w:r>
        <w:t xml:space="preserve">. Un lieve aumento della frequenza cardiaca a riposo è però una caratteristica di classe, in parte più marcata nei nuovi agonisti multipli. Con retatrutide in TRIUMPH-2 si è verificata inoltre pressione bassa nell’1–6%, con placebo in meno dell’1%</w:t>
      </w:r>
      <w:r>
        <w:rPr>
          <w:rStyle w:val="FootnoteReference"/>
        </w:rPr>
        <w:footnoteReference w:id="2631"/>
      </w:r>
      <w:r>
        <w:t xml:space="preserve">. Vedi i capitoli Retatrutide e Survodutide.</w:t>
      </w:r>
    </w:p>
    <w:p>
      <w:pPr>
        <w:pStyle w:val="BodyText"/>
      </w:pPr>
      <w:r>
        <w:t xml:space="preserve">Uno schema del tutto diverso si osserva per l’</w:t>
      </w:r>
      <w:r>
        <w:rPr>
          <w:bCs/>
          <w:b/>
        </w:rPr>
        <w:t xml:space="preserve">asse dell’ormone della crescita</w:t>
      </w:r>
      <w:r>
        <w:t xml:space="preserve">. L’ormone della crescita trattiene acqua nel corpo. In una revisione di studi su anziani sani, con l’ormone della crescita si sono verificati più spesso gonfiori dei tessuti, dolori articolari, sindrome del tunnel carpale e ingrossamento del seno negli uomini</w:t>
      </w:r>
      <w:r>
        <w:rPr>
          <w:rStyle w:val="FootnoteReference"/>
        </w:rPr>
        <w:footnoteReference w:id="2632"/>
      </w:r>
      <w:r>
        <w:t xml:space="preserve">. Per i secretagoghi, che stimolano la secrezione endogena, ci si deve attendere uno schema simile. È emerso più chiaramente con l’ibutamoren orale: uno studio su anziani dopo frattura dell’anca è stato interrotto anticipatamente a causa di un segnale di insufficienza cardiaca</w:t>
      </w:r>
      <w:r>
        <w:rPr>
          <w:rStyle w:val="FootnoteReference"/>
        </w:rPr>
        <w:footnoteReference w:id="2633"/>
      </w:r>
      <w:r>
        <w:t xml:space="preserve">. Un cuore già indebolito sopporta male il liquido in più.</w:t>
      </w:r>
    </w:p>
    <w:p>
      <w:pPr>
        <w:pStyle w:val="BodyText"/>
      </w:pPr>
      <w:r>
        <w:t xml:space="preserve">Altri reperti singoli:</w:t>
      </w:r>
    </w:p>
    <w:p>
      <w:pPr>
        <w:numPr>
          <w:ilvl w:val="0"/>
          <w:numId w:val="1337"/>
        </w:numPr>
        <w:pStyle w:val="Compact"/>
      </w:pPr>
      <w:r>
        <w:rPr>
          <w:bCs/>
          <w:b/>
        </w:rPr>
        <w:t xml:space="preserve">Bremelanotide</w:t>
      </w:r>
      <w:r>
        <w:t xml:space="preserve"> </w:t>
      </w:r>
      <w:r>
        <w:t xml:space="preserve">ha aumentato temporaneamente la pressione sistolica dopo la somministrazione di 2,4–3,2 mmHg; i picchi duravano per lo più meno di 15 minuti, e contemporaneamente il polso diminuiva</w:t>
      </w:r>
      <w:r>
        <w:rPr>
          <w:rStyle w:val="FootnoteReference"/>
        </w:rPr>
        <w:footnoteReference w:id="2634"/>
      </w:r>
      <w:r>
        <w:t xml:space="preserve">.</w:t>
      </w:r>
    </w:p>
    <w:p>
      <w:pPr>
        <w:numPr>
          <w:ilvl w:val="0"/>
          <w:numId w:val="1337"/>
        </w:numPr>
        <w:pStyle w:val="Compact"/>
      </w:pPr>
      <w:r>
        <w:rPr>
          <w:bCs/>
          <w:b/>
        </w:rPr>
        <w:t xml:space="preserve">Macimorelina</w:t>
      </w:r>
      <w:r>
        <w:t xml:space="preserve">, a una dose singola volutamente eccessiva, ha prolungato l’intervallo QT nell’ECG in media fino a 9,61 millisecondi</w:t>
      </w:r>
      <w:r>
        <w:rPr>
          <w:rStyle w:val="FootnoteReference"/>
        </w:rPr>
        <w:footnoteReference w:id="2635"/>
      </w:r>
      <w:r>
        <w:t xml:space="preserve"> </w:t>
      </w:r>
      <w:r>
        <w:t xml:space="preserve">– rilevante per chi assume altri farmaci che prolungano il QT.</w:t>
      </w:r>
    </w:p>
    <w:p>
      <w:pPr>
        <w:numPr>
          <w:ilvl w:val="0"/>
          <w:numId w:val="1337"/>
        </w:numPr>
        <w:pStyle w:val="Compact"/>
      </w:pPr>
      <w:r>
        <w:rPr>
          <w:bCs/>
          <w:b/>
        </w:rPr>
        <w:t xml:space="preserve">Ossitocina</w:t>
      </w:r>
      <w:r>
        <w:t xml:space="preserve"> </w:t>
      </w:r>
      <w:r>
        <w:t xml:space="preserve">somiglia chimicamente all’ormone del bilancio idrico vasopressina. È descritto un caso di aumento della pressione intracranica con ossitocina spray nasale associata a un’assunzione di liquidi molto elevata</w:t>
      </w:r>
      <w:r>
        <w:rPr>
          <w:rStyle w:val="FootnoteReference"/>
        </w:rPr>
        <w:footnoteReference w:id="2636"/>
      </w:r>
      <w:r>
        <w:t xml:space="preserve">.</w:t>
      </w:r>
    </w:p>
    <w:p>
      <w:pPr>
        <w:numPr>
          <w:ilvl w:val="0"/>
          <w:numId w:val="1337"/>
        </w:numPr>
        <w:pStyle w:val="Compact"/>
      </w:pPr>
      <w:r>
        <w:rPr>
          <w:bCs/>
          <w:b/>
        </w:rPr>
        <w:t xml:space="preserve">Melanotan II:</w:t>
      </w:r>
      <w:r>
        <w:t xml:space="preserve"> </w:t>
      </w:r>
      <w:r>
        <w:t xml:space="preserve">casi clinici di disgregazione muscolare con danno renale</w:t>
      </w:r>
      <w:r>
        <w:rPr>
          <w:rStyle w:val="FootnoteReference"/>
        </w:rPr>
        <w:footnoteReference w:id="2637"/>
      </w:r>
      <w:r>
        <w:t xml:space="preserve"> </w:t>
      </w:r>
      <w:r>
        <w:t xml:space="preserve">e di un infarto renale; vedi capitolo Melanotan II.</w:t>
      </w:r>
    </w:p>
    <w:bookmarkEnd w:id="2638"/>
    <w:bookmarkStart w:id="2643" w:name="psiche-e-suicidalità"/>
    <w:p>
      <w:pPr>
        <w:pStyle w:val="Heading3"/>
      </w:pPr>
      <w:r>
        <w:t xml:space="preserve">Psiche e suicidalità</w:t>
      </w:r>
    </w:p>
    <w:p>
      <w:pPr>
        <w:pStyle w:val="FirstParagraph"/>
      </w:pPr>
      <w:r>
        <w:t xml:space="preserve">Nel 2023 singole segnalazioni di pensieri suicidi con semaglutide e liraglutide hanno avviato verifiche delle autorità in Europa e negli USA. I dati sono oggi molto migliori e in prevalenza rassicuranti. Una meta-analisi di 86 studi randomizzati con 133.378 partecipanti non ha trovato con gli agonisti del recettore del GLP-1 alcun aumento del rischio di malattie psichiche nel complesso (rischio relativo 0,96), di depressione (0,88), di suicidio (0,90) o di disturbi d’ansia (0,92)</w:t>
      </w:r>
      <w:r>
        <w:rPr>
          <w:rStyle w:val="FootnoteReference"/>
        </w:rPr>
        <w:footnoteReference w:id="2639"/>
      </w:r>
      <w:r>
        <w:t xml:space="preserve">. In uno studio di registro scandinavo con 124.517 persone in trattamento con agonisti del recettore del GLP-1 il rischio di suicidio non era aumentato rispetto a un altro farmaco antidiabetico; il limite superiore dell’intervallo di confidenza corrispondeva al massimo a 0,16 decessi in più ogni 1.000 anni-persona</w:t>
      </w:r>
      <w:r>
        <w:rPr>
          <w:rStyle w:val="FootnoteReference"/>
        </w:rPr>
        <w:footnoteReference w:id="2640"/>
      </w:r>
      <w:r>
        <w:t xml:space="preserve">. Negli studi SURMOUNT lo 0,6% sia con tirzepatide sia con placebo ha riferito pensieri suicidi</w:t>
      </w:r>
      <w:r>
        <w:rPr>
          <w:rStyle w:val="FootnoteReference"/>
        </w:rPr>
        <w:footnoteReference w:id="2641"/>
      </w:r>
      <w:r>
        <w:t xml:space="preserve">. Anche negli adolescenti una meta-analisi non ha trovato un aumento di comportamenti suicidari o di depressione</w:t>
      </w:r>
      <w:r>
        <w:rPr>
          <w:rStyle w:val="FootnoteReference"/>
        </w:rPr>
        <w:footnoteReference w:id="2642"/>
      </w:r>
      <w:r>
        <w:t xml:space="preserve">.</w:t>
      </w:r>
    </w:p>
    <w:p>
      <w:pPr>
        <w:pStyle w:val="BodyText"/>
      </w:pPr>
      <w:r>
        <w:t xml:space="preserve">Resta un limite: le persone con gravi malattie psichiche erano escluse da molti studi. Per loro e per le persone con disturbi alimentari valgono considerazioni a parte (vedi capitolo «Interazioni e gruppi a rischio particolare»).</w:t>
      </w:r>
    </w:p>
    <w:p>
      <w:pPr>
        <w:pStyle w:val="BodyText"/>
      </w:pPr>
      <w:r>
        <w:t xml:space="preserve">Altri peptidi agiscono più direttamente sul cervello. Il riassunto delle caratteristiche del prodotto di setmelanotide contiene avvertenze su depressione e pensieri suicidi (capitolo Setmelanotide). Per Semax è descritta, in singole persone con cervello già danneggiato, un’alterazione dell’EEG di tipo crisi (capitolo Semax). Per la maggior parte dei «peptidi nootropi» del gruppo D semplicemente non esistono dati sistematici sugli effetti collaterali psichici.</w:t>
      </w:r>
    </w:p>
    <w:bookmarkEnd w:id="2643"/>
    <w:bookmarkStart w:id="2651" w:name="pelle-e-pigmento"/>
    <w:p>
      <w:pPr>
        <w:pStyle w:val="Heading3"/>
      </w:pPr>
      <w:r>
        <w:t xml:space="preserve">Pelle e pigmento</w:t>
      </w:r>
    </w:p>
    <w:p>
      <w:pPr>
        <w:pStyle w:val="FirstParagraph"/>
      </w:pPr>
      <w:r>
        <w:t xml:space="preserve">Le alterazioni cutanee più evidenti sono causate da peptidi che agiscono sul</w:t>
      </w:r>
      <w:r>
        <w:t xml:space="preserve"> </w:t>
      </w:r>
      <w:r>
        <w:rPr>
          <w:bCs/>
          <w:b/>
        </w:rPr>
        <w:t xml:space="preserve">recettore della melanocortina 1</w:t>
      </w:r>
      <w:r>
        <w:t xml:space="preserve"> </w:t>
      </w:r>
      <w:r>
        <w:t xml:space="preserve">delle cellule pigmentate. Con setmelanotide, che dovrebbe in realtà agire sul recettore della melanocortina 4 nel cervello, in una meta-analisi la pelle si è scurita nel 62% delle persone trattate</w:t>
      </w:r>
      <w:r>
        <w:rPr>
          <w:rStyle w:val="FootnoteReference"/>
        </w:rPr>
        <w:footnoteReference w:id="2644"/>
      </w:r>
      <w:r>
        <w:t xml:space="preserve">. In un’osservazione fino a 46 mesi si sono scuriti anche labbra e nei, i capelli rossi sono diventati castani; non si sono verificate alterazioni cutanee maligne</w:t>
      </w:r>
      <w:r>
        <w:rPr>
          <w:rStyle w:val="FootnoteReference"/>
        </w:rPr>
        <w:footnoteReference w:id="2645"/>
      </w:r>
      <w:r>
        <w:t xml:space="preserve">. Bremelanotide, somministrato fino a 16 giorni consecutivi, ha causato in più di un terzo dei partecipanti macchie scure circoscritte</w:t>
      </w:r>
      <w:r>
        <w:rPr>
          <w:rStyle w:val="FootnoteReference"/>
        </w:rPr>
        <w:footnoteReference w:id="2646"/>
      </w:r>
      <w:r>
        <w:t xml:space="preserve">.</w:t>
      </w:r>
    </w:p>
    <w:p>
      <w:pPr>
        <w:pStyle w:val="BodyText"/>
      </w:pPr>
      <w:r>
        <w:t xml:space="preserve">Con il Melanotan II non autorizzato si aggiungono nei di nuova comparsa, talvolta sospetti. Una revisione di tutti i casi pubblicati di nei a comparsa improvvisa, con 179 persone colpite, ha indicato il Melanotan tra i fattori scatenanti; il 16% di tutti i casi aveva almeno un neo istologicamente atipico (displastico)</w:t>
      </w:r>
      <w:r>
        <w:rPr>
          <w:rStyle w:val="FootnoteReference"/>
        </w:rPr>
        <w:footnoteReference w:id="2647"/>
      </w:r>
      <w:r>
        <w:t xml:space="preserve">. Se ne derivi un rischio maggiore di melanoma è trattato nel capitolo successivo.</w:t>
      </w:r>
    </w:p>
    <w:p>
      <w:pPr>
        <w:pStyle w:val="BodyText"/>
      </w:pPr>
      <w:r>
        <w:t xml:space="preserve">Per i farmaci GLP-1 sono in primo piano altri reperti cutanei. Una revisione sistematica indica le reazioni nel sito di iniezione come più frequenti con tirzepatide (2–7%) e le alterazioni della sensibilità cutanea (disestesia) soprattutto con semaglutide: alle dosi standard in circa il 5%, alle alte dosi per l’obesità fino al 20%</w:t>
      </w:r>
      <w:r>
        <w:rPr>
          <w:rStyle w:val="FootnoteReference"/>
        </w:rPr>
        <w:footnoteReference w:id="2648"/>
      </w:r>
      <w:r>
        <w:t xml:space="preserve">. Con retatrutide in TRIUMPH-2 la disestesia si è verificata in modo dose-dipendente nel 4–7%, con placebo nell’1%</w:t>
      </w:r>
      <w:r>
        <w:rPr>
          <w:rStyle w:val="FootnoteReference"/>
        </w:rPr>
        <w:footnoteReference w:id="2649"/>
      </w:r>
      <w:r>
        <w:t xml:space="preserve">. Le reazioni nel sito di iniezione e le allergie sono riassunte nel capitolo «Reazioni immunitarie e anticorpi».</w:t>
      </w:r>
    </w:p>
    <w:p>
      <w:pPr>
        <w:pStyle w:val="BodyText"/>
      </w:pPr>
      <w:r>
        <w:t xml:space="preserve">Un caso particolare è LL-37: dopo iniezioni in metastasi cutanee, in una paziente sono comparse numerose alterazioni cutanee simili a verruche, inizialmente scambiate per cancro, che sono regredite dopo la sospensione</w:t>
      </w:r>
      <w:r>
        <w:rPr>
          <w:rStyle w:val="FootnoteReference"/>
        </w:rPr>
        <w:footnoteReference w:id="2650"/>
      </w:r>
      <w:r>
        <w:t xml:space="preserve">. Sulle iniezioni di glutatione per schiarire la pelle le autorità hanno messo in guardia più volte (capitolo Glutatione).</w:t>
      </w:r>
    </w:p>
    <w:bookmarkEnd w:id="2651"/>
    <w:bookmarkStart w:id="2655" w:name="sistema-ormonale"/>
    <w:p>
      <w:pPr>
        <w:pStyle w:val="Heading3"/>
      </w:pPr>
      <w:r>
        <w:t xml:space="preserve">Sistema ormonale</w:t>
      </w:r>
    </w:p>
    <w:p>
      <w:pPr>
        <w:pStyle w:val="FirstParagraph"/>
      </w:pPr>
      <w:r>
        <w:t xml:space="preserve">Molti peptidi sono essi stessi ormoni o li imitano. Non sorprende quindi che intervengano in circuiti di regolazione che vanno oltre l’obiettivo vero e proprio.</w:t>
      </w:r>
    </w:p>
    <w:p>
      <w:pPr>
        <w:numPr>
          <w:ilvl w:val="0"/>
          <w:numId w:val="1338"/>
        </w:numPr>
        <w:pStyle w:val="Compact"/>
      </w:pPr>
      <w:r>
        <w:rPr>
          <w:bCs/>
          <w:b/>
        </w:rPr>
        <w:t xml:space="preserve">Ormoni dello stress e prolattina:</w:t>
      </w:r>
      <w:r>
        <w:t xml:space="preserve"> </w:t>
      </w:r>
      <w:r>
        <w:t xml:space="preserve">i mimetici della grelina GHRP-2, GHRP-6, hexarelin e macimorelina liberano, oltre all’ormone della crescita, anche ACTH e cortisolo, alcuni anche prolattina. Per il GHRP-2 questo effetto è così affidabile che è stato studiato come test per l’asse surrenalico</w:t>
      </w:r>
      <w:r>
        <w:rPr>
          <w:rStyle w:val="FootnoteReference"/>
        </w:rPr>
        <w:footnoteReference w:id="2652"/>
      </w:r>
      <w:r>
        <w:t xml:space="preserve">. Che cosa provochi una stimolazione ripetuta per mesi non è stato studiato (capitoli GHRP-2, GHRP-6, Hexarelin).</w:t>
      </w:r>
    </w:p>
    <w:p>
      <w:pPr>
        <w:numPr>
          <w:ilvl w:val="0"/>
          <w:numId w:val="1338"/>
        </w:numPr>
        <w:pStyle w:val="Compact"/>
      </w:pPr>
      <w:r>
        <w:rPr>
          <w:bCs/>
          <w:b/>
        </w:rPr>
        <w:t xml:space="preserve">Soppressione invece di stimolazione:</w:t>
      </w:r>
      <w:r>
        <w:t xml:space="preserve"> </w:t>
      </w:r>
      <w:r>
        <w:t xml:space="preserve">gli ormoni che nel corpo vengono secreti a impulsi hanno spesso un effetto opposto se somministrati in modo continuo. Con l’analogo della kisspeptina TAK-448, in uomini sani il testosterone è sceso con un’infusione continua di 14 giorni fino ai livelli di castrazione</w:t>
      </w:r>
      <w:r>
        <w:rPr>
          <w:rStyle w:val="FootnoteReference"/>
        </w:rPr>
        <w:footnoteReference w:id="2653"/>
      </w:r>
      <w:r>
        <w:t xml:space="preserve">. Lo stesso principio vale per la gonadorelina, se non viene somministrata con il ritmo giusto (capitoli Kisspeptina, Gonadorelina).</w:t>
      </w:r>
    </w:p>
    <w:p>
      <w:pPr>
        <w:numPr>
          <w:ilvl w:val="0"/>
          <w:numId w:val="1338"/>
        </w:numPr>
        <w:pStyle w:val="Compact"/>
      </w:pPr>
      <w:r>
        <w:rPr>
          <w:bCs/>
          <w:b/>
        </w:rPr>
        <w:t xml:space="preserve">Ingrossamento del seno negli uomini</w:t>
      </w:r>
      <w:r>
        <w:t xml:space="preserve"> </w:t>
      </w:r>
      <w:r>
        <w:t xml:space="preserve">è una conseguenza nota di un’aumentata azione dell’ormone della crescita</w:t>
      </w:r>
      <w:r>
        <w:rPr>
          <w:rStyle w:val="FootnoteReference"/>
        </w:rPr>
        <w:footnoteReference w:id="2654"/>
      </w:r>
      <w:r>
        <w:t xml:space="preserve">.</w:t>
      </w:r>
    </w:p>
    <w:p>
      <w:pPr>
        <w:numPr>
          <w:ilvl w:val="0"/>
          <w:numId w:val="1338"/>
        </w:numPr>
        <w:pStyle w:val="Compact"/>
      </w:pPr>
      <w:r>
        <w:rPr>
          <w:bCs/>
          <w:b/>
        </w:rPr>
        <w:t xml:space="preserve">Funzione sessuale:</w:t>
      </w:r>
      <w:r>
        <w:t xml:space="preserve"> </w:t>
      </w:r>
      <w:r>
        <w:t xml:space="preserve">gli agonisti della melanocortina possono provocare erezioni spontanee; con Melanotan II sono descritti casi di priapismo, un’erezione persistente e dolorosa (capitoli Melanotan II, Setmelanotide).</w:t>
      </w:r>
    </w:p>
    <w:bookmarkEnd w:id="2655"/>
    <w:bookmarkStart w:id="2661" w:name="glicemia"/>
    <w:p>
      <w:pPr>
        <w:pStyle w:val="Heading3"/>
      </w:pPr>
      <w:r>
        <w:t xml:space="preserve">Glicemia</w:t>
      </w:r>
    </w:p>
    <w:p>
      <w:pPr>
        <w:pStyle w:val="FirstParagraph"/>
      </w:pPr>
      <w:r>
        <w:t xml:space="preserve">I peptidi possono spostare la glicemia in entrambe le direzioni – ed entrambe le direzioni sono rilevanti.</w:t>
      </w:r>
    </w:p>
    <w:p>
      <w:pPr>
        <w:pStyle w:val="BodyText"/>
      </w:pPr>
      <w:r>
        <w:rPr>
          <w:bCs/>
          <w:b/>
        </w:rPr>
        <w:t xml:space="preserve">Ipoglicemia.</w:t>
      </w:r>
      <w:r>
        <w:t xml:space="preserve"> </w:t>
      </w:r>
      <w:r>
        <w:t xml:space="preserve">Il rischio maggiore lo ha la mecasermina, cioè l’IGF-1 come farmaco: in uno studio a lungo termine con 76 bambini l’ipoglicemia era, con il 49%, l’effetto collaterale più frequente</w:t>
      </w:r>
      <w:r>
        <w:rPr>
          <w:rStyle w:val="FootnoteReference"/>
        </w:rPr>
        <w:footnoteReference w:id="2656"/>
      </w:r>
      <w:r>
        <w:t xml:space="preserve">. Per il preparato di laboratorio IGF-1 LR3 un rischio simile o maggiore è biologicamente plausibile, ma non è mai stato misurato (capitolo IGF-1 LR3). La pramlintide potenzia l’effetto dell’insulina iniettata contemporaneamente; in uno studio le ipoglicemie gravi erano più frequenti che con placebo (0,57 contro 0,30 eventi per anno-paziente)</w:t>
      </w:r>
      <w:r>
        <w:rPr>
          <w:rStyle w:val="FootnoteReference"/>
        </w:rPr>
        <w:footnoteReference w:id="2657"/>
      </w:r>
      <w:r>
        <w:t xml:space="preserve">. I farmaci GLP-1 da soli difficilmente abbassano la glicemia fino a livelli pericolosi, perché la loro azione è legata alla glicemia. In combinazione con sulfoniluree o insulina il rischio però aumenta: con exenatide in aggiunta a metformina e a una sulfonilurea si sono verificate ipoglicemie da lievi a moderate rispettivamente nel 28% e nel 19%, con placebo nel 13%</w:t>
      </w:r>
      <w:r>
        <w:rPr>
          <w:rStyle w:val="FootnoteReference"/>
        </w:rPr>
        <w:footnoteReference w:id="2658"/>
      </w:r>
      <w:r>
        <w:t xml:space="preserve">. Maggiori dettagli nel capitolo «Interazioni e gruppi a rischio particolare».</w:t>
      </w:r>
    </w:p>
    <w:p>
      <w:pPr>
        <w:pStyle w:val="BodyText"/>
      </w:pPr>
      <w:r>
        <w:t xml:space="preserve">Un’ipoglicemia grave dopo una presunta «iniezione dimagrante» in una persona senza diabete è un segnale d’allarme di una contraffazione con insulina. I casi sono descritti nella Parte I, nel capitolo «Il mercato grigio».</w:t>
      </w:r>
    </w:p>
    <w:p>
      <w:pPr>
        <w:pStyle w:val="BodyText"/>
      </w:pPr>
      <w:r>
        <w:rPr>
          <w:bCs/>
          <w:b/>
        </w:rPr>
        <w:t xml:space="preserve">Glicemia più alta.</w:t>
      </w:r>
      <w:r>
        <w:t xml:space="preserve"> </w:t>
      </w:r>
      <w:r>
        <w:t xml:space="preserve">L’ormone della crescita contrasta l’insulina. Con ibutamoren la glicemia a digiuno in anziani sani è aumentata in media di 0,3 mmol/l, il peso corporeo di 2,7 kg contro 0,8 kg con placebo</w:t>
      </w:r>
      <w:r>
        <w:rPr>
          <w:rStyle w:val="FootnoteReference"/>
        </w:rPr>
        <w:footnoteReference w:id="2659"/>
      </w:r>
      <w:r>
        <w:t xml:space="preserve">. Nella revisione sull’ormone della crescita negli anziani si sono verificati un po’ più spesso un nuovo diabete e un’alterata glicemia a digiuno</w:t>
      </w:r>
      <w:r>
        <w:rPr>
          <w:rStyle w:val="FootnoteReference"/>
        </w:rPr>
        <w:footnoteReference w:id="2660"/>
      </w:r>
      <w:r>
        <w:t xml:space="preserve">. Con tesamorelina la glicemia a digiuno è aumentata temporaneamente nelle prime settimane (capitolo Tesamorelina). Per le persone con diabete o prediabete l’asse dell’ormone della crescita è quindi particolarmente delicato.</w:t>
      </w:r>
    </w:p>
    <w:bookmarkEnd w:id="2661"/>
    <w:bookmarkStart w:id="2662" w:name="che-cosa-emerge-dal-confronto"/>
    <w:p>
      <w:pPr>
        <w:pStyle w:val="Heading3"/>
      </w:pPr>
      <w:r>
        <w:t xml:space="preserve">Che cosa emerge dal confronto</w:t>
      </w:r>
    </w:p>
    <w:p>
      <w:pPr>
        <w:pStyle w:val="FirstParagraph"/>
      </w:pPr>
      <w:r>
        <w:t xml:space="preserve">Trasversalmente a tutti gli apparati emergono tre schemi.</w:t>
      </w:r>
    </w:p>
    <w:p>
      <w:pPr>
        <w:pStyle w:val="BodyText"/>
      </w:pPr>
      <w:r>
        <w:t xml:space="preserve">Primo: i peptidi meglio studiati – i farmaci GLP-1 autorizzati – hanno gli effetti collaterali meglio conosciuti. Non perché siano particolarmente pericolosi, ma perché centinaia di migliaia di persone sono state osservate in studi e registri. I disturbi frequenti riguardano l’apparato gastrointestinale e sono per lo più transitori; rischi più seri come i calcoli biliari sono documentati, ma rari in numeri assoluti; segnali come la NAION sono molto rari e vengono ulteriormente studiati.</w:t>
      </w:r>
    </w:p>
    <w:p>
      <w:pPr>
        <w:pStyle w:val="BodyText"/>
      </w:pPr>
      <w:r>
        <w:t xml:space="preserve">Secondo: i peptidi dell’asse dell’ormone della crescita condividono un profilo comune di ritenzione idrica, glicemia più alta e aumento degli ormoni dello stress. Per un uso di mesi o anni in persone sane non esistono praticamente dati.</w:t>
      </w:r>
    </w:p>
    <w:p>
      <w:pPr>
        <w:pStyle w:val="BodyText"/>
      </w:pPr>
      <w:r>
        <w:t xml:space="preserve">Terzo: per la maggior parte dei peptidi dei gruppi B e D i rischi per gli organi non possono affatto essere descritti, perché nessuno li ha cercati in modo sistematico. Lì il rischio pratico maggiore non risiede nel principio attivo, ma nel prodotto – maggiori dettagli nel capitolo «Prodotti del mercato grigio».</w:t>
      </w:r>
    </w:p>
    <w:bookmarkEnd w:id="2662"/>
    <w:bookmarkEnd w:id="2663"/>
    <w:bookmarkStart w:id="2704" w:name="rischio-oncologico-e-segnali-di-crescita"/>
    <w:p>
      <w:pPr>
        <w:pStyle w:val="Heading2"/>
      </w:pPr>
      <w:r>
        <w:t xml:space="preserve">Rischio oncologico e segnali di crescita</w:t>
      </w:r>
    </w:p>
    <w:p>
      <w:pPr>
        <w:pStyle w:val="FirstParagraph"/>
      </w:pPr>
      <w:r>
        <w:t xml:space="preserve">Molti peptidi vengono pubblicizzati proprio perché dovrebbero stimolare la crescita: di muscoli, tendini, vasi sanguigni, cellule nervose o capelli. La crescita però non fa distinzioni. Le vie di segnalazione attraverso cui i tessuti guariscono e si rinnovano sono usate anche dalle cellule tumorali. Per questo, per quasi ogni peptide «di guarigione», «anti-aging» o legato all’ormone della crescita, emerge la stessa domanda: può favorire il cancro?</w:t>
      </w:r>
    </w:p>
    <w:p>
      <w:pPr>
        <w:pStyle w:val="BodyText"/>
      </w:pPr>
      <w:r>
        <w:t xml:space="preserve">Questo capitolo riassume ciò che si sa in merito – separato secondo i quattro meccanismi che ricorrono di continuo nella Parte II: l’asse ormone della crescita-IGF-1, la formazione di nuovi vasi sanguigni, la stimolazione delle cellule pigmentate e l’azione dei farmaci GLP-1 su tiroide e pancreas. Alla fine c’è una panoramica delle più recenti grandi analisi su farmaci GLP-1 e cancro.</w:t>
      </w:r>
    </w:p>
    <w:bookmarkStart w:id="2665" w:name="come-inquadrare-la-questione-del-cancro"/>
    <w:p>
      <w:pPr>
        <w:pStyle w:val="Heading3"/>
      </w:pPr>
      <w:r>
        <w:t xml:space="preserve">Come inquadrare la questione del cancro</w:t>
      </w:r>
    </w:p>
    <w:p>
      <w:pPr>
        <w:pStyle w:val="FirstParagraph"/>
      </w:pPr>
      <w:r>
        <w:t xml:space="preserve">Quattro punti aiutano a leggere i dati seguenti.</w:t>
      </w:r>
    </w:p>
    <w:p>
      <w:pPr>
        <w:pStyle w:val="BodyText"/>
      </w:pPr>
      <w:r>
        <w:rPr>
          <w:bCs/>
          <w:b/>
        </w:rPr>
        <w:t xml:space="preserve">Provocare o favorire.</w:t>
      </w:r>
      <w:r>
        <w:t xml:space="preserve"> </w:t>
      </w:r>
      <w:r>
        <w:t xml:space="preserve">Una sostanza può provocare il cancro danneggiando il patrimonio genetico. Per i peptidi si discute più spesso un’altra possibilità: un segnale di crescita potrebbe far crescere più rapidamente un tumore già presente, ma non ancora scoperto – come un fertilizzante con una pianta che è già nel terreno. Per questa seconda possibilità basta che la sostanza stimoli la divisione cellulare, la sopravvivenza cellulare o la formazione di nuovi vasi.</w:t>
      </w:r>
    </w:p>
    <w:p>
      <w:pPr>
        <w:pStyle w:val="BodyText"/>
      </w:pPr>
      <w:r>
        <w:rPr>
          <w:bCs/>
          <w:b/>
        </w:rPr>
        <w:t xml:space="preserve">Tempo.</w:t>
      </w:r>
      <w:r>
        <w:t xml:space="preserve"> </w:t>
      </w:r>
      <w:r>
        <w:t xml:space="preserve">Il cancro si sviluppa nell’arco di anni o decenni. La maggior parte degli studi sui peptidi dura da settimane a pochi anni. Anche i grandi studi registrativi riescono a malapena a cogliere un rischio che si sviluppa lentamente. Per questo servono registri e studi osservazionali su lunghi periodi – che a loro volta sono soggetti a distorsioni.</w:t>
      </w:r>
    </w:p>
    <w:p>
      <w:pPr>
        <w:pStyle w:val="BodyText"/>
      </w:pPr>
      <w:r>
        <w:rPr>
          <w:bCs/>
          <w:b/>
        </w:rPr>
        <w:t xml:space="preserve">Distorsione diagnostica.</w:t>
      </w:r>
      <w:r>
        <w:t xml:space="preserve"> </w:t>
      </w:r>
      <w:r>
        <w:t xml:space="preserve">Chi viene esaminato più spesso a causa di un farmaco riceve anche più spesso diagnosi di tumori. Un esempio: una meta-analisi ha trovato negli studi GLP-1 più brevi un numero leggermente maggiore di diagnosi di cancro del colon e ha ipotizzato come spiegazione che i disturbi gastrointestinali portassero a più colonscopie</w:t>
      </w:r>
      <w:r>
        <w:rPr>
          <w:rStyle w:val="FootnoteReference"/>
        </w:rPr>
        <w:footnoteReference w:id="2664"/>
      </w:r>
      <w:r>
        <w:t xml:space="preserve">.</w:t>
      </w:r>
    </w:p>
    <w:p>
      <w:pPr>
        <w:pStyle w:val="BodyText"/>
      </w:pPr>
      <w:r>
        <w:rPr>
          <w:bCs/>
          <w:b/>
        </w:rPr>
        <w:t xml:space="preserve">La direzione opposta.</w:t>
      </w:r>
      <w:r>
        <w:t xml:space="preserve"> </w:t>
      </w:r>
      <w:r>
        <w:t xml:space="preserve">Il sovrappeso aumenta il rischio di almeno 13 tipi di cancro. Un farmaco che riduce fortemente il peso potrebbe quindi abbassare il rischio oncologico complessivo, anche se per un singolo organo c’è un piccolo segnale. Le due cose si possono considerare solo separatamente.</w:t>
      </w:r>
    </w:p>
    <w:bookmarkEnd w:id="2665"/>
    <w:bookmarkStart w:id="2675" w:name="ormone-della-crescita-e-igf-1"/>
    <w:p>
      <w:pPr>
        <w:pStyle w:val="Heading3"/>
      </w:pPr>
      <w:r>
        <w:t xml:space="preserve">Ormone della crescita e IGF-1</w:t>
      </w:r>
    </w:p>
    <w:p>
      <w:pPr>
        <w:pStyle w:val="FirstParagraph"/>
      </w:pPr>
      <w:r>
        <w:t xml:space="preserve">L’ormone della crescita agisce in gran parte attraverso l’IGF-1, il fattore di crescita insulino-simile 1. L’IGF-1 stimola le cellule a dividersi e le protegge dalla morte cellulare programmata. Tutti i peptidi del gruppo C – sermorelina, tesamorelina, CJC-1295, ipamorelina, la famiglia GHRP, mecasermina e IGF-1 LR3 – nonché ibutamoren, discusso per confronto, aumentano l’IGF-1 direttamente o indirettamente. Le prove sulla questione del cancro provengono da cinque fonti.</w:t>
      </w:r>
    </w:p>
    <w:p>
      <w:pPr>
        <w:pStyle w:val="BodyText"/>
      </w:pPr>
      <w:r>
        <w:rPr>
          <w:bCs/>
          <w:b/>
        </w:rPr>
        <w:t xml:space="preserve">Livelli di IGF-1 naturalmente più alti.</w:t>
      </w:r>
      <w:r>
        <w:t xml:space="preserve"> </w:t>
      </w:r>
      <w:r>
        <w:t xml:space="preserve">Una meta-analisi di 21 studi ha trovato nelle persone con valori elevati di IGF-1 un rischio più alto di cancro alla prostata (odds ratio 1,49 confrontando un valore di IGF-1 al 75° con uno al 25° percentile) e di cancro al seno prima della menopausa (1,65); gli autori hanno definito espressamente le associazioni «moderate»</w:t>
      </w:r>
      <w:r>
        <w:rPr>
          <w:rStyle w:val="FootnoteReference"/>
        </w:rPr>
        <w:footnoteReference w:id="2666"/>
      </w:r>
      <w:r>
        <w:t xml:space="preserve">. Nella UK Biobank, con 206.263 donne, il rischio di cancro al seno aumentava dell’11% per ogni 5 nmol/l in più di IGF-1</w:t>
      </w:r>
      <w:r>
        <w:rPr>
          <w:rStyle w:val="FootnoteReference"/>
        </w:rPr>
        <w:footnoteReference w:id="2667"/>
      </w:r>
      <w:r>
        <w:t xml:space="preserve">; per il cancro del colon lo stesso gruppo ha trovato, in quasi 400.000 partecipanti, un’associazione simile</w:t>
      </w:r>
      <w:r>
        <w:rPr>
          <w:rStyle w:val="FootnoteReference"/>
        </w:rPr>
        <w:footnoteReference w:id="2668"/>
      </w:r>
      <w:r>
        <w:t xml:space="preserve">.</w:t>
      </w:r>
    </w:p>
    <w:p>
      <w:pPr>
        <w:pStyle w:val="BodyText"/>
      </w:pPr>
      <w:r>
        <w:rPr>
          <w:bCs/>
          <w:b/>
        </w:rPr>
        <w:t xml:space="preserve">Analisi genetiche.</w:t>
      </w:r>
      <w:r>
        <w:t xml:space="preserve"> </w:t>
      </w:r>
      <w:r>
        <w:t xml:space="preserve">La cosiddetta randomizzazione mendeliana usa come esperimento naturale varianti genetiche che aumentano leggermente il livello di IGF-1 per tutta la vita. Anche qui un IGF-1 geneticamente più alto era associato a un po’ più di cancro al seno (odds ratio 1,05 per 5 nmol/l)</w:t>
      </w:r>
      <w:r>
        <w:rPr>
          <w:rStyle w:val="FootnoteReference"/>
        </w:rPr>
        <w:footnoteReference w:id="2669"/>
      </w:r>
      <w:r>
        <w:t xml:space="preserve">. Ciò depone a favore del fatto che l’associazione non dipenda solo da circostanze concomitanti.</w:t>
      </w:r>
    </w:p>
    <w:p>
      <w:pPr>
        <w:pStyle w:val="BodyText"/>
      </w:pPr>
      <w:r>
        <w:rPr>
          <w:bCs/>
          <w:b/>
        </w:rPr>
        <w:t xml:space="preserve">Troppo ormone della crescita a causa di una malattia.</w:t>
      </w:r>
      <w:r>
        <w:t xml:space="preserve"> </w:t>
      </w:r>
      <w:r>
        <w:t xml:space="preserve">Nell’acromegalia, una sovrapproduzione di ormone della crescita dovuta a un tumore dell’ipofisi, una meta-analisi di 23 studi ha evidenziato un tasso di cancro aumentato di circa la metà (rapporto standardizzato 1,5), con valori particolarmente alti per il cancro del colon e della tiroide. Gli studi più piccoli e più vecchi hanno però mostrato valori più alti di quelli grandi, il che indica distorsioni di selezione</w:t>
      </w:r>
      <w:r>
        <w:rPr>
          <w:rStyle w:val="FootnoteReference"/>
        </w:rPr>
        <w:footnoteReference w:id="2670"/>
      </w:r>
      <w:r>
        <w:t xml:space="preserve">.</w:t>
      </w:r>
    </w:p>
    <w:p>
      <w:pPr>
        <w:pStyle w:val="BodyText"/>
      </w:pPr>
      <w:r>
        <w:rPr>
          <w:bCs/>
          <w:b/>
        </w:rPr>
        <w:t xml:space="preserve">Troppo poco IGF-1 a causa di una malattia.</w:t>
      </w:r>
      <w:r>
        <w:t xml:space="preserve"> </w:t>
      </w:r>
      <w:r>
        <w:t xml:space="preserve">Nelle persone con sindrome di Laron, che a causa di un difetto genetico producono pochissimo IGF-1, in Ecuador in 22 anni di osservazione si è verificato un solo caso di cancro, non mortale; tra i parenti non affetti la quota era del 17%</w:t>
      </w:r>
      <w:r>
        <w:rPr>
          <w:rStyle w:val="FootnoteReference"/>
        </w:rPr>
        <w:footnoteReference w:id="2671"/>
      </w:r>
      <w:r>
        <w:t xml:space="preserve">.</w:t>
      </w:r>
    </w:p>
    <w:p>
      <w:pPr>
        <w:pStyle w:val="BodyText"/>
      </w:pPr>
      <w:r>
        <w:rPr>
          <w:bCs/>
          <w:b/>
        </w:rPr>
        <w:t xml:space="preserve">Ormone della crescita come farmaco.</w:t>
      </w:r>
      <w:r>
        <w:t xml:space="preserve"> </w:t>
      </w:r>
      <w:r>
        <w:t xml:space="preserve">In 23.984 bambini trattati con ormone della crescita in otto paesi europei non è emerso, in assenza di gravi malattie pregresse, un rischio oncologico chiaramente aumentato. Spiccavano singoli tipi di cancro (ossa, vescica) e un aumento della mortalità per cancro con dosi giornaliere più alte nei bambini che avevano già avuto un cancro</w:t>
      </w:r>
      <w:r>
        <w:rPr>
          <w:rStyle w:val="FootnoteReference"/>
        </w:rPr>
        <w:footnoteReference w:id="2672"/>
      </w:r>
      <w:r>
        <w:t xml:space="preserve">. In 8.418 adulti trattati con ipopituitarismo il rischio oncologico non era aumentato; il tasso di cancro era persino inferiore alla media della popolazione</w:t>
      </w:r>
      <w:r>
        <w:rPr>
          <w:rStyle w:val="FootnoteReference"/>
        </w:rPr>
        <w:footnoteReference w:id="2673"/>
      </w:r>
      <w:r>
        <w:t xml:space="preserve">.</w:t>
      </w:r>
    </w:p>
    <w:p>
      <w:pPr>
        <w:pStyle w:val="BodyText"/>
      </w:pPr>
      <w:r>
        <w:t xml:space="preserve">Che cosa se ne deduce? Chi ha una vera carenza e riceve la sostituzione di un ormone mancante non ha, secondo le conoscenze attuali, un rischio oncologico nettamente aumentato. Chi invece innalza per anni un livello normale entra nell’ambito in cui gli studi osservazionali e genetici mostrano un rischio moderatamente più alto. Proprio per questa situazione – adulti sani che usano secretagoghi per migliorare le prestazioni o per «ringiovanire» – non esistono studi a lungo termine. Ibutamoren, per esempio, ha portato l’IGF-1 in anziani sani al livello dei giovani adulti</w:t>
      </w:r>
      <w:r>
        <w:rPr>
          <w:rStyle w:val="FootnoteReference"/>
        </w:rPr>
        <w:footnoteReference w:id="2674"/>
      </w:r>
      <w:r>
        <w:t xml:space="preserve">; non è stato riportato alcun segnale oncologico, ma lo studio non era né abbastanza grande né abbastanza lungo per rilevarlo.</w:t>
      </w:r>
    </w:p>
    <w:p>
      <w:pPr>
        <w:pStyle w:val="BodyText"/>
      </w:pPr>
      <w:r>
        <w:t xml:space="preserve">Due casi particolari meritano una menzione. Per la mecasermina autorizzata, dopo l’immissione in commercio, sono state segnalate neoplasie benigne e maligne in bambini trattati; i riassunti delle caratteristiche del prodotto contengono le relative avvertenze, e in caso di cancro attivo non va usata (aggiornato al 2026, da verificare; capitolo Mecasermina). Il preparato di laboratorio IGF-1 LR3 è stato modificato in modo da non legarsi più alle proteine di legame nel sangue, che normalmente fanno da tampone all’IGF-1. Agisce quindi più intensamente e più a lungo sul recettore – in teoria proprio nella direzione sfavorevole. Sull’uomo ciò non è mai stato studiato (capitolo IGF-1 LR3).</w:t>
      </w:r>
    </w:p>
    <w:bookmarkEnd w:id="2675"/>
    <w:bookmarkStart w:id="2685" w:name="Xdb14b46b059381788c2a2bf98e00292532c404b"/>
    <w:p>
      <w:pPr>
        <w:pStyle w:val="Heading3"/>
      </w:pPr>
      <w:r>
        <w:t xml:space="preserve">Formazione di nuovi vasi e altri segnali di crescita</w:t>
      </w:r>
    </w:p>
    <w:p>
      <w:pPr>
        <w:pStyle w:val="FirstParagraph"/>
      </w:pPr>
      <w:r>
        <w:t xml:space="preserve">Un tumore che vuole diventare più grande di pochi millimetri ha bisogno di vasi sanguigni propri. Questo processo si chiama angiogenesi. Alcuni farmaci antitumorali autorizzati agiscono proprio bloccando la principale via di segnalazione della formazione di nuovi vasi, il sistema VEGF. Al contrario, le sostanze che favoriscono la formazione di nuovi vasi sono sospettate di favorire i tumori.</w:t>
      </w:r>
    </w:p>
    <w:p>
      <w:pPr>
        <w:pStyle w:val="BodyText"/>
      </w:pPr>
      <w:r>
        <w:rPr>
          <w:bCs/>
          <w:b/>
        </w:rPr>
        <w:t xml:space="preserve">BPC-157.</w:t>
      </w:r>
      <w:r>
        <w:t xml:space="preserve"> </w:t>
      </w:r>
      <w:r>
        <w:t xml:space="preserve">In esperimenti di laboratorio BPC-157 ha aumentato la densità dei vasi nelle membrane dell’uovo di gallina, ha accelerato nei ratti l’irrorazione di una zampa poco vascolarizzata e ha aumentato in cellule vascolari umane la quantità del recettore 2 del VEGF</w:t>
      </w:r>
      <w:r>
        <w:rPr>
          <w:rStyle w:val="FootnoteReference"/>
        </w:rPr>
        <w:footnoteReference w:id="2676"/>
      </w:r>
      <w:r>
        <w:t xml:space="preserve">. Il gruppo di lavoro di Zagabria, da cui proviene la maggior parte degli studi su BPC-157, replica: BPC-157 regolerebbe la formazione dei vasi invece di stimolarla alla cieca, e in esperimenti su animali e cellule avrebbe mostrato persino effetti antitumorali</w:t>
      </w:r>
      <w:r>
        <w:rPr>
          <w:rStyle w:val="FootnoteReference"/>
        </w:rPr>
        <w:footnoteReference w:id="2677"/>
      </w:r>
      <w:r>
        <w:t xml:space="preserve">. Studi a lungo termine sulla cancerogenesi, come quelli prescritti per i farmaci, non sono stati pubblicati per BPC-157. La questione è aperta. Vedi capitolo BPC-157.</w:t>
      </w:r>
    </w:p>
    <w:p>
      <w:pPr>
        <w:pStyle w:val="BodyText"/>
      </w:pPr>
      <w:r>
        <w:rPr>
          <w:bCs/>
          <w:b/>
        </w:rPr>
        <w:t xml:space="preserve">TB-500 e timosina beta-4.</w:t>
      </w:r>
      <w:r>
        <w:t xml:space="preserve"> </w:t>
      </w:r>
      <w:r>
        <w:t xml:space="preserve">La timosina beta-4 favorisce la migrazione cellulare e la formazione di nuovi vasi. In campioni di tessuto di 138 persone con cancro della vescica, una forte produzione di timosina beta-4 era associata a stadio avanzato, coinvolgimento linfonodale e sopravvivenza più breve</w:t>
      </w:r>
      <w:r>
        <w:rPr>
          <w:rStyle w:val="FootnoteReference"/>
        </w:rPr>
        <w:footnoteReference w:id="2678"/>
      </w:r>
      <w:r>
        <w:t xml:space="preserve">. In colture di cellule di cancro al seno l’aggiunta di timosina beta-4 ha aumentato il numero di cellule</w:t>
      </w:r>
      <w:r>
        <w:rPr>
          <w:rStyle w:val="FootnoteReference"/>
        </w:rPr>
        <w:footnoteReference w:id="2679"/>
      </w:r>
      <w:r>
        <w:t xml:space="preserve">. Ciò non dimostra che il TB-500 somministrato dall’esterno favorisca il cancro, ma è un motivo di cautela per persone con malattia oncologica o con un rischio oncologico elevato. Vedi capitolo TB-500.</w:t>
      </w:r>
    </w:p>
    <w:p>
      <w:pPr>
        <w:pStyle w:val="BodyText"/>
      </w:pPr>
      <w:r>
        <w:rPr>
          <w:bCs/>
          <w:b/>
        </w:rPr>
        <w:t xml:space="preserve">Altri peptidi con segnali di crescita.</w:t>
      </w:r>
      <w:r>
        <w:t xml:space="preserve"> </w:t>
      </w:r>
      <w:r>
        <w:t xml:space="preserve">Per diversi peptidi della Parte II emergono domande simili dal meccanismo d’azione o da dati di laboratorio: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Peptide</w:t>
            </w:r>
          </w:p>
        </w:tc>
        <w:tc>
          <w:tcPr/>
          <w:p>
            <w:pPr>
              <w:pStyle w:val="Compact"/>
              <w:jc w:val="left"/>
            </w:pPr>
            <w:r>
              <w:t xml:space="preserve">Meccanismo</w:t>
            </w:r>
          </w:p>
        </w:tc>
        <w:tc>
          <w:tcPr/>
          <w:p>
            <w:pPr>
              <w:pStyle w:val="Compact"/>
              <w:jc w:val="left"/>
            </w:pPr>
            <w:r>
              <w:t xml:space="preserve">Tipo di indizio</w:t>
            </w:r>
          </w:p>
        </w:tc>
        <w:tc>
          <w:tcPr/>
          <w:p>
            <w:pPr>
              <w:pStyle w:val="Compact"/>
              <w:jc w:val="left"/>
            </w:pPr>
            <w:r>
              <w:t xml:space="preserve">Capitolo</w:t>
            </w:r>
          </w:p>
        </w:tc>
      </w:tr>
      <w:tr>
        <w:tc>
          <w:tcPr/>
          <w:p>
            <w:pPr>
              <w:pStyle w:val="Compact"/>
              <w:jc w:val="left"/>
            </w:pPr>
            <w:r>
              <w:t xml:space="preserve">Dihexa</w:t>
            </w:r>
          </w:p>
        </w:tc>
        <w:tc>
          <w:tcPr/>
          <w:p>
            <w:pPr>
              <w:pStyle w:val="Compact"/>
              <w:jc w:val="left"/>
            </w:pPr>
            <w:r>
              <w:t xml:space="preserve">potenzia il segnale c-Met, un noto promotore del cancro</w:t>
            </w:r>
          </w:p>
        </w:tc>
        <w:tc>
          <w:tcPr/>
          <w:p>
            <w:pPr>
              <w:pStyle w:val="Compact"/>
              <w:jc w:val="left"/>
            </w:pPr>
            <w:r>
              <w:t xml:space="preserve">solo teorico, nessun dato sull’uomo</w:t>
            </w:r>
          </w:p>
        </w:tc>
        <w:tc>
          <w:tcPr/>
          <w:p>
            <w:pPr>
              <w:pStyle w:val="Compact"/>
              <w:jc w:val="left"/>
            </w:pPr>
            <w:r>
              <w:t xml:space="preserve">Dihexa</w:t>
            </w:r>
          </w:p>
        </w:tc>
      </w:tr>
      <w:tr>
        <w:tc>
          <w:tcPr/>
          <w:p>
            <w:pPr>
              <w:pStyle w:val="Compact"/>
              <w:jc w:val="left"/>
            </w:pPr>
            <w:r>
              <w:t xml:space="preserve">Epitalon</w:t>
            </w:r>
          </w:p>
        </w:tc>
        <w:tc>
          <w:tcPr/>
          <w:p>
            <w:pPr>
              <w:pStyle w:val="Compact"/>
              <w:jc w:val="left"/>
            </w:pPr>
            <w:r>
              <w:t xml:space="preserve">dovrebbe attivare la telomerasi</w:t>
            </w:r>
          </w:p>
        </w:tc>
        <w:tc>
          <w:tcPr/>
          <w:p>
            <w:pPr>
              <w:pStyle w:val="Compact"/>
              <w:jc w:val="left"/>
            </w:pPr>
            <w:r>
              <w:t xml:space="preserve">coltura cellulare: allungati anche i telomeri di cellule di cancro al seno</w:t>
            </w:r>
          </w:p>
        </w:tc>
        <w:tc>
          <w:tcPr/>
          <w:p>
            <w:pPr>
              <w:pStyle w:val="Compact"/>
              <w:jc w:val="left"/>
            </w:pPr>
            <w:r>
              <w:t xml:space="preserve">Epitalon</w:t>
            </w:r>
          </w:p>
        </w:tc>
      </w:tr>
      <w:tr>
        <w:tc>
          <w:tcPr/>
          <w:p>
            <w:pPr>
              <w:pStyle w:val="Compact"/>
              <w:jc w:val="left"/>
            </w:pPr>
            <w:r>
              <w:t xml:space="preserve">Umanina</w:t>
            </w:r>
          </w:p>
        </w:tc>
        <w:tc>
          <w:tcPr/>
          <w:p>
            <w:pPr>
              <w:pStyle w:val="Compact"/>
              <w:jc w:val="left"/>
            </w:pPr>
            <w:r>
              <w:t xml:space="preserve">protegge le cellule dalla morte cellulare</w:t>
            </w:r>
          </w:p>
        </w:tc>
        <w:tc>
          <w:tcPr/>
          <w:p>
            <w:pPr>
              <w:pStyle w:val="Compact"/>
              <w:jc w:val="left"/>
            </w:pPr>
            <w:r>
              <w:t xml:space="preserve">topi: crescita tumorale più rapida, più metastasi</w:t>
            </w:r>
          </w:p>
        </w:tc>
        <w:tc>
          <w:tcPr/>
          <w:p>
            <w:pPr>
              <w:pStyle w:val="Compact"/>
              <w:jc w:val="left"/>
            </w:pPr>
            <w:r>
              <w:t xml:space="preserve">Umanina</w:t>
            </w:r>
          </w:p>
        </w:tc>
      </w:tr>
      <w:tr>
        <w:tc>
          <w:tcPr/>
          <w:p>
            <w:pPr>
              <w:pStyle w:val="Compact"/>
              <w:jc w:val="left"/>
            </w:pPr>
            <w:r>
              <w:t xml:space="preserve">LL-37</w:t>
            </w:r>
          </w:p>
        </w:tc>
        <w:tc>
          <w:tcPr/>
          <w:p>
            <w:pPr>
              <w:pStyle w:val="Compact"/>
              <w:jc w:val="left"/>
            </w:pPr>
            <w:r>
              <w:t xml:space="preserve">segnali infiammatori e di crescita</w:t>
            </w:r>
          </w:p>
        </w:tc>
        <w:tc>
          <w:tcPr/>
          <w:p>
            <w:pPr>
              <w:pStyle w:val="Compact"/>
              <w:jc w:val="left"/>
            </w:pPr>
            <w:r>
              <w:t xml:space="preserve">laboratorio: a seconda del tipo di cancro favorente o inibente</w:t>
            </w:r>
          </w:p>
        </w:tc>
        <w:tc>
          <w:tcPr/>
          <w:p>
            <w:pPr>
              <w:pStyle w:val="Compact"/>
              <w:jc w:val="left"/>
            </w:pPr>
            <w:r>
              <w:t xml:space="preserve">LL-37</w:t>
            </w:r>
          </w:p>
        </w:tc>
      </w:tr>
      <w:tr>
        <w:tc>
          <w:tcPr/>
          <w:p>
            <w:pPr>
              <w:pStyle w:val="Compact"/>
              <w:jc w:val="left"/>
            </w:pPr>
            <w:r>
              <w:t xml:space="preserve">GHK-Cu</w:t>
            </w:r>
          </w:p>
        </w:tc>
        <w:tc>
          <w:tcPr/>
          <w:p>
            <w:pPr>
              <w:pStyle w:val="Compact"/>
              <w:jc w:val="left"/>
            </w:pPr>
            <w:r>
              <w:t xml:space="preserve">formazione di nuovi vasi nell’esperimento animale</w:t>
            </w:r>
          </w:p>
        </w:tc>
        <w:tc>
          <w:tcPr/>
          <w:p>
            <w:pPr>
              <w:pStyle w:val="Compact"/>
              <w:jc w:val="left"/>
            </w:pPr>
            <w:r>
              <w:t xml:space="preserve">solo teorico</w:t>
            </w:r>
          </w:p>
        </w:tc>
        <w:tc>
          <w:tcPr/>
          <w:p>
            <w:pPr>
              <w:pStyle w:val="Compact"/>
              <w:jc w:val="left"/>
            </w:pPr>
            <w:r>
              <w:t xml:space="preserve">GHK-Cu</w:t>
            </w:r>
          </w:p>
        </w:tc>
      </w:tr>
      <w:tr>
        <w:tc>
          <w:tcPr/>
          <w:p>
            <w:pPr>
              <w:pStyle w:val="Compact"/>
              <w:jc w:val="left"/>
            </w:pPr>
            <w:r>
              <w:t xml:space="preserve">ARA-290</w:t>
            </w:r>
          </w:p>
        </w:tc>
        <w:tc>
          <w:tcPr/>
          <w:p>
            <w:pPr>
              <w:pStyle w:val="Compact"/>
              <w:jc w:val="left"/>
            </w:pPr>
            <w:r>
              <w:t xml:space="preserve">agisce sul recettore dell’EPO</w:t>
            </w:r>
          </w:p>
        </w:tc>
        <w:tc>
          <w:tcPr/>
          <w:p>
            <w:pPr>
              <w:pStyle w:val="Compact"/>
              <w:jc w:val="left"/>
            </w:pPr>
            <w:r>
              <w:t xml:space="preserve">teorico, in analogia all’EPO</w:t>
            </w:r>
          </w:p>
        </w:tc>
        <w:tc>
          <w:tcPr/>
          <w:p>
            <w:pPr>
              <w:pStyle w:val="Compact"/>
              <w:jc w:val="left"/>
            </w:pPr>
            <w:r>
              <w:t xml:space="preserve">ARA-290</w:t>
            </w:r>
          </w:p>
        </w:tc>
      </w:tr>
    </w:tbl>
    <w:p>
      <w:pPr>
        <w:pStyle w:val="BodyText"/>
      </w:pPr>
      <w:r>
        <w:t xml:space="preserve">Alcuni di questi indizi sono concreti. In topi con cancro al seno triplo negativo, l’umanina somministrata ha ridotto la morte cellulare nel tumore, ha indebolito la chemioterapia e ha accelerato la crescita tumorale e le metastasi polmonari</w:t>
      </w:r>
      <w:r>
        <w:rPr>
          <w:rStyle w:val="FootnoteReference"/>
        </w:rPr>
        <w:footnoteReference w:id="2680"/>
      </w:r>
      <w:r>
        <w:t xml:space="preserve">. In colture cellulari Epitalon ha allungato i telomeri di cellule sane tramite l’enzima telomerasi, nelle cellule di cancro al seno attraverso un’altra via</w:t>
      </w:r>
      <w:r>
        <w:rPr>
          <w:rStyle w:val="FootnoteReference"/>
        </w:rPr>
        <w:footnoteReference w:id="2681"/>
      </w:r>
      <w:r>
        <w:t xml:space="preserve">; in uno studio sui topi, invece, il numero di tumori spontanei non è aumentato</w:t>
      </w:r>
      <w:r>
        <w:rPr>
          <w:rStyle w:val="FootnoteReference"/>
        </w:rPr>
        <w:footnoteReference w:id="2682"/>
      </w:r>
      <w:r>
        <w:t xml:space="preserve">. Per LL-37 una revisione descrive effetti favorenti sui tumori di ovaio, polmone, seno, prostata, pancreas e pelle, ma inibenti sul cancro del colon e dello stomaco</w:t>
      </w:r>
      <w:r>
        <w:rPr>
          <w:rStyle w:val="FootnoteReference"/>
        </w:rPr>
        <w:footnoteReference w:id="2683"/>
      </w:r>
      <w:r>
        <w:t xml:space="preserve">. Per Dihexa è descritto il legame con il sistema c-Met</w:t>
      </w:r>
      <w:r>
        <w:rPr>
          <w:rStyle w:val="FootnoteReference"/>
        </w:rPr>
        <w:footnoteReference w:id="2684"/>
      </w:r>
      <w:r>
        <w:t xml:space="preserve">; non esistono indagini sulla cancerogenesi.</w:t>
      </w:r>
    </w:p>
    <w:p>
      <w:pPr>
        <w:pStyle w:val="BodyText"/>
      </w:pPr>
      <w:r>
        <w:t xml:space="preserve">Tutti questi reperti provengono da esperimenti sugli animali, colture cellulari o dal meccanismo d’azione. Nessuno dimostra un rischio oncologico nell’uomo. Mostrano però che «naturale», «endogeno» o «rigenerativo» non significa automaticamente «innocuo» – e che per nessuna di queste sostanze esistono i dati a lungo termine con cui si potrebbe rispondere alla domanda.</w:t>
      </w:r>
    </w:p>
    <w:bookmarkEnd w:id="2685"/>
    <w:bookmarkStart w:id="2690" w:name="Xb9e200d8f46ebc995b514c2148102cd9cb2a87d"/>
    <w:p>
      <w:pPr>
        <w:pStyle w:val="Heading3"/>
      </w:pPr>
      <w:r>
        <w:t xml:space="preserve">Cellule pigmentate: Melanotan, setmelanotide e afamelanotide</w:t>
      </w:r>
    </w:p>
    <w:p>
      <w:pPr>
        <w:pStyle w:val="FirstParagraph"/>
      </w:pPr>
      <w:r>
        <w:t xml:space="preserve">I peptidi della melanocortina stimolano le cellule pigmentate (melanociti) della pelle. Per l’afamelanotide è l’effetto desiderato, per setmelanotide e bremelanotide un effetto collaterale e per il Melanotan II il vero motivo di vendita. Poiché il melanoma ha origine dalle cellule pigmentate, la domanda sul cancro della pelle è ovvia.</w:t>
      </w:r>
    </w:p>
    <w:p>
      <w:pPr>
        <w:pStyle w:val="BodyText"/>
      </w:pPr>
      <w:r>
        <w:t xml:space="preserve">Per il</w:t>
      </w:r>
      <w:r>
        <w:t xml:space="preserve"> </w:t>
      </w:r>
      <w:r>
        <w:rPr>
          <w:bCs/>
          <w:b/>
        </w:rPr>
        <w:t xml:space="preserve">Melanotan II</w:t>
      </w:r>
      <w:r>
        <w:t xml:space="preserve"> </w:t>
      </w:r>
      <w:r>
        <w:t xml:space="preserve">non autorizzato esistono diversi casi clinici di melanomi scoperti durante o poco dopo l’uso. Una revisione ha contato quattro casi in cui i melanomi erano originati da nei esistenti, e sottolinea al contempo che manca una prova conclusiva di un nesso</w:t>
      </w:r>
      <w:r>
        <w:rPr>
          <w:rStyle w:val="FootnoteReference"/>
        </w:rPr>
        <w:footnoteReference w:id="2686"/>
      </w:r>
      <w:r>
        <w:t xml:space="preserve">. Tra 179 casi pubblicati di nei a comparsa improvvisa, una parte dei quali attribuita al Melanotan, cinque erano associati a un melanoma</w:t>
      </w:r>
      <w:r>
        <w:rPr>
          <w:rStyle w:val="FootnoteReference"/>
        </w:rPr>
        <w:footnoteReference w:id="2687"/>
      </w:r>
      <w:r>
        <w:t xml:space="preserve">. L’interpretazione è difficile: molte delle persone colpite usavano contemporaneamente lettini solari o si esponevano intensamente al sole, il che aumenta il rischio di melanoma in modo indipendente. E i casi clinici non possono fornire una frequenza. Vedi capitolo Melanotan II.</w:t>
      </w:r>
    </w:p>
    <w:p>
      <w:pPr>
        <w:pStyle w:val="BodyText"/>
      </w:pPr>
      <w:r>
        <w:t xml:space="preserve">Per l’</w:t>
      </w:r>
      <w:r>
        <w:rPr>
          <w:bCs/>
          <w:b/>
        </w:rPr>
        <w:t xml:space="preserve">afamelanotide</w:t>
      </w:r>
      <w:r>
        <w:t xml:space="preserve"> </w:t>
      </w:r>
      <w:r>
        <w:t xml:space="preserve">autorizzato esistono dati più sistematici. In uno studio con 15 persone trattate e 103 nei sono emerse alla dermatoscopia alterazioni transitorie, regredite dopo un anno; non sono stati trovati indizi di malignità né nuovi nei</w:t>
      </w:r>
      <w:r>
        <w:rPr>
          <w:rStyle w:val="FootnoteReference"/>
        </w:rPr>
        <w:footnoteReference w:id="2688"/>
      </w:r>
      <w:r>
        <w:t xml:space="preserve">. Con</w:t>
      </w:r>
      <w:r>
        <w:t xml:space="preserve"> </w:t>
      </w:r>
      <w:r>
        <w:rPr>
          <w:bCs/>
          <w:b/>
        </w:rPr>
        <w:t xml:space="preserve">setmelanotide</w:t>
      </w:r>
      <w:r>
        <w:t xml:space="preserve">, in un’osservazione fino a 46 mesi, non si sono verificate alterazioni cutanee maligne</w:t>
      </w:r>
      <w:r>
        <w:rPr>
          <w:rStyle w:val="FootnoteReference"/>
        </w:rPr>
        <w:footnoteReference w:id="2689"/>
      </w:r>
      <w:r>
        <w:t xml:space="preserve">. Questi dati sono rassicuranti, ma piccoli e brevi rispetto al tempo di sviluppo di un melanoma. I riassunti delle caratteristiche del prodotto prevedono controlli cutanei regolari. Non sono trasferibili al Melanotan II: sostanza diversa, prodotti non controllati, spesso in combinazione con raggi UV.</w:t>
      </w:r>
    </w:p>
    <w:bookmarkEnd w:id="2690"/>
    <w:bookmarkStart w:id="2697" w:name="glp-1-e-le-cellule-c-della-tiroide"/>
    <w:p>
      <w:pPr>
        <w:pStyle w:val="Heading3"/>
      </w:pPr>
      <w:r>
        <w:t xml:space="preserve">GLP-1 e le cellule C della tiroide</w:t>
      </w:r>
    </w:p>
    <w:p>
      <w:pPr>
        <w:pStyle w:val="FirstParagraph"/>
      </w:pPr>
      <w:r>
        <w:t xml:space="preserve">In ratti e topi gli agonisti del recettore del GLP-1 hanno causato, in esperimenti a lungo termine, iperplasie e tumori delle cellule C della tiroide. Il meccanismo è ben compreso: le cellule C dei roditori portano il recettore del GLP-1; la sua attivazione aumenta la secrezione di calcitonina e la divisione cellulare. Nell’uomo e nelle scimmie il recettore sulle cellule C è molto più raro. Scimmie che per 20 mesi hanno ricevuto liraglutide a concentrazioni oltre 60 volte superiori a quelle dell’uomo non hanno sviluppato iperplasia delle cellule C</w:t>
      </w:r>
      <w:r>
        <w:rPr>
          <w:rStyle w:val="FootnoteReference"/>
        </w:rPr>
        <w:footnoteReference w:id="2691"/>
      </w:r>
      <w:r>
        <w:t xml:space="preserve">.</w:t>
      </w:r>
    </w:p>
    <w:p>
      <w:pPr>
        <w:pStyle w:val="BodyText"/>
      </w:pPr>
      <w:r>
        <w:t xml:space="preserve">Un effetto nell’uomo non è però del tutto escluso. Nel tessuto tiroideo umano un’indagine ha trovato il recettore del GLP-1 in tutti i campioni di carcinomi midollari della tiroide e di iperplasie delle cellule C, nel 18% dei carcinomi papillari e in una parte delle cellule C di tiroidi sane</w:t>
      </w:r>
      <w:r>
        <w:rPr>
          <w:rStyle w:val="FootnoteReference"/>
        </w:rPr>
        <w:footnoteReference w:id="2692"/>
      </w:r>
      <w:r>
        <w:t xml:space="preserve">.</w:t>
      </w:r>
    </w:p>
    <w:p>
      <w:pPr>
        <w:pStyle w:val="BodyText"/>
      </w:pPr>
      <w:r>
        <w:t xml:space="preserve">Gli studi sull’uomo non danno un quadro uniforme:</w:t>
      </w:r>
    </w:p>
    <w:p>
      <w:pPr>
        <w:numPr>
          <w:ilvl w:val="0"/>
          <w:numId w:val="1339"/>
        </w:numPr>
        <w:pStyle w:val="Compact"/>
      </w:pPr>
      <w:r>
        <w:t xml:space="preserve">Nello studio LEADER la calcitonina non è aumentata con liraglutide fino a cinque anni, e non si sono verificati carcinomi midollari</w:t>
      </w:r>
      <w:r>
        <w:rPr>
          <w:rStyle w:val="FootnoteReference"/>
        </w:rPr>
        <w:footnoteReference w:id="2693"/>
      </w:r>
      <w:r>
        <w:t xml:space="preserve">.</w:t>
      </w:r>
    </w:p>
    <w:p>
      <w:pPr>
        <w:numPr>
          <w:ilvl w:val="0"/>
          <w:numId w:val="1339"/>
        </w:numPr>
        <w:pStyle w:val="Compact"/>
      </w:pPr>
      <w:r>
        <w:t xml:space="preserve">Uno studio caso-controllo francese con 2.562 casi ha trovato, dopo uno-tre anni di trattamento, un rischio aumentato di cancro della tiroide nel complesso (hazard ratio 1,58) e di carcinoma midollare (1,78)</w:t>
      </w:r>
      <w:r>
        <w:rPr>
          <w:rStyle w:val="FootnoteReference"/>
        </w:rPr>
        <w:footnoteReference w:id="2694"/>
      </w:r>
      <w:r>
        <w:t xml:space="preserve">.</w:t>
      </w:r>
    </w:p>
    <w:p>
      <w:pPr>
        <w:numPr>
          <w:ilvl w:val="0"/>
          <w:numId w:val="1339"/>
        </w:numPr>
        <w:pStyle w:val="Compact"/>
      </w:pPr>
      <w:r>
        <w:t xml:space="preserve">Uno studio di coorte scandinavo con 145.410 persone in trattamento con agonisti del recettore del GLP-1 non ha trovato un rischio aumentato (hazard ratio 0,93; 1,33 contro 1,46 casi ogni 10.000 anni-persona). Per il raro carcinoma midollare la stima era molto incerta (hazard ratio 1,19; intervallo di confidenza da 0,37 a 3,86)</w:t>
      </w:r>
      <w:r>
        <w:rPr>
          <w:rStyle w:val="FootnoteReference"/>
        </w:rPr>
        <w:footnoteReference w:id="2695"/>
      </w:r>
      <w:r>
        <w:t xml:space="preserve">.</w:t>
      </w:r>
    </w:p>
    <w:p>
      <w:pPr>
        <w:numPr>
          <w:ilvl w:val="0"/>
          <w:numId w:val="1339"/>
        </w:numPr>
        <w:pStyle w:val="Compact"/>
      </w:pPr>
      <w:r>
        <w:t xml:space="preserve">Una meta-analisi di 50 studi randomizzati della durata di almeno un anno ha mostrato un segnale per il cancro della tiroide (odds ratio 1,55), più marcato negli studi più lunghi</w:t>
      </w:r>
      <w:r>
        <w:rPr>
          <w:rStyle w:val="FootnoteReference"/>
        </w:rPr>
        <w:footnoteReference w:id="2696"/>
      </w:r>
      <w:r>
        <w:t xml:space="preserve">.</w:t>
      </w:r>
    </w:p>
    <w:p>
      <w:pPr>
        <w:pStyle w:val="FirstParagraph"/>
      </w:pPr>
      <w:r>
        <w:t xml:space="preserve">Come si conciliano questi dati? Parte del segnale potrebbe dipendere da esami più frequenti: chi è seguito da vicino per diabete o obesità fa più spesso un’ecografia, durante la quale vengono scoperti piccoli carcinomi papillari innocui. Un piccolo rischio reale non si può però escludere. Per le persone con carcinoma midollare della tiroide nell’anamnesi personale o familiare o con sindrome MEN 2 vale quindi ancora una controindicazione. Vedi capitolo Liraglutide.</w:t>
      </w:r>
    </w:p>
    <w:bookmarkEnd w:id="2697"/>
    <w:bookmarkStart w:id="2701" w:name="pancreas"/>
    <w:p>
      <w:pPr>
        <w:pStyle w:val="Heading3"/>
      </w:pPr>
      <w:r>
        <w:t xml:space="preserve">Pancreas</w:t>
      </w:r>
    </w:p>
    <w:p>
      <w:pPr>
        <w:pStyle w:val="FirstParagraph"/>
      </w:pPr>
      <w:r>
        <w:t xml:space="preserve">Dopo le prime segnalazioni di pancreatiti con exenatide e liraglutide si è temuto anche un rischio aumentato di tumore del pancreas. Finora i dati non lo hanno confermato. Una meta-analisi di 62 studi randomizzati non ha trovato un rischio aumentato in modo accertato (rischio relativo 1,30; intervallo di confidenza da 0,86 a 1,97); in un sottogruppo di studi con farmaci aggiuntivi era aumentato, senza farmaci aggiuntivi no</w:t>
      </w:r>
      <w:r>
        <w:rPr>
          <w:rStyle w:val="FootnoteReference"/>
        </w:rPr>
        <w:footnoteReference w:id="2698"/>
      </w:r>
      <w:r>
        <w:t xml:space="preserve">. Gli autori segnalano che molti studi senza alcun evento non sono affatto entrati nel calcolo. In un grande studio di coorte statunitense il tumore del pancreas con agonisti del recettore del GLP-1 era persino più raro che con l’insulina (hazard ratio 0,41)</w:t>
      </w:r>
      <w:r>
        <w:rPr>
          <w:rStyle w:val="FootnoteReference"/>
        </w:rPr>
        <w:footnoteReference w:id="2699"/>
      </w:r>
      <w:r>
        <w:t xml:space="preserve"> </w:t>
      </w:r>
      <w:r>
        <w:t xml:space="preserve">– tenendo conto che l’insulina viene usata spesso in un diabete di più lunga durata e più grave.</w:t>
      </w:r>
    </w:p>
    <w:p>
      <w:pPr>
        <w:pStyle w:val="BodyText"/>
      </w:pPr>
      <w:r>
        <w:t xml:space="preserve">Per i tumori neuroendocrini, un raro gruppo di tumori che si sviluppano tra l’altro nel pancreas e in parte portano il recettore del GLP-1, una revisione conclude che i dati disponibili non mostrano un aumento generale, ma che esistono lacune importanti, per esempio in caso di predisposizione ereditaria</w:t>
      </w:r>
      <w:r>
        <w:rPr>
          <w:rStyle w:val="FootnoteReference"/>
        </w:rPr>
        <w:footnoteReference w:id="2700"/>
      </w:r>
      <w:r>
        <w:t xml:space="preserve">.</w:t>
      </w:r>
    </w:p>
    <w:bookmarkEnd w:id="2701"/>
    <w:bookmarkStart w:id="2702" w:name="X9c6bb85fdf289634d17e3e9bd058c28251b709f"/>
    <w:p>
      <w:pPr>
        <w:pStyle w:val="Heading3"/>
      </w:pPr>
      <w:r>
        <w:t xml:space="preserve">Che cosa mostrano le nuove meta-analisi e le grandi coorti su GLP-1 e cancro</w:t>
      </w:r>
    </w:p>
    <w:p>
      <w:pPr>
        <w:pStyle w:val="FirstParagraph"/>
      </w:pPr>
      <w:r>
        <w:t xml:space="preserve">Con l’ampia diffusione dei farmaci GLP-1 sono state pubblicate dal 2024 diverse analisi molto grandi. Delineano un quadro in prevalenza rassicurante, ma poco chiaro su singoli punti.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Dati</w:t>
            </w:r>
          </w:p>
        </w:tc>
        <w:tc>
          <w:tcPr/>
          <w:p>
            <w:pPr>
              <w:pStyle w:val="Compact"/>
              <w:jc w:val="left"/>
            </w:pPr>
            <w:r>
              <w:t xml:space="preserve">Risultato cancro nel complesso</w:t>
            </w:r>
          </w:p>
        </w:tc>
        <w:tc>
          <w:tcPr/>
          <w:p>
            <w:pPr>
              <w:pStyle w:val="Compact"/>
              <w:jc w:val="left"/>
            </w:pPr>
            <w:r>
              <w:t xml:space="preserve">Particolarità</w:t>
            </w:r>
          </w:p>
        </w:tc>
      </w:tr>
      <w:tr>
        <w:tc>
          <w:tcPr/>
          <w:p>
            <w:pPr>
              <w:pStyle w:val="Compact"/>
              <w:jc w:val="left"/>
            </w:pPr>
            <w:r>
              <w:t xml:space="preserve">Silverii 2025, PMID 40437949</w:t>
            </w:r>
          </w:p>
        </w:tc>
        <w:tc>
          <w:tcPr/>
          <w:p>
            <w:pPr>
              <w:pStyle w:val="Compact"/>
              <w:jc w:val="left"/>
            </w:pPr>
            <w:r>
              <w:t xml:space="preserve">50 RCT, almeno 52 settimane</w:t>
            </w:r>
          </w:p>
        </w:tc>
        <w:tc>
          <w:tcPr/>
          <w:p>
            <w:pPr>
              <w:pStyle w:val="Compact"/>
              <w:jc w:val="left"/>
            </w:pPr>
            <w:r>
              <w:t xml:space="preserve">nessuna differenza (odds ratio 1,05)</w:t>
            </w:r>
          </w:p>
        </w:tc>
        <w:tc>
          <w:tcPr/>
          <w:p>
            <w:pPr>
              <w:pStyle w:val="Compact"/>
              <w:jc w:val="left"/>
            </w:pPr>
            <w:r>
              <w:t xml:space="preserve">tiroide 1,55; utero in caso di obesità 0,24</w:t>
            </w:r>
          </w:p>
        </w:tc>
      </w:tr>
      <w:tr>
        <w:tc>
          <w:tcPr/>
          <w:p>
            <w:pPr>
              <w:pStyle w:val="Compact"/>
              <w:jc w:val="left"/>
            </w:pPr>
            <w:r>
              <w:t xml:space="preserve">Wang 2024, PMID 38967919</w:t>
            </w:r>
          </w:p>
        </w:tc>
        <w:tc>
          <w:tcPr/>
          <w:p>
            <w:pPr>
              <w:pStyle w:val="Compact"/>
              <w:jc w:val="left"/>
            </w:pPr>
            <w:r>
              <w:t xml:space="preserve">1.651.452 persone con diabete di tipo 2</w:t>
            </w:r>
          </w:p>
        </w:tc>
        <w:tc>
          <w:tcPr/>
          <w:p>
            <w:pPr>
              <w:pStyle w:val="Compact"/>
              <w:jc w:val="left"/>
            </w:pPr>
            <w:r>
              <w:t xml:space="preserve">vs. insulina meno casi in 10 tipi di cancro su 13</w:t>
            </w:r>
          </w:p>
        </w:tc>
        <w:tc>
          <w:tcPr/>
          <w:p>
            <w:pPr>
              <w:pStyle w:val="Compact"/>
              <w:jc w:val="left"/>
            </w:pPr>
            <w:r>
              <w:t xml:space="preserve">vs. metformina più cancro del rene (1,54)</w:t>
            </w:r>
          </w:p>
        </w:tc>
      </w:tr>
      <w:tr>
        <w:tc>
          <w:tcPr/>
          <w:p>
            <w:pPr>
              <w:pStyle w:val="Compact"/>
              <w:jc w:val="left"/>
            </w:pPr>
            <w:r>
              <w:t xml:space="preserve">Dai 2025, PMID 40839273</w:t>
            </w:r>
          </w:p>
        </w:tc>
        <w:tc>
          <w:tcPr/>
          <w:p>
            <w:pPr>
              <w:pStyle w:val="Compact"/>
              <w:jc w:val="left"/>
            </w:pPr>
            <w:r>
              <w:t xml:space="preserve">86.632 adulti con obesità</w:t>
            </w:r>
          </w:p>
        </w:tc>
        <w:tc>
          <w:tcPr/>
          <w:p>
            <w:pPr>
              <w:pStyle w:val="Compact"/>
              <w:jc w:val="left"/>
            </w:pPr>
            <w:r>
              <w:t xml:space="preserve">meno cancro (hazard ratio 0,83)</w:t>
            </w:r>
          </w:p>
        </w:tc>
        <w:tc>
          <w:tcPr/>
          <w:p>
            <w:pPr>
              <w:pStyle w:val="Compact"/>
              <w:jc w:val="left"/>
            </w:pPr>
            <w:r>
              <w:t xml:space="preserve">cancro del rene aumentato al limite (1,38)</w:t>
            </w:r>
          </w:p>
        </w:tc>
      </w:tr>
      <w:tr>
        <w:tc>
          <w:tcPr/>
          <w:p>
            <w:pPr>
              <w:pStyle w:val="Compact"/>
              <w:jc w:val="left"/>
            </w:pPr>
            <w:r>
              <w:t xml:space="preserve">Hsu 2026, PMID 42252247</w:t>
            </w:r>
          </w:p>
        </w:tc>
        <w:tc>
          <w:tcPr/>
          <w:p>
            <w:pPr>
              <w:pStyle w:val="Compact"/>
              <w:jc w:val="left"/>
            </w:pPr>
            <w:r>
              <w:t xml:space="preserve">161.798 adulti con obesità senza diabete</w:t>
            </w:r>
          </w:p>
        </w:tc>
        <w:tc>
          <w:tcPr/>
          <w:p>
            <w:pPr>
              <w:pStyle w:val="Compact"/>
              <w:jc w:val="left"/>
            </w:pPr>
            <w:r>
              <w:t xml:space="preserve">meno tipi di cancro legati al sovrappeso (0,59)</w:t>
            </w:r>
          </w:p>
        </w:tc>
        <w:tc>
          <w:tcPr/>
          <w:p>
            <w:pPr>
              <w:pStyle w:val="Compact"/>
              <w:jc w:val="left"/>
            </w:pPr>
            <w:r>
              <w:t xml:space="preserve">follow-up mediano 2 anni</w:t>
            </w:r>
          </w:p>
        </w:tc>
      </w:tr>
    </w:tbl>
    <w:p>
      <w:pPr>
        <w:pStyle w:val="BodyText"/>
      </w:pPr>
      <w:r>
        <w:t xml:space="preserve">Come vanno letti questi numeri?</w:t>
      </w:r>
    </w:p>
    <w:p>
      <w:pPr>
        <w:numPr>
          <w:ilvl w:val="0"/>
          <w:numId w:val="1340"/>
        </w:numPr>
        <w:pStyle w:val="Compact"/>
      </w:pPr>
      <w:r>
        <w:rPr>
          <w:bCs/>
          <w:b/>
        </w:rPr>
        <w:t xml:space="preserve">Gli studi randomizzati</w:t>
      </w:r>
      <w:r>
        <w:t xml:space="preserve"> </w:t>
      </w:r>
      <w:r>
        <w:t xml:space="preserve">non mostrano nel complesso alcun influsso sul rischio oncologico. È il risultato più affidabile, ma gli studi sono troppo brevi per il cancro.</w:t>
      </w:r>
    </w:p>
    <w:p>
      <w:pPr>
        <w:numPr>
          <w:ilvl w:val="0"/>
          <w:numId w:val="1340"/>
        </w:numPr>
        <w:pStyle w:val="Compact"/>
      </w:pPr>
      <w:r>
        <w:rPr>
          <w:bCs/>
          <w:b/>
        </w:rPr>
        <w:t xml:space="preserve">I grandi studi osservazionali</w:t>
      </w:r>
      <w:r>
        <w:t xml:space="preserve"> </w:t>
      </w:r>
      <w:r>
        <w:t xml:space="preserve">mostrano piuttosto meno cancro con i farmaci GLP-1. Ciò concorda con l’idea che la perdita di peso riduca i tipi di cancro legati al sovrappeso. Può però anche dipendere dal fatto che le persone che ricevono questi farmaci differiscono in molti aspetti dai gruppi di confronto. Un follow-up di due anni è molto breve per un’affermazione sulla prevenzione del cancro.</w:t>
      </w:r>
    </w:p>
    <w:p>
      <w:pPr>
        <w:numPr>
          <w:ilvl w:val="0"/>
          <w:numId w:val="1340"/>
        </w:numPr>
        <w:pStyle w:val="Compact"/>
      </w:pPr>
      <w:r>
        <w:rPr>
          <w:bCs/>
          <w:b/>
        </w:rPr>
        <w:t xml:space="preserve">Il cancro del rene</w:t>
      </w:r>
      <w:r>
        <w:t xml:space="preserve"> </w:t>
      </w:r>
      <w:r>
        <w:t xml:space="preserve">compare in due studi di coorte come possibile segnale. Se si tratti di un effetto reale resta da vedere.</w:t>
      </w:r>
    </w:p>
    <w:p>
      <w:pPr>
        <w:numPr>
          <w:ilvl w:val="0"/>
          <w:numId w:val="1340"/>
        </w:numPr>
        <w:pStyle w:val="Compact"/>
      </w:pPr>
      <w:r>
        <w:rPr>
          <w:bCs/>
          <w:b/>
        </w:rPr>
        <w:t xml:space="preserve">Il cancro della tiroide</w:t>
      </w:r>
      <w:r>
        <w:t xml:space="preserve"> </w:t>
      </w:r>
      <w:r>
        <w:t xml:space="preserve">resta la questione aperta, come descritto sopra.</w:t>
      </w:r>
    </w:p>
    <w:p>
      <w:pPr>
        <w:pStyle w:val="FirstParagraph"/>
      </w:pPr>
      <w:r>
        <w:t xml:space="preserve">Se i farmaci GLP-1 proteggano davvero dal cancro non si può dire con i dati disponibili. Per la domanda se causino il cancro vale, secondo le conoscenze attuali: per la maggior parte dei tipi di cancro no, per tiroide e rene la questione non è definitivamente chiarita. Per i nuovi agonisti multipli come retatrutide, survodutide o mazdutide ci sono ancora troppo pochi anni di trattamento per fare affermazioni proprie.</w:t>
      </w:r>
    </w:p>
    <w:bookmarkEnd w:id="2702"/>
    <w:bookmarkStart w:id="2703" w:name="in-breve"/>
    <w:p>
      <w:pPr>
        <w:pStyle w:val="Heading3"/>
      </w:pPr>
      <w:r>
        <w:t xml:space="preserve">In breve</w:t>
      </w:r>
    </w:p>
    <w:p>
      <w:pPr>
        <w:numPr>
          <w:ilvl w:val="0"/>
          <w:numId w:val="1341"/>
        </w:numPr>
        <w:pStyle w:val="Compact"/>
      </w:pPr>
      <w:r>
        <w:t xml:space="preserve">I dati migliori sul rischio oncologico li hanno proprio i peptidi per i quali la preoccupazione sembra meno fondata: i farmaci GLP-1 autorizzati. Per la maggior parte dei tipi di cancro non mostrano un rischio aumentato; il segnale sulla tiroide non è chiarito.</w:t>
      </w:r>
    </w:p>
    <w:p>
      <w:pPr>
        <w:numPr>
          <w:ilvl w:val="0"/>
          <w:numId w:val="1341"/>
        </w:numPr>
        <w:pStyle w:val="Compact"/>
      </w:pPr>
      <w:r>
        <w:t xml:space="preserve">Per l’asse ormone della crescita-IGF-1 è ben documentata un’associazione moderata tra livelli di IGF-1 stabilmente più alti e alcuni tipi di cancro. Per le persone sane che innalzano artificialmente l’IGF-1 per anni mancano studi.</w:t>
      </w:r>
    </w:p>
    <w:p>
      <w:pPr>
        <w:numPr>
          <w:ilvl w:val="0"/>
          <w:numId w:val="1341"/>
        </w:numPr>
        <w:pStyle w:val="Compact"/>
      </w:pPr>
      <w:r>
        <w:t xml:space="preserve">Per BPC-157, TB-500, Epitalon, umanina, Dihexa e sostanze simili esistono solo indizi teorici e da esperimenti sugli animali – in entrambe le direzioni. Non esistono dati a lungo termine sulla cancerogenesi.</w:t>
      </w:r>
    </w:p>
    <w:p>
      <w:pPr>
        <w:numPr>
          <w:ilvl w:val="0"/>
          <w:numId w:val="1341"/>
        </w:numPr>
        <w:pStyle w:val="Compact"/>
      </w:pPr>
      <w:r>
        <w:t xml:space="preserve">Per il Melanotan II esistono casi clinici di melanoma, ma nessun dato di frequenza. Per l’afamelanotide autorizzato piccoli studi non hanno trovato alterazioni maligne.</w:t>
      </w:r>
    </w:p>
    <w:p>
      <w:pPr>
        <w:numPr>
          <w:ilvl w:val="0"/>
          <w:numId w:val="1341"/>
        </w:numPr>
        <w:pStyle w:val="Compact"/>
      </w:pPr>
      <w:r>
        <w:t xml:space="preserve">Per le persone con malattia oncologica attiva o pregressa tutti i peptidi che favoriscono la crescita sono particolarmente problematici senza accompagnamento medico.</w:t>
      </w:r>
    </w:p>
    <w:bookmarkEnd w:id="2703"/>
    <w:bookmarkEnd w:id="2704"/>
    <w:bookmarkStart w:id="2735" w:name="reazioni-immunitarie-e-anticorpi"/>
    <w:p>
      <w:pPr>
        <w:pStyle w:val="Heading2"/>
      </w:pPr>
      <w:r>
        <w:t xml:space="preserve">Reazioni immunitarie e anticorpi</w:t>
      </w:r>
    </w:p>
    <w:p>
      <w:pPr>
        <w:pStyle w:val="FirstParagraph"/>
      </w:pPr>
      <w:r>
        <w:t xml:space="preserve">Il sistema immunitario ha il compito di riconoscere ciò che è estraneo. I peptidi si trovano su un confine: molti sono ricostruiti sul modello di messaggeri endogeni, ma modificati chimicamente per agire più a lungo. Altri provengono da animali, batteri o dal laboratorio. A ciò si aggiunge che la maggior parte dei peptidi viene iniettata sotto la pelle – in un punto in cui moltissime cellule di difesa sono in attesa di intrusi.</w:t>
      </w:r>
    </w:p>
    <w:p>
      <w:pPr>
        <w:pStyle w:val="BodyText"/>
      </w:pPr>
      <w:r>
        <w:t xml:space="preserve">Le reazioni immunitarie ai peptidi vanno da innocui arrossamenti nel sito di iniezione, passando per anticorpi che si notano solo in laboratorio, fino a rare reazioni allergiche potenzialmente mortali. Questo capitolo inquadra queste reazioni, confronta i peptidi e mostra quale ruolo hanno le impurità.</w:t>
      </w:r>
    </w:p>
    <w:bookmarkStart w:id="2706" w:name="X6c442dc1c6f18ff7960aa26d7d51cbd333f4059"/>
    <w:p>
      <w:pPr>
        <w:pStyle w:val="Heading3"/>
      </w:pPr>
      <w:r>
        <w:t xml:space="preserve">Perché i peptidi possono scatenare una reazione immunitaria</w:t>
      </w:r>
    </w:p>
    <w:p>
      <w:pPr>
        <w:pStyle w:val="FirstParagraph"/>
      </w:pPr>
      <w:r>
        <w:t xml:space="preserve">Se il sistema immunitario classifichi un peptide come estraneo dipende da diversi fattori:</w:t>
      </w:r>
    </w:p>
    <w:p>
      <w:pPr>
        <w:numPr>
          <w:ilvl w:val="0"/>
          <w:numId w:val="1342"/>
        </w:numPr>
        <w:pStyle w:val="Compact"/>
      </w:pPr>
      <w:r>
        <w:rPr>
          <w:bCs/>
          <w:b/>
        </w:rPr>
        <w:t xml:space="preserve">Origine e somiglianza con le molecole endogene.</w:t>
      </w:r>
      <w:r>
        <w:t xml:space="preserve"> </w:t>
      </w:r>
      <w:r>
        <w:t xml:space="preserve">L’exenatide è stato sviluppato a partire da un peptide presente nella saliva di una lucertola e differisce nettamente dal GLP-1 umano. Liraglutide e semaglutide, invece, sono in gran parte ricostruiti sul modello dell’ormone umano.</w:t>
      </w:r>
    </w:p>
    <w:p>
      <w:pPr>
        <w:numPr>
          <w:ilvl w:val="0"/>
          <w:numId w:val="1342"/>
        </w:numPr>
        <w:pStyle w:val="Compact"/>
      </w:pPr>
      <w:r>
        <w:rPr>
          <w:bCs/>
          <w:b/>
        </w:rPr>
        <w:t xml:space="preserve">Dimensioni e modifiche.</w:t>
      </w:r>
      <w:r>
        <w:t xml:space="preserve"> </w:t>
      </w:r>
      <w:r>
        <w:t xml:space="preserve">Molecole più lunghe, acidi grassi legati, elementi di collegamento o componenti di anticorpi (come in maridebart cafraglutide) offrono una maggiore superficie d’attacco.</w:t>
      </w:r>
    </w:p>
    <w:p>
      <w:pPr>
        <w:numPr>
          <w:ilvl w:val="0"/>
          <w:numId w:val="1342"/>
        </w:numPr>
        <w:pStyle w:val="Compact"/>
      </w:pPr>
      <w:r>
        <w:rPr>
          <w:bCs/>
          <w:b/>
        </w:rPr>
        <w:t xml:space="preserve">Aggregazione.</w:t>
      </w:r>
      <w:r>
        <w:t xml:space="preserve"> </w:t>
      </w:r>
      <w:r>
        <w:t xml:space="preserve">I peptidi possono aggregarsi in strutture più grandi, che il sistema immunitario riconosce più facilmente.</w:t>
      </w:r>
    </w:p>
    <w:p>
      <w:pPr>
        <w:numPr>
          <w:ilvl w:val="0"/>
          <w:numId w:val="1342"/>
        </w:numPr>
        <w:pStyle w:val="Compact"/>
      </w:pPr>
      <w:r>
        <w:rPr>
          <w:bCs/>
          <w:b/>
        </w:rPr>
        <w:t xml:space="preserve">Impurità.</w:t>
      </w:r>
      <w:r>
        <w:t xml:space="preserve"> </w:t>
      </w:r>
      <w:r>
        <w:t xml:space="preserve">Già piccole quantità di frammenti di peptidi prodotti in modo difettoso o di componenti batterici possono innescare una reazione di difesa (maggiori dettagli più avanti).</w:t>
      </w:r>
    </w:p>
    <w:p>
      <w:pPr>
        <w:numPr>
          <w:ilvl w:val="0"/>
          <w:numId w:val="1342"/>
        </w:numPr>
        <w:pStyle w:val="Compact"/>
      </w:pPr>
      <w:r>
        <w:rPr>
          <w:bCs/>
          <w:b/>
        </w:rPr>
        <w:t xml:space="preserve">Frequenza e durata dell’uso.</w:t>
      </w:r>
      <w:r>
        <w:t xml:space="preserve"> </w:t>
      </w:r>
      <w:r>
        <w:t xml:space="preserve">Chi si inietta ripetutamente un peptide per mesi offre al sistema immunitario molte occasioni per reagire.</w:t>
      </w:r>
    </w:p>
    <w:p>
      <w:pPr>
        <w:pStyle w:val="FirstParagraph"/>
      </w:pPr>
      <w:r>
        <w:t xml:space="preserve">Per la valutazione degli anticorpi contro i farmaci – gli esperti parlano di anticorpi anti-farmaco (ADA) – si è affermato un linguaggio uniforme</w:t>
      </w:r>
      <w:r>
        <w:rPr>
          <w:rStyle w:val="FootnoteReference"/>
        </w:rPr>
        <w:footnoteReference w:id="2705"/>
      </w:r>
      <w:r>
        <w:t xml:space="preserve">. Le domande importanti sono quattro: quante persone trattate sviluppano anticorpi? Quanto è alta la quantità (il titolo)? Gli anticorpi inibiscono l’effetto (anticorpi neutralizzanti)? E reagiscono anche con l’ormone endogeno (reattività crociata)? L’ultimo punto sarebbe il più preoccupante: anticorpi che bloccano non solo il farmaco, ma anche l’ormone proprio dell’organismo potrebbero lasciare un disturbo permanente.</w:t>
      </w:r>
    </w:p>
    <w:bookmarkEnd w:id="2706"/>
    <w:bookmarkStart w:id="2709" w:name="X9722c7bda344fbb4545f78b628036156211e0b1"/>
    <w:p>
      <w:pPr>
        <w:pStyle w:val="Heading3"/>
      </w:pPr>
      <w:r>
        <w:t xml:space="preserve">Anticorpi anti-farmaco: che cosa mostrano gli studi</w:t>
      </w:r>
    </w:p>
    <w:p>
      <w:pPr>
        <w:pStyle w:val="FirstParagraph"/>
      </w:pPr>
      <w:r>
        <w:t xml:space="preserve">Per i farmaci GLP-1 autorizzati esistono indagini sistematiche. Mostrano quanto diversa sia la frequenza con cui si formano anticorpi – e che una frequenza elevata non significa automaticamente un problema clinico.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Principio attivo</w:t>
            </w:r>
          </w:p>
        </w:tc>
        <w:tc>
          <w:tcPr/>
          <w:p>
            <w:pPr>
              <w:pStyle w:val="Compact"/>
              <w:jc w:val="left"/>
            </w:pPr>
            <w:r>
              <w:t xml:space="preserve">Anticorpi in</w:t>
            </w:r>
          </w:p>
        </w:tc>
        <w:tc>
          <w:tcPr/>
          <w:p>
            <w:pPr>
              <w:pStyle w:val="Compact"/>
              <w:jc w:val="left"/>
            </w:pPr>
            <w:r>
              <w:t xml:space="preserve">Conseguenze</w:t>
            </w:r>
          </w:p>
        </w:tc>
        <w:tc>
          <w:tcPr/>
          <w:p>
            <w:pPr>
              <w:pStyle w:val="Compact"/>
              <w:jc w:val="left"/>
            </w:pPr>
            <w:r>
              <w:t xml:space="preserve">Fonte</w:t>
            </w:r>
          </w:p>
        </w:tc>
      </w:tr>
      <w:tr>
        <w:tc>
          <w:tcPr/>
          <w:p>
            <w:pPr>
              <w:pStyle w:val="Compact"/>
              <w:jc w:val="left"/>
            </w:pPr>
            <w:r>
              <w:t xml:space="preserve">Exenatide</w:t>
            </w:r>
          </w:p>
        </w:tc>
        <w:tc>
          <w:tcPr/>
          <w:p>
            <w:pPr>
              <w:pStyle w:val="Compact"/>
              <w:jc w:val="left"/>
            </w:pPr>
            <w:r>
              <w:t xml:space="preserve">61% dopo 26 settimane (LEAD-6)</w:t>
            </w:r>
          </w:p>
        </w:tc>
        <w:tc>
          <w:tcPr/>
          <w:p>
            <w:pPr>
              <w:pStyle w:val="Compact"/>
              <w:jc w:val="left"/>
            </w:pPr>
            <w:r>
              <w:t xml:space="preserve">titoli alti: minore riduzione dell’HbA1c</w:t>
            </w:r>
          </w:p>
        </w:tc>
        <w:tc>
          <w:tcPr/>
          <w:p>
            <w:pPr>
              <w:pStyle w:val="Compact"/>
              <w:jc w:val="left"/>
            </w:pPr>
            <w:r>
              <w:t xml:space="preserve">Buse 2011, PMID 21450987</w:t>
            </w:r>
          </w:p>
        </w:tc>
      </w:tr>
      <w:tr>
        <w:tc>
          <w:tcPr/>
          <w:p>
            <w:pPr>
              <w:pStyle w:val="Compact"/>
              <w:jc w:val="left"/>
            </w:pPr>
            <w:r>
              <w:t xml:space="preserve">Liraglutide</w:t>
            </w:r>
          </w:p>
        </w:tc>
        <w:tc>
          <w:tcPr/>
          <w:p>
            <w:pPr>
              <w:pStyle w:val="Compact"/>
              <w:jc w:val="left"/>
            </w:pPr>
            <w:r>
              <w:t xml:space="preserve">dall’8,3 all’8,7%, titoli bassi</w:t>
            </w:r>
          </w:p>
        </w:tc>
        <w:tc>
          <w:tcPr/>
          <w:p>
            <w:pPr>
              <w:pStyle w:val="Compact"/>
              <w:jc w:val="left"/>
            </w:pPr>
            <w:r>
              <w:t xml:space="preserve">nessuna attenuazione dell’effetto</w:t>
            </w:r>
          </w:p>
        </w:tc>
        <w:tc>
          <w:tcPr/>
          <w:p>
            <w:pPr>
              <w:pStyle w:val="Compact"/>
              <w:jc w:val="left"/>
            </w:pPr>
            <w:r>
              <w:t xml:space="preserve">Buse 2011, PMID 21450987</w:t>
            </w:r>
          </w:p>
        </w:tc>
      </w:tr>
      <w:tr>
        <w:tc>
          <w:tcPr/>
          <w:p>
            <w:pPr>
              <w:pStyle w:val="Compact"/>
              <w:jc w:val="left"/>
            </w:pPr>
            <w:r>
              <w:t xml:space="preserve">Dulaglutide</w:t>
            </w:r>
          </w:p>
        </w:tc>
        <w:tc>
          <w:tcPr/>
          <w:p>
            <w:pPr>
              <w:pStyle w:val="Compact"/>
              <w:jc w:val="left"/>
            </w:pPr>
            <w:r>
              <w:t xml:space="preserve">1,6%, neutralizzanti 0,9%</w:t>
            </w:r>
          </w:p>
        </w:tc>
        <w:tc>
          <w:tcPr/>
          <w:p>
            <w:pPr>
              <w:pStyle w:val="Compact"/>
              <w:jc w:val="left"/>
            </w:pPr>
            <w:r>
              <w:t xml:space="preserve">nessuna ipersensibilità nei positivi agli anticorpi</w:t>
            </w:r>
          </w:p>
        </w:tc>
        <w:tc>
          <w:tcPr/>
          <w:p>
            <w:pPr>
              <w:pStyle w:val="Compact"/>
              <w:jc w:val="left"/>
            </w:pPr>
            <w:r>
              <w:t xml:space="preserve">Milicevic 2016, PMID 26847401</w:t>
            </w:r>
          </w:p>
        </w:tc>
      </w:tr>
      <w:tr>
        <w:tc>
          <w:tcPr/>
          <w:p>
            <w:pPr>
              <w:pStyle w:val="Compact"/>
              <w:jc w:val="left"/>
            </w:pPr>
            <w:r>
              <w:t xml:space="preserve">Tirzepatide</w:t>
            </w:r>
          </w:p>
        </w:tc>
        <w:tc>
          <w:tcPr/>
          <w:p>
            <w:pPr>
              <w:pStyle w:val="Compact"/>
              <w:jc w:val="left"/>
            </w:pPr>
            <w:r>
              <w:t xml:space="preserve">51,1%, neutralizzanti circa 2%</w:t>
            </w:r>
          </w:p>
        </w:tc>
        <w:tc>
          <w:tcPr/>
          <w:p>
            <w:pPr>
              <w:pStyle w:val="Compact"/>
              <w:jc w:val="left"/>
            </w:pPr>
            <w:r>
              <w:t xml:space="preserve">nessuna attenuazione dell’effetto; più reazioni cutanee e allergiche</w:t>
            </w:r>
          </w:p>
        </w:tc>
        <w:tc>
          <w:tcPr/>
          <w:p>
            <w:pPr>
              <w:pStyle w:val="Compact"/>
              <w:jc w:val="left"/>
            </w:pPr>
            <w:r>
              <w:t xml:space="preserve">Mullins 2024, PMID 37700637</w:t>
            </w:r>
          </w:p>
        </w:tc>
      </w:tr>
      <w:tr>
        <w:tc>
          <w:tcPr/>
          <w:p>
            <w:pPr>
              <w:pStyle w:val="Compact"/>
              <w:jc w:val="left"/>
            </w:pPr>
            <w:r>
              <w:t xml:space="preserve">Sermorelina</w:t>
            </w:r>
          </w:p>
        </w:tc>
        <w:tc>
          <w:tcPr/>
          <w:p>
            <w:pPr>
              <w:pStyle w:val="Compact"/>
              <w:jc w:val="left"/>
            </w:pPr>
            <w:r>
              <w:t xml:space="preserve">14 bambini su 18</w:t>
            </w:r>
          </w:p>
        </w:tc>
        <w:tc>
          <w:tcPr/>
          <w:p>
            <w:pPr>
              <w:pStyle w:val="Compact"/>
              <w:jc w:val="left"/>
            </w:pPr>
            <w:r>
              <w:t xml:space="preserve">nessuna conseguenza riconoscibile</w:t>
            </w:r>
          </w:p>
        </w:tc>
        <w:tc>
          <w:tcPr/>
          <w:p>
            <w:pPr>
              <w:pStyle w:val="Compact"/>
              <w:jc w:val="left"/>
            </w:pPr>
            <w:r>
              <w:t xml:space="preserve">Ross 1987, PMID 2879138</w:t>
            </w:r>
          </w:p>
        </w:tc>
      </w:tr>
      <w:tr>
        <w:tc>
          <w:tcPr/>
          <w:p>
            <w:pPr>
              <w:pStyle w:val="Compact"/>
              <w:jc w:val="left"/>
            </w:pPr>
            <w:r>
              <w:t xml:space="preserve">ARA-290</w:t>
            </w:r>
          </w:p>
        </w:tc>
        <w:tc>
          <w:tcPr/>
          <w:p>
            <w:pPr>
              <w:pStyle w:val="Compact"/>
              <w:jc w:val="left"/>
            </w:pPr>
            <w:r>
              <w:t xml:space="preserve">nessuno in 12 settimane</w:t>
            </w:r>
          </w:p>
        </w:tc>
        <w:tc>
          <w:tcPr/>
          <w:p>
            <w:pPr>
              <w:pStyle w:val="Compact"/>
              <w:jc w:val="left"/>
            </w:pPr>
            <w:r>
              <w:t xml:space="preserve">–</w:t>
            </w:r>
          </w:p>
        </w:tc>
        <w:tc>
          <w:tcPr/>
          <w:p>
            <w:pPr>
              <w:pStyle w:val="Compact"/>
              <w:jc w:val="left"/>
            </w:pPr>
            <w:r>
              <w:t xml:space="preserve">Lois 2020, PMID 32674280</w:t>
            </w:r>
          </w:p>
        </w:tc>
      </w:tr>
    </w:tbl>
    <w:p>
      <w:pPr>
        <w:pStyle w:val="BodyText"/>
      </w:pPr>
      <w:r>
        <w:t xml:space="preserve">L’</w:t>
      </w:r>
      <w:r>
        <w:rPr>
          <w:bCs/>
          <w:b/>
        </w:rPr>
        <w:t xml:space="preserve">exenatide</w:t>
      </w:r>
      <w:r>
        <w:t xml:space="preserve"> </w:t>
      </w:r>
      <w:r>
        <w:t xml:space="preserve">è l’esempio classico di un peptide che, per la sua origine non umana, provoca spesso anticorpi. Nello studio LEAD-6, dopo 26 settimane, 113 persone trattate su 185 avevano anticorpi contro l’exenatide; livelli elevati di anticorpi si accompagnavano a una riduzione significativamente minore dell’emoglobina glicata. Dopo il passaggio a liraglutide questi anticorpi non hanno ostacolato l’effetto successivo</w:t>
      </w:r>
      <w:r>
        <w:rPr>
          <w:rStyle w:val="FootnoteReference"/>
        </w:rPr>
        <w:footnoteReference w:id="2707"/>
      </w:r>
      <w:r>
        <w:t xml:space="preserve">.</w:t>
      </w:r>
    </w:p>
    <w:p>
      <w:pPr>
        <w:pStyle w:val="BodyText"/>
      </w:pPr>
      <w:r>
        <w:t xml:space="preserve">La</w:t>
      </w:r>
      <w:r>
        <w:t xml:space="preserve"> </w:t>
      </w:r>
      <w:r>
        <w:rPr>
          <w:bCs/>
          <w:b/>
        </w:rPr>
        <w:t xml:space="preserve">tirzepatide</w:t>
      </w:r>
      <w:r>
        <w:t xml:space="preserve"> </w:t>
      </w:r>
      <w:r>
        <w:t xml:space="preserve">mostra che anche un peptide ricostruito sul modello umano può essere riconosciuto spesso. In sette studi di fase 3 con 5.025 partecipanti valutabili, il 51,1% ha sviluppato anticorpi durante il trattamento. Anticorpi neutralizzanti contro l’azione sul recettore del GIP o del GLP-1 sono stati trovati rispettivamente nell’1,9% e nel 2,1%, quelli che neutralizzavano anche gli ormoni endogeni in meno dell’1%. Su livelli ematici ed effetto ciò non ha avuto alcuna influenza. I partecipanti positivi agli anticorpi hanno però avuto più spesso reazioni di ipersensibilità e reazioni nel sito di iniezione, per lo più da lievi a moderate</w:t>
      </w:r>
      <w:r>
        <w:rPr>
          <w:rStyle w:val="FootnoteReference"/>
        </w:rPr>
        <w:footnoteReference w:id="2708"/>
      </w:r>
      <w:r>
        <w:t xml:space="preserve">.</w:t>
      </w:r>
    </w:p>
    <w:p>
      <w:pPr>
        <w:pStyle w:val="BodyText"/>
      </w:pPr>
      <w:r>
        <w:t xml:space="preserve">Per i principi attivi più recenti – retatrutide, survodutide, mazdutide, cagrilintide, amicretina e maridebart cafraglutide, basato su un anticorpo – non sono ancora state pubblicate analisi riassuntive paragonabili. Per maridebart cafraglutide ciò è particolarmente rilevante, perché i farmaci anticorpali possono avere una propria immunogenicità (capitolo Maridebart cafraglutide).</w:t>
      </w:r>
    </w:p>
    <w:p>
      <w:pPr>
        <w:pStyle w:val="BodyText"/>
      </w:pPr>
      <w:r>
        <w:t xml:space="preserve">Per la maggior parte dei peptidi del mercato grigio non esistono affatto dati sugli anticorpi. Ciò vale per BPC-157, TB-500, CJC-1295, ipamorelina, MOTS-c, umanina, Epitalon e molti altri. Nei capitoli su MOTS-c, umanina e FOXO4-DRI si sottolinea che gli anticorpi sono ipotizzabili in caso di iniezioni ripetute, ma non sono mai stati studiati. Chi si inietta queste sostanze per mesi non può quindi sapere se il proprio corpo sviluppi anticorpi e quali effetti abbiano.</w:t>
      </w:r>
    </w:p>
    <w:bookmarkEnd w:id="2709"/>
    <w:bookmarkStart w:id="2713" w:name="reazioni-nel-sito-di-iniezione"/>
    <w:p>
      <w:pPr>
        <w:pStyle w:val="Heading3"/>
      </w:pPr>
      <w:r>
        <w:t xml:space="preserve">Reazioni nel sito di iniezione</w:t>
      </w:r>
    </w:p>
    <w:p>
      <w:pPr>
        <w:pStyle w:val="FirstParagraph"/>
      </w:pPr>
      <w:r>
        <w:t xml:space="preserve">Arrossamento, prurito, gonfiore, piccoli ematomi o noduli palpabili nel sito di iniezione sono le reazioni immunitarie e tissutali più frequenti ai peptidi iniettati. Una meta-analisi di 14 studi randomizzati con 4.861 partecipanti ha trovato con gli agonisti del recettore del GLP-1 un rischio di queste reazioni circa tre volte e mezzo più alto rispetto ai gruppi di confronto (rischio relativo 3,55). Nella banca dati statunitense delle segnalazioni si sono distinti in particolare exenatide e dulaglutide per sanguinamenti nel sito di iniezione</w:t>
      </w:r>
      <w:r>
        <w:rPr>
          <w:rStyle w:val="FootnoteReference"/>
        </w:rPr>
        <w:footnoteReference w:id="2710"/>
      </w:r>
      <w:r>
        <w:t xml:space="preserve">.</w:t>
      </w:r>
    </w:p>
    <w:p>
      <w:pPr>
        <w:pStyle w:val="BodyText"/>
      </w:pPr>
      <w:r>
        <w:t xml:space="preserve">La frequenza varia notevolmente tra i peptidi: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Peptide</w:t>
            </w:r>
          </w:p>
        </w:tc>
        <w:tc>
          <w:tcPr/>
          <w:p>
            <w:pPr>
              <w:pStyle w:val="Compact"/>
              <w:jc w:val="left"/>
            </w:pPr>
            <w:r>
              <w:t xml:space="preserve">Reazioni nel sito di iniezione</w:t>
            </w:r>
          </w:p>
        </w:tc>
        <w:tc>
          <w:tcPr/>
          <w:p>
            <w:pPr>
              <w:pStyle w:val="Compact"/>
              <w:jc w:val="left"/>
            </w:pPr>
            <w:r>
              <w:t xml:space="preserve">Fonte</w:t>
            </w:r>
          </w:p>
        </w:tc>
      </w:tr>
      <w:tr>
        <w:tc>
          <w:tcPr/>
          <w:p>
            <w:pPr>
              <w:pStyle w:val="Compact"/>
              <w:jc w:val="left"/>
            </w:pPr>
            <w:r>
              <w:t xml:space="preserve">Setmelanotide</w:t>
            </w:r>
          </w:p>
        </w:tc>
        <w:tc>
          <w:tcPr/>
          <w:p>
            <w:pPr>
              <w:pStyle w:val="Compact"/>
              <w:jc w:val="left"/>
            </w:pPr>
            <w:r>
              <w:t xml:space="preserve">96% (meta-analisi, 7 studi)</w:t>
            </w:r>
          </w:p>
        </w:tc>
        <w:tc>
          <w:tcPr/>
          <w:p>
            <w:pPr>
              <w:pStyle w:val="Compact"/>
              <w:jc w:val="left"/>
            </w:pPr>
            <w:r>
              <w:t xml:space="preserve">Sridharan 2026, PMID 39924461</w:t>
            </w:r>
          </w:p>
        </w:tc>
      </w:tr>
      <w:tr>
        <w:tc>
          <w:tcPr/>
          <w:p>
            <w:pPr>
              <w:pStyle w:val="Compact"/>
              <w:jc w:val="left"/>
            </w:pPr>
            <w:r>
              <w:t xml:space="preserve">Elamipretide (SS-31)</w:t>
            </w:r>
          </w:p>
        </w:tc>
        <w:tc>
          <w:tcPr/>
          <w:p>
            <w:pPr>
              <w:pStyle w:val="Compact"/>
              <w:jc w:val="left"/>
            </w:pPr>
            <w:r>
              <w:t xml:space="preserve">80%, per lo più lievi</w:t>
            </w:r>
          </w:p>
        </w:tc>
        <w:tc>
          <w:tcPr/>
          <w:p>
            <w:pPr>
              <w:pStyle w:val="Compact"/>
              <w:jc w:val="left"/>
            </w:pPr>
            <w:r>
              <w:t xml:space="preserve">Karaa 2020, PMID 32096613</w:t>
            </w:r>
          </w:p>
        </w:tc>
      </w:tr>
      <w:tr>
        <w:tc>
          <w:tcPr/>
          <w:p>
            <w:pPr>
              <w:pStyle w:val="Compact"/>
              <w:jc w:val="left"/>
            </w:pPr>
            <w:r>
              <w:t xml:space="preserve">Mecasermina</w:t>
            </w:r>
          </w:p>
        </w:tc>
        <w:tc>
          <w:tcPr/>
          <w:p>
            <w:pPr>
              <w:pStyle w:val="Compact"/>
              <w:jc w:val="left"/>
            </w:pPr>
            <w:r>
              <w:t xml:space="preserve">alterazioni del tessuto adiposo nel 32%</w:t>
            </w:r>
          </w:p>
        </w:tc>
        <w:tc>
          <w:tcPr/>
          <w:p>
            <w:pPr>
              <w:pStyle w:val="Compact"/>
              <w:jc w:val="left"/>
            </w:pPr>
            <w:r>
              <w:t xml:space="preserve">Chernausek 2007, PMID 17192294</w:t>
            </w:r>
          </w:p>
        </w:tc>
      </w:tr>
      <w:tr>
        <w:tc>
          <w:tcPr/>
          <w:p>
            <w:pPr>
              <w:pStyle w:val="Compact"/>
              <w:jc w:val="left"/>
            </w:pPr>
            <w:r>
              <w:t xml:space="preserve">Tirzepatide</w:t>
            </w:r>
          </w:p>
        </w:tc>
        <w:tc>
          <w:tcPr/>
          <w:p>
            <w:pPr>
              <w:pStyle w:val="Compact"/>
              <w:jc w:val="left"/>
            </w:pPr>
            <w:r>
              <w:t xml:space="preserve">dal 2 al 7%</w:t>
            </w:r>
          </w:p>
        </w:tc>
        <w:tc>
          <w:tcPr/>
          <w:p>
            <w:pPr>
              <w:pStyle w:val="Compact"/>
              <w:jc w:val="left"/>
            </w:pPr>
            <w:r>
              <w:t xml:space="preserve">Gupta 2026, PMID 42930571</w:t>
            </w:r>
          </w:p>
        </w:tc>
      </w:tr>
      <w:tr>
        <w:tc>
          <w:tcPr/>
          <w:p>
            <w:pPr>
              <w:pStyle w:val="Compact"/>
              <w:jc w:val="left"/>
            </w:pPr>
            <w:r>
              <w:t xml:space="preserve">Bremelanotide</w:t>
            </w:r>
          </w:p>
        </w:tc>
        <w:tc>
          <w:tcPr/>
          <w:p>
            <w:pPr>
              <w:pStyle w:val="Compact"/>
              <w:jc w:val="left"/>
            </w:pPr>
            <w:r>
              <w:t xml:space="preserve">5,4% vs. 0,5% con placebo</w:t>
            </w:r>
          </w:p>
        </w:tc>
        <w:tc>
          <w:tcPr/>
          <w:p>
            <w:pPr>
              <w:pStyle w:val="Compact"/>
              <w:jc w:val="left"/>
            </w:pPr>
            <w:r>
              <w:t xml:space="preserve">Clayton 2022, PMID 35147466</w:t>
            </w:r>
          </w:p>
        </w:tc>
      </w:tr>
    </w:tbl>
    <w:p>
      <w:pPr>
        <w:pStyle w:val="BodyText"/>
      </w:pPr>
      <w:r>
        <w:t xml:space="preserve">Con la formulazione settimanale di exenatide si formano spesso piccoli noduli, perché le microsfere che rilasciano lentamente il principio attivo vengono degradate sotto la pelle. Nell’analisi a cinque anni di DURATION-1 queste reazioni sono diventate più rare con il tempo</w:t>
      </w:r>
      <w:r>
        <w:rPr>
          <w:rStyle w:val="FootnoteReference"/>
        </w:rPr>
        <w:footnoteReference w:id="2711"/>
      </w:r>
      <w:r>
        <w:t xml:space="preserve">. Nel caso della mecasermina si trattava di un ispessimento del tessuto adiposo nel sito di iniezione (lipoipertrofia).</w:t>
      </w:r>
    </w:p>
    <w:p>
      <w:pPr>
        <w:pStyle w:val="BodyText"/>
      </w:pPr>
      <w:r>
        <w:t xml:space="preserve">È importante la distinzione dall’</w:t>
      </w:r>
      <w:r>
        <w:rPr>
          <w:bCs/>
          <w:b/>
        </w:rPr>
        <w:t xml:space="preserve">infezione</w:t>
      </w:r>
      <w:r>
        <w:t xml:space="preserve">. Un arrossamento che aumenta nel corso dei giorni, diventa caldo, fa male, produce pus o si accompagna a febbre non è una reazione innocua. Dopo iniezioni di Argireline su fronte e tempie, una donna di 45 anni ha sviluppato noduli e ascessi; la causa era il batterio difficile da trattare</w:t>
      </w:r>
      <w:r>
        <w:t xml:space="preserve"> </w:t>
      </w:r>
      <w:r>
        <w:rPr>
          <w:iCs/>
          <w:i/>
        </w:rPr>
        <w:t xml:space="preserve">Mycobacterium abscessus</w:t>
      </w:r>
      <w:r>
        <w:t xml:space="preserve">, e il trattamento è durato cinque mesi</w:t>
      </w:r>
      <w:r>
        <w:rPr>
          <w:rStyle w:val="FootnoteReference"/>
        </w:rPr>
        <w:footnoteReference w:id="2712"/>
      </w:r>
      <w:r>
        <w:t xml:space="preserve">. Queste infezioni per lo più non derivano dal peptide, ma da prodotti o procedure non sterili – maggiori dettagli nel capitolo «Prodotti del mercato grigio».</w:t>
      </w:r>
    </w:p>
    <w:bookmarkEnd w:id="2713"/>
    <w:bookmarkStart w:id="2722" w:name="reazioni-allergiche-e-anafilassi"/>
    <w:p>
      <w:pPr>
        <w:pStyle w:val="Heading3"/>
      </w:pPr>
      <w:r>
        <w:t xml:space="preserve">Reazioni allergiche e anafilassi</w:t>
      </w:r>
    </w:p>
    <w:p>
      <w:pPr>
        <w:pStyle w:val="FirstParagraph"/>
      </w:pPr>
      <w:r>
        <w:t xml:space="preserve">L’anafilassi è una reazione allergica grave che coinvolge l’intero organismo, con eruzione cutanea, gonfiori, difficoltà respiratoria e collasso circolatorio. Con i farmaci peptidici è rara, ma si verifica.</w:t>
      </w:r>
    </w:p>
    <w:p>
      <w:pPr>
        <w:pStyle w:val="BodyText"/>
      </w:pPr>
      <w:r>
        <w:t xml:space="preserve">Per i farmaci GLP-1 esistono in merito grandi studi su banche dati. In tre banche dati assicurative statunitensi con 696.089 nuovi utilizzatori, la frequenza di un’anafilassi era, a seconda del principio attivo, da 1,0 (lixisenatide) a 6,0 (exenatide) casi ogni 10.000 anni-persona; gli autori valutano l’anafilassi con i farmaci GLP-1 come rara</w:t>
      </w:r>
      <w:r>
        <w:rPr>
          <w:rStyle w:val="FootnoteReference"/>
        </w:rPr>
        <w:footnoteReference w:id="2714"/>
      </w:r>
      <w:r>
        <w:t xml:space="preserve">. Uno studio dal Regno Unito e dagli USA ha confrontato gli agonisti del recettore del GLP-1 con altri due gruppi di farmaci antidiabetici. Rispetto agli inibitori della DPP-4 il rischio non era aumentato in modo accertato (hazard ratio 1,15), rispetto agli inibitori di SGLT2 lo era del 38% (40,7 contro 29,4 casi ogni 100.000 anni-persona)</w:t>
      </w:r>
      <w:r>
        <w:rPr>
          <w:rStyle w:val="FootnoteReference"/>
        </w:rPr>
        <w:footnoteReference w:id="2715"/>
      </w:r>
      <w:r>
        <w:t xml:space="preserve">. Si tratta di un aumento relativo di una reazione in assoluto molto rara.</w:t>
      </w:r>
    </w:p>
    <w:p>
      <w:pPr>
        <w:pStyle w:val="BodyText"/>
      </w:pPr>
      <w:r>
        <w:t xml:space="preserve">Singoli casi mostrano come possono presentarsi queste reazioni:</w:t>
      </w:r>
    </w:p>
    <w:p>
      <w:pPr>
        <w:numPr>
          <w:ilvl w:val="0"/>
          <w:numId w:val="1343"/>
        </w:numPr>
        <w:pStyle w:val="Compact"/>
      </w:pPr>
      <w:r>
        <w:t xml:space="preserve">Casi clinici descrivono anafilassi con la formulazione settimanale di exenatide</w:t>
      </w:r>
      <w:r>
        <w:rPr>
          <w:rStyle w:val="FootnoteReference"/>
        </w:rPr>
        <w:footnoteReference w:id="2716"/>
      </w:r>
      <w:r>
        <w:t xml:space="preserve"> </w:t>
      </w:r>
      <w:r>
        <w:t xml:space="preserve">e una reazione allergica a exenatide e lixisenatide, ma non a liraglutide</w:t>
      </w:r>
      <w:r>
        <w:rPr>
          <w:rStyle w:val="FootnoteReference"/>
        </w:rPr>
        <w:footnoteReference w:id="2717"/>
      </w:r>
      <w:r>
        <w:t xml:space="preserve"> </w:t>
      </w:r>
      <w:r>
        <w:t xml:space="preserve">– un indizio che i principi attivi derivati dalla lucertola vengono riconosciuti diversamente da quelli simili all’umano.</w:t>
      </w:r>
    </w:p>
    <w:p>
      <w:pPr>
        <w:numPr>
          <w:ilvl w:val="0"/>
          <w:numId w:val="1343"/>
        </w:numPr>
        <w:pStyle w:val="Compact"/>
      </w:pPr>
      <w:r>
        <w:t xml:space="preserve">Con tirzepatide è descritta un’anafilassi bifasica, in cui i disturbi sono ricomparsi dopo un iniziale miglioramento</w:t>
      </w:r>
      <w:r>
        <w:rPr>
          <w:rStyle w:val="FootnoteReference"/>
        </w:rPr>
        <w:footnoteReference w:id="2718"/>
      </w:r>
      <w:r>
        <w:t xml:space="preserve">.</w:t>
      </w:r>
    </w:p>
    <w:p>
      <w:pPr>
        <w:numPr>
          <w:ilvl w:val="0"/>
          <w:numId w:val="1343"/>
        </w:numPr>
        <w:pStyle w:val="Compact"/>
      </w:pPr>
      <w:r>
        <w:t xml:space="preserve">Una donna di 50 anni, quattro ore dopo la sua prima iniezione di semaglutide proveniente da una farmacia galenica, ha sviluppato un gonfiore massiccio di labbra, lingua e gola e ha dovuto essere ventilata per quattro giorni. Solo in seguito è emerso che si era iniettata per errore una quantità dieci volte superiore</w:t>
      </w:r>
      <w:r>
        <w:rPr>
          <w:rStyle w:val="FootnoteReference"/>
        </w:rPr>
        <w:footnoteReference w:id="2719"/>
      </w:r>
      <w:r>
        <w:t xml:space="preserve">.</w:t>
      </w:r>
    </w:p>
    <w:p>
      <w:pPr>
        <w:numPr>
          <w:ilvl w:val="0"/>
          <w:numId w:val="1343"/>
        </w:numPr>
        <w:pStyle w:val="Compact"/>
      </w:pPr>
      <w:r>
        <w:t xml:space="preserve">Dopo un’infusione di Cerebrolysin un uomo di 85 anni ha sviluppato un’anafilassi potenzialmente mortale, confermata in laboratorio</w:t>
      </w:r>
      <w:r>
        <w:rPr>
          <w:rStyle w:val="FootnoteReference"/>
        </w:rPr>
        <w:footnoteReference w:id="2720"/>
      </w:r>
      <w:r>
        <w:t xml:space="preserve">. Cerebrolysin è una miscela di peptidi ricavati da cervello di maiale; estratti animali come questo o Thymalin portano con sé, per principio, più proteine estranee (capitoli Cerebrolysin, Thymalin).</w:t>
      </w:r>
    </w:p>
    <w:p>
      <w:pPr>
        <w:pStyle w:val="FirstParagraph"/>
      </w:pPr>
      <w:r>
        <w:t xml:space="preserve">Anche con i peptidi cosmetici sono possibili allergie, sebbene rare. In un piccolo studio con una crema che conteneva tra l’altro palmitoil pentapeptide-4 si è verificato un sospetto di reazione allergica; quale componente fosse responsabile è rimasto aperto</w:t>
      </w:r>
      <w:r>
        <w:rPr>
          <w:rStyle w:val="FootnoteReference"/>
        </w:rPr>
        <w:footnoteReference w:id="2721"/>
      </w:r>
      <w:r>
        <w:t xml:space="preserve">.</w:t>
      </w:r>
    </w:p>
    <w:p>
      <w:pPr>
        <w:pStyle w:val="BodyText"/>
      </w:pPr>
      <w:r>
        <w:t xml:space="preserve">Per i peptidi del mercato grigio non esistono dati di frequenza. Il rischio di una reazione allergica grave è però particolarmente elevato in questo caso, perché l’uso avviene per lo più senza supervisione medica e in caso di emergenza nessuno è pronto con farmaci d’urgenza. Difficoltà respiratoria, gonfiori del viso o della gola e disturbi circolatori dopo un’iniezione sono sempre un’emergenza.</w:t>
      </w:r>
    </w:p>
    <w:bookmarkEnd w:id="2722"/>
    <w:bookmarkStart w:id="2727" w:name="reazioni-infiammatorie-e-autoimmuni"/>
    <w:p>
      <w:pPr>
        <w:pStyle w:val="Heading3"/>
      </w:pPr>
      <w:r>
        <w:t xml:space="preserve">Reazioni infiammatorie e autoimmuni</w:t>
      </w:r>
    </w:p>
    <w:p>
      <w:pPr>
        <w:pStyle w:val="FirstParagraph"/>
      </w:pPr>
      <w:r>
        <w:t xml:space="preserve">Alcuni peptidi fanno essi stessi parte del sistema immunitario. Ciò li rende interessanti, ma anche rischiosi.</w:t>
      </w:r>
    </w:p>
    <w:p>
      <w:pPr>
        <w:pStyle w:val="BodyText"/>
      </w:pPr>
      <w:r>
        <w:rPr>
          <w:bCs/>
          <w:b/>
        </w:rPr>
        <w:t xml:space="preserve">LL-37</w:t>
      </w:r>
      <w:r>
        <w:t xml:space="preserve"> </w:t>
      </w:r>
      <w:r>
        <w:t xml:space="preserve">è un peptide di difesa endogeno. Nella psoriasi ha un ruolo chiave: si lega al materiale genetico dell’organismo e lo rende visibile a determinate cellule immunitarie, che rilasciano quindi messaggeri dell’infiammazione</w:t>
      </w:r>
      <w:r>
        <w:rPr>
          <w:rStyle w:val="FootnoteReference"/>
        </w:rPr>
        <w:footnoteReference w:id="2723"/>
      </w:r>
      <w:r>
        <w:t xml:space="preserve">. In due terzi delle persone con psoriasi da moderata a grave sono state trovate cellule T che riconoscono specificamente LL-37 – lì agisce quindi come un autoantigene</w:t>
      </w:r>
      <w:r>
        <w:rPr>
          <w:rStyle w:val="FootnoteReference"/>
        </w:rPr>
        <w:footnoteReference w:id="2724"/>
      </w:r>
      <w:r>
        <w:t xml:space="preserve">. Dopo iniezioni di LL-37 in metastasi cutanee, in una paziente sono comparse alterazioni cutanee infiammatorie simili a verruche</w:t>
      </w:r>
      <w:r>
        <w:rPr>
          <w:rStyle w:val="FootnoteReference"/>
        </w:rPr>
        <w:footnoteReference w:id="2725"/>
      </w:r>
      <w:r>
        <w:t xml:space="preserve">. Per le persone con psoriasi, rosacea o altre malattie autoimmuni è un’indicazione da prendere sul serio (capitolo LL-37).</w:t>
      </w:r>
    </w:p>
    <w:p>
      <w:pPr>
        <w:pStyle w:val="BodyText"/>
      </w:pPr>
      <w:r>
        <w:t xml:space="preserve">I</w:t>
      </w:r>
      <w:r>
        <w:t xml:space="preserve"> </w:t>
      </w:r>
      <w:r>
        <w:rPr>
          <w:bCs/>
          <w:b/>
        </w:rPr>
        <w:t xml:space="preserve">peptidi immunostimolanti</w:t>
      </w:r>
      <w:r>
        <w:t xml:space="preserve"> </w:t>
      </w:r>
      <w:r>
        <w:t xml:space="preserve">come la timosina alfa-1 e Thymalin dovrebbero stimolare le difese. Se ciò sia dannoso in caso di malattie autoimmuni o dopo trapianti d’organo non è stato studiato (capitoli Timosina alfa-1, Thymalin).</w:t>
      </w:r>
    </w:p>
    <w:p>
      <w:pPr>
        <w:pStyle w:val="BodyText"/>
      </w:pPr>
      <w:r>
        <w:t xml:space="preserve">Per i farmaci GLP-1 una revisione sistematica descrive, oltre alle frequenti reazioni cutanee lievi, malattie immunomediate rare ma potenzialmente gravi, tra cui angioedemi, malattie autoimmuni bollose, eruzioni da farmaci e infiammazioni dei vasi</w:t>
      </w:r>
      <w:r>
        <w:rPr>
          <w:rStyle w:val="FootnoteReference"/>
        </w:rPr>
        <w:footnoteReference w:id="2726"/>
      </w:r>
      <w:r>
        <w:t xml:space="preserve">. Quanto siano frequenti non si può desumere da casi clinici.</w:t>
      </w:r>
    </w:p>
    <w:bookmarkEnd w:id="2727"/>
    <w:bookmarkStart w:id="2733" w:name="le-impurità-come-fattore-scatenante"/>
    <w:p>
      <w:pPr>
        <w:pStyle w:val="Heading3"/>
      </w:pPr>
      <w:r>
        <w:t xml:space="preserve">Le impurità come fattore scatenante</w:t>
      </w:r>
    </w:p>
    <w:p>
      <w:pPr>
        <w:pStyle w:val="FirstParagraph"/>
      </w:pPr>
      <w:r>
        <w:t xml:space="preserve">Una parte delle reazioni immunitarie non deriva dal peptide in sé, ma da ciò che finisce in aggiunta nel flacone durante la produzione.</w:t>
      </w:r>
    </w:p>
    <w:p>
      <w:pPr>
        <w:pStyle w:val="BodyText"/>
      </w:pPr>
      <w:r>
        <w:rPr>
          <w:bCs/>
          <w:b/>
        </w:rPr>
        <w:t xml:space="preserve">Peptidi difettosi.</w:t>
      </w:r>
      <w:r>
        <w:t xml:space="preserve"> </w:t>
      </w:r>
      <w:r>
        <w:t xml:space="preserve">Nella sintesi chimica si formano molecole in cui un elemento costitutivo manca, compare due volte o è modificato chimicamente. Queste impurità possono contenere nuove strutture che le cellule T del sistema immunitario riconoscono. Per questo l’autorità statunitense per i farmaci richiede, per i prodotti generici di peptidi sintetici, informazioni su ogni nuova impurità rispetto al preparato originale</w:t>
      </w:r>
      <w:r>
        <w:rPr>
          <w:rStyle w:val="FootnoteReference"/>
        </w:rPr>
        <w:footnoteReference w:id="2728"/>
      </w:r>
      <w:r>
        <w:t xml:space="preserve">. Come si presenta una verifica del genere lo mostra un’indagine su generici del peptide per l’osteoporosi teriparatide, in cui le impurità sono state valutate con metodi informatici, test di legame ed esperimenti con cellule immunitarie umane</w:t>
      </w:r>
      <w:r>
        <w:rPr>
          <w:rStyle w:val="FootnoteReference"/>
        </w:rPr>
        <w:footnoteReference w:id="2729"/>
      </w:r>
      <w:r>
        <w:t xml:space="preserve">.</w:t>
      </w:r>
    </w:p>
    <w:p>
      <w:pPr>
        <w:pStyle w:val="BodyText"/>
      </w:pPr>
      <w:r>
        <w:rPr>
          <w:bCs/>
          <w:b/>
        </w:rPr>
        <w:t xml:space="preserve">Prodotti generici GLP-1.</w:t>
      </w:r>
      <w:r>
        <w:t xml:space="preserve"> </w:t>
      </w:r>
      <w:r>
        <w:t xml:space="preserve">Un’analisi vicina al produttore di 16 prodotti generici iniettabili e 8 orali di semaglutide ha trovato nuove impurità, tra cui molecole proteiche più grandi, e nuovi siti di riconoscimento per il sistema immunitario previsti con metodi informatici; nei generici di liraglutide è emersa una maggiore tendenza all’aggregazione</w:t>
      </w:r>
      <w:r>
        <w:rPr>
          <w:rStyle w:val="FootnoteReference"/>
        </w:rPr>
        <w:footnoteReference w:id="2730"/>
      </w:r>
      <w:r>
        <w:t xml:space="preserve">. Se queste differenze provochino effettivamente più anticorpi nell’uomo non è stato misurato. Che un prodotto generico sintetico prodotto con cura non sia automaticamente più problematico lo mostra un’altra indagine: un generico sintetico di liraglutide non ha stimolato in laboratorio le cellule immunitarie umane più dell’originale prodotto con tecniche di ingegneria genetica</w:t>
      </w:r>
      <w:r>
        <w:rPr>
          <w:rStyle w:val="FootnoteReference"/>
        </w:rPr>
        <w:footnoteReference w:id="2731"/>
      </w:r>
      <w:r>
        <w:t xml:space="preserve">. Decisivo non è quindi il tipo di produzione, ma il controllo di qualità.</w:t>
      </w:r>
    </w:p>
    <w:p>
      <w:pPr>
        <w:pStyle w:val="BodyText"/>
      </w:pPr>
      <w:r>
        <w:rPr>
          <w:bCs/>
          <w:b/>
        </w:rPr>
        <w:t xml:space="preserve">Endotossine e germi.</w:t>
      </w:r>
      <w:r>
        <w:t xml:space="preserve"> </w:t>
      </w:r>
      <w:r>
        <w:t xml:space="preserve">Le endotossine, componenti della parete cellulare dei batteri, attivano direttamente il sistema immunitario innato e possono provocare febbre, brividi e reazioni circolatorie. In acquisti di prova di semaglutide da farmacie online illegali erano rilevabili in tutti i campioni (Ashraf 2024, PMID 39509151; dettagli nella Parte I). Un laboratorio di controllo ha rilevato in due preparati peptidici illegali per iniezione il batterio</w:t>
      </w:r>
      <w:r>
        <w:t xml:space="preserve"> </w:t>
      </w:r>
      <w:r>
        <w:rPr>
          <w:iCs/>
          <w:i/>
        </w:rPr>
        <w:t xml:space="preserve">Bacillus cereus</w:t>
      </w:r>
      <w:r>
        <w:t xml:space="preserve">, che può distruggere i globuli rossi</w:t>
      </w:r>
      <w:r>
        <w:rPr>
          <w:rStyle w:val="FootnoteReference"/>
        </w:rPr>
        <w:footnoteReference w:id="2732"/>
      </w:r>
      <w:r>
        <w:t xml:space="preserve">.</w:t>
      </w:r>
    </w:p>
    <w:p>
      <w:pPr>
        <w:pStyle w:val="BodyText"/>
      </w:pPr>
      <w:r>
        <w:t xml:space="preserve">Per il mercato grigio ciò significa: anche se un peptide in sé è poco immunogeno, il prodotto può esserlo. E poiché per la merce del mercato grigio non vengono verificati né i profili delle impurità né i limiti di endotossine, una reazione difficilmente si può attribuire a posteriori a un componente.</w:t>
      </w:r>
    </w:p>
    <w:bookmarkEnd w:id="2733"/>
    <w:bookmarkStart w:id="2734" w:name="che-cosa-significa-in-pratica"/>
    <w:p>
      <w:pPr>
        <w:pStyle w:val="Heading3"/>
      </w:pPr>
      <w:r>
        <w:t xml:space="preserve">Che cosa significa in pratica</w:t>
      </w:r>
    </w:p>
    <w:p>
      <w:pPr>
        <w:numPr>
          <w:ilvl w:val="0"/>
          <w:numId w:val="1344"/>
        </w:numPr>
        <w:pStyle w:val="Compact"/>
      </w:pPr>
      <w:r>
        <w:t xml:space="preserve">Gli anticorpi contro i farmaci peptidici sono frequenti, ma per lo più senza conseguenze. Con exenatide titoli alti possono attenuare l’effetto; con tirzepatide si accompagnano a un po’ più di reazioni cutanee e di ipersensibilità.</w:t>
      </w:r>
    </w:p>
    <w:p>
      <w:pPr>
        <w:numPr>
          <w:ilvl w:val="0"/>
          <w:numId w:val="1344"/>
        </w:numPr>
        <w:pStyle w:val="Compact"/>
      </w:pPr>
      <w:r>
        <w:t xml:space="preserve">Le reazioni nel sito di iniezione sono la reazione immunitaria più frequente, per alcuni peptidi quasi la regola. Arrossamento crescente, calore, pus o febbre indicano invece un’infezione.</w:t>
      </w:r>
    </w:p>
    <w:p>
      <w:pPr>
        <w:numPr>
          <w:ilvl w:val="0"/>
          <w:numId w:val="1344"/>
        </w:numPr>
        <w:pStyle w:val="Compact"/>
      </w:pPr>
      <w:r>
        <w:t xml:space="preserve">L’anafilassi con i farmaci GLP-1 autorizzati è molto rara – nell’ordine di pochi casi ogni 10.000 anni di trattamento. Esistono casi clinici anche per tirzepatide, Cerebrolysin e per un sovradosaggio accidentale.</w:t>
      </w:r>
    </w:p>
    <w:p>
      <w:pPr>
        <w:numPr>
          <w:ilvl w:val="0"/>
          <w:numId w:val="1344"/>
        </w:numPr>
        <w:pStyle w:val="Compact"/>
      </w:pPr>
      <w:r>
        <w:t xml:space="preserve">Per la maggior parte dei peptidi del mercato grigio mancano completamente dati su anticorpi e allergie. Impurità ed endotossine sono lì un rischio aggiuntivo e incalcolabile.</w:t>
      </w:r>
    </w:p>
    <w:p>
      <w:pPr>
        <w:numPr>
          <w:ilvl w:val="0"/>
          <w:numId w:val="1344"/>
        </w:numPr>
        <w:pStyle w:val="Compact"/>
      </w:pPr>
      <w:r>
        <w:t xml:space="preserve">Chi ha già avuto una reazione allergica a un peptide dovrebbe indicarlo in ogni trattamento medico. Se principi attivi affini vengano tollerati si può chiarire solo con il medico.</w:t>
      </w:r>
    </w:p>
    <w:bookmarkEnd w:id="2734"/>
    <w:bookmarkEnd w:id="2735"/>
    <w:bookmarkStart w:id="2779" w:name="X38948c860a67d91d031568ae1326caefb7d9be2"/>
    <w:p>
      <w:pPr>
        <w:pStyle w:val="Heading2"/>
      </w:pPr>
      <w:r>
        <w:t xml:space="preserve">Prodotti del mercato grigio: che cosa mostrano le analisi di laboratorio</w:t>
      </w:r>
    </w:p>
    <w:p>
      <w:pPr>
        <w:pStyle w:val="FirstParagraph"/>
      </w:pPr>
      <w:r>
        <w:t xml:space="preserve">Nella Parte I, il capitolo «Il mercato grigio» ha descritto che cosa sono i «Research Peptides» e ha presentato singoli ritrovamenti clamorosi: polvere di semaglutide con una purezza dal 7,7 al 14,4%, flaconi di Melanotan con meno della metà della quantità dichiarata, Ozempic contraffatto contenente insulina. Questo capitolo fa un passo avanti. Si chiede chi analizzi effettivamente questi prodotti, quali tipi di errore si ripetano in molte indagini, che cosa queste analisi non possano mostrare – e che cosa rivelino i dati dei centri antiveleni sulle conseguenze di dosaggi errati con i farmaci GLP-1.</w:t>
      </w:r>
    </w:p>
    <w:bookmarkStart w:id="2737" w:name="X4e0e4699bc1ad08e9ed44e805b0f0a364cb8cd7"/>
    <w:p>
      <w:pPr>
        <w:pStyle w:val="Heading3"/>
      </w:pPr>
      <w:r>
        <w:t xml:space="preserve">Chi analizza i prodotti del mercato grigio</w:t>
      </w:r>
    </w:p>
    <w:p>
      <w:pPr>
        <w:pStyle w:val="FirstParagraph"/>
      </w:pPr>
      <w:r>
        <w:t xml:space="preserve">La maggior parte dei dati proviene da tre fonti.</w:t>
      </w:r>
    </w:p>
    <w:p>
      <w:pPr>
        <w:pStyle w:val="BodyText"/>
      </w:pPr>
      <w:r>
        <w:rPr>
          <w:bCs/>
          <w:b/>
        </w:rPr>
        <w:t xml:space="preserve">Laboratori ufficiali di controllo dei farmaci.</w:t>
      </w:r>
      <w:r>
        <w:t xml:space="preserve"> </w:t>
      </w:r>
      <w:r>
        <w:t xml:space="preserve">In Europa collaborano in una rete coordinata dalla Direzione europea per la qualità dei medicinali. Esaminano campioni sequestrati da dogana, polizia o autorità sanitarie. Un laboratorio belga, per esempio, ha sviluppato un metodo di ricerca con cui è possibile riconoscere in un solo passaggio 25 diversi peptidi in preparati iniettabili sconosciuti – compresi alcuni che non erano ancora stati sequestrati, ma che erano già discussi nei forum su internet</w:t>
      </w:r>
      <w:r>
        <w:rPr>
          <w:rStyle w:val="FootnoteReference"/>
        </w:rPr>
        <w:footnoteReference w:id="2736"/>
      </w:r>
      <w:r>
        <w:t xml:space="preserve">.</w:t>
      </w:r>
    </w:p>
    <w:p>
      <w:pPr>
        <w:pStyle w:val="BodyText"/>
      </w:pPr>
      <w:r>
        <w:rPr>
          <w:bCs/>
          <w:b/>
        </w:rPr>
        <w:t xml:space="preserve">Laboratori antidoping e forensi.</w:t>
      </w:r>
      <w:r>
        <w:t xml:space="preserve"> </w:t>
      </w:r>
      <w:r>
        <w:t xml:space="preserve">Analizzano merce sequestrata nell’ambiente sportivo per mantenere aggiornati i propri metodi di rilevamento. I reperti di Colonia, norvegesi e danesi della Parte I provengono da questa fonte.</w:t>
      </w:r>
    </w:p>
    <w:p>
      <w:pPr>
        <w:pStyle w:val="BodyText"/>
      </w:pPr>
      <w:r>
        <w:rPr>
          <w:bCs/>
          <w:b/>
        </w:rPr>
        <w:t xml:space="preserve">Acquisti di prova da parte di gruppi di ricerca.</w:t>
      </w:r>
      <w:r>
        <w:t xml:space="preserve"> </w:t>
      </w:r>
      <w:r>
        <w:t xml:space="preserve">Acquistano in modo mirato prodotti da venditori online e verificano che cosa arriva. Queste indagini sono più rare, ma sono le più vicine alla situazione degli acquirenti.</w:t>
      </w:r>
    </w:p>
    <w:p>
      <w:pPr>
        <w:pStyle w:val="BodyText"/>
      </w:pPr>
      <w:r>
        <w:t xml:space="preserve">Si usano metodi che rispondono a domande diverse: la spettrometria di massa mostra</w:t>
      </w:r>
      <w:r>
        <w:t xml:space="preserve"> </w:t>
      </w:r>
      <w:r>
        <w:rPr>
          <w:iCs/>
          <w:i/>
        </w:rPr>
        <w:t xml:space="preserve">quale</w:t>
      </w:r>
      <w:r>
        <w:t xml:space="preserve"> </w:t>
      </w:r>
      <w:r>
        <w:t xml:space="preserve">sostanza è presente; la cromatografia liquida misura</w:t>
      </w:r>
      <w:r>
        <w:t xml:space="preserve"> </w:t>
      </w:r>
      <w:r>
        <w:rPr>
          <w:iCs/>
          <w:i/>
        </w:rPr>
        <w:t xml:space="preserve">quanta</w:t>
      </w:r>
      <w:r>
        <w:t xml:space="preserve"> </w:t>
      </w:r>
      <w:r>
        <w:t xml:space="preserve">e</w:t>
      </w:r>
      <w:r>
        <w:t xml:space="preserve"> </w:t>
      </w:r>
      <w:r>
        <w:rPr>
          <w:iCs/>
          <w:i/>
        </w:rPr>
        <w:t xml:space="preserve">quanto pura</w:t>
      </w:r>
      <w:r>
        <w:t xml:space="preserve">; metodi speciali rilevano metalli, residui di solventi, batteri o endotossine. Nessun laboratorio verifica tutto di routine. Se un rapporto determina solo l’identità, non dice nulla sui germi, e viceversa.</w:t>
      </w:r>
    </w:p>
    <w:bookmarkEnd w:id="2737"/>
    <w:bookmarkStart w:id="2757" w:name="Xd52a280ff0a7d60fb4e5c3e25127089108059a9"/>
    <w:p>
      <w:pPr>
        <w:pStyle w:val="Heading3"/>
      </w:pPr>
      <w:r>
        <w:t xml:space="preserve">Quattro tipi di errore che si ripetono sempre</w:t>
      </w:r>
    </w:p>
    <w:p>
      <w:pPr>
        <w:pStyle w:val="FirstParagraph"/>
      </w:pPr>
      <w:r>
        <w:t xml:space="preserve">Trasversalmente alle singole analisi, i reperti si possono ordinare in quattro gruppi.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Tipo di errore</w:t>
            </w:r>
          </w:p>
        </w:tc>
        <w:tc>
          <w:tcPr/>
          <w:p>
            <w:pPr>
              <w:pStyle w:val="Compact"/>
              <w:jc w:val="left"/>
            </w:pPr>
            <w:r>
              <w:t xml:space="preserve">Esempi dalle analisi</w:t>
            </w:r>
          </w:p>
        </w:tc>
        <w:tc>
          <w:tcPr/>
          <w:p>
            <w:pPr>
              <w:pStyle w:val="Compact"/>
              <w:jc w:val="left"/>
            </w:pPr>
            <w:r>
              <w:t xml:space="preserve">Fonte</w:t>
            </w:r>
          </w:p>
        </w:tc>
      </w:tr>
      <w:tr>
        <w:tc>
          <w:tcPr/>
          <w:p>
            <w:pPr>
              <w:pStyle w:val="Compact"/>
              <w:jc w:val="left"/>
            </w:pPr>
            <w:r>
              <w:t xml:space="preserve">Principio attivo sbagliato o assente</w:t>
            </w:r>
          </w:p>
        </w:tc>
        <w:tc>
          <w:tcPr/>
          <w:p>
            <w:pPr>
              <w:pStyle w:val="Compact"/>
              <w:jc w:val="left"/>
            </w:pPr>
            <w:r>
              <w:t xml:space="preserve">9 campioni sequestrati su 36 senza peptide né proteina</w:t>
            </w:r>
          </w:p>
        </w:tc>
        <w:tc>
          <w:tcPr/>
          <w:p>
            <w:pPr>
              <w:pStyle w:val="Compact"/>
              <w:jc w:val="left"/>
            </w:pPr>
            <w:r>
              <w:t xml:space="preserve">Høj 2021, PMID 33686802</w:t>
            </w:r>
          </w:p>
        </w:tc>
      </w:tr>
      <w:tr>
        <w:tc>
          <w:tcPr/>
          <w:p>
            <w:pPr>
              <w:pStyle w:val="Compact"/>
              <w:jc w:val="left"/>
            </w:pPr>
            <w:r>
              <w:t xml:space="preserve">Quantità sbagliata</w:t>
            </w:r>
          </w:p>
        </w:tc>
        <w:tc>
          <w:tcPr/>
          <w:p>
            <w:pPr>
              <w:pStyle w:val="Compact"/>
              <w:jc w:val="left"/>
            </w:pPr>
            <w:r>
              <w:t xml:space="preserve">solo il 41% di 44 prodotti su internet con quantità corretta di principio attivo</w:t>
            </w:r>
          </w:p>
        </w:tc>
        <w:tc>
          <w:tcPr/>
          <w:p>
            <w:pPr>
              <w:pStyle w:val="Compact"/>
              <w:jc w:val="left"/>
            </w:pPr>
            <w:r>
              <w:t xml:space="preserve">Van Wagoner 2017, PMID 29183075</w:t>
            </w:r>
          </w:p>
        </w:tc>
      </w:tr>
      <w:tr>
        <w:tc>
          <w:tcPr/>
          <w:p>
            <w:pPr>
              <w:pStyle w:val="Compact"/>
              <w:jc w:val="left"/>
            </w:pPr>
            <w:r>
              <w:t xml:space="preserve">Bassa purezza, prodotti di degradazione</w:t>
            </w:r>
          </w:p>
        </w:tc>
        <w:tc>
          <w:tcPr/>
          <w:p>
            <w:pPr>
              <w:pStyle w:val="Compact"/>
              <w:jc w:val="left"/>
            </w:pPr>
            <w:r>
              <w:t xml:space="preserve">purezza dal 5 al 75% per determinati peptidi</w:t>
            </w:r>
          </w:p>
        </w:tc>
        <w:tc>
          <w:tcPr/>
          <w:p>
            <w:pPr>
              <w:pStyle w:val="Compact"/>
              <w:jc w:val="left"/>
            </w:pPr>
            <w:r>
              <w:t xml:space="preserve">Janvier 2018, PMID 30029448</w:t>
            </w:r>
          </w:p>
        </w:tc>
      </w:tr>
      <w:tr>
        <w:tc>
          <w:tcPr/>
          <w:p>
            <w:pPr>
              <w:pStyle w:val="Compact"/>
              <w:jc w:val="left"/>
            </w:pPr>
            <w:r>
              <w:t xml:space="preserve">Sostanze accompagnatrici pericolose</w:t>
            </w:r>
          </w:p>
        </w:tc>
        <w:tc>
          <w:tcPr/>
          <w:p>
            <w:pPr>
              <w:pStyle w:val="Compact"/>
              <w:jc w:val="left"/>
            </w:pPr>
            <w:r>
              <w:t xml:space="preserve">arsenico e piombo, in parte fino a dieci volte il limite</w:t>
            </w:r>
          </w:p>
        </w:tc>
        <w:tc>
          <w:tcPr/>
          <w:p>
            <w:pPr>
              <w:pStyle w:val="Compact"/>
              <w:jc w:val="left"/>
            </w:pPr>
            <w:r>
              <w:t xml:space="preserve">Janvier 2018, PMID 30029448</w:t>
            </w:r>
          </w:p>
        </w:tc>
      </w:tr>
    </w:tbl>
    <w:bookmarkStart w:id="2743" w:name="Xab8af1b09df346eaf118e457086b3ff972666e3"/>
    <w:p>
      <w:pPr>
        <w:pStyle w:val="Heading4"/>
      </w:pPr>
      <w:r>
        <w:t xml:space="preserve">Principio attivo sbagliato o del tutto assente</w:t>
      </w:r>
    </w:p>
    <w:p>
      <w:pPr>
        <w:pStyle w:val="FirstParagraph"/>
      </w:pPr>
      <w:r>
        <w:t xml:space="preserve">Nel 2019 un laboratorio forense danese ha ricevuto 36 campioni sequestrati in cui si sospettava la presenza di peptidi o proteine. 15 contenevano una sostanza dopante vietata, 12 una sostanza che non figurava nell’elenco danese delle sostanze dopanti, e 9 non contenevano affatto peptidi o proteine</w:t>
      </w:r>
      <w:r>
        <w:rPr>
          <w:rStyle w:val="FootnoteReference"/>
        </w:rPr>
        <w:footnoteReference w:id="2738"/>
      </w:r>
      <w:r>
        <w:t xml:space="preserve">. In un’operazione doganale a livello europeo i laboratori hanno segnalato, tra i preparati iniettabili sequestrati, ormone della crescita, sermorelina, Melanotan II e preparati del tutto privi di principio attivo; le spedizioni erano in media troppo grandi per il fabbisogno personale e probabilmente destinate in parte alla rivendita</w:t>
      </w:r>
      <w:r>
        <w:rPr>
          <w:rStyle w:val="FootnoteReference"/>
        </w:rPr>
        <w:footnoteReference w:id="2739"/>
      </w:r>
      <w:r>
        <w:t xml:space="preserve">. In un caso belga un preparato ritenuto IGF-1 conteneva invece un altro fattore di crescita, il fattore di crescita epidermico EGF</w:t>
      </w:r>
      <w:r>
        <w:rPr>
          <w:rStyle w:val="FootnoteReference"/>
        </w:rPr>
        <w:footnoteReference w:id="2740"/>
      </w:r>
      <w:r>
        <w:t xml:space="preserve">.</w:t>
      </w:r>
    </w:p>
    <w:p>
      <w:pPr>
        <w:pStyle w:val="BodyText"/>
      </w:pPr>
      <w:r>
        <w:t xml:space="preserve">Un laboratorio antidoping equino ha analizzato prodotti offerti su internet con le denominazioni «TB500», «TB1000» e «SGF1000». Il contenuto dei prodotti TB non corrispondeva sempre alle descrizioni precedenti. «SGF1000» era composto prevalentemente da proteine del tessuto connettivo e del sangue di pecora; i presunti componenti che favoriscono la crescita erano estremamente diluiti</w:t>
      </w:r>
      <w:r>
        <w:rPr>
          <w:rStyle w:val="FootnoteReference"/>
        </w:rPr>
        <w:footnoteReference w:id="2741"/>
      </w:r>
      <w:r>
        <w:t xml:space="preserve">.</w:t>
      </w:r>
    </w:p>
    <w:p>
      <w:pPr>
        <w:pStyle w:val="BodyText"/>
      </w:pPr>
      <w:r>
        <w:t xml:space="preserve">Quanto spesso etichetta e contenuto divergano lo mostra un’indagine statunitense che non riguardava peptidi, ma i cosiddetti SARM, i quali però usano lo stesso canale di distribuzione: di 44 prodotti su internet solo il 52% conteneva effettivamente un principio attivo del gruppo di sostanze pubblicizzato. Il 39% conteneva altre sostanze non autorizzate, tra cui il secretagogo dell’ormone della crescita ibutamoren, il 9% nessun principio attivo e il 25% sostanze non dichiarate</w:t>
      </w:r>
      <w:r>
        <w:rPr>
          <w:rStyle w:val="FootnoteReference"/>
        </w:rPr>
        <w:footnoteReference w:id="2742"/>
      </w:r>
      <w:r>
        <w:t xml:space="preserve">.</w:t>
      </w:r>
    </w:p>
    <w:bookmarkEnd w:id="2743"/>
    <w:bookmarkStart w:id="2747" w:name="quantità-sbagliata"/>
    <w:p>
      <w:pPr>
        <w:pStyle w:val="Heading4"/>
      </w:pPr>
      <w:r>
        <w:t xml:space="preserve">Quantità sbagliata</w:t>
      </w:r>
    </w:p>
    <w:p>
      <w:pPr>
        <w:pStyle w:val="FirstParagraph"/>
      </w:pPr>
      <w:r>
        <w:t xml:space="preserve">Anche quando nel flacone c’è la sostanza giusta, la quantità spesso non corrisponde. Nell’analisi statunitense citata la quantità di principio attivo misurata corrispondeva a quella in etichetta solo in 18 prodotti su 44 (41%)</w:t>
      </w:r>
      <w:r>
        <w:rPr>
          <w:rStyle w:val="FootnoteReference"/>
        </w:rPr>
        <w:footnoteReference w:id="2744"/>
      </w:r>
      <w:r>
        <w:t xml:space="preserve">. Un laboratorio di tossicologia francese ha esaminato 75 farmaci del mondo del bodybuilding sequestrati sul mercato nero: il 33% era di qualità scadente, cioè dosato in modo errato, il 32% contraffatto, cioè con un contenuto diverso da quello dichiarato, e solo il 19% corrispondeva completamente all’originale</w:t>
      </w:r>
      <w:r>
        <w:rPr>
          <w:rStyle w:val="FootnoteReference"/>
        </w:rPr>
        <w:footnoteReference w:id="2745"/>
      </w:r>
      <w:r>
        <w:t xml:space="preserve">. Una sorveglianza europea del mercato durata cinque anni, con 324 campioni da 13 paesi, è giunta alla conclusione, in base ai limitati dati quantitativi, che la maggior parte dei campioni conteneva quantità efficaci e che alcuni erano persino sovradosati</w:t>
      </w:r>
      <w:r>
        <w:rPr>
          <w:rStyle w:val="FootnoteReference"/>
        </w:rPr>
        <w:footnoteReference w:id="2746"/>
      </w:r>
      <w:r>
        <w:t xml:space="preserve">.</w:t>
      </w:r>
    </w:p>
    <w:p>
      <w:pPr>
        <w:pStyle w:val="BodyText"/>
      </w:pPr>
      <w:r>
        <w:t xml:space="preserve">Entrambe le cose sono pericolose: troppo poco principio attivo induce a «ridosare»; troppo porta direttamente a effetti collaterali più forti. Con i farmaci GLP-1, la cui tollerabilità dipende molto dall’aumento lento della dose, una quantità sconosciuta è particolarmente problematica.</w:t>
      </w:r>
    </w:p>
    <w:bookmarkEnd w:id="2747"/>
    <w:bookmarkStart w:id="2752" w:name="Xae31d071238bae5f546e0919c33b70deeeab74d"/>
    <w:p>
      <w:pPr>
        <w:pStyle w:val="Heading4"/>
      </w:pPr>
      <w:r>
        <w:t xml:space="preserve">Bassa purezza, prodotti di degradazione e varianti di design</w:t>
      </w:r>
    </w:p>
    <w:p>
      <w:pPr>
        <w:pStyle w:val="FirstParagraph"/>
      </w:pPr>
      <w:r>
        <w:t xml:space="preserve">L’indagine sistematica più completa proviene dal Belgio. Il laboratorio di controllo ha acquistato i dieci farmaci peptidici più contraffatti del mercato belga presso tre farmacie online presumibilmente illegali e li ha analizzati per principio attivo, impurità peptidiche, piccole sostanze organiche estranee, metalli e residui di solventi. La quantità per flacone variava molto, e per i peptidi contenenti l’amminoacido cisteina la purezza era compresa tra il 5 e il 75%</w:t>
      </w:r>
      <w:r>
        <w:rPr>
          <w:rStyle w:val="FootnoteReference"/>
        </w:rPr>
        <w:footnoteReference w:id="2748"/>
      </w:r>
      <w:r>
        <w:t xml:space="preserve">.</w:t>
      </w:r>
    </w:p>
    <w:p>
      <w:pPr>
        <w:pStyle w:val="BodyText"/>
      </w:pPr>
      <w:r>
        <w:t xml:space="preserve">Altri laboratori hanno trovato in prodotti del mercato nero di derivati dell’IGF-1 numerose forme peptidiche ossidate, cioè modificate chimicamente</w:t>
      </w:r>
      <w:r>
        <w:rPr>
          <w:rStyle w:val="FootnoteReference"/>
        </w:rPr>
        <w:footnoteReference w:id="2749"/>
      </w:r>
      <w:r>
        <w:t xml:space="preserve">, e in un campione sequestrato di Melanotan II una purezza del 30%</w:t>
      </w:r>
      <w:r>
        <w:rPr>
          <w:rStyle w:val="FootnoteReference"/>
        </w:rPr>
        <w:footnoteReference w:id="2750"/>
      </w:r>
      <w:r>
        <w:t xml:space="preserve">. In preparati sequestrati dalla dogana danese sono stati trovati derivati di GHRP-2, GHRP-6, ipamorelina e di un frammento di GHRH, ai quali era stato anteposto ciascuno un amminoacido glicina aggiuntivo</w:t>
      </w:r>
      <w:r>
        <w:rPr>
          <w:rStyle w:val="FootnoteReference"/>
        </w:rPr>
        <w:footnoteReference w:id="2751"/>
      </w:r>
      <w:r>
        <w:t xml:space="preserve">. Queste «varianti di design» servono presumibilmente ad aggirare i test antidoping. Il loro effetto e la loro sicurezza nell’uomo sono del tutto sconosciuti.</w:t>
      </w:r>
    </w:p>
    <w:bookmarkEnd w:id="2752"/>
    <w:bookmarkStart w:id="2756" w:name="sostanze-accompagnatrici-pericolose"/>
    <w:p>
      <w:pPr>
        <w:pStyle w:val="Heading4"/>
      </w:pPr>
      <w:r>
        <w:t xml:space="preserve">Sostanze accompagnatrici pericolose</w:t>
      </w:r>
    </w:p>
    <w:p>
      <w:pPr>
        <w:pStyle w:val="FirstParagraph"/>
      </w:pPr>
      <w:r>
        <w:t xml:space="preserve">Nell’indagine belga sono stati trovati gli elementi tossici arsenico e piombo. Un campione era contaminato da piombo, diversi contenevano arsenico in concentrazioni fino a dieci volte il limite internazionale per i farmaci iniettabili. L’analisi più approfondita ha mostrato che l’arsenico era presente interamente nella più tossica forma inorganica. Gli autori sottolineano che l’arsenico è cancerogeno e che il piombo si accumula nell’organismo – con un uso ripetuto per mesi, un rischio aggiuntivo e strisciante</w:t>
      </w:r>
      <w:r>
        <w:rPr>
          <w:rStyle w:val="FootnoteReference"/>
        </w:rPr>
        <w:footnoteReference w:id="2753"/>
      </w:r>
      <w:r>
        <w:t xml:space="preserve">.</w:t>
      </w:r>
    </w:p>
    <w:p>
      <w:pPr>
        <w:pStyle w:val="BodyText"/>
      </w:pPr>
      <w:r>
        <w:t xml:space="preserve">A ciò si aggiungono germi e componenti batterici. Lo stesso laboratorio ha rilevato in due preparati peptidici illegali per iniezione il batterio</w:t>
      </w:r>
      <w:r>
        <w:t xml:space="preserve"> </w:t>
      </w:r>
      <w:r>
        <w:rPr>
          <w:iCs/>
          <w:i/>
        </w:rPr>
        <w:t xml:space="preserve">Bacillus cereus</w:t>
      </w:r>
      <w:r>
        <w:rPr>
          <w:rStyle w:val="FootnoteReference"/>
        </w:rPr>
        <w:footnoteReference w:id="2754"/>
      </w:r>
      <w:r>
        <w:t xml:space="preserve">. Negli acquisti di prova di semaglutide della Parte I erano rilevabili endotossine in tutti i campioni</w:t>
      </w:r>
      <w:r>
        <w:rPr>
          <w:rStyle w:val="FootnoteReference"/>
        </w:rPr>
        <w:footnoteReference w:id="2755"/>
      </w:r>
      <w:r>
        <w:t xml:space="preserve">. Perché ciò sia rilevante per il sistema immunitario lo descrive il capitolo «Reazioni immunitarie e anticorpi».</w:t>
      </w:r>
    </w:p>
    <w:bookmarkEnd w:id="2756"/>
    <w:bookmarkEnd w:id="2757"/>
    <w:bookmarkStart w:id="2763" w:name="sostanze-sempre-nuove"/>
    <w:p>
      <w:pPr>
        <w:pStyle w:val="Heading3"/>
      </w:pPr>
      <w:r>
        <w:t xml:space="preserve">Sostanze sempre nuove</w:t>
      </w:r>
    </w:p>
    <w:p>
      <w:pPr>
        <w:pStyle w:val="FirstParagraph"/>
      </w:pPr>
      <w:r>
        <w:t xml:space="preserve">Il mercato grigio reagisce rapidamente alle tendenze. Una sorveglianza europea del mercato con 1.104 casi segnalati da 16 paesi tra il 2017 e il 2019 ha rilevato che l’11% dei campioni conteneva molecole biologiche, soprattutto «Research Peptides»; era in assoluto la seconda categoria più frequente</w:t>
      </w:r>
      <w:r>
        <w:rPr>
          <w:rStyle w:val="FootnoteReference"/>
        </w:rPr>
        <w:footnoteReference w:id="2758"/>
      </w:r>
      <w:r>
        <w:t xml:space="preserve">. Laboratori belgi hanno identificato in preparati sequestrati il «peptide anti-aging» Epitalon</w:t>
      </w:r>
      <w:r>
        <w:rPr>
          <w:rStyle w:val="FootnoteReference"/>
        </w:rPr>
        <w:footnoteReference w:id="2759"/>
      </w:r>
      <w:r>
        <w:t xml:space="preserve"> </w:t>
      </w:r>
      <w:r>
        <w:t xml:space="preserve">e i peptidi nootropi Selank e Semax; il laboratorio ha quindi sviluppato un proprio metodo di rilevamento per dieci di questi peptidi offerti su internet</w:t>
      </w:r>
      <w:r>
        <w:rPr>
          <w:rStyle w:val="FootnoteReference"/>
        </w:rPr>
        <w:footnoteReference w:id="2760"/>
      </w:r>
      <w:r>
        <w:t xml:space="preserve">. Nel frattempo vengono offerti anche principi attivi ancora in fase di studi clinici, per esempio retatrutide e amicretina (capitoli Retatrutide, Amicretina).</w:t>
      </w:r>
    </w:p>
    <w:p>
      <w:pPr>
        <w:pStyle w:val="BodyText"/>
      </w:pPr>
      <w:r>
        <w:t xml:space="preserve">Per i laboratori di controllo ciò significa una corsa contro il tempo: una sostanza per cui non esiste ancora una sostanza di riferimento non può essere identificata con certezza. Per gli acquirenti significa che sui prodotti più recenti si sa meno che mai su contenuto e qualità.</w:t>
      </w:r>
    </w:p>
    <w:p>
      <w:pPr>
        <w:pStyle w:val="BodyText"/>
      </w:pPr>
      <w:r>
        <w:t xml:space="preserve">Sempre più spesso i prodotti del mercato grigio compaiono anche in forme che sembrano più innocue di un’iniezione. Un’indagine statunitense ha trovato 24 cerotti venduti come integratori alimentari e un gel pubblicizzati come «GLP-1 naturale». Nessuno presentava un certificato di analisi, molti facevano pubblicità ingannevole; secondo il diritto statunitense la vendita di tali cerotti come integratori non è ammessa</w:t>
      </w:r>
      <w:r>
        <w:rPr>
          <w:rStyle w:val="FootnoteReference"/>
        </w:rPr>
        <w:footnoteReference w:id="2761"/>
      </w:r>
      <w:r>
        <w:t xml:space="preserve">. Nella sorveglianza europea del mercato il 24% dei preparati per lo sviluppo muscolare era presentato come integratore alimentare – chi li acquista spesso non sa di assumere un farmaco non autorizzato</w:t>
      </w:r>
      <w:r>
        <w:rPr>
          <w:rStyle w:val="FootnoteReference"/>
        </w:rPr>
        <w:footnoteReference w:id="2762"/>
      </w:r>
      <w:r>
        <w:t xml:space="preserve">.</w:t>
      </w:r>
    </w:p>
    <w:bookmarkEnd w:id="2763"/>
    <w:bookmarkStart w:id="2764" w:name="che-cosa-le-analisi-non-mostrano"/>
    <w:p>
      <w:pPr>
        <w:pStyle w:val="Heading3"/>
      </w:pPr>
      <w:r>
        <w:t xml:space="preserve">Che cosa le analisi non mostrano</w:t>
      </w:r>
    </w:p>
    <w:p>
      <w:pPr>
        <w:pStyle w:val="FirstParagraph"/>
      </w:pPr>
      <w:r>
        <w:t xml:space="preserve">Per quanto chiari siano i reperti, hanno dei limiti.</w:t>
      </w:r>
    </w:p>
    <w:p>
      <w:pPr>
        <w:numPr>
          <w:ilvl w:val="0"/>
          <w:numId w:val="1345"/>
        </w:numPr>
        <w:pStyle w:val="Compact"/>
      </w:pPr>
      <w:r>
        <w:rPr>
          <w:bCs/>
          <w:b/>
        </w:rPr>
        <w:t xml:space="preserve">Nessun campione rappresentativo.</w:t>
      </w:r>
      <w:r>
        <w:t xml:space="preserve"> </w:t>
      </w:r>
      <w:r>
        <w:t xml:space="preserve">La merce sequestrata è una selezione di ciò che attira l’attenzione della dogana. Gli acquisti di prova comprendono per lo più pochi venditori. Quale sia la quota di prodotti difettosi sull’intero mercato non si può calcolare da questi dati.</w:t>
      </w:r>
    </w:p>
    <w:p>
      <w:pPr>
        <w:numPr>
          <w:ilvl w:val="0"/>
          <w:numId w:val="1345"/>
        </w:numPr>
        <w:pStyle w:val="Compact"/>
      </w:pPr>
      <w:r>
        <w:rPr>
          <w:bCs/>
          <w:b/>
        </w:rPr>
        <w:t xml:space="preserve">Istantanee.</w:t>
      </w:r>
      <w:r>
        <w:t xml:space="preserve"> </w:t>
      </w:r>
      <w:r>
        <w:t xml:space="preserve">Un venditore la cui merce oggi è corretta può domani fornire un lotto diverso. I buoni risultati di un’analisi non valgono per il flacone successivo.</w:t>
      </w:r>
    </w:p>
    <w:p>
      <w:pPr>
        <w:numPr>
          <w:ilvl w:val="0"/>
          <w:numId w:val="1345"/>
        </w:numPr>
        <w:pStyle w:val="Compact"/>
      </w:pPr>
      <w:r>
        <w:rPr>
          <w:bCs/>
          <w:b/>
        </w:rPr>
        <w:t xml:space="preserve">Non tutto viene verificato.</w:t>
      </w:r>
      <w:r>
        <w:t xml:space="preserve"> </w:t>
      </w:r>
      <w:r>
        <w:t xml:space="preserve">Molti rapporti determinano solo l’identità del principio attivo. Se un prodotto con contenuto «giusto» fosse sterile e privo di endotossine resta allora aperto.</w:t>
      </w:r>
    </w:p>
    <w:p>
      <w:pPr>
        <w:numPr>
          <w:ilvl w:val="0"/>
          <w:numId w:val="1345"/>
        </w:numPr>
        <w:pStyle w:val="Compact"/>
      </w:pPr>
      <w:r>
        <w:rPr>
          <w:bCs/>
          <w:b/>
        </w:rPr>
        <w:t xml:space="preserve">Nessuna affermazione su efficacia e sicurezza.</w:t>
      </w:r>
      <w:r>
        <w:t xml:space="preserve"> </w:t>
      </w:r>
      <w:r>
        <w:t xml:space="preserve">Anche un prodotto puro è sicuro solo quanto il principio attivo stesso. Per la maggior parte dei peptidi del mercato grigio mancano in merito studi sull’uomo (vedi Parte II).</w:t>
      </w:r>
    </w:p>
    <w:bookmarkEnd w:id="2764"/>
    <w:bookmarkStart w:id="2776" w:name="X1d2f7b0a714f18f69837eb734328020d9e84ecf"/>
    <w:p>
      <w:pPr>
        <w:pStyle w:val="Heading3"/>
      </w:pPr>
      <w:r>
        <w:t xml:space="preserve">Farmaci GLP-1: che cosa riferiscono i centri antiveleni</w:t>
      </w:r>
    </w:p>
    <w:p>
      <w:pPr>
        <w:pStyle w:val="FirstParagraph"/>
      </w:pPr>
      <w:r>
        <w:t xml:space="preserve">Per i farmaci GLP-1 esiste una fonte di dati aggiuntiva che mostra che cosa va effettivamente storto nell’uso: le chiamate ai centri antiveleni. Negli USA vengono raccolte in una banca dati nazionale. Questi dati non distinguono sempre tra originale, preparato galenico e merce del mercato grigio, ma mostrano l’ordine di grandezza dei problemi.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Studio</w:t>
            </w:r>
          </w:p>
        </w:tc>
        <w:tc>
          <w:tcPr/>
          <w:p>
            <w:pPr>
              <w:pStyle w:val="Compact"/>
              <w:jc w:val="left"/>
            </w:pPr>
            <w:r>
              <w:t xml:space="preserve">Periodo ed entità</w:t>
            </w:r>
          </w:p>
        </w:tc>
        <w:tc>
          <w:tcPr/>
          <w:p>
            <w:pPr>
              <w:pStyle w:val="Compact"/>
              <w:jc w:val="left"/>
            </w:pPr>
            <w:r>
              <w:t xml:space="preserve">Reperti principali</w:t>
            </w:r>
          </w:p>
        </w:tc>
      </w:tr>
      <w:tr>
        <w:tc>
          <w:tcPr/>
          <w:p>
            <w:pPr>
              <w:pStyle w:val="Compact"/>
              <w:jc w:val="left"/>
            </w:pPr>
            <w:r>
              <w:t xml:space="preserve">Gaw 2024, PMID 38421490</w:t>
            </w:r>
          </w:p>
        </w:tc>
        <w:tc>
          <w:tcPr/>
          <w:p>
            <w:pPr>
              <w:pStyle w:val="Compact"/>
              <w:jc w:val="left"/>
            </w:pPr>
            <w:r>
              <w:t xml:space="preserve">USA, 2017–2022, 5.713 casi</w:t>
            </w:r>
          </w:p>
        </w:tc>
        <w:tc>
          <w:tcPr/>
          <w:p>
            <w:pPr>
              <w:pStyle w:val="Compact"/>
              <w:jc w:val="left"/>
            </w:pPr>
            <w:r>
              <w:t xml:space="preserve">79,9% errori d’uso; 6,2% decorsi gravi, un decesso</w:t>
            </w:r>
          </w:p>
        </w:tc>
      </w:tr>
      <w:tr>
        <w:tc>
          <w:tcPr/>
          <w:p>
            <w:pPr>
              <w:pStyle w:val="Compact"/>
              <w:jc w:val="left"/>
            </w:pPr>
            <w:r>
              <w:t xml:space="preserve">Miller 2026, PMID 41634285</w:t>
            </w:r>
          </w:p>
        </w:tc>
        <w:tc>
          <w:tcPr/>
          <w:p>
            <w:pPr>
              <w:pStyle w:val="Compact"/>
              <w:jc w:val="left"/>
            </w:pPr>
            <w:r>
              <w:t xml:space="preserve">USA, 2012–2023, 10.033 casi</w:t>
            </w:r>
          </w:p>
        </w:tc>
        <w:tc>
          <w:tcPr/>
          <w:p>
            <w:pPr>
              <w:pStyle w:val="Compact"/>
              <w:jc w:val="left"/>
            </w:pPr>
            <w:r>
              <w:t xml:space="preserve">dopo l’autorizzazione per l’obesità più casi, quota con contatto medico od ospedaliero dal 23,0 al 33,5%</w:t>
            </w:r>
          </w:p>
        </w:tc>
      </w:tr>
      <w:tr>
        <w:tc>
          <w:tcPr/>
          <w:p>
            <w:pPr>
              <w:pStyle w:val="Compact"/>
              <w:jc w:val="left"/>
            </w:pPr>
            <w:r>
              <w:t xml:space="preserve">Senthilkumar 2026, PMID 41784916</w:t>
            </w:r>
          </w:p>
        </w:tc>
        <w:tc>
          <w:tcPr/>
          <w:p>
            <w:pPr>
              <w:pStyle w:val="Compact"/>
              <w:jc w:val="left"/>
            </w:pPr>
            <w:r>
              <w:t xml:space="preserve">USA, 2017–2024, 13.924 casi</w:t>
            </w:r>
          </w:p>
        </w:tc>
        <w:tc>
          <w:tcPr/>
          <w:p>
            <w:pPr>
              <w:pStyle w:val="Compact"/>
              <w:jc w:val="left"/>
            </w:pPr>
            <w:r>
              <w:t xml:space="preserve">91,7% senza conseguenze o con conseguenze lievi; 42 decorsi gravi, due decessi</w:t>
            </w:r>
          </w:p>
        </w:tc>
      </w:tr>
      <w:tr>
        <w:tc>
          <w:tcPr/>
          <w:p>
            <w:pPr>
              <w:pStyle w:val="Compact"/>
              <w:jc w:val="left"/>
            </w:pPr>
            <w:r>
              <w:t xml:space="preserve">Ho 2025, PMID 40371098</w:t>
            </w:r>
          </w:p>
        </w:tc>
        <w:tc>
          <w:tcPr/>
          <w:p>
            <w:pPr>
              <w:pStyle w:val="Compact"/>
              <w:jc w:val="left"/>
            </w:pPr>
            <w:r>
              <w:t xml:space="preserve">California, 2017–2023, 1.047 casi</w:t>
            </w:r>
          </w:p>
        </w:tc>
        <w:tc>
          <w:tcPr/>
          <w:p>
            <w:pPr>
              <w:pStyle w:val="Compact"/>
              <w:jc w:val="left"/>
            </w:pPr>
            <w:r>
              <w:t xml:space="preserve">21,0% in pronto soccorso, 4,4% ricoverati; ipoglicemia nel 3,8%</w:t>
            </w:r>
          </w:p>
        </w:tc>
      </w:tr>
    </w:tbl>
    <w:p>
      <w:pPr>
        <w:pStyle w:val="BodyText"/>
      </w:pPr>
      <w:r>
        <w:t xml:space="preserve">Spiccano diversi schemi:</w:t>
      </w:r>
    </w:p>
    <w:p>
      <w:pPr>
        <w:pStyle w:val="BodyText"/>
      </w:pPr>
      <w:r>
        <w:rPr>
          <w:bCs/>
          <w:b/>
        </w:rPr>
        <w:t xml:space="preserve">Il numero di casi è aumentato fortemente con la diffusione.</w:t>
      </w:r>
      <w:r>
        <w:t xml:space="preserve"> </w:t>
      </w:r>
      <w:r>
        <w:t xml:space="preserve">Dal 2021 al 2022 il tasso di casi segnalati per milione di abitanti è aumentato dell’80,9%</w:t>
      </w:r>
      <w:r>
        <w:rPr>
          <w:rStyle w:val="FootnoteReference"/>
        </w:rPr>
        <w:footnoteReference w:id="2765"/>
      </w:r>
      <w:r>
        <w:t xml:space="preserve">. Tra il 2017 e il 2024 è aumentato complessivamente del 1.830,8%</w:t>
      </w:r>
      <w:r>
        <w:rPr>
          <w:rStyle w:val="FootnoteReference"/>
        </w:rPr>
        <w:footnoteReference w:id="2766"/>
      </w:r>
      <w:r>
        <w:t xml:space="preserve">.</w:t>
      </w:r>
    </w:p>
    <w:p>
      <w:pPr>
        <w:pStyle w:val="BodyText"/>
      </w:pPr>
      <w:r>
        <w:rPr>
          <w:bCs/>
          <w:b/>
        </w:rPr>
        <w:t xml:space="preserve">La maggior parte dei casi sono errori d’uso.</w:t>
      </w:r>
      <w:r>
        <w:t xml:space="preserve"> </w:t>
      </w:r>
      <w:r>
        <w:t xml:space="preserve">In tutte le analisi prevalevano errori involontari nell’uso, per esempio una dose doppia o misurata in modo sbagliato</w:t>
      </w:r>
      <w:r>
        <w:rPr>
          <w:rStyle w:val="FootnoteReference"/>
        </w:rPr>
        <w:footnoteReference w:id="2767"/>
      </w:r>
      <w:r>
        <w:t xml:space="preserve">. In un’analisi di un singolo centro il 21% dei casi era dovuto a errori al primo utilizzo della penna preriempita</w:t>
      </w:r>
      <w:r>
        <w:rPr>
          <w:rStyle w:val="FootnoteReference"/>
        </w:rPr>
        <w:footnoteReference w:id="2768"/>
      </w:r>
      <w:r>
        <w:t xml:space="preserve">. Gli errori si verificano quindi anche con prodotti autorizzati. Nell’analisi californiana 36 casi riguardavano preparati galenici; per questi, nel 91,7% dei casi la causa erano errori nella misurazione o nell’iniezione</w:t>
      </w:r>
      <w:r>
        <w:rPr>
          <w:rStyle w:val="FootnoteReference"/>
        </w:rPr>
        <w:footnoteReference w:id="2769"/>
      </w:r>
      <w:r>
        <w:t xml:space="preserve">. Ciò concorda con i casi clinici, descritti nella Parte I, di confusioni tra millilitri, «unità» e milligrammi con i flaconi.</w:t>
      </w:r>
    </w:p>
    <w:p>
      <w:pPr>
        <w:pStyle w:val="BodyText"/>
      </w:pPr>
      <w:r>
        <w:rPr>
          <w:bCs/>
          <w:b/>
        </w:rPr>
        <w:t xml:space="preserve">Le conseguenze sono per lo più lievi, ma non sempre.</w:t>
      </w:r>
      <w:r>
        <w:t xml:space="preserve"> </w:t>
      </w:r>
      <w:r>
        <w:t xml:space="preserve">In primo piano ci sono nausea e vomito. Una minoranza non trascurabile ha però bisogno di cure mediche, e ci sono stati decessi</w:t>
      </w:r>
      <w:r>
        <w:rPr>
          <w:rStyle w:val="FootnoteReference"/>
        </w:rPr>
        <w:footnoteReference w:id="2770"/>
      </w:r>
      <w:r>
        <w:t xml:space="preserve">. Le ipoglicemie si sono verificate dal 3,4%</w:t>
      </w:r>
      <w:r>
        <w:rPr>
          <w:rStyle w:val="FootnoteReference"/>
        </w:rPr>
        <w:footnoteReference w:id="2771"/>
      </w:r>
      <w:r>
        <w:t xml:space="preserve"> </w:t>
      </w:r>
      <w:r>
        <w:t xml:space="preserve">al 3,8%</w:t>
      </w:r>
      <w:r>
        <w:rPr>
          <w:rStyle w:val="FootnoteReference"/>
        </w:rPr>
        <w:footnoteReference w:id="2772"/>
      </w:r>
      <w:r>
        <w:t xml:space="preserve"> </w:t>
      </w:r>
      <w:r>
        <w:t xml:space="preserve">dei casi; in un’ulteriore analisi l’ipoglicemia è comparsa raramente, ma anche dopo l’uso di un solo farmaco GLP-1</w:t>
      </w:r>
      <w:r>
        <w:rPr>
          <w:rStyle w:val="FootnoteReference"/>
        </w:rPr>
        <w:footnoteReference w:id="2773"/>
      </w:r>
      <w:r>
        <w:t xml:space="preserve">. Quanto grave possa essere il decorso di un sovradosaggio lo mostra il caso, descritto nel capitolo «Reazioni immunitarie», di una donna che, dopo una dose accidentalmente dieci volte superiore proveniente da una farmacia galenica, ha dovuto essere ventilata per un gonfiore massiccio della gola e ha sviluppato anche un’ipoglicemia</w:t>
      </w:r>
      <w:r>
        <w:rPr>
          <w:rStyle w:val="FootnoteReference"/>
        </w:rPr>
        <w:footnoteReference w:id="2774"/>
      </w:r>
      <w:r>
        <w:t xml:space="preserve">.</w:t>
      </w:r>
    </w:p>
    <w:p>
      <w:pPr>
        <w:pStyle w:val="BodyText"/>
      </w:pPr>
      <w:r>
        <w:rPr>
          <w:bCs/>
          <w:b/>
        </w:rPr>
        <w:t xml:space="preserve">Gli adolescenti sono un gruppo a rischio a sé.</w:t>
      </w:r>
      <w:r>
        <w:t xml:space="preserve"> </w:t>
      </w:r>
      <w:r>
        <w:t xml:space="preserve">Nei bambini e negli adolescenti tra i 6 e i 17 anni il tasso di casi è aumentato più che in ogni altro gruppo tra il 2017 e il 2024. Sono stati ricoverati più spesso degli adulti (rischio relativo 2,66), e i loro casi erano dovuti molto più spesso a un uso improprio intenzionale (rischio relativo 8,12)</w:t>
      </w:r>
      <w:r>
        <w:rPr>
          <w:rStyle w:val="FootnoteReference"/>
        </w:rPr>
        <w:footnoteReference w:id="2775"/>
      </w:r>
      <w:r>
        <w:t xml:space="preserve">. Maggiori dettagli nel capitolo seguente.</w:t>
      </w:r>
    </w:p>
    <w:bookmarkEnd w:id="2776"/>
    <w:bookmarkStart w:id="2777" w:name="che-cosa-ne-risulta"/>
    <w:p>
      <w:pPr>
        <w:pStyle w:val="Heading3"/>
      </w:pPr>
      <w:r>
        <w:t xml:space="preserve">Che cosa ne risulta</w:t>
      </w:r>
    </w:p>
    <w:p>
      <w:pPr>
        <w:pStyle w:val="FirstParagraph"/>
      </w:pPr>
      <w:r>
        <w:t xml:space="preserve">Le analisi di laboratorio e i dati dei centri antiveleni descrivono due facce dello stesso problema. Le analisi mostrano che i prodotti del mercato grigio possono discostarsi dall’etichetta sotto ogni aspetto immaginabile: nella sostanza, nella quantità, nella purezza e nelle sostanze tossiche accompagnatrici. I dati dei centri antiveleni mostrano che già con prodotti controllati gli errori di misurazione sono frequenti – e che i flaconi, che vanno prima sciolti e poi convertiti con un calcolo, sono particolarmente soggetti a errori.</w:t>
      </w:r>
    </w:p>
    <w:p>
      <w:pPr>
        <w:pStyle w:val="BodyText"/>
      </w:pPr>
      <w:r>
        <w:t xml:space="preserve">Combinando le due cose ne risulta un rischio che nessuno studio su un principio attivo può descrivere: chi si inietta un peptide del mercato grigio non conosce né il contenuto né la quantità, e ogni deviazione viene ulteriormente amplificata da possibili errori di calcolo propri. I dati di sicurezza degli studi registrativi, descritti nella Parte II, non valgono per questi prodotti.</w:t>
      </w:r>
    </w:p>
    <w:bookmarkEnd w:id="2777"/>
    <w:bookmarkStart w:id="2778" w:name="in-breve-1"/>
    <w:p>
      <w:pPr>
        <w:pStyle w:val="Heading3"/>
      </w:pPr>
      <w:r>
        <w:t xml:space="preserve">In breve</w:t>
      </w:r>
    </w:p>
    <w:p>
      <w:pPr>
        <w:numPr>
          <w:ilvl w:val="0"/>
          <w:numId w:val="1346"/>
        </w:numPr>
        <w:pStyle w:val="Compact"/>
      </w:pPr>
      <w:r>
        <w:t xml:space="preserve">Laboratori ufficiali, forensi e antidoping trovano regolarmente nei peptidi del mercato grigio principi attivi sbagliati, quantità sbagliate, bassa purezza e varianti di design.</w:t>
      </w:r>
    </w:p>
    <w:p>
      <w:pPr>
        <w:numPr>
          <w:ilvl w:val="0"/>
          <w:numId w:val="1346"/>
        </w:numPr>
        <w:pStyle w:val="Compact"/>
      </w:pPr>
      <w:r>
        <w:t xml:space="preserve">Un’analisi sistematica belga ha trovato inoltre arsenico e piombo, in parte fino a dieci volte il limite per le iniezioni, nonché batteri in preparati iniettabili.</w:t>
      </w:r>
    </w:p>
    <w:p>
      <w:pPr>
        <w:numPr>
          <w:ilvl w:val="0"/>
          <w:numId w:val="1346"/>
        </w:numPr>
        <w:pStyle w:val="Compact"/>
      </w:pPr>
      <w:r>
        <w:t xml:space="preserve">Nuovi «Research Peptides» compaiono più rapidamente di quanto i laboratori di controllo riescano a sviluppare metodi di rilevamento.</w:t>
      </w:r>
    </w:p>
    <w:p>
      <w:pPr>
        <w:numPr>
          <w:ilvl w:val="0"/>
          <w:numId w:val="1346"/>
        </w:numPr>
        <w:pStyle w:val="Compact"/>
      </w:pPr>
      <w:r>
        <w:t xml:space="preserve">Le analisi sono istantanee; un buon risultato non vale per il lotto successivo.</w:t>
      </w:r>
    </w:p>
    <w:p>
      <w:pPr>
        <w:numPr>
          <w:ilvl w:val="0"/>
          <w:numId w:val="1346"/>
        </w:numPr>
        <w:pStyle w:val="Compact"/>
      </w:pPr>
      <w:r>
        <w:t xml:space="preserve">Negli USA il numero di chiamate ai centri antiveleni per farmaci GLP-1 è aumentato fortemente. La maggior parte dei casi sono errori d’uso con conseguenze lievi, una minoranza ha un decorso grave. Per i preparati galenici quasi tutti i casi erano dovuti a errori di misurazione.</w:t>
      </w:r>
    </w:p>
    <w:bookmarkEnd w:id="2778"/>
    <w:bookmarkEnd w:id="2779"/>
    <w:bookmarkStart w:id="2824" w:name="X5f6f02601849e573c2773c80bfde040e00715e9"/>
    <w:p>
      <w:pPr>
        <w:pStyle w:val="Heading2"/>
      </w:pPr>
      <w:r>
        <w:t xml:space="preserve">Interazioni e gruppi a rischio particolare</w:t>
      </w:r>
    </w:p>
    <w:p>
      <w:pPr>
        <w:pStyle w:val="FirstParagraph"/>
      </w:pPr>
      <w:r>
        <w:t xml:space="preserve">Gli studi su cui si basa l’autorizzazione di un farmaco escludono quasi sempre determinate persone: donne in gravidanza, bambini, persone molto anziane o con più malattie, persone con disturbi alimentari o gravi malattie psichiche. Ciò che vale per i partecipanti agli studi è quindi trasferibile a questi gruppi solo in misura limitata. A ciò si aggiungono le interazioni con altri farmaci e situazioni come un’anestesia, in cui un effetto altrimenti innocuo può diventare improvvisamente pericoloso.</w:t>
      </w:r>
    </w:p>
    <w:p>
      <w:pPr>
        <w:pStyle w:val="BodyText"/>
      </w:pPr>
      <w:r>
        <w:t xml:space="preserve">Questo capitolo raccoglie queste questioni. Non sostituisce né la consulenza medica né il riassunto delle caratteristiche del prodotto. Per i farmaci autorizzati è il riassunto delle caratteristiche del prodotto a disciplinare in modo vincolante controindicazioni e interazioni; per i peptidi non autorizzati, di regola, su questi gruppi non esistono affatto dati.</w:t>
      </w:r>
    </w:p>
    <w:bookmarkStart w:id="2785" w:name="gravidanza-e-allattamento"/>
    <w:p>
      <w:pPr>
        <w:pStyle w:val="Heading3"/>
      </w:pPr>
      <w:r>
        <w:t xml:space="preserve">Gravidanza e allattamento</w:t>
      </w:r>
    </w:p>
    <w:p>
      <w:pPr>
        <w:pStyle w:val="FirstParagraph"/>
      </w:pPr>
      <w:r>
        <w:t xml:space="preserve">Per quasi tutti i peptidi di questo libro vale: in gravidanza non sono stati studiati o non sono indicati. I riassunti delle caratteristiche del prodotto dei farmaci GLP-1 prevedono di non usarli in gravidanza e di sospenderli per tempo prima di una gravidanza programmata (capitoli Semaglutide, Tirzepatide). Per maridebart cafraglutide ciò è particolarmente importante, perché in uno studio precoce il suo effetto è durato fino a 150 giorni dopo l’ultima dose (capitolo Maridebart cafraglutide).</w:t>
      </w:r>
    </w:p>
    <w:p>
      <w:pPr>
        <w:pStyle w:val="BodyText"/>
      </w:pPr>
      <w:r>
        <w:t xml:space="preserve">Poiché i farmaci GLP-1 vengono usati da molte donne in età fertile e la perdita di peso può migliorare la fertilità, si verificano comunque gravidanze non programmate durante il trattamento. Per questa situazione esistono ormai dati, in prevalenza rassicuranti:</w:t>
      </w:r>
    </w:p>
    <w:p>
      <w:pPr>
        <w:numPr>
          <w:ilvl w:val="0"/>
          <w:numId w:val="1347"/>
        </w:numPr>
        <w:pStyle w:val="Compact"/>
      </w:pPr>
      <w:r>
        <w:t xml:space="preserve">In un grande studio da quattro paesi nordici, dagli USA e da Israele, il tasso di malformazioni gravi nei figli di donne con diabete di tipo 2 che avevano ricevuto agonisti del recettore del GLP-1 nel periodo del concepimento non era più alto che con l’insulina (rischio relativo aggiustato 0,95)</w:t>
      </w:r>
      <w:r>
        <w:rPr>
          <w:rStyle w:val="FootnoteReference"/>
        </w:rPr>
        <w:footnoteReference w:id="2780"/>
      </w:r>
      <w:r>
        <w:t xml:space="preserve">.</w:t>
      </w:r>
    </w:p>
    <w:p>
      <w:pPr>
        <w:numPr>
          <w:ilvl w:val="0"/>
          <w:numId w:val="1347"/>
        </w:numPr>
        <w:pStyle w:val="Compact"/>
      </w:pPr>
      <w:r>
        <w:t xml:space="preserve">Un’analisi di sei centri di consulenza sui farmaci in gravidanza ha trovato, in 168 gravidanze con esposizione al GLP-1 nel primo trimestre, malformazioni gravi nel 2,6%, nei gruppi di confronto nel 2,3% e nel 3,9%</w:t>
      </w:r>
      <w:r>
        <w:rPr>
          <w:rStyle w:val="FootnoteReference"/>
        </w:rPr>
        <w:footnoteReference w:id="2781"/>
      </w:r>
      <w:r>
        <w:t xml:space="preserve">.</w:t>
      </w:r>
    </w:p>
    <w:p>
      <w:pPr>
        <w:numPr>
          <w:ilvl w:val="0"/>
          <w:numId w:val="1347"/>
        </w:numPr>
        <w:pStyle w:val="Compact"/>
      </w:pPr>
      <w:r>
        <w:t xml:space="preserve">Uno studio statunitense con 3.572 gravidanze ha confrontato donne che hanno continuato a ritirare il farmaco anche nel primo trimestre con donne che lo hanno sospeso. Non è emerso un rischio chiaramente aumentato di aborto spontaneo o natimortalità, disturbi della crescita o malformazioni; le stime per le malformazioni erano però così imprecise che non si può escludere nemmeno una differenza rilevante</w:t>
      </w:r>
      <w:r>
        <w:rPr>
          <w:rStyle w:val="FootnoteReference"/>
        </w:rPr>
        <w:footnoteReference w:id="2782"/>
      </w:r>
      <w:r>
        <w:t xml:space="preserve">.</w:t>
      </w:r>
    </w:p>
    <w:p>
      <w:pPr>
        <w:numPr>
          <w:ilvl w:val="0"/>
          <w:numId w:val="1347"/>
        </w:numPr>
        <w:pStyle w:val="Compact"/>
      </w:pPr>
      <w:r>
        <w:t xml:space="preserve">Una meta-analisi di sette studi di coorte con oltre 40.000 gravidanze esposte non ha trovato un aumento statisticamente accertato delle malformazioni gravi; un segnale per le malformazioni delle vie urinarie si basava solo su dati non aggiustati. Gli autori valutano bassa la certezza delle prove</w:t>
      </w:r>
      <w:r>
        <w:rPr>
          <w:rStyle w:val="FootnoteReference"/>
        </w:rPr>
        <w:footnoteReference w:id="2783"/>
      </w:r>
      <w:r>
        <w:t xml:space="preserve">.</w:t>
      </w:r>
    </w:p>
    <w:p>
      <w:pPr>
        <w:pStyle w:val="FirstParagraph"/>
      </w:pPr>
      <w:r>
        <w:t xml:space="preserve">Questi dati aiutano a valutare un’esposizione</w:t>
      </w:r>
      <w:r>
        <w:t xml:space="preserve"> </w:t>
      </w:r>
      <w:r>
        <w:rPr>
          <w:iCs/>
          <w:i/>
        </w:rPr>
        <w:t xml:space="preserve">accidentale</w:t>
      </w:r>
      <w:r>
        <w:t xml:space="preserve">. Non sono una prova che un uso programmato in gravidanza sarebbe sicuro. Per l’allattamento i dati sono ancora più scarsi; sul passaggio di bremelanotide nel latte materno è stato concluso un piccolo studio con dieci donne</w:t>
      </w:r>
      <w:r>
        <w:rPr>
          <w:rStyle w:val="FootnoteReference"/>
        </w:rPr>
        <w:footnoteReference w:id="2784"/>
      </w:r>
      <w:r>
        <w:t xml:space="preserve">.</w:t>
      </w:r>
    </w:p>
    <w:p>
      <w:pPr>
        <w:pStyle w:val="BodyText"/>
      </w:pPr>
      <w:r>
        <w:t xml:space="preserve">Alcuni peptidi sono pericolosi in gravidanza per il loro stesso principio d’azione. L’ossitocina provoca le contrazioni; un uso come spray nasale al di fuori del controllo medico è rischioso in gravidanza (capitolo Ossitocina). Per i peptidi del mercato grigio come BPC-157, TB-500, Epitalon o i secretagoghi dell’ormone della crescita non esiste alcun dato su gravidanza e allattamento.</w:t>
      </w:r>
    </w:p>
    <w:bookmarkEnd w:id="2785"/>
    <w:bookmarkStart w:id="2790" w:name="X95d6a2fa32da5d8132599a84bc22ba285873a69"/>
    <w:p>
      <w:pPr>
        <w:pStyle w:val="Heading3"/>
      </w:pPr>
      <w:r>
        <w:t xml:space="preserve">Contraccezione orale e svuotamento gastrico</w:t>
      </w:r>
    </w:p>
    <w:p>
      <w:pPr>
        <w:pStyle w:val="FirstParagraph"/>
      </w:pPr>
      <w:r>
        <w:t xml:space="preserve">I farmaci GLP-1, gli analoghi dell’amilina come la pramlintide e anche bremelanotide rallentano lo svuotamento dello stomaco. Di conseguenza le compresse assunte contemporaneamente possono passare nel sangue più tardi o in quantità diversa. Ciò riguarda soprattutto i farmaci per cui contano un rapido inizio d’azione o un livello ematico costante.</w:t>
      </w:r>
    </w:p>
    <w:p>
      <w:pPr>
        <w:pStyle w:val="BodyText"/>
      </w:pPr>
      <w:r>
        <w:t xml:space="preserve">La pillola anticoncezionale è stata studiata con particolare accuratezza. Per semaglutide uno studio con 43 donne non ha trovato un ridotto assorbimento dei due ormoni di una comune pillola combinata; il livello del progestinico era anzi più alto del 20% con semaglutide</w:t>
      </w:r>
      <w:r>
        <w:rPr>
          <w:rStyle w:val="FootnoteReference"/>
        </w:rPr>
        <w:footnoteReference w:id="2786"/>
      </w:r>
      <w:r>
        <w:t xml:space="preserve">. Con tirzepatide è diverso: una revisione di sei studi ha trovato una riduzione significativa della quantità di ormone assorbita solo con tirzepatide, non con gli altri agonisti del recettore del GLP-1. Come spiegazione gli autori indicano il maggiore ritardo dello svuotamento gastrico dopo la prima dose e dopo gli aumenti di dose</w:t>
      </w:r>
      <w:r>
        <w:rPr>
          <w:rStyle w:val="FootnoteReference"/>
        </w:rPr>
        <w:footnoteReference w:id="2787"/>
      </w:r>
      <w:r>
        <w:t xml:space="preserve">. Il riassunto delle caratteristiche del prodotto di tirzepatide contiene quindi un’avvertenza specifica sulla contraccezione orale; i dettagli si trovano lì e andrebbero discussi con il medico.</w:t>
      </w:r>
    </w:p>
    <w:p>
      <w:pPr>
        <w:pStyle w:val="BodyText"/>
      </w:pPr>
      <w:r>
        <w:t xml:space="preserve">Indipendentemente dal principio attivo vale: vomito o diarrea intensi – frequenti con i farmaci GLP-1 – possono compromettere l’assorbimento di qualsiasi compressa, anche della pillola.</w:t>
      </w:r>
    </w:p>
    <w:p>
      <w:pPr>
        <w:pStyle w:val="BodyText"/>
      </w:pPr>
      <w:r>
        <w:t xml:space="preserve">Altre interazioni note in sintesi: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Peptide</w:t>
            </w:r>
          </w:p>
        </w:tc>
        <w:tc>
          <w:tcPr/>
          <w:p>
            <w:pPr>
              <w:pStyle w:val="Compact"/>
              <w:jc w:val="left"/>
            </w:pPr>
            <w:r>
              <w:t xml:space="preserve">Interazione</w:t>
            </w:r>
          </w:p>
        </w:tc>
        <w:tc>
          <w:tcPr/>
          <w:p>
            <w:pPr>
              <w:pStyle w:val="Compact"/>
              <w:jc w:val="left"/>
            </w:pPr>
            <w:r>
              <w:t xml:space="preserve">Significato</w:t>
            </w:r>
          </w:p>
        </w:tc>
        <w:tc>
          <w:tcPr/>
          <w:p>
            <w:pPr>
              <w:pStyle w:val="Compact"/>
              <w:jc w:val="left"/>
            </w:pPr>
            <w:r>
              <w:t xml:space="preserve">Capitolo</w:t>
            </w:r>
          </w:p>
        </w:tc>
      </w:tr>
      <w:tr>
        <w:tc>
          <w:tcPr/>
          <w:p>
            <w:pPr>
              <w:pStyle w:val="Compact"/>
              <w:jc w:val="left"/>
            </w:pPr>
            <w:r>
              <w:t xml:space="preserve">Farmaci GLP-1, pramlintide</w:t>
            </w:r>
          </w:p>
        </w:tc>
        <w:tc>
          <w:tcPr/>
          <w:p>
            <w:pPr>
              <w:pStyle w:val="Compact"/>
              <w:jc w:val="left"/>
            </w:pPr>
            <w:r>
              <w:t xml:space="preserve">assorbimento ritardato delle compresse</w:t>
            </w:r>
          </w:p>
        </w:tc>
        <w:tc>
          <w:tcPr/>
          <w:p>
            <w:pPr>
              <w:pStyle w:val="Compact"/>
              <w:jc w:val="left"/>
            </w:pPr>
            <w:r>
              <w:t xml:space="preserve">da considerare per farmaci con stretto margine terapeutico</w:t>
            </w:r>
          </w:p>
        </w:tc>
        <w:tc>
          <w:tcPr/>
          <w:p>
            <w:pPr>
              <w:pStyle w:val="Compact"/>
              <w:jc w:val="left"/>
            </w:pPr>
            <w:r>
              <w:t xml:space="preserve">Semaglutide, Pramlintide</w:t>
            </w:r>
          </w:p>
        </w:tc>
      </w:tr>
      <w:tr>
        <w:tc>
          <w:tcPr/>
          <w:p>
            <w:pPr>
              <w:pStyle w:val="Compact"/>
              <w:jc w:val="left"/>
            </w:pPr>
            <w:r>
              <w:t xml:space="preserve">Tirzepatide</w:t>
            </w:r>
          </w:p>
        </w:tc>
        <w:tc>
          <w:tcPr/>
          <w:p>
            <w:pPr>
              <w:pStyle w:val="Compact"/>
              <w:jc w:val="left"/>
            </w:pPr>
            <w:r>
              <w:t xml:space="preserve">meno ormone dalla pillola</w:t>
            </w:r>
          </w:p>
        </w:tc>
        <w:tc>
          <w:tcPr/>
          <w:p>
            <w:pPr>
              <w:pStyle w:val="Compact"/>
              <w:jc w:val="left"/>
            </w:pPr>
            <w:r>
              <w:t xml:space="preserve">avvertenza nel riassunto delle caratteristiche del prodotto</w:t>
            </w:r>
          </w:p>
        </w:tc>
        <w:tc>
          <w:tcPr/>
          <w:p>
            <w:pPr>
              <w:pStyle w:val="Compact"/>
              <w:jc w:val="left"/>
            </w:pPr>
            <w:r>
              <w:t xml:space="preserve">Tirzepatide</w:t>
            </w:r>
          </w:p>
        </w:tc>
      </w:tr>
      <w:tr>
        <w:tc>
          <w:tcPr/>
          <w:p>
            <w:pPr>
              <w:pStyle w:val="Compact"/>
              <w:jc w:val="left"/>
            </w:pPr>
            <w:r>
              <w:t xml:space="preserve">Bremelanotide</w:t>
            </w:r>
          </w:p>
        </w:tc>
        <w:tc>
          <w:tcPr/>
          <w:p>
            <w:pPr>
              <w:pStyle w:val="Compact"/>
              <w:jc w:val="left"/>
            </w:pPr>
            <w:r>
              <w:t xml:space="preserve">livelli più bassi di indometacina e naltrexone</w:t>
            </w:r>
          </w:p>
        </w:tc>
        <w:tc>
          <w:tcPr/>
          <w:p>
            <w:pPr>
              <w:pStyle w:val="Compact"/>
              <w:jc w:val="left"/>
            </w:pPr>
            <w:r>
              <w:t xml:space="preserve">l’effetto di questi farmaci può diminuire</w:t>
            </w:r>
          </w:p>
        </w:tc>
        <w:tc>
          <w:tcPr/>
          <w:p>
            <w:pPr>
              <w:pStyle w:val="Compact"/>
              <w:jc w:val="left"/>
            </w:pPr>
            <w:r>
              <w:t xml:space="preserve">Bremelanotide</w:t>
            </w:r>
          </w:p>
        </w:tc>
      </w:tr>
      <w:tr>
        <w:tc>
          <w:tcPr/>
          <w:p>
            <w:pPr>
              <w:pStyle w:val="Compact"/>
              <w:jc w:val="left"/>
            </w:pPr>
            <w:r>
              <w:t xml:space="preserve">Macimorelina</w:t>
            </w:r>
          </w:p>
        </w:tc>
        <w:tc>
          <w:tcPr/>
          <w:p>
            <w:pPr>
              <w:pStyle w:val="Compact"/>
              <w:jc w:val="left"/>
            </w:pPr>
            <w:r>
              <w:t xml:space="preserve">prolunga l’intervallo QT</w:t>
            </w:r>
          </w:p>
        </w:tc>
        <w:tc>
          <w:tcPr/>
          <w:p>
            <w:pPr>
              <w:pStyle w:val="Compact"/>
              <w:jc w:val="left"/>
            </w:pPr>
            <w:r>
              <w:t xml:space="preserve">cautela con altri farmaci che prolungano il QT</w:t>
            </w:r>
          </w:p>
        </w:tc>
        <w:tc>
          <w:tcPr/>
          <w:p>
            <w:pPr>
              <w:pStyle w:val="Compact"/>
              <w:jc w:val="left"/>
            </w:pPr>
            <w:r>
              <w:t xml:space="preserve">Macimorelina</w:t>
            </w:r>
          </w:p>
        </w:tc>
      </w:tr>
      <w:tr>
        <w:tc>
          <w:tcPr/>
          <w:p>
            <w:pPr>
              <w:pStyle w:val="Compact"/>
              <w:jc w:val="left"/>
            </w:pPr>
            <w:r>
              <w:t xml:space="preserve">Orforglipron</w:t>
            </w:r>
          </w:p>
        </w:tc>
        <w:tc>
          <w:tcPr/>
          <w:p>
            <w:pPr>
              <w:pStyle w:val="Compact"/>
              <w:jc w:val="left"/>
            </w:pPr>
            <w:r>
              <w:t xml:space="preserve">metabolismo tramite enzimi epatici</w:t>
            </w:r>
          </w:p>
        </w:tc>
        <w:tc>
          <w:tcPr/>
          <w:p>
            <w:pPr>
              <w:pStyle w:val="Compact"/>
              <w:jc w:val="left"/>
            </w:pPr>
            <w:r>
              <w:t xml:space="preserve">possibili interazioni con altri farmaci</w:t>
            </w:r>
          </w:p>
        </w:tc>
        <w:tc>
          <w:tcPr/>
          <w:p>
            <w:pPr>
              <w:pStyle w:val="Compact"/>
              <w:jc w:val="left"/>
            </w:pPr>
            <w:r>
              <w:t xml:space="preserve">Orforglipron</w:t>
            </w:r>
          </w:p>
        </w:tc>
      </w:tr>
      <w:tr>
        <w:tc>
          <w:tcPr/>
          <w:p>
            <w:pPr>
              <w:pStyle w:val="Compact"/>
              <w:jc w:val="left"/>
            </w:pPr>
            <w:r>
              <w:t xml:space="preserve">Selank, DSIP</w:t>
            </w:r>
          </w:p>
        </w:tc>
        <w:tc>
          <w:tcPr/>
          <w:p>
            <w:pPr>
              <w:pStyle w:val="Compact"/>
              <w:jc w:val="left"/>
            </w:pPr>
            <w:r>
              <w:t xml:space="preserve">sedativi e sonniferi, alcol</w:t>
            </w:r>
          </w:p>
        </w:tc>
        <w:tc>
          <w:tcPr/>
          <w:p>
            <w:pPr>
              <w:pStyle w:val="Compact"/>
              <w:jc w:val="left"/>
            </w:pPr>
            <w:r>
              <w:t xml:space="preserve">non studiato</w:t>
            </w:r>
          </w:p>
        </w:tc>
        <w:tc>
          <w:tcPr/>
          <w:p>
            <w:pPr>
              <w:pStyle w:val="Compact"/>
              <w:jc w:val="left"/>
            </w:pPr>
            <w:r>
              <w:t xml:space="preserve">Selank, DSIP</w:t>
            </w:r>
          </w:p>
        </w:tc>
      </w:tr>
      <w:tr>
        <w:tc>
          <w:tcPr/>
          <w:p>
            <w:pPr>
              <w:pStyle w:val="Compact"/>
              <w:jc w:val="left"/>
            </w:pPr>
            <w:r>
              <w:t xml:space="preserve">BPC-157</w:t>
            </w:r>
          </w:p>
        </w:tc>
        <w:tc>
          <w:tcPr/>
          <w:p>
            <w:pPr>
              <w:pStyle w:val="Compact"/>
              <w:jc w:val="left"/>
            </w:pPr>
            <w:r>
              <w:t xml:space="preserve">coagulazione del sangue (solo dati animali)</w:t>
            </w:r>
          </w:p>
        </w:tc>
        <w:tc>
          <w:tcPr/>
          <w:p>
            <w:pPr>
              <w:pStyle w:val="Compact"/>
              <w:jc w:val="left"/>
            </w:pPr>
            <w:r>
              <w:t xml:space="preserve">con anticoagulanti sconosciuto</w:t>
            </w:r>
          </w:p>
        </w:tc>
        <w:tc>
          <w:tcPr/>
          <w:p>
            <w:pPr>
              <w:pStyle w:val="Compact"/>
              <w:jc w:val="left"/>
            </w:pPr>
            <w:r>
              <w:t xml:space="preserve">BPC-157</w:t>
            </w:r>
          </w:p>
        </w:tc>
      </w:tr>
    </w:tbl>
    <w:p>
      <w:pPr>
        <w:pStyle w:val="BodyText"/>
      </w:pPr>
      <w:r>
        <w:t xml:space="preserve">L’interazione di bremelanotide con indometacina e naltrexone è descritta nei dati registrativi</w:t>
      </w:r>
      <w:r>
        <w:rPr>
          <w:rStyle w:val="FootnoteReference"/>
        </w:rPr>
        <w:footnoteReference w:id="2788"/>
      </w:r>
      <w:r>
        <w:t xml:space="preserve">. Il prolungamento del QT da macimorelina è stato misurato in uno studio ECG approfondito</w:t>
      </w:r>
      <w:r>
        <w:rPr>
          <w:rStyle w:val="FootnoteReference"/>
        </w:rPr>
        <w:footnoteReference w:id="2789"/>
      </w:r>
      <w:r>
        <w:t xml:space="preserve">.</w:t>
      </w:r>
    </w:p>
    <w:bookmarkEnd w:id="2790"/>
    <w:bookmarkStart w:id="2795" w:name="anestesia-gastroscopia-e-aspirazione"/>
    <w:p>
      <w:pPr>
        <w:pStyle w:val="Heading3"/>
      </w:pPr>
      <w:r>
        <w:t xml:space="preserve">Anestesia, gastroscopia e aspirazione</w:t>
      </w:r>
    </w:p>
    <w:p>
      <w:pPr>
        <w:pStyle w:val="FirstParagraph"/>
      </w:pPr>
      <w:r>
        <w:t xml:space="preserve">Prima di un’anestesia lo stomaco deve essere vuoto. Il motivo: se durante l’anestesia il contenuto gastrico finisce nelle vie respiratorie (aspirazione), può seguirne una grave polmonite. Poiché i farmaci GLP-1 rallentano lo svuotamento gastrico, lo stomaco può contenere ancora residui di cibo nonostante un digiuno conforme alle prescrizioni.</w:t>
      </w:r>
    </w:p>
    <w:p>
      <w:pPr>
        <w:pStyle w:val="BodyText"/>
      </w:pPr>
      <w:r>
        <w:t xml:space="preserve">Gli studi in merito delineano un quadro diviso in due:</w:t>
      </w:r>
    </w:p>
    <w:p>
      <w:pPr>
        <w:numPr>
          <w:ilvl w:val="0"/>
          <w:numId w:val="1348"/>
        </w:numPr>
        <w:pStyle w:val="Compact"/>
      </w:pPr>
      <w:r>
        <w:rPr>
          <w:bCs/>
          <w:b/>
        </w:rPr>
        <w:t xml:space="preserve">Un maggiore contenuto residuo nello stomaco è ben documentato.</w:t>
      </w:r>
      <w:r>
        <w:t xml:space="preserve"> </w:t>
      </w:r>
      <w:r>
        <w:t xml:space="preserve">Una meta-analisi di 23 studi osservazionali con 262.018 persone sottoposte a gastroscopia ha trovato con gli agonisti del recettore del GLP-1 un rischio circa quattro volte e mezzo più alto di residui di cibo nello stomaco (odds ratio 4,54) e altrettanto più spesso esami interrotti anticipatamente. Una polmonite da aspirazione non si è verificata più spesso (odds ratio 0,96)</w:t>
      </w:r>
      <w:r>
        <w:rPr>
          <w:rStyle w:val="FootnoteReference"/>
        </w:rPr>
        <w:footnoteReference w:id="2791"/>
      </w:r>
      <w:r>
        <w:t xml:space="preserve">.</w:t>
      </w:r>
    </w:p>
    <w:p>
      <w:pPr>
        <w:numPr>
          <w:ilvl w:val="0"/>
          <w:numId w:val="1348"/>
        </w:numPr>
        <w:pStyle w:val="Compact"/>
      </w:pPr>
      <w:r>
        <w:t xml:space="preserve">In uno studio con ecografia gastrica prima di interventi programmati, il 49% delle persone in trattamento con semaglutide aveva uno «stomaco pieno», ma solo il 18% delle persone di controllo comparabili; residui di cibo solido sono stati trovati nel 42% contro il 7%. Ciò valeva anche se era stata saltata una dose prima dell’intervento</w:t>
      </w:r>
      <w:r>
        <w:rPr>
          <w:rStyle w:val="FootnoteReference"/>
        </w:rPr>
        <w:footnoteReference w:id="2792"/>
      </w:r>
      <w:r>
        <w:t xml:space="preserve">.</w:t>
      </w:r>
    </w:p>
    <w:p>
      <w:pPr>
        <w:numPr>
          <w:ilvl w:val="0"/>
          <w:numId w:val="1348"/>
        </w:numPr>
        <w:pStyle w:val="Compact"/>
      </w:pPr>
      <w:r>
        <w:rPr>
          <w:bCs/>
          <w:b/>
        </w:rPr>
        <w:t xml:space="preserve">Le aspirazioni effettive sono rare.</w:t>
      </w:r>
      <w:r>
        <w:t xml:space="preserve"> </w:t>
      </w:r>
      <w:r>
        <w:t xml:space="preserve">In un grande studio statunitense su banche dati con 296.389 coppie di persone con diabete di tipo 2, le complicanze respiratorie dopo interventi chirurgici con agonisti del recettore del GLP-1 si sono verificate persino più raramente (0,09% contro 0,34%), le aspirazioni nello 0,01% contro lo 0,03%. Gli autori sottolineano che non è chiaro se in questi casi fossero già state adottate misure precauzionali</w:t>
      </w:r>
      <w:r>
        <w:rPr>
          <w:rStyle w:val="FootnoteReference"/>
        </w:rPr>
        <w:footnoteReference w:id="2793"/>
      </w:r>
      <w:r>
        <w:t xml:space="preserve">.</w:t>
      </w:r>
    </w:p>
    <w:p>
      <w:pPr>
        <w:pStyle w:val="FirstParagraph"/>
      </w:pPr>
      <w:r>
        <w:t xml:space="preserve">È possibile che i tassi di aspirazione siano bassi proprio perché le équipe di anestesia conoscono il rischio e adattano la loro procedura. Se una pausa del farmaco prima di una gastroscopia riduca il problema dovrà chiarirlo un grande studio in Cina</w:t>
      </w:r>
      <w:r>
        <w:rPr>
          <w:rStyle w:val="FootnoteReference"/>
        </w:rPr>
        <w:footnoteReference w:id="2794"/>
      </w:r>
      <w:r>
        <w:t xml:space="preserve">. Per le persone in trattamento ciò significa soprattutto: prima di ogni intervento, anestesia o gastroscopia, dichiarare di usare un farmaco GLP-1 – anche se proviene da una farmacia galenica o dal mercato grigio. Come gestire il farmaco prima dell’intervento lo decide l’équipe curante secondo le raccomandazioni di volta in volta in vigore. Chi non considera un prodotto del mercato grigio come un farmaco e quindi non lo menziona toglie all’équipe di anestesia questa possibilità.</w:t>
      </w:r>
    </w:p>
    <w:bookmarkEnd w:id="2795"/>
    <w:bookmarkStart w:id="2798" w:name="X9043df3cd0f6422d34a2d6b4b2fb20e3e1ca23a"/>
    <w:p>
      <w:pPr>
        <w:pStyle w:val="Heading3"/>
      </w:pPr>
      <w:r>
        <w:t xml:space="preserve">Combinazione con farmaci antidiabetici e ipoglicemia</w:t>
      </w:r>
    </w:p>
    <w:p>
      <w:pPr>
        <w:pStyle w:val="FirstParagraph"/>
      </w:pPr>
      <w:r>
        <w:t xml:space="preserve">Come descritto nel capitolo «Effetti collaterali per apparato», i farmaci GLP-1 da soli causano a malapena ipoglicemie pericolose. Le cose cambiano in combinazione con insulina o sulfoniluree, che abbassano la glicemia indipendentemente dal valore attuale. In uno studio con exenatide in aggiunta a metformina e a una sulfonilurea si sono verificate ipoglicemie da lievi a moderate fino al 28%, con placebo nel 13%; con sulfonilurea a basso dosaggio erano più rare</w:t>
      </w:r>
      <w:r>
        <w:rPr>
          <w:rStyle w:val="FootnoteReference"/>
        </w:rPr>
        <w:footnoteReference w:id="2796"/>
      </w:r>
      <w:r>
        <w:t xml:space="preserve">. Con la pramlintide, che si usa insieme all’insulina, le ipoglicemie gravi si sono verificate più spesso che con placebo</w:t>
      </w:r>
      <w:r>
        <w:rPr>
          <w:rStyle w:val="FootnoteReference"/>
        </w:rPr>
        <w:footnoteReference w:id="2797"/>
      </w:r>
      <w:r>
        <w:t xml:space="preserve">. Per questo i riassunti delle caratteristiche del prodotto prevedono di verificare all’inizio la dose degli altri farmaci antidiabetici; l’attuazione spetta al medico.</w:t>
      </w:r>
    </w:p>
    <w:p>
      <w:pPr>
        <w:pStyle w:val="BodyText"/>
      </w:pPr>
      <w:r>
        <w:t xml:space="preserve">Per diversi peptidi non autorizzati è teoricamente ipotizzabile un’ulteriore riduzione della glicemia, per esempio per MOTS-c o IGF-1 LR3 (capitoli MOTS-c, IGF-1 LR3). Non è stato studiato. Al contrario, i peptidi dell’asse dell’ormone della crescita possono aumentare la glicemia e squilibrare un trattamento antidiabetico in corso (capitoli Ibutamoren, Tesamorelina).</w:t>
      </w:r>
    </w:p>
    <w:bookmarkEnd w:id="2798"/>
    <w:bookmarkStart w:id="2803" w:name="bambini-e-adolescenti-3"/>
    <w:p>
      <w:pPr>
        <w:pStyle w:val="Heading3"/>
      </w:pPr>
      <w:r>
        <w:t xml:space="preserve">Bambini e adolescenti</w:t>
      </w:r>
    </w:p>
    <w:p>
      <w:pPr>
        <w:pStyle w:val="FirstParagraph"/>
      </w:pPr>
      <w:r>
        <w:t xml:space="preserve">Semaglutide e liraglutide sono autorizzati nell’UE e negli USA anche per adolescenti dai dodici anni con obesità. Gli studi registrativi mostrano un profilo di effetti collaterali simile a quello degli adulti: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w:t>
            </w:r>
          </w:p>
        </w:tc>
        <w:tc>
          <w:tcPr/>
          <w:p>
            <w:pPr>
              <w:pStyle w:val="Compact"/>
              <w:jc w:val="left"/>
            </w:pPr>
            <w:r>
              <w:t xml:space="preserve">Disturbi gastrointestinali</w:t>
            </w:r>
          </w:p>
        </w:tc>
        <w:tc>
          <w:tcPr/>
          <w:p>
            <w:pPr>
              <w:pStyle w:val="Compact"/>
              <w:jc w:val="left"/>
            </w:pPr>
            <w:r>
              <w:t xml:space="preserve">Altri reperti</w:t>
            </w:r>
          </w:p>
        </w:tc>
      </w:tr>
      <w:tr>
        <w:tc>
          <w:tcPr/>
          <w:p>
            <w:pPr>
              <w:pStyle w:val="Compact"/>
              <w:jc w:val="left"/>
            </w:pPr>
            <w:r>
              <w:t xml:space="preserve">STEP TEENS (Weghuber 2022), PMID 36322838</w:t>
            </w:r>
          </w:p>
        </w:tc>
        <w:tc>
          <w:tcPr/>
          <w:p>
            <w:pPr>
              <w:pStyle w:val="Compact"/>
              <w:jc w:val="left"/>
            </w:pPr>
            <w:r>
              <w:t xml:space="preserve">201 adolescenti, semaglutide, 68 settimane</w:t>
            </w:r>
          </w:p>
        </w:tc>
        <w:tc>
          <w:tcPr/>
          <w:p>
            <w:pPr>
              <w:pStyle w:val="Compact"/>
              <w:jc w:val="left"/>
            </w:pPr>
            <w:r>
              <w:t xml:space="preserve">62% vs. 42%</w:t>
            </w:r>
          </w:p>
        </w:tc>
        <w:tc>
          <w:tcPr/>
          <w:p>
            <w:pPr>
              <w:pStyle w:val="Compact"/>
              <w:jc w:val="left"/>
            </w:pPr>
            <w:r>
              <w:t xml:space="preserve">calcoli biliari nel 4%; eventi gravi 11% vs. 9%</w:t>
            </w:r>
          </w:p>
        </w:tc>
      </w:tr>
      <w:tr>
        <w:tc>
          <w:tcPr/>
          <w:p>
            <w:pPr>
              <w:pStyle w:val="Compact"/>
              <w:jc w:val="left"/>
            </w:pPr>
            <w:r>
              <w:t xml:space="preserve">SCALE Teens (Kelly 2020), PMID 32233338</w:t>
            </w:r>
          </w:p>
        </w:tc>
        <w:tc>
          <w:tcPr/>
          <w:p>
            <w:pPr>
              <w:pStyle w:val="Compact"/>
              <w:jc w:val="left"/>
            </w:pPr>
            <w:r>
              <w:t xml:space="preserve">251 adolescenti, liraglutide, 56 settimane</w:t>
            </w:r>
          </w:p>
        </w:tc>
        <w:tc>
          <w:tcPr/>
          <w:p>
            <w:pPr>
              <w:pStyle w:val="Compact"/>
              <w:jc w:val="left"/>
            </w:pPr>
            <w:r>
              <w:t xml:space="preserve">64,8% vs. 36,5%</w:t>
            </w:r>
          </w:p>
        </w:tc>
        <w:tc>
          <w:tcPr/>
          <w:p>
            <w:pPr>
              <w:pStyle w:val="Compact"/>
              <w:jc w:val="left"/>
            </w:pPr>
            <w:r>
              <w:t xml:space="preserve">interruzione per effetti collaterali 10,4% vs. 0%</w:t>
            </w:r>
          </w:p>
        </w:tc>
      </w:tr>
    </w:tbl>
    <w:p>
      <w:pPr>
        <w:pStyle w:val="BodyText"/>
      </w:pPr>
      <w:r>
        <w:t xml:space="preserve">Nello studio su liraglutide il BMI dopo la sospensione è risalito più che con il placebo, e nel gruppo liraglutide si è verificato un suicidio, che gli sperimentatori hanno classificato come probabilmente non legato al trattamento</w:t>
      </w:r>
      <w:r>
        <w:rPr>
          <w:rStyle w:val="FootnoteReference"/>
        </w:rPr>
        <w:footnoteReference w:id="2799"/>
      </w:r>
      <w:r>
        <w:t xml:space="preserve">. Una meta-analisi di nove studi randomizzati e due studi osservazionali con adolescenti non ha trovato nel complesso alcun aumento di comportamenti suicidari o di depressione</w:t>
      </w:r>
      <w:r>
        <w:rPr>
          <w:rStyle w:val="FootnoteReference"/>
        </w:rPr>
        <w:footnoteReference w:id="2800"/>
      </w:r>
      <w:r>
        <w:t xml:space="preserve">.</w:t>
      </w:r>
    </w:p>
    <w:p>
      <w:pPr>
        <w:pStyle w:val="BodyText"/>
      </w:pPr>
      <w:r>
        <w:t xml:space="preserve">Un quadro diverso emerge dai dati dei centri antiveleni statunitensi. Nei bambini e negli adolescenti tra i 6 e i 17 anni i casi segnalati con farmaci GLP-1 sono aumentati più che in ogni altro gruppo tra il 2017 e il 2024. Sono stati ricoverati più spesso degli adulti (rischio relativo 2,66), hanno vomitato più spesso, e i loro casi erano dovuti circa otto volte più spesso a un uso improprio intenzionale</w:t>
      </w:r>
      <w:r>
        <w:rPr>
          <w:rStyle w:val="FootnoteReference"/>
        </w:rPr>
        <w:footnoteReference w:id="2801"/>
      </w:r>
      <w:r>
        <w:t xml:space="preserve">. Ciò fa pensare che gli adolescenti usino questi farmaci in parte al di fuori di un trattamento medico.</w:t>
      </w:r>
    </w:p>
    <w:p>
      <w:pPr>
        <w:pStyle w:val="BodyText"/>
      </w:pPr>
      <w:r>
        <w:t xml:space="preserve">Per i peptidi del mondo del fitness e del bodybuilding non è chiaro quanto siano diffusi tra gli adolescenti. Una revisione segnala la pubblicità sui social media e indizi di un uso crescente anche da parte di sportivi amatoriali più giovani, ma sottolinea che mancano studi sulla frequenza</w:t>
      </w:r>
      <w:r>
        <w:rPr>
          <w:rStyle w:val="FootnoteReference"/>
        </w:rPr>
        <w:footnoteReference w:id="2802"/>
      </w:r>
      <w:r>
        <w:t xml:space="preserve">. Per gli adolescenti, la cui crescita e il cui sistema ormonale non sono ancora completati, l’intervento sull’asse dell’ormone della crescita o degli ormoni sessuali con sostanze non autorizzate è particolarmente rischioso. I peptidi autorizzati per i bambini – per esempio la mecasermina nella grave carenza di IGF-1 – vengono usati esclusivamente sotto controllo specialistico (capitolo Mecasermina).</w:t>
      </w:r>
    </w:p>
    <w:bookmarkEnd w:id="2803"/>
    <w:bookmarkStart w:id="2806" w:name="persone-anziane"/>
    <w:p>
      <w:pPr>
        <w:pStyle w:val="Heading3"/>
      </w:pPr>
      <w:r>
        <w:t xml:space="preserve">Persone anziane</w:t>
      </w:r>
    </w:p>
    <w:p>
      <w:pPr>
        <w:pStyle w:val="FirstParagraph"/>
      </w:pPr>
      <w:r>
        <w:t xml:space="preserve">Con l’età aumenta il rischio che gli effetti collaterali abbiano un decorso più grave. Per le persone anziane sono importanti, con i peptidi, soprattutto quattro punti:</w:t>
      </w:r>
    </w:p>
    <w:p>
      <w:pPr>
        <w:numPr>
          <w:ilvl w:val="0"/>
          <w:numId w:val="1349"/>
        </w:numPr>
        <w:pStyle w:val="Compact"/>
      </w:pPr>
      <w:r>
        <w:rPr>
          <w:bCs/>
          <w:b/>
        </w:rPr>
        <w:t xml:space="preserve">Perdita di liquidi.</w:t>
      </w:r>
      <w:r>
        <w:t xml:space="preserve"> </w:t>
      </w:r>
      <w:r>
        <w:t xml:space="preserve">Vomito e diarrea con i farmaci GLP-1 possono portare, nelle persone anziane, più rapidamente a disidratazione e problemi renali.</w:t>
      </w:r>
    </w:p>
    <w:p>
      <w:pPr>
        <w:numPr>
          <w:ilvl w:val="0"/>
          <w:numId w:val="1349"/>
        </w:numPr>
        <w:pStyle w:val="Compact"/>
      </w:pPr>
      <w:r>
        <w:rPr>
          <w:bCs/>
          <w:b/>
        </w:rPr>
        <w:t xml:space="preserve">Massa muscolare.</w:t>
      </w:r>
      <w:r>
        <w:t xml:space="preserve"> </w:t>
      </w:r>
      <w:r>
        <w:t xml:space="preserve">Chi ha già pochi muscoli sopporta male un’ulteriore perdita (vedi la sezione seguente).</w:t>
      </w:r>
    </w:p>
    <w:p>
      <w:pPr>
        <w:numPr>
          <w:ilvl w:val="0"/>
          <w:numId w:val="1349"/>
        </w:numPr>
        <w:pStyle w:val="Compact"/>
      </w:pPr>
      <w:r>
        <w:rPr>
          <w:bCs/>
          <w:b/>
        </w:rPr>
        <w:t xml:space="preserve">Ritenzione idrica e cuore.</w:t>
      </w:r>
      <w:r>
        <w:t xml:space="preserve"> </w:t>
      </w:r>
      <w:r>
        <w:t xml:space="preserve">L’ormone della crescita ha causato in anziani sani più spesso gonfiori dei tessuti, dolori articolari e sindrome del tunnel carpale</w:t>
      </w:r>
      <w:r>
        <w:rPr>
          <w:rStyle w:val="FootnoteReference"/>
        </w:rPr>
        <w:footnoteReference w:id="2804"/>
      </w:r>
      <w:r>
        <w:t xml:space="preserve">. Uno studio con ibutamoren in anziani dopo frattura dell’anca è stato interrotto a causa di un segnale di insufficienza cardiaca</w:t>
      </w:r>
      <w:r>
        <w:rPr>
          <w:rStyle w:val="FootnoteReference"/>
        </w:rPr>
        <w:footnoteReference w:id="2805"/>
      </w:r>
      <w:r>
        <w:t xml:space="preserve">. Proprio i peptidi pubblicizzati come rimedi «anti-aging» sono quindi piuttosto gravosi per i cuori anziani.</w:t>
      </w:r>
    </w:p>
    <w:p>
      <w:pPr>
        <w:numPr>
          <w:ilvl w:val="0"/>
          <w:numId w:val="1349"/>
        </w:numPr>
        <w:pStyle w:val="Compact"/>
      </w:pPr>
      <w:r>
        <w:rPr>
          <w:bCs/>
          <w:b/>
        </w:rPr>
        <w:t xml:space="preserve">Più farmaci.</w:t>
      </w:r>
      <w:r>
        <w:t xml:space="preserve"> </w:t>
      </w:r>
      <w:r>
        <w:t xml:space="preserve">Le persone anziane assumono spesso molti farmaci contemporaneamente. Lo svuotamento gastrico ritardato può modificarne l’assorbimento, e le combinazioni con farmaci ipoglicemizzanti aumentano il rischio di ipoglicemia e cadute.</w:t>
      </w:r>
    </w:p>
    <w:bookmarkEnd w:id="2806"/>
    <w:bookmarkStart w:id="2811" w:name="Xf95d1c6f9952a88981f23b89176d8163d7ba0f1"/>
    <w:p>
      <w:pPr>
        <w:pStyle w:val="Heading3"/>
      </w:pPr>
      <w:r>
        <w:t xml:space="preserve">Perdita muscolare in caso di forte calo di peso</w:t>
      </w:r>
    </w:p>
    <w:p>
      <w:pPr>
        <w:pStyle w:val="FirstParagraph"/>
      </w:pPr>
      <w:r>
        <w:t xml:space="preserve">A ogni perdita di peso, oltre al grasso si perde anche massa magra, di cui fanno parte muscoli, organi e acqua. Per i farmaci GLP-1 molto efficaci la domanda è se questa quota sia insolitamente alta e se sia dannosa.</w:t>
      </w:r>
    </w:p>
    <w:p>
      <w:pPr>
        <w:numPr>
          <w:ilvl w:val="0"/>
          <w:numId w:val="1350"/>
        </w:numPr>
        <w:pStyle w:val="Compact"/>
      </w:pPr>
      <w:r>
        <w:t xml:space="preserve">In un sottostudio di SURMOUNT-1 con 160 partecipanti, il peso perso con tirzepatide era costituito per circa il 75% da grasso e per il 25% da massa magra – nella stessa proporzione che con placebo, solo con una perdita complessiva molto maggiore. Queste quote sono rimaste simili nella maggior parte dei sottogruppi, anche separati per età</w:t>
      </w:r>
      <w:r>
        <w:rPr>
          <w:rStyle w:val="FootnoteReference"/>
        </w:rPr>
        <w:footnoteReference w:id="2807"/>
      </w:r>
      <w:r>
        <w:t xml:space="preserve">.</w:t>
      </w:r>
    </w:p>
    <w:p>
      <w:pPr>
        <w:numPr>
          <w:ilvl w:val="0"/>
          <w:numId w:val="1350"/>
        </w:numPr>
        <w:pStyle w:val="Compact"/>
      </w:pPr>
      <w:r>
        <w:t xml:space="preserve">Anche una meta-analisi a rete di 22 studi ha trovato che circa il 25% della perdita di peso era dovuto alla massa magra. Semaglutide e tirzepatide hanno portato alla perdita di peso maggiore, ma erano anche tra i principi attivi con cui si è persa più massa magra</w:t>
      </w:r>
      <w:r>
        <w:rPr>
          <w:rStyle w:val="FootnoteReference"/>
        </w:rPr>
        <w:footnoteReference w:id="2808"/>
      </w:r>
      <w:r>
        <w:t xml:space="preserve">.</w:t>
      </w:r>
    </w:p>
    <w:p>
      <w:pPr>
        <w:numPr>
          <w:ilvl w:val="0"/>
          <w:numId w:val="1350"/>
        </w:numPr>
        <w:pStyle w:val="Compact"/>
      </w:pPr>
      <w:r>
        <w:t xml:space="preserve">Una revisione sistematica di 35 studi è giunta a una quota leggermente più alta: in mediana il 28,3% della perdita di peso era attribuibile a parametri legati ai muscoli, e nel 65% degli studi la quota superava un valore di riferimento di circa il 25%. Nemmeno uno studio aveva misurato oggettivamente la capacità fisica</w:t>
      </w:r>
      <w:r>
        <w:rPr>
          <w:rStyle w:val="FootnoteReference"/>
        </w:rPr>
        <w:footnoteReference w:id="2809"/>
      </w:r>
      <w:r>
        <w:t xml:space="preserve">.</w:t>
      </w:r>
    </w:p>
    <w:p>
      <w:pPr>
        <w:numPr>
          <w:ilvl w:val="0"/>
          <w:numId w:val="1350"/>
        </w:numPr>
        <w:pStyle w:val="Compact"/>
      </w:pPr>
      <w:r>
        <w:t xml:space="preserve">Un’ulteriore meta-analisi sottolinea l’altro lato: poiché il grasso diminuisce più dei muscoli, la</w:t>
      </w:r>
      <w:r>
        <w:t xml:space="preserve"> </w:t>
      </w:r>
      <w:r>
        <w:rPr>
          <w:iCs/>
          <w:i/>
        </w:rPr>
        <w:t xml:space="preserve">quota</w:t>
      </w:r>
      <w:r>
        <w:t xml:space="preserve"> </w:t>
      </w:r>
      <w:r>
        <w:t xml:space="preserve">di massa magra sul peso corporeo è aumentata di 1,81 punti percentuali. Gli autori raccomandano di accompagnare il trattamento con programmi di alimentazione e attività fisica</w:t>
      </w:r>
      <w:r>
        <w:rPr>
          <w:rStyle w:val="FootnoteReference"/>
        </w:rPr>
        <w:footnoteReference w:id="2810"/>
      </w:r>
      <w:r>
        <w:t xml:space="preserve">.</w:t>
      </w:r>
    </w:p>
    <w:p>
      <w:pPr>
        <w:pStyle w:val="FirstParagraph"/>
      </w:pPr>
      <w:r>
        <w:t xml:space="preserve">In sintesi: la perdita muscolare con i farmaci GLP-1 non sembra, in rapporto alla perdita complessiva, sostanzialmente maggiore che con altre forme di riduzione del peso – in chilogrammi assoluti, però, è considerevole a causa della grande perdita di peso. Se ciò abbia conseguenze su forza, cadute o autonomia non è stato studiato. Per le persone anziane, le persone con poca massa muscolare e le persone fragili è una questione aperta. Se le combinazioni con cagrilintide influenzino la perdita muscolare è attualmente oggetto di studio (capitolo Cagrilintide).</w:t>
      </w:r>
    </w:p>
    <w:bookmarkEnd w:id="2811"/>
    <w:bookmarkStart w:id="2816" w:name="disturbi-alimentari"/>
    <w:p>
      <w:pPr>
        <w:pStyle w:val="Heading3"/>
      </w:pPr>
      <w:r>
        <w:t xml:space="preserve">Disturbi alimentari</w:t>
      </w:r>
    </w:p>
    <w:p>
      <w:pPr>
        <w:pStyle w:val="FirstParagraph"/>
      </w:pPr>
      <w:r>
        <w:t xml:space="preserve">I farmaci GLP-1 attenuano l’appetito e la sensazione di fame. Per le persone con anoressia (anorexia nervosa) o bulimia proprio questo effetto può essere pericoloso: può rafforzare un comportamento alimentare restrittivo e aggravare una malattia. Un caso clinico descrive l’abuso di semaglutide in un’anoressia atipica</w:t>
      </w:r>
      <w:r>
        <w:rPr>
          <w:rStyle w:val="FootnoteReference"/>
        </w:rPr>
        <w:footnoteReference w:id="2812"/>
      </w:r>
      <w:r>
        <w:t xml:space="preserve">, e uno studio trasversale statunitense ha esaminato quanto siano diffusi l’uso e l’abuso di farmaci GLP-1 tra le persone con disturbi alimentari</w:t>
      </w:r>
      <w:r>
        <w:rPr>
          <w:rStyle w:val="FootnoteReference"/>
        </w:rPr>
        <w:footnoteReference w:id="2813"/>
      </w:r>
      <w:r>
        <w:t xml:space="preserve">.</w:t>
      </w:r>
    </w:p>
    <w:p>
      <w:pPr>
        <w:pStyle w:val="BodyText"/>
      </w:pPr>
      <w:r>
        <w:t xml:space="preserve">Nel 2026 un panel di 45 esperti e persone con esperienza diretta ha elaborato raccomandazioni con un procedimento di consenso. Secondo queste, prima di iniziare un trattamento con GLP-1 si dovrebbe indagare con un breve questionario validato su disturbi alimentari attuali e pregressi, i sintomi andrebbero osservati nel corso del trattamento, e in caso di anoressia attiva, anoressia atipica o bulimia con forte restrizione alimentare questi farmaci di regola non andrebbero usati. Anche in caso di disturbi alimentari pregressi sarebbe necessaria cautela</w:t>
      </w:r>
      <w:r>
        <w:rPr>
          <w:rStyle w:val="FootnoteReference"/>
        </w:rPr>
        <w:footnoteReference w:id="2814"/>
      </w:r>
      <w:r>
        <w:t xml:space="preserve">.</w:t>
      </w:r>
    </w:p>
    <w:p>
      <w:pPr>
        <w:pStyle w:val="BodyText"/>
      </w:pPr>
      <w:r>
        <w:t xml:space="preserve">Per il disturbo da alimentazione incontrollata (binge eating), in cui le abbuffate si verificano senza comportamenti compensatori, esistono invece primi indizi che i farmaci GLP-1 potrebbero ridurre le abbuffate</w:t>
      </w:r>
      <w:r>
        <w:rPr>
          <w:rStyle w:val="FootnoteReference"/>
        </w:rPr>
        <w:footnoteReference w:id="2815"/>
      </w:r>
      <w:r>
        <w:t xml:space="preserve">. Ciò mostra quanto sia importante una diagnosi accurata. Con il mercato grigio e con venditori online con scarso accompagnamento medico viene meno proprio questa indagine.</w:t>
      </w:r>
    </w:p>
    <w:bookmarkEnd w:id="2816"/>
    <w:bookmarkStart w:id="2822" w:name="sport-agonistico-e-controlli-antidoping"/>
    <w:p>
      <w:pPr>
        <w:pStyle w:val="Heading3"/>
      </w:pPr>
      <w:r>
        <w:t xml:space="preserve">Sport agonistico e controlli antidoping</w:t>
      </w:r>
    </w:p>
    <w:p>
      <w:pPr>
        <w:pStyle w:val="FirstParagraph"/>
      </w:pPr>
      <w:r>
        <w:t xml:space="preserve">Per gli sportivi soggetti a controlli antidoping la situazione con i peptidi è particolarmente delicata. Secondo la lista delle sostanze proibite dell’Agenzia mondiale antidoping (WADA) vale in linea di massima:</w:t>
      </w:r>
    </w:p>
    <w:p>
      <w:pPr>
        <w:numPr>
          <w:ilvl w:val="0"/>
          <w:numId w:val="1351"/>
        </w:numPr>
        <w:pStyle w:val="Compact"/>
      </w:pPr>
      <w:r>
        <w:rPr>
          <w:bCs/>
          <w:b/>
        </w:rPr>
        <w:t xml:space="preserve">Proibiti (S2, ormoni peptidici e fattori di crescita):</w:t>
      </w:r>
      <w:r>
        <w:t xml:space="preserve"> </w:t>
      </w:r>
      <w:r>
        <w:t xml:space="preserve">tutti i secretagoghi dell’ormone della crescita e i derivati dell’IGF-1, timosina beta-4 e TB-500, ARA-290, negli uomini gonadorelina e liberatori di LH come la kisspeptina.</w:t>
      </w:r>
    </w:p>
    <w:p>
      <w:pPr>
        <w:numPr>
          <w:ilvl w:val="0"/>
          <w:numId w:val="1351"/>
        </w:numPr>
        <w:pStyle w:val="Compact"/>
      </w:pPr>
      <w:r>
        <w:rPr>
          <w:bCs/>
          <w:b/>
        </w:rPr>
        <w:t xml:space="preserve">Proibiti (S0, sostanze non approvate):</w:t>
      </w:r>
      <w:r>
        <w:t xml:space="preserve"> </w:t>
      </w:r>
      <w:r>
        <w:t xml:space="preserve">sostanze senza autorizzazione come farmaco per uso umano, per esempio BPC-157, Melanotan II e gli agonisti multipli GLP-1 ancora in fase di studio come retatrutide.</w:t>
      </w:r>
    </w:p>
    <w:p>
      <w:pPr>
        <w:numPr>
          <w:ilvl w:val="0"/>
          <w:numId w:val="1351"/>
        </w:numPr>
        <w:pStyle w:val="Compact"/>
      </w:pPr>
      <w:r>
        <w:rPr>
          <w:bCs/>
          <w:b/>
        </w:rPr>
        <w:t xml:space="preserve">Proibito (S4):</w:t>
      </w:r>
      <w:r>
        <w:t xml:space="preserve"> </w:t>
      </w:r>
      <w:r>
        <w:t xml:space="preserve">MOTS-c in quanto attivatore dell’enzima AMPK.</w:t>
      </w:r>
    </w:p>
    <w:p>
      <w:pPr>
        <w:numPr>
          <w:ilvl w:val="0"/>
          <w:numId w:val="1351"/>
        </w:numPr>
        <w:pStyle w:val="Compact"/>
      </w:pPr>
      <w:r>
        <w:rPr>
          <w:bCs/>
          <w:b/>
        </w:rPr>
        <w:t xml:space="preserve">Non proibiti:</w:t>
      </w:r>
      <w:r>
        <w:t xml:space="preserve"> </w:t>
      </w:r>
      <w:r>
        <w:t xml:space="preserve">i farmaci GLP-1 autorizzati. Semaglutide e tirzepatide sono però stati inseriti nel programma di monitoraggio della WADA per rilevare un possibile abuso; i laboratori hanno già sviluppato metodi di rilevamento per sangue e gocce di sangue essiccato</w:t>
      </w:r>
      <w:r>
        <w:rPr>
          <w:rStyle w:val="FootnoteReference"/>
        </w:rPr>
        <w:footnoteReference w:id="2817"/>
      </w:r>
      <w:r>
        <w:t xml:space="preserve">.</w:t>
      </w:r>
    </w:p>
    <w:p>
      <w:pPr>
        <w:pStyle w:val="FirstParagraph"/>
      </w:pPr>
      <w:r>
        <w:t xml:space="preserve">I dettagli si trovano nei rispettivi capitoli. Tre punti sono importanti per tutti i peptidi.</w:t>
      </w:r>
    </w:p>
    <w:p>
      <w:pPr>
        <w:pStyle w:val="BodyText"/>
      </w:pPr>
      <w:r>
        <w:rPr>
          <w:bCs/>
          <w:b/>
        </w:rPr>
        <w:t xml:space="preserve">Prodotti contaminati.</w:t>
      </w:r>
      <w:r>
        <w:t xml:space="preserve"> </w:t>
      </w:r>
      <w:r>
        <w:t xml:space="preserve">Uno sportivo è responsabile di ogni sostanza proibita presente nel suo corpo – anche se proviene da un prodotto etichettato in modo errato. Le analisi di laboratorio nel capitolo «Prodotti del mercato grigio» mostrano che la merce del mercato grigio contiene spesso sostanze diverse o aggiuntive e che principi attivi proibiti compaiono anche in prodotti presentati come integratori alimentari</w:t>
      </w:r>
      <w:r>
        <w:rPr>
          <w:rStyle w:val="FootnoteReference"/>
        </w:rPr>
        <w:footnoteReference w:id="2818"/>
      </w:r>
      <w:r>
        <w:t xml:space="preserve">.</w:t>
      </w:r>
    </w:p>
    <w:p>
      <w:pPr>
        <w:pStyle w:val="BodyText"/>
      </w:pPr>
      <w:r>
        <w:rPr>
          <w:bCs/>
          <w:b/>
        </w:rPr>
        <w:t xml:space="preserve">Varianti di design.</w:t>
      </w:r>
      <w:r>
        <w:t xml:space="preserve"> </w:t>
      </w:r>
      <w:r>
        <w:t xml:space="preserve">Peptidi modificati come Gly-GHRP-2 o Gly-ipamorelina servono presumibilmente ad aggirare i test</w:t>
      </w:r>
      <w:r>
        <w:rPr>
          <w:rStyle w:val="FootnoteReference"/>
        </w:rPr>
        <w:footnoteReference w:id="2819"/>
      </w:r>
      <w:r>
        <w:t xml:space="preserve">. Il loro effetto e la loro sicurezza sono del tutto sconosciuti. L’esperienza mostra che i laboratori antidoping aggiornano i loro metodi; i campioni vengono inoltre conservati a lungo e possono essere rianalizzati in seguito.</w:t>
      </w:r>
    </w:p>
    <w:p>
      <w:pPr>
        <w:pStyle w:val="BodyText"/>
      </w:pPr>
      <w:r>
        <w:rPr>
          <w:bCs/>
          <w:b/>
        </w:rPr>
        <w:t xml:space="preserve">Beneficio dubbio.</w:t>
      </w:r>
      <w:r>
        <w:t xml:space="preserve"> </w:t>
      </w:r>
      <w:r>
        <w:t xml:space="preserve">Una revisione sui farmaci incretinici nello sport conclude che gli studi clinici non mostrano un miglioramento uniforme della prestazione fisica nell’uomo e che il 20–30% della perdita di peso è dovuto alla massa magra</w:t>
      </w:r>
      <w:r>
        <w:rPr>
          <w:rStyle w:val="FootnoteReference"/>
        </w:rPr>
        <w:footnoteReference w:id="2820"/>
      </w:r>
      <w:r>
        <w:t xml:space="preserve">. Per i peptidi rigenerativi e i secretagoghi dell’ormone della crescita una revisione di medicina dello sport giunge alla conclusione che restano sperimentali, con un profilo di sicurezza incerto, una qualità dei prodotti dubbia e ampi divieti antidoping</w:t>
      </w:r>
      <w:r>
        <w:rPr>
          <w:rStyle w:val="FootnoteReference"/>
        </w:rPr>
        <w:footnoteReference w:id="2821"/>
      </w:r>
      <w:r>
        <w:t xml:space="preserve">.</w:t>
      </w:r>
    </w:p>
    <w:bookmarkEnd w:id="2822"/>
    <w:bookmarkStart w:id="2823" w:name="in-breve-2"/>
    <w:p>
      <w:pPr>
        <w:pStyle w:val="Heading3"/>
      </w:pPr>
      <w:r>
        <w:t xml:space="preserve">In breve</w:t>
      </w:r>
    </w:p>
    <w:p>
      <w:pPr>
        <w:numPr>
          <w:ilvl w:val="0"/>
          <w:numId w:val="1352"/>
        </w:numPr>
        <w:pStyle w:val="Compact"/>
      </w:pPr>
      <w:r>
        <w:t xml:space="preserve">In gravidanza quasi tutti i peptidi non sono stati studiati o non sono indicati. Per un’esposizione accidentale ai farmaci GLP-1 i dati sono in prevalenza rassicuranti, ma incerti.</w:t>
      </w:r>
    </w:p>
    <w:p>
      <w:pPr>
        <w:numPr>
          <w:ilvl w:val="0"/>
          <w:numId w:val="1352"/>
        </w:numPr>
        <w:pStyle w:val="Compact"/>
      </w:pPr>
      <w:r>
        <w:t xml:space="preserve">Tirzepatide può ridurre l’assorbimento della pillola; con semaglutide ciò non è emerso. Vomito e diarrea compromettono l’assunzione di qualsiasi compressa.</w:t>
      </w:r>
    </w:p>
    <w:p>
      <w:pPr>
        <w:numPr>
          <w:ilvl w:val="0"/>
          <w:numId w:val="1352"/>
        </w:numPr>
        <w:pStyle w:val="Compact"/>
      </w:pPr>
      <w:r>
        <w:t xml:space="preserve">Con i farmaci GLP-1 lo stomaco resta più spesso pieno. Prima di anestesie e gastroscopie l’équipe curante deve esserne informata.</w:t>
      </w:r>
    </w:p>
    <w:p>
      <w:pPr>
        <w:numPr>
          <w:ilvl w:val="0"/>
          <w:numId w:val="1352"/>
        </w:numPr>
        <w:pStyle w:val="Compact"/>
      </w:pPr>
      <w:r>
        <w:t xml:space="preserve">In combinazione con insulina o sulfoniluree aumenta il rischio di ipoglicemia.</w:t>
      </w:r>
    </w:p>
    <w:p>
      <w:pPr>
        <w:numPr>
          <w:ilvl w:val="0"/>
          <w:numId w:val="1352"/>
        </w:numPr>
        <w:pStyle w:val="Compact"/>
      </w:pPr>
      <w:r>
        <w:t xml:space="preserve">Gli adolescenti si distinguono nei dati dei centri antiveleni per l’uso improprio intenzionale; in caso di disturbi alimentari i farmaci GLP-1 di regola non andrebbero usati.</w:t>
      </w:r>
    </w:p>
    <w:p>
      <w:pPr>
        <w:numPr>
          <w:ilvl w:val="0"/>
          <w:numId w:val="1352"/>
        </w:numPr>
        <w:pStyle w:val="Compact"/>
      </w:pPr>
      <w:r>
        <w:t xml:space="preserve">Circa un quarto della perdita di peso con i farmaci GLP-1 è dovuto alla massa magra; se ciò abbia conseguenze funzionali è aperto.</w:t>
      </w:r>
    </w:p>
    <w:p>
      <w:pPr>
        <w:numPr>
          <w:ilvl w:val="0"/>
          <w:numId w:val="1352"/>
        </w:numPr>
        <w:pStyle w:val="Compact"/>
      </w:pPr>
      <w:r>
        <w:t xml:space="preserve">Per gli sportivi la maggior parte dei peptidi è proibita, e i prodotti del mercato grigio comportano inoltre il rischio di sostanze dopanti non dichiarate.</w:t>
      </w:r>
    </w:p>
    <w:bookmarkEnd w:id="2823"/>
    <w:bookmarkEnd w:id="2824"/>
    <w:bookmarkEnd w:id="2825"/>
    <w:bookmarkStart w:id="2977" w:name="parte-v-futuro"/>
    <w:p>
      <w:pPr>
        <w:pStyle w:val="Heading1"/>
      </w:pPr>
      <w:r>
        <w:t xml:space="preserve">Parte V – Futuro</w:t>
      </w:r>
    </w:p>
    <w:p>
      <w:pPr>
        <w:pStyle w:val="FirstParagraph"/>
      </w:pPr>
      <w:r>
        <w:t xml:space="preserve">Le parti precedenti hanno descritto ciò che oggi si sa sui peptidi. Quest’ultima parte guarda avanti: quali principi attivi si trovano nei grandi studi che si concluderanno nei prossimi anni? Le iniezioni verranno sostituite dalle compresse? Che cosa significano i brevetti in scadenza per prezzi e disponibilità? E quali sviluppi ci si può attendere fino al 2035?</w:t>
      </w:r>
    </w:p>
    <w:p>
      <w:pPr>
        <w:pStyle w:val="BodyText"/>
      </w:pPr>
      <w:r>
        <w:t xml:space="preserve">In questo libro le affermazioni sul futuro sono rigorosamente separate. È</w:t>
      </w:r>
      <w:r>
        <w:t xml:space="preserve"> </w:t>
      </w:r>
      <w:r>
        <w:rPr>
          <w:bCs/>
          <w:b/>
        </w:rPr>
        <w:t xml:space="preserve">accertato</w:t>
      </w:r>
      <w:r>
        <w:t xml:space="preserve"> </w:t>
      </w:r>
      <w:r>
        <w:t xml:space="preserve">ciò che è iscritto in un registro di studi, pubblicato in uno studio sottoposto a revisione paritaria o deciso dalle autorità. Anche questo è solo un’istantanea: gli studi vengono prolungati, ridimensionati o interrotti, e le date di conclusione previste slittano spesso di anni. Tutto il resto è</w:t>
      </w:r>
      <w:r>
        <w:t xml:space="preserve"> </w:t>
      </w:r>
      <w:r>
        <w:rPr>
          <w:bCs/>
          <w:b/>
        </w:rPr>
        <w:t xml:space="preserve">valutazione dell’autore</w:t>
      </w:r>
      <w:r>
        <w:t xml:space="preserve"> </w:t>
      </w:r>
      <w:r>
        <w:t xml:space="preserve">ed è indicato espressamente come tale. La ricerca riflette la situazione a ottobre 2026.</w:t>
      </w:r>
    </w:p>
    <w:bookmarkStart w:id="2867" w:name="la-pipeline-che-cosa-è-in-fase-2-e-3"/>
    <w:p>
      <w:pPr>
        <w:pStyle w:val="Heading2"/>
      </w:pPr>
      <w:r>
        <w:t xml:space="preserve">La pipeline: che cosa è in fase 2 e 3</w:t>
      </w:r>
    </w:p>
    <w:p>
      <w:pPr>
        <w:pStyle w:val="FirstParagraph"/>
      </w:pPr>
      <w:r>
        <w:t xml:space="preserve">Con «pipeline» l’industria farmaceutica indica l’insieme dei principi attivi in fase di sviluppo. Le fasi sono spiegate nella Parte I: nella</w:t>
      </w:r>
      <w:r>
        <w:t xml:space="preserve"> </w:t>
      </w:r>
      <w:r>
        <w:rPr>
          <w:bCs/>
          <w:b/>
        </w:rPr>
        <w:t xml:space="preserve">fase 1</w:t>
      </w:r>
      <w:r>
        <w:t xml:space="preserve"> </w:t>
      </w:r>
      <w:r>
        <w:t xml:space="preserve">un principio attivo viene di norma testato su pochi volontari sani per la tollerabilità, nella</w:t>
      </w:r>
      <w:r>
        <w:t xml:space="preserve"> </w:t>
      </w:r>
      <w:r>
        <w:rPr>
          <w:bCs/>
          <w:b/>
        </w:rPr>
        <w:t xml:space="preserve">fase 2</w:t>
      </w:r>
      <w:r>
        <w:t xml:space="preserve"> </w:t>
      </w:r>
      <w:r>
        <w:t xml:space="preserve">su alcune centinaia di malati per l’efficacia e la dose adatta, nella</w:t>
      </w:r>
      <w:r>
        <w:t xml:space="preserve"> </w:t>
      </w:r>
      <w:r>
        <w:rPr>
          <w:bCs/>
          <w:b/>
        </w:rPr>
        <w:t xml:space="preserve">fase 3</w:t>
      </w:r>
      <w:r>
        <w:t xml:space="preserve"> </w:t>
      </w:r>
      <w:r>
        <w:t xml:space="preserve">su migliaia di persone ai fini dell’autorizzazione. La</w:t>
      </w:r>
      <w:r>
        <w:t xml:space="preserve"> </w:t>
      </w:r>
      <w:r>
        <w:rPr>
          <w:bCs/>
          <w:b/>
        </w:rPr>
        <w:t xml:space="preserve">fase 4</w:t>
      </w:r>
      <w:r>
        <w:t xml:space="preserve"> </w:t>
      </w:r>
      <w:r>
        <w:t xml:space="preserve">indica gli studi con farmaci già autorizzati. Chi vuole sapere che cosa potrebbe arrivare sul mercato nei prossimi cinque anni deve guardare soprattutto alla fase 3.</w:t>
      </w:r>
    </w:p>
    <w:bookmarkStart w:id="2828" w:name="come-è-stata-fatta-lanalisi"/>
    <w:p>
      <w:pPr>
        <w:pStyle w:val="Heading3"/>
      </w:pPr>
      <w:r>
        <w:t xml:space="preserve">Come è stata fatta l’analisi</w:t>
      </w:r>
    </w:p>
    <w:p>
      <w:pPr>
        <w:pStyle w:val="FirstParagraph"/>
      </w:pPr>
      <w:r>
        <w:t xml:space="preserve">La base sono gli elenchi del registro ClinicalTrials.gov, consultati nell’ottobre 2026 per i 58 principi attivi di questo libro (vedi Metodologia in appendice). Un piccolo programma di analisi ne ha estratto tutte le voci che</w:t>
      </w:r>
    </w:p>
    <w:p>
      <w:pPr>
        <w:numPr>
          <w:ilvl w:val="0"/>
          <w:numId w:val="1353"/>
        </w:numPr>
        <w:pStyle w:val="Compact"/>
      </w:pPr>
      <w:r>
        <w:t xml:space="preserve">descrivono uno studio</w:t>
      </w:r>
      <w:r>
        <w:t xml:space="preserve"> </w:t>
      </w:r>
      <w:r>
        <w:rPr>
          <w:bCs/>
          <w:b/>
        </w:rPr>
        <w:t xml:space="preserve">interventistico</w:t>
      </w:r>
      <w:r>
        <w:t xml:space="preserve">, cioè uno studio in cui un principio attivo viene somministrato in modo mirato (non una semplice osservazione), e</w:t>
      </w:r>
    </w:p>
    <w:p>
      <w:pPr>
        <w:numPr>
          <w:ilvl w:val="0"/>
          <w:numId w:val="1353"/>
        </w:numPr>
        <w:pStyle w:val="Compact"/>
      </w:pPr>
      <w:r>
        <w:t xml:space="preserve">sono contrassegnate come</w:t>
      </w:r>
      <w:r>
        <w:t xml:space="preserve"> </w:t>
      </w:r>
      <w:r>
        <w:rPr>
          <w:bCs/>
          <w:b/>
        </w:rPr>
        <w:t xml:space="preserve">in corso</w:t>
      </w:r>
      <w:r>
        <w:t xml:space="preserve">: in reclutamento, attivo senza ulteriore reclutamento, non ancora in reclutamento o partecipazione solo su invito.</w:t>
      </w:r>
    </w:p>
    <w:p>
      <w:pPr>
        <w:pStyle w:val="FirstParagraph"/>
      </w:pPr>
      <w:r>
        <w:t xml:space="preserve">Gli studi che compaiono sotto più principi attivi – per esempio un confronto tra retatrutide e tirzepatide – sono stati contati una sola volta.</w:t>
      </w:r>
    </w:p>
    <w:p>
      <w:pPr>
        <w:pStyle w:val="BodyText"/>
      </w:pPr>
      <w:r>
        <w:rPr>
          <w:bCs/>
          <w:b/>
        </w:rPr>
        <w:t xml:space="preserve">Che cosa è stato escluso – e perché:</w:t>
      </w:r>
    </w:p>
    <w:p>
      <w:pPr>
        <w:numPr>
          <w:ilvl w:val="0"/>
          <w:numId w:val="1354"/>
        </w:numPr>
        <w:pStyle w:val="Compact"/>
      </w:pPr>
      <w:r>
        <w:rPr>
          <w:bCs/>
          <w:b/>
        </w:rPr>
        <w:t xml:space="preserve">Otto voci dello sponsor «Hudson Biotech»</w:t>
      </w:r>
      <w:r>
        <w:t xml:space="preserve"> </w:t>
      </w:r>
      <w:r>
        <w:t xml:space="preserve">(una ciascuna per BPC-157, GHK-Cu, Melanotan II, MOTS-c, retatrutide, TB-500, tesamorelina e tirzepatide). Una voce di questo sponsor si definisce nella propria descrizione un esempio fittizio (vedi capitoli BPC-157 e TB-500). Nessuna di queste voci è considerata in questo libro come uno studio reale.</w:t>
      </w:r>
    </w:p>
    <w:p>
      <w:pPr>
        <w:numPr>
          <w:ilvl w:val="0"/>
          <w:numId w:val="1354"/>
        </w:numPr>
        <w:pStyle w:val="Compact"/>
      </w:pPr>
      <w:r>
        <w:rPr>
          <w:bCs/>
          <w:b/>
        </w:rPr>
        <w:t xml:space="preserve">Tutti i 1.000 risultati per il termine di ricerca «Gonadorelin».</w:t>
      </w:r>
      <w:r>
        <w:t xml:space="preserve"> </w:t>
      </w:r>
      <w:r>
        <w:t xml:space="preserve">Riguardano in larghissima parte derivati sintetici dell’ormone GnRH (per esempio leuprorelina o triptorelina) nel trattamento del cancro della prostata e del seno o nella medicina della riproduzione – quindi altri farmaci. Le poche voci sul GnRH naturale sono discusse nel capitolo Gonadorelina; nessuna di esse è uno studio di fase 3 in corso.</w:t>
      </w:r>
    </w:p>
    <w:p>
      <w:pPr>
        <w:pStyle w:val="FirstParagraph"/>
      </w:pPr>
      <w:r>
        <w:rPr>
          <w:bCs/>
          <w:b/>
        </w:rPr>
        <w:t xml:space="preserve">Che cosa non è stato escluso, ma verificato:</w:t>
      </w:r>
      <w:r>
        <w:t xml:space="preserve"> </w:t>
      </w:r>
      <w:r>
        <w:t xml:space="preserve">per glutatione, collagene e carnosina i termini di ricerca sono così generici che molti risultati citano la sostanza solo come componente di una miscela, come confronto o come parametro misurato. Così sotto glutatione compare un grande studio sulla dengue, perché vi si testa la N-acetilcisteina – un precursore del glutatione</w:t>
      </w:r>
      <w:r>
        <w:rPr>
          <w:rStyle w:val="FootnoteReference"/>
        </w:rPr>
        <w:footnoteReference w:id="2826"/>
      </w:r>
      <w:r>
        <w:t xml:space="preserve">. Sotto larazotide compaiono due studi su un principio attivo del tutto diverso contro la malattia di Fabry</w:t>
      </w:r>
      <w:r>
        <w:rPr>
          <w:rStyle w:val="FootnoteReference"/>
        </w:rPr>
        <w:footnoteReference w:id="2827"/>
      </w:r>
      <w:r>
        <w:t xml:space="preserve">. Questi risultati sono inclusi nei numeri complessivi, ma nella valutazione non sono contati come studi su peptidi.</w:t>
      </w:r>
    </w:p>
    <w:p>
      <w:pPr>
        <w:pStyle w:val="BodyText"/>
      </w:pPr>
      <w:r>
        <w:rPr>
          <w:bCs/>
          <w:b/>
        </w:rPr>
        <w:t xml:space="preserve">Due limiti dell’analisi:</w:t>
      </w:r>
      <w:r>
        <w:t xml:space="preserve"> </w:t>
      </w:r>
      <w:r>
        <w:t xml:space="preserve">primo, non tutti gli sponsor comunicano tempestivamente la conclusione del loro studio; alcune voci con data di conclusione 2025 figurano ancora come «in corso» nel registro. Secondo, la consultazione comprende solo i 58 principi attivi di questo libro. Le nuove molecole senza un capitolo proprio compaiono solo se vengono confrontate con uno di questi principi attivi. Per questo, per i nuovi principi d’azione più avanti, è stata fatta una ricerca mirata supplementare.</w:t>
      </w:r>
    </w:p>
    <w:bookmarkEnd w:id="2828"/>
    <w:bookmarkStart w:id="2836" w:name="il-risultato-in-cifre"/>
    <w:p>
      <w:pPr>
        <w:pStyle w:val="Heading3"/>
      </w:pPr>
      <w:r>
        <w:t xml:space="preserve">Il risultato in cifre</w:t>
      </w:r>
    </w:p>
    <w:p>
      <w:pPr>
        <w:pStyle w:val="FirstParagraph"/>
      </w:pPr>
      <w:r>
        <w:t xml:space="preserve">Dopo le esclusioni sono rimasti 730 studi interventistici in corso. Di questi, 568 – ben tre quarti – riguardano principi attivi del gruppo A (metabolismo e peso).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Fase</w:t>
            </w:r>
          </w:p>
        </w:tc>
        <w:tc>
          <w:tcPr/>
          <w:p>
            <w:pPr>
              <w:pStyle w:val="Compact"/>
              <w:jc w:val="left"/>
            </w:pPr>
            <w:r>
              <w:t xml:space="preserve">studi in corso in totale</w:t>
            </w:r>
          </w:p>
        </w:tc>
        <w:tc>
          <w:tcPr/>
          <w:p>
            <w:pPr>
              <w:pStyle w:val="Compact"/>
              <w:jc w:val="left"/>
            </w:pPr>
            <w:r>
              <w:t xml:space="preserve">di cui gruppo A</w:t>
            </w:r>
          </w:p>
        </w:tc>
      </w:tr>
      <w:tr>
        <w:tc>
          <w:tcPr/>
          <w:p>
            <w:pPr>
              <w:pStyle w:val="Compact"/>
              <w:jc w:val="left"/>
            </w:pPr>
            <w:r>
              <w:t xml:space="preserve">Fase 1</w:t>
            </w:r>
          </w:p>
        </w:tc>
        <w:tc>
          <w:tcPr/>
          <w:p>
            <w:pPr>
              <w:pStyle w:val="Compact"/>
              <w:jc w:val="left"/>
            </w:pPr>
            <w:r>
              <w:t xml:space="preserve">80</w:t>
            </w:r>
          </w:p>
        </w:tc>
        <w:tc>
          <w:tcPr/>
          <w:p>
            <w:pPr>
              <w:pStyle w:val="Compact"/>
              <w:jc w:val="left"/>
            </w:pPr>
            <w:r>
              <w:t xml:space="preserve">55</w:t>
            </w:r>
          </w:p>
        </w:tc>
      </w:tr>
      <w:tr>
        <w:tc>
          <w:tcPr/>
          <w:p>
            <w:pPr>
              <w:pStyle w:val="Compact"/>
              <w:jc w:val="left"/>
            </w:pPr>
            <w:r>
              <w:t xml:space="preserve">Fase 1/2</w:t>
            </w:r>
          </w:p>
        </w:tc>
        <w:tc>
          <w:tcPr/>
          <w:p>
            <w:pPr>
              <w:pStyle w:val="Compact"/>
              <w:jc w:val="left"/>
            </w:pPr>
            <w:r>
              <w:t xml:space="preserve">19</w:t>
            </w:r>
          </w:p>
        </w:tc>
        <w:tc>
          <w:tcPr/>
          <w:p>
            <w:pPr>
              <w:pStyle w:val="Compact"/>
              <w:jc w:val="left"/>
            </w:pPr>
            <w:r>
              <w:t xml:space="preserve">16</w:t>
            </w:r>
          </w:p>
        </w:tc>
      </w:tr>
      <w:tr>
        <w:tc>
          <w:tcPr/>
          <w:p>
            <w:pPr>
              <w:pStyle w:val="Compact"/>
              <w:jc w:val="left"/>
            </w:pPr>
            <w:r>
              <w:t xml:space="preserve">Fase 2</w:t>
            </w:r>
          </w:p>
        </w:tc>
        <w:tc>
          <w:tcPr/>
          <w:p>
            <w:pPr>
              <w:pStyle w:val="Compact"/>
              <w:jc w:val="left"/>
            </w:pPr>
            <w:r>
              <w:t xml:space="preserve">179</w:t>
            </w:r>
          </w:p>
        </w:tc>
        <w:tc>
          <w:tcPr/>
          <w:p>
            <w:pPr>
              <w:pStyle w:val="Compact"/>
              <w:jc w:val="left"/>
            </w:pPr>
            <w:r>
              <w:t xml:space="preserve">125</w:t>
            </w:r>
          </w:p>
        </w:tc>
      </w:tr>
      <w:tr>
        <w:tc>
          <w:tcPr/>
          <w:p>
            <w:pPr>
              <w:pStyle w:val="Compact"/>
              <w:jc w:val="left"/>
            </w:pPr>
            <w:r>
              <w:t xml:space="preserve">Fase 2/3</w:t>
            </w:r>
          </w:p>
        </w:tc>
        <w:tc>
          <w:tcPr/>
          <w:p>
            <w:pPr>
              <w:pStyle w:val="Compact"/>
              <w:jc w:val="left"/>
            </w:pPr>
            <w:r>
              <w:t xml:space="preserve">19</w:t>
            </w:r>
          </w:p>
        </w:tc>
        <w:tc>
          <w:tcPr/>
          <w:p>
            <w:pPr>
              <w:pStyle w:val="Compact"/>
              <w:jc w:val="left"/>
            </w:pPr>
            <w:r>
              <w:t xml:space="preserve">15</w:t>
            </w:r>
          </w:p>
        </w:tc>
      </w:tr>
      <w:tr>
        <w:tc>
          <w:tcPr/>
          <w:p>
            <w:pPr>
              <w:pStyle w:val="Compact"/>
              <w:jc w:val="left"/>
            </w:pPr>
            <w:r>
              <w:t xml:space="preserve">Fase 3</w:t>
            </w:r>
          </w:p>
        </w:tc>
        <w:tc>
          <w:tcPr/>
          <w:p>
            <w:pPr>
              <w:pStyle w:val="Compact"/>
              <w:jc w:val="left"/>
            </w:pPr>
            <w:r>
              <w:t xml:space="preserve">157</w:t>
            </w:r>
          </w:p>
        </w:tc>
        <w:tc>
          <w:tcPr/>
          <w:p>
            <w:pPr>
              <w:pStyle w:val="Compact"/>
              <w:jc w:val="left"/>
            </w:pPr>
            <w:r>
              <w:t xml:space="preserve">142</w:t>
            </w:r>
          </w:p>
        </w:tc>
      </w:tr>
      <w:tr>
        <w:tc>
          <w:tcPr/>
          <w:p>
            <w:pPr>
              <w:pStyle w:val="Compact"/>
              <w:jc w:val="left"/>
            </w:pPr>
            <w:r>
              <w:t xml:space="preserve">Fase 4</w:t>
            </w:r>
          </w:p>
        </w:tc>
        <w:tc>
          <w:tcPr/>
          <w:p>
            <w:pPr>
              <w:pStyle w:val="Compact"/>
              <w:jc w:val="left"/>
            </w:pPr>
            <w:r>
              <w:t xml:space="preserve">140</w:t>
            </w:r>
          </w:p>
        </w:tc>
        <w:tc>
          <w:tcPr/>
          <w:p>
            <w:pPr>
              <w:pStyle w:val="Compact"/>
              <w:jc w:val="left"/>
            </w:pPr>
            <w:r>
              <w:t xml:space="preserve">132</w:t>
            </w:r>
          </w:p>
        </w:tc>
      </w:tr>
      <w:tr>
        <w:tc>
          <w:tcPr/>
          <w:p>
            <w:pPr>
              <w:pStyle w:val="Compact"/>
              <w:jc w:val="left"/>
            </w:pPr>
            <w:r>
              <w:t xml:space="preserve">senza indicazione di fase</w:t>
            </w:r>
          </w:p>
        </w:tc>
        <w:tc>
          <w:tcPr/>
          <w:p>
            <w:pPr>
              <w:pStyle w:val="Compact"/>
              <w:jc w:val="left"/>
            </w:pPr>
            <w:r>
              <w:t xml:space="preserve">136</w:t>
            </w:r>
          </w:p>
        </w:tc>
        <w:tc>
          <w:tcPr/>
          <w:p>
            <w:pPr>
              <w:pStyle w:val="Compact"/>
              <w:jc w:val="left"/>
            </w:pPr>
            <w:r>
              <w:t xml:space="preserve">83</w:t>
            </w:r>
          </w:p>
        </w:tc>
      </w:tr>
      <w:tr>
        <w:tc>
          <w:tcPr/>
          <w:p>
            <w:pPr>
              <w:pStyle w:val="Compact"/>
              <w:jc w:val="left"/>
            </w:pPr>
            <w:r>
              <w:rPr>
                <w:bCs/>
                <w:b/>
              </w:rPr>
              <w:t xml:space="preserve">Totale</w:t>
            </w:r>
          </w:p>
        </w:tc>
        <w:tc>
          <w:tcPr/>
          <w:p>
            <w:pPr>
              <w:pStyle w:val="Compact"/>
              <w:jc w:val="left"/>
            </w:pPr>
            <w:r>
              <w:rPr>
                <w:bCs/>
                <w:b/>
              </w:rPr>
              <w:t xml:space="preserve">730</w:t>
            </w:r>
          </w:p>
        </w:tc>
        <w:tc>
          <w:tcPr/>
          <w:p>
            <w:pPr>
              <w:pStyle w:val="Compact"/>
              <w:jc w:val="left"/>
            </w:pPr>
            <w:r>
              <w:rPr>
                <w:bCs/>
                <w:b/>
              </w:rPr>
              <w:t xml:space="preserve">568</w:t>
            </w:r>
          </w:p>
        </w:tc>
      </w:tr>
    </w:tbl>
    <w:p>
      <w:pPr>
        <w:pStyle w:val="BodyText"/>
      </w:pPr>
      <w:r>
        <w:t xml:space="preserve">Dei 157 studi di fase 3 in corso, 68 erano ancora in reclutamento, 54 erano attivi senza ulteriori arruolamenti e 35 non erano ancora iniziati. Aggiungendo gli studi combinati di fase 2/3 si arriva a 176 studi in fase avanzata; 157 di questi (142 in fase 3, 15 in fase 2/3) – quasi nove su dieci – appartengono al gruppo A.</w:t>
      </w:r>
    </w:p>
    <w:p>
      <w:pPr>
        <w:pStyle w:val="BodyText"/>
      </w:pPr>
      <w:r>
        <w:t xml:space="preserve">Nel gruppo A circa uno su tre di questi studi in fase avanzata è promosso da università e cliniche, gli altri da aziende. Le date di conclusione previste si distribuiscono così: 21 studi dovrebbero concludersi nel 2026, 49 nel 2027, 41 nel 2028 e 44 tra il 2029 e il 2033. La vera ondata di nuovi risultati è quindi attesa nel 2027 e nel 2028.</w:t>
      </w:r>
    </w:p>
    <w:p>
      <w:pPr>
        <w:pStyle w:val="BodyText"/>
      </w:pPr>
      <w:r>
        <w:rPr>
          <w:bCs/>
          <w:b/>
        </w:rPr>
        <w:t xml:space="preserve">I gruppi da B a F</w:t>
      </w:r>
      <w:r>
        <w:t xml:space="preserve"> </w:t>
      </w:r>
      <w:r>
        <w:t xml:space="preserve">hanno un aspetto completamente diverso. Dopo l’esame delle voci restano solo cinque studi di fase 3 in corso in cui un principio attivo di questo libro è effettivamente la sostanza in esame: timosina alfa-1 dopo intervento per cancro del colon</w:t>
      </w:r>
      <w:r>
        <w:rPr>
          <w:rStyle w:val="FootnoteReference"/>
        </w:rPr>
        <w:footnoteReference w:id="2829"/>
      </w:r>
      <w:r>
        <w:t xml:space="preserve">, collirio di timosina beta-4 nella cheratopatia neurotrofica</w:t>
      </w:r>
      <w:r>
        <w:rPr>
          <w:rStyle w:val="FootnoteReference"/>
        </w:rPr>
        <w:footnoteReference w:id="2830"/>
      </w:r>
      <w:r>
        <w:t xml:space="preserve">, elamipretide nella degenerazione maculare secca</w:t>
      </w:r>
      <w:r>
        <w:rPr>
          <w:rStyle w:val="FootnoteReference"/>
        </w:rPr>
        <w:footnoteReference w:id="2831"/>
      </w:r>
      <w:r>
        <w:t xml:space="preserve">, afamelanotide nella vitiligine</w:t>
      </w:r>
      <w:r>
        <w:rPr>
          <w:rStyle w:val="FootnoteReference"/>
        </w:rPr>
        <w:footnoteReference w:id="2832"/>
      </w:r>
      <w:r>
        <w:t xml:space="preserve"> </w:t>
      </w:r>
      <w:r>
        <w:t xml:space="preserve">e ibutamoren, che non è un peptide, in bambini con carenza di ormone della crescita</w:t>
      </w:r>
      <w:r>
        <w:rPr>
          <w:rStyle w:val="FootnoteReference"/>
        </w:rPr>
        <w:footnoteReference w:id="2833"/>
      </w:r>
      <w:r>
        <w:t xml:space="preserve">. A questi si aggiungono alcuni studi combinati di fase 2/3, per esempio su ossitocina spray nasale nel dolore cronico</w:t>
      </w:r>
      <w:r>
        <w:rPr>
          <w:rStyle w:val="FootnoteReference"/>
        </w:rPr>
        <w:footnoteReference w:id="2834"/>
      </w:r>
      <w:r>
        <w:t xml:space="preserve"> </w:t>
      </w:r>
      <w:r>
        <w:t xml:space="preserve">e su timosina alfa-1 nel fallimento ripetuto dell’impianto dopo fecondazione artificiale</w:t>
      </w:r>
      <w:r>
        <w:rPr>
          <w:rStyle w:val="FootnoteReference"/>
        </w:rPr>
        <w:footnoteReference w:id="2835"/>
      </w:r>
      <w:r>
        <w:t xml:space="preserve">. Per i «peptidi di ricerca» più popolari su internet – BPC-157, CJC-1295, ipamorelina, Epitalon, Semax, Selank – non è in corso nemmeno uno studio di fase 3.</w:t>
      </w:r>
    </w:p>
    <w:bookmarkEnd w:id="2836"/>
    <w:bookmarkStart w:id="2837" w:name="i-principali-studi-di-fase-3-in-corso"/>
    <w:p>
      <w:pPr>
        <w:pStyle w:val="Heading3"/>
      </w:pPr>
      <w:r>
        <w:t xml:space="preserve">I principali studi di fase 3 in corso</w:t>
      </w:r>
    </w:p>
    <w:p>
      <w:pPr>
        <w:pStyle w:val="FirstParagraph"/>
      </w:pPr>
      <w:r>
        <w:t xml:space="preserve">Le tabelle seguenti mostrano una selezione per dimensioni e importanza. «Conclusione prevista» è la fine dello studio indicata nel registro (situazione a ottobre 2026); l’endpoint principale viene spesso analizzato alcuni mesi prima, e le pubblicazioni seguono di solito da sei mesi a un anno dopo.</w:t>
      </w:r>
    </w:p>
    <w:p>
      <w:pPr>
        <w:pStyle w:val="BodyText"/>
      </w:pPr>
      <w:r>
        <w:rPr>
          <w:bCs/>
          <w:b/>
        </w:rPr>
        <w:t xml:space="preserve">Metabolismo e peso (gruppo 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 / NCT</w:t>
            </w:r>
          </w:p>
        </w:tc>
        <w:tc>
          <w:tcPr/>
          <w:p>
            <w:pPr>
              <w:pStyle w:val="Compact"/>
              <w:jc w:val="left"/>
            </w:pPr>
            <w:r>
              <w:t xml:space="preserve">Principio attivo</w:t>
            </w:r>
          </w:p>
        </w:tc>
        <w:tc>
          <w:tcPr/>
          <w:p>
            <w:pPr>
              <w:pStyle w:val="Compact"/>
              <w:jc w:val="left"/>
            </w:pPr>
            <w:r>
              <w:t xml:space="preserve">Quesito</w:t>
            </w:r>
          </w:p>
        </w:tc>
        <w:tc>
          <w:tcPr/>
          <w:p>
            <w:pPr>
              <w:pStyle w:val="Compact"/>
              <w:jc w:val="left"/>
            </w:pPr>
            <w:r>
              <w:t xml:space="preserve">Conclusione prevista</w:t>
            </w:r>
          </w:p>
        </w:tc>
      </w:tr>
      <w:tr>
        <w:tc>
          <w:tcPr/>
          <w:p>
            <w:pPr>
              <w:pStyle w:val="Compact"/>
              <w:jc w:val="left"/>
            </w:pPr>
            <w:r>
              <w:t xml:space="preserve">TRIUMPH-5, NCT06662383</w:t>
            </w:r>
          </w:p>
        </w:tc>
        <w:tc>
          <w:tcPr/>
          <w:p>
            <w:pPr>
              <w:pStyle w:val="Compact"/>
              <w:jc w:val="left"/>
            </w:pPr>
            <w:r>
              <w:t xml:space="preserve">retatrutide vs. tirzepatide</w:t>
            </w:r>
          </w:p>
        </w:tc>
        <w:tc>
          <w:tcPr/>
          <w:p>
            <w:pPr>
              <w:pStyle w:val="Compact"/>
              <w:jc w:val="left"/>
            </w:pPr>
            <w:r>
              <w:t xml:space="preserve">perdita di peso, 800 adulti</w:t>
            </w:r>
          </w:p>
        </w:tc>
        <w:tc>
          <w:tcPr/>
          <w:p>
            <w:pPr>
              <w:pStyle w:val="Compact"/>
              <w:jc w:val="left"/>
            </w:pPr>
            <w:r>
              <w:t xml:space="preserve">dicembre 2026</w:t>
            </w:r>
          </w:p>
        </w:tc>
      </w:tr>
      <w:tr>
        <w:tc>
          <w:tcPr/>
          <w:p>
            <w:pPr>
              <w:pStyle w:val="Compact"/>
              <w:jc w:val="left"/>
            </w:pPr>
            <w:r>
              <w:t xml:space="preserve">MARITIME-1, NCT06858839</w:t>
            </w:r>
          </w:p>
        </w:tc>
        <w:tc>
          <w:tcPr/>
          <w:p>
            <w:pPr>
              <w:pStyle w:val="Compact"/>
              <w:jc w:val="left"/>
            </w:pPr>
            <w:r>
              <w:t xml:space="preserve">maridebart cafraglutide</w:t>
            </w:r>
          </w:p>
        </w:tc>
        <w:tc>
          <w:tcPr/>
          <w:p>
            <w:pPr>
              <w:pStyle w:val="Compact"/>
              <w:jc w:val="left"/>
            </w:pPr>
            <w:r>
              <w:t xml:space="preserve">perdita di peso senza diabete, 3.853 partecipanti</w:t>
            </w:r>
          </w:p>
        </w:tc>
        <w:tc>
          <w:tcPr/>
          <w:p>
            <w:pPr>
              <w:pStyle w:val="Compact"/>
              <w:jc w:val="left"/>
            </w:pPr>
            <w:r>
              <w:t xml:space="preserve">aprile 2027</w:t>
            </w:r>
          </w:p>
        </w:tc>
      </w:tr>
      <w:tr>
        <w:tc>
          <w:tcPr/>
          <w:p>
            <w:pPr>
              <w:pStyle w:val="Compact"/>
              <w:jc w:val="left"/>
            </w:pPr>
            <w:r>
              <w:t xml:space="preserve">SURMOUNT-MMO, NCT05556512</w:t>
            </w:r>
          </w:p>
        </w:tc>
        <w:tc>
          <w:tcPr/>
          <w:p>
            <w:pPr>
              <w:pStyle w:val="Compact"/>
              <w:jc w:val="left"/>
            </w:pPr>
            <w:r>
              <w:t xml:space="preserve">tirzepatide</w:t>
            </w:r>
          </w:p>
        </w:tc>
        <w:tc>
          <w:tcPr/>
          <w:p>
            <w:pPr>
              <w:pStyle w:val="Compact"/>
              <w:jc w:val="left"/>
            </w:pPr>
            <w:r>
              <w:t xml:space="preserve">eventi cardiovascolari e morte, 15.374 partecipanti</w:t>
            </w:r>
          </w:p>
        </w:tc>
        <w:tc>
          <w:tcPr/>
          <w:p>
            <w:pPr>
              <w:pStyle w:val="Compact"/>
              <w:jc w:val="left"/>
            </w:pPr>
            <w:r>
              <w:t xml:space="preserve">ottobre 2027</w:t>
            </w:r>
          </w:p>
        </w:tc>
      </w:tr>
      <w:tr>
        <w:tc>
          <w:tcPr/>
          <w:p>
            <w:pPr>
              <w:pStyle w:val="Compact"/>
              <w:jc w:val="left"/>
            </w:pPr>
            <w:r>
              <w:t xml:space="preserve">REDEFINE 3, NCT05669755</w:t>
            </w:r>
          </w:p>
        </w:tc>
        <w:tc>
          <w:tcPr/>
          <w:p>
            <w:pPr>
              <w:pStyle w:val="Compact"/>
              <w:jc w:val="left"/>
            </w:pPr>
            <w:r>
              <w:t xml:space="preserve">CagriSema</w:t>
            </w:r>
          </w:p>
        </w:tc>
        <w:tc>
          <w:tcPr/>
          <w:p>
            <w:pPr>
              <w:pStyle w:val="Compact"/>
              <w:jc w:val="left"/>
            </w:pPr>
            <w:r>
              <w:t xml:space="preserve">eventi cardiovascolari, 7.101 partecipanti</w:t>
            </w:r>
          </w:p>
        </w:tc>
        <w:tc>
          <w:tcPr/>
          <w:p>
            <w:pPr>
              <w:pStyle w:val="Compact"/>
              <w:jc w:val="left"/>
            </w:pPr>
            <w:r>
              <w:t xml:space="preserve">ottobre 2027</w:t>
            </w:r>
          </w:p>
        </w:tc>
      </w:tr>
      <w:tr>
        <w:tc>
          <w:tcPr/>
          <w:p>
            <w:pPr>
              <w:pStyle w:val="Compact"/>
              <w:jc w:val="left"/>
            </w:pPr>
            <w:r>
              <w:t xml:space="preserve">NCT07564414</w:t>
            </w:r>
          </w:p>
        </w:tc>
        <w:tc>
          <w:tcPr/>
          <w:p>
            <w:pPr>
              <w:pStyle w:val="Compact"/>
              <w:jc w:val="left"/>
            </w:pPr>
            <w:r>
              <w:t xml:space="preserve">CagriSema (dosi più alte) vs. semaglutide</w:t>
            </w:r>
          </w:p>
        </w:tc>
        <w:tc>
          <w:tcPr/>
          <w:p>
            <w:pPr>
              <w:pStyle w:val="Compact"/>
              <w:jc w:val="left"/>
            </w:pPr>
            <w:r>
              <w:t xml:space="preserve">perdita di peso, 2.500 partecipanti</w:t>
            </w:r>
          </w:p>
        </w:tc>
        <w:tc>
          <w:tcPr/>
          <w:p>
            <w:pPr>
              <w:pStyle w:val="Compact"/>
              <w:jc w:val="left"/>
            </w:pPr>
            <w:r>
              <w:t xml:space="preserve">aprile 2028</w:t>
            </w:r>
          </w:p>
        </w:tc>
      </w:tr>
      <w:tr>
        <w:tc>
          <w:tcPr/>
          <w:p>
            <w:pPr>
              <w:pStyle w:val="Compact"/>
              <w:jc w:val="left"/>
            </w:pPr>
            <w:r>
              <w:t xml:space="preserve">TRIUMPH-6, NCT06859268</w:t>
            </w:r>
          </w:p>
        </w:tc>
        <w:tc>
          <w:tcPr/>
          <w:p>
            <w:pPr>
              <w:pStyle w:val="Compact"/>
              <w:jc w:val="left"/>
            </w:pPr>
            <w:r>
              <w:t xml:space="preserve">retatrutide</w:t>
            </w:r>
          </w:p>
        </w:tc>
        <w:tc>
          <w:tcPr/>
          <w:p>
            <w:pPr>
              <w:pStyle w:val="Compact"/>
              <w:jc w:val="left"/>
            </w:pPr>
            <w:r>
              <w:t xml:space="preserve">mantenimento del peso dopo il calo, 643 partecipanti</w:t>
            </w:r>
          </w:p>
        </w:tc>
        <w:tc>
          <w:tcPr/>
          <w:p>
            <w:pPr>
              <w:pStyle w:val="Compact"/>
              <w:jc w:val="left"/>
            </w:pPr>
            <w:r>
              <w:t xml:space="preserve">aprile 2028</w:t>
            </w:r>
          </w:p>
        </w:tc>
      </w:tr>
      <w:tr>
        <w:tc>
          <w:tcPr/>
          <w:p>
            <w:pPr>
              <w:pStyle w:val="Compact"/>
              <w:jc w:val="left"/>
            </w:pPr>
            <w:r>
              <w:t xml:space="preserve">TRIUMPH-Outcomes, NCT06383390</w:t>
            </w:r>
          </w:p>
        </w:tc>
        <w:tc>
          <w:tcPr/>
          <w:p>
            <w:pPr>
              <w:pStyle w:val="Compact"/>
              <w:jc w:val="left"/>
            </w:pPr>
            <w:r>
              <w:t xml:space="preserve">retatrutide</w:t>
            </w:r>
          </w:p>
        </w:tc>
        <w:tc>
          <w:tcPr/>
          <w:p>
            <w:pPr>
              <w:pStyle w:val="Compact"/>
              <w:jc w:val="left"/>
            </w:pPr>
            <w:r>
              <w:t xml:space="preserve">eventi cardiaci e renali, 10.000 partecipanti</w:t>
            </w:r>
          </w:p>
        </w:tc>
        <w:tc>
          <w:tcPr/>
          <w:p>
            <w:pPr>
              <w:pStyle w:val="Compact"/>
              <w:jc w:val="left"/>
            </w:pPr>
            <w:r>
              <w:t xml:space="preserve">febbraio 2029</w:t>
            </w:r>
          </w:p>
        </w:tc>
      </w:tr>
      <w:tr>
        <w:tc>
          <w:tcPr/>
          <w:p>
            <w:pPr>
              <w:pStyle w:val="Compact"/>
              <w:jc w:val="left"/>
            </w:pPr>
            <w:r>
              <w:t xml:space="preserve">ESSENCE, NCT04822181</w:t>
            </w:r>
          </w:p>
        </w:tc>
        <w:tc>
          <w:tcPr/>
          <w:p>
            <w:pPr>
              <w:pStyle w:val="Compact"/>
              <w:jc w:val="left"/>
            </w:pPr>
            <w:r>
              <w:t xml:space="preserve">semaglutide</w:t>
            </w:r>
          </w:p>
        </w:tc>
        <w:tc>
          <w:tcPr/>
          <w:p>
            <w:pPr>
              <w:pStyle w:val="Compact"/>
              <w:jc w:val="left"/>
            </w:pPr>
            <w:r>
              <w:t xml:space="preserve">steatosi epatica (MASH), 1.205 partecipanti</w:t>
            </w:r>
          </w:p>
        </w:tc>
        <w:tc>
          <w:tcPr/>
          <w:p>
            <w:pPr>
              <w:pStyle w:val="Compact"/>
              <w:jc w:val="left"/>
            </w:pPr>
            <w:r>
              <w:t xml:space="preserve">aprile 2029</w:t>
            </w:r>
          </w:p>
        </w:tc>
      </w:tr>
      <w:tr>
        <w:tc>
          <w:tcPr/>
          <w:p>
            <w:pPr>
              <w:pStyle w:val="Compact"/>
              <w:jc w:val="left"/>
            </w:pPr>
            <w:r>
              <w:t xml:space="preserve">LIVERAGE-Cirrhosis, NCT06632457</w:t>
            </w:r>
          </w:p>
        </w:tc>
        <w:tc>
          <w:tcPr/>
          <w:p>
            <w:pPr>
              <w:pStyle w:val="Compact"/>
              <w:jc w:val="left"/>
            </w:pPr>
            <w:r>
              <w:t xml:space="preserve">survodutide</w:t>
            </w:r>
          </w:p>
        </w:tc>
        <w:tc>
          <w:tcPr/>
          <w:p>
            <w:pPr>
              <w:pStyle w:val="Compact"/>
              <w:jc w:val="left"/>
            </w:pPr>
            <w:r>
              <w:t xml:space="preserve">complicanze epatiche nella cirrosi, 1.590 partecipanti</w:t>
            </w:r>
          </w:p>
        </w:tc>
        <w:tc>
          <w:tcPr/>
          <w:p>
            <w:pPr>
              <w:pStyle w:val="Compact"/>
              <w:jc w:val="left"/>
            </w:pPr>
            <w:r>
              <w:t xml:space="preserve">giugno 2029</w:t>
            </w:r>
          </w:p>
        </w:tc>
      </w:tr>
      <w:tr>
        <w:tc>
          <w:tcPr/>
          <w:p>
            <w:pPr>
              <w:pStyle w:val="Compact"/>
              <w:jc w:val="left"/>
            </w:pPr>
            <w:r>
              <w:t xml:space="preserve">AMAZE 1, NCT07339423</w:t>
            </w:r>
          </w:p>
        </w:tc>
        <w:tc>
          <w:tcPr/>
          <w:p>
            <w:pPr>
              <w:pStyle w:val="Compact"/>
              <w:jc w:val="left"/>
            </w:pPr>
            <w:r>
              <w:t xml:space="preserve">amicretina (zenagamtide)</w:t>
            </w:r>
          </w:p>
        </w:tc>
        <w:tc>
          <w:tcPr/>
          <w:p>
            <w:pPr>
              <w:pStyle w:val="Compact"/>
              <w:jc w:val="left"/>
            </w:pPr>
            <w:r>
              <w:t xml:space="preserve">perdita di peso, 1.150 partecipanti</w:t>
            </w:r>
          </w:p>
        </w:tc>
        <w:tc>
          <w:tcPr/>
          <w:p>
            <w:pPr>
              <w:pStyle w:val="Compact"/>
              <w:jc w:val="left"/>
            </w:pPr>
            <w:r>
              <w:t xml:space="preserve">agosto 2029</w:t>
            </w:r>
          </w:p>
        </w:tc>
      </w:tr>
      <w:tr>
        <w:tc>
          <w:tcPr/>
          <w:p>
            <w:pPr>
              <w:pStyle w:val="Compact"/>
              <w:jc w:val="left"/>
            </w:pPr>
            <w:r>
              <w:t xml:space="preserve">MARITIME-CV, NCT07037433</w:t>
            </w:r>
          </w:p>
        </w:tc>
        <w:tc>
          <w:tcPr/>
          <w:p>
            <w:pPr>
              <w:pStyle w:val="Compact"/>
              <w:jc w:val="left"/>
            </w:pPr>
            <w:r>
              <w:t xml:space="preserve">maridebart cafraglutide</w:t>
            </w:r>
          </w:p>
        </w:tc>
        <w:tc>
          <w:tcPr/>
          <w:p>
            <w:pPr>
              <w:pStyle w:val="Compact"/>
              <w:jc w:val="left"/>
            </w:pPr>
            <w:r>
              <w:t xml:space="preserve">eventi cardiovascolari, 12.800 partecipanti</w:t>
            </w:r>
          </w:p>
        </w:tc>
        <w:tc>
          <w:tcPr/>
          <w:p>
            <w:pPr>
              <w:pStyle w:val="Compact"/>
              <w:jc w:val="left"/>
            </w:pPr>
            <w:r>
              <w:t xml:space="preserve">settembre 2030</w:t>
            </w:r>
          </w:p>
        </w:tc>
      </w:tr>
      <w:tr>
        <w:tc>
          <w:tcPr/>
          <w:p>
            <w:pPr>
              <w:pStyle w:val="Compact"/>
              <w:jc w:val="left"/>
            </w:pPr>
            <w:r>
              <w:t xml:space="preserve">MARITIME-HF, NCT07037459</w:t>
            </w:r>
          </w:p>
        </w:tc>
        <w:tc>
          <w:tcPr/>
          <w:p>
            <w:pPr>
              <w:pStyle w:val="Compact"/>
              <w:jc w:val="left"/>
            </w:pPr>
            <w:r>
              <w:t xml:space="preserve">maridebart cafraglutide</w:t>
            </w:r>
          </w:p>
        </w:tc>
        <w:tc>
          <w:tcPr/>
          <w:p>
            <w:pPr>
              <w:pStyle w:val="Compact"/>
              <w:jc w:val="left"/>
            </w:pPr>
            <w:r>
              <w:t xml:space="preserve">scompenso cardiaco con obesità, 5.056 partecipanti</w:t>
            </w:r>
          </w:p>
        </w:tc>
        <w:tc>
          <w:tcPr/>
          <w:p>
            <w:pPr>
              <w:pStyle w:val="Compact"/>
              <w:jc w:val="left"/>
            </w:pPr>
            <w:r>
              <w:t xml:space="preserve">settembre 2030</w:t>
            </w:r>
          </w:p>
        </w:tc>
      </w:tr>
      <w:tr>
        <w:tc>
          <w:tcPr/>
          <w:p>
            <w:pPr>
              <w:pStyle w:val="Compact"/>
              <w:jc w:val="left"/>
            </w:pPr>
            <w:r>
              <w:t xml:space="preserve">AMBIENCE, NCT07861100</w:t>
            </w:r>
          </w:p>
        </w:tc>
        <w:tc>
          <w:tcPr/>
          <w:p>
            <w:pPr>
              <w:pStyle w:val="Compact"/>
              <w:jc w:val="left"/>
            </w:pPr>
            <w:r>
              <w:t xml:space="preserve">amicretina (zenagamtide)</w:t>
            </w:r>
          </w:p>
        </w:tc>
        <w:tc>
          <w:tcPr/>
          <w:p>
            <w:pPr>
              <w:pStyle w:val="Compact"/>
              <w:jc w:val="left"/>
            </w:pPr>
            <w:r>
              <w:t xml:space="preserve">eventi cardiovascolari, 8.500 previsti</w:t>
            </w:r>
          </w:p>
        </w:tc>
        <w:tc>
          <w:tcPr/>
          <w:p>
            <w:pPr>
              <w:pStyle w:val="Compact"/>
              <w:jc w:val="left"/>
            </w:pPr>
            <w:r>
              <w:t xml:space="preserve">settembre 2030</w:t>
            </w:r>
          </w:p>
        </w:tc>
      </w:tr>
      <w:tr>
        <w:tc>
          <w:tcPr/>
          <w:p>
            <w:pPr>
              <w:pStyle w:val="Compact"/>
              <w:jc w:val="left"/>
            </w:pPr>
            <w:r>
              <w:t xml:space="preserve">ATTAIN-Outcomes, NCT07241390</w:t>
            </w:r>
          </w:p>
        </w:tc>
        <w:tc>
          <w:tcPr/>
          <w:p>
            <w:pPr>
              <w:pStyle w:val="Compact"/>
              <w:jc w:val="left"/>
            </w:pPr>
            <w:r>
              <w:t xml:space="preserve">orforglipron (non un peptide)</w:t>
            </w:r>
          </w:p>
        </w:tc>
        <w:tc>
          <w:tcPr/>
          <w:p>
            <w:pPr>
              <w:pStyle w:val="Compact"/>
              <w:jc w:val="left"/>
            </w:pPr>
            <w:r>
              <w:t xml:space="preserve">eventi cardiovascolari, 7.140 partecipanti</w:t>
            </w:r>
          </w:p>
        </w:tc>
        <w:tc>
          <w:tcPr/>
          <w:p>
            <w:pPr>
              <w:pStyle w:val="Compact"/>
              <w:jc w:val="left"/>
            </w:pPr>
            <w:r>
              <w:t xml:space="preserve">agosto 2031</w:t>
            </w:r>
          </w:p>
        </w:tc>
      </w:tr>
      <w:tr>
        <w:tc>
          <w:tcPr/>
          <w:p>
            <w:pPr>
              <w:pStyle w:val="Compact"/>
              <w:jc w:val="left"/>
            </w:pPr>
            <w:r>
              <w:t xml:space="preserve">LIVERAGE, NCT06632444</w:t>
            </w:r>
          </w:p>
        </w:tc>
        <w:tc>
          <w:tcPr/>
          <w:p>
            <w:pPr>
              <w:pStyle w:val="Compact"/>
              <w:jc w:val="left"/>
            </w:pPr>
            <w:r>
              <w:t xml:space="preserve">survodutide</w:t>
            </w:r>
          </w:p>
        </w:tc>
        <w:tc>
          <w:tcPr/>
          <w:p>
            <w:pPr>
              <w:pStyle w:val="Compact"/>
              <w:jc w:val="left"/>
            </w:pPr>
            <w:r>
              <w:t xml:space="preserve">MASH con fibrosi, 1.800 partecipanti</w:t>
            </w:r>
          </w:p>
        </w:tc>
        <w:tc>
          <w:tcPr/>
          <w:p>
            <w:pPr>
              <w:pStyle w:val="Compact"/>
              <w:jc w:val="left"/>
            </w:pPr>
            <w:r>
              <w:t xml:space="preserve">dicembre 2031</w:t>
            </w:r>
          </w:p>
        </w:tc>
      </w:tr>
      <w:tr>
        <w:tc>
          <w:tcPr/>
          <w:p>
            <w:pPr>
              <w:pStyle w:val="Compact"/>
              <w:jc w:val="left"/>
            </w:pPr>
            <w:r>
              <w:t xml:space="preserve">SYNERGY-Outcomes, NCT07165028</w:t>
            </w:r>
          </w:p>
        </w:tc>
        <w:tc>
          <w:tcPr/>
          <w:p>
            <w:pPr>
              <w:pStyle w:val="Compact"/>
              <w:jc w:val="left"/>
            </w:pPr>
            <w:r>
              <w:t xml:space="preserve">tirzepatide e retatrutide</w:t>
            </w:r>
          </w:p>
        </w:tc>
        <w:tc>
          <w:tcPr/>
          <w:p>
            <w:pPr>
              <w:pStyle w:val="Compact"/>
              <w:jc w:val="left"/>
            </w:pPr>
            <w:r>
              <w:t xml:space="preserve">eventi epatici gravi, 4.500 partecipanti</w:t>
            </w:r>
          </w:p>
        </w:tc>
        <w:tc>
          <w:tcPr/>
          <w:p>
            <w:pPr>
              <w:pStyle w:val="Compact"/>
              <w:jc w:val="left"/>
            </w:pPr>
            <w:r>
              <w:t xml:space="preserve">agosto 2032</w:t>
            </w:r>
          </w:p>
        </w:tc>
      </w:tr>
    </w:tbl>
    <w:p>
      <w:pPr>
        <w:pStyle w:val="BodyText"/>
      </w:pPr>
      <w:r>
        <w:rPr>
          <w:bCs/>
          <w:b/>
        </w:rPr>
        <w:t xml:space="preserve">Altri gruppi: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 / NCT</w:t>
            </w:r>
          </w:p>
        </w:tc>
        <w:tc>
          <w:tcPr/>
          <w:p>
            <w:pPr>
              <w:pStyle w:val="Compact"/>
              <w:jc w:val="left"/>
            </w:pPr>
            <w:r>
              <w:t xml:space="preserve">Principio attivo</w:t>
            </w:r>
          </w:p>
        </w:tc>
        <w:tc>
          <w:tcPr/>
          <w:p>
            <w:pPr>
              <w:pStyle w:val="Compact"/>
              <w:jc w:val="left"/>
            </w:pPr>
            <w:r>
              <w:t xml:space="preserve">Quesito</w:t>
            </w:r>
          </w:p>
        </w:tc>
        <w:tc>
          <w:tcPr/>
          <w:p>
            <w:pPr>
              <w:pStyle w:val="Compact"/>
              <w:jc w:val="left"/>
            </w:pPr>
            <w:r>
              <w:t xml:space="preserve">Conclusione prevista</w:t>
            </w:r>
          </w:p>
        </w:tc>
      </w:tr>
      <w:tr>
        <w:tc>
          <w:tcPr/>
          <w:p>
            <w:pPr>
              <w:pStyle w:val="Compact"/>
              <w:jc w:val="left"/>
            </w:pPr>
            <w:r>
              <w:t xml:space="preserve">SEER-2, NCT05555589</w:t>
            </w:r>
          </w:p>
        </w:tc>
        <w:tc>
          <w:tcPr/>
          <w:p>
            <w:pPr>
              <w:pStyle w:val="Compact"/>
              <w:jc w:val="left"/>
            </w:pPr>
            <w:r>
              <w:t xml:space="preserve">timosina beta-4 (collirio)</w:t>
            </w:r>
          </w:p>
        </w:tc>
        <w:tc>
          <w:tcPr/>
          <w:p>
            <w:pPr>
              <w:pStyle w:val="Compact"/>
              <w:jc w:val="left"/>
            </w:pPr>
            <w:r>
              <w:t xml:space="preserve">guarigione della cornea, 70 partecipanti</w:t>
            </w:r>
          </w:p>
        </w:tc>
        <w:tc>
          <w:tcPr/>
          <w:p>
            <w:pPr>
              <w:pStyle w:val="Compact"/>
              <w:jc w:val="left"/>
            </w:pPr>
            <w:r>
              <w:t xml:space="preserve">maggio 2026 (risultato in sospeso)</w:t>
            </w:r>
          </w:p>
        </w:tc>
      </w:tr>
      <w:tr>
        <w:tc>
          <w:tcPr/>
          <w:p>
            <w:pPr>
              <w:pStyle w:val="Compact"/>
              <w:jc w:val="left"/>
            </w:pPr>
            <w:r>
              <w:t xml:space="preserve">NCT06109649</w:t>
            </w:r>
          </w:p>
        </w:tc>
        <w:tc>
          <w:tcPr/>
          <w:p>
            <w:pPr>
              <w:pStyle w:val="Compact"/>
              <w:jc w:val="left"/>
            </w:pPr>
            <w:r>
              <w:t xml:space="preserve">afamelanotide</w:t>
            </w:r>
          </w:p>
        </w:tc>
        <w:tc>
          <w:tcPr/>
          <w:p>
            <w:pPr>
              <w:pStyle w:val="Compact"/>
              <w:jc w:val="left"/>
            </w:pPr>
            <w:r>
              <w:t xml:space="preserve">vitiligine con fototerapia, 200 partecipanti</w:t>
            </w:r>
          </w:p>
        </w:tc>
        <w:tc>
          <w:tcPr/>
          <w:p>
            <w:pPr>
              <w:pStyle w:val="Compact"/>
              <w:jc w:val="left"/>
            </w:pPr>
            <w:r>
              <w:t xml:space="preserve">giugno 2026 (risultato in sospeso)</w:t>
            </w:r>
          </w:p>
        </w:tc>
      </w:tr>
      <w:tr>
        <w:tc>
          <w:tcPr/>
          <w:p>
            <w:pPr>
              <w:pStyle w:val="Compact"/>
              <w:jc w:val="left"/>
            </w:pPr>
            <w:r>
              <w:t xml:space="preserve">NCT05086614</w:t>
            </w:r>
          </w:p>
        </w:tc>
        <w:tc>
          <w:tcPr/>
          <w:p>
            <w:pPr>
              <w:pStyle w:val="Compact"/>
              <w:jc w:val="left"/>
            </w:pPr>
            <w:r>
              <w:t xml:space="preserve">timosina alfa-1</w:t>
            </w:r>
          </w:p>
        </w:tc>
        <w:tc>
          <w:tcPr/>
          <w:p>
            <w:pPr>
              <w:pStyle w:val="Compact"/>
              <w:jc w:val="left"/>
            </w:pPr>
            <w:r>
              <w:t xml:space="preserve">sopravvivenza libera da malattia dopo cancro del colon, 2.500 partecipanti</w:t>
            </w:r>
          </w:p>
        </w:tc>
        <w:tc>
          <w:tcPr/>
          <w:p>
            <w:pPr>
              <w:pStyle w:val="Compact"/>
              <w:jc w:val="left"/>
            </w:pPr>
            <w:r>
              <w:t xml:space="preserve">marzo 2027</w:t>
            </w:r>
          </w:p>
        </w:tc>
      </w:tr>
      <w:tr>
        <w:tc>
          <w:tcPr/>
          <w:p>
            <w:pPr>
              <w:pStyle w:val="Compact"/>
              <w:jc w:val="left"/>
            </w:pPr>
            <w:r>
              <w:t xml:space="preserve">ReNEW, NCT06373731</w:t>
            </w:r>
          </w:p>
        </w:tc>
        <w:tc>
          <w:tcPr/>
          <w:p>
            <w:pPr>
              <w:pStyle w:val="Compact"/>
              <w:jc w:val="left"/>
            </w:pPr>
            <w:r>
              <w:t xml:space="preserve">elamipretide (SS-31)</w:t>
            </w:r>
          </w:p>
        </w:tc>
        <w:tc>
          <w:tcPr/>
          <w:p>
            <w:pPr>
              <w:pStyle w:val="Compact"/>
              <w:jc w:val="left"/>
            </w:pPr>
            <w:r>
              <w:t xml:space="preserve">degenerazione maculare secca, 313 partecipanti</w:t>
            </w:r>
          </w:p>
        </w:tc>
        <w:tc>
          <w:tcPr/>
          <w:p>
            <w:pPr>
              <w:pStyle w:val="Compact"/>
              <w:jc w:val="left"/>
            </w:pPr>
            <w:r>
              <w:t xml:space="preserve">settembre 2027</w:t>
            </w:r>
          </w:p>
        </w:tc>
      </w:tr>
      <w:tr>
        <w:tc>
          <w:tcPr/>
          <w:p>
            <w:pPr>
              <w:pStyle w:val="Compact"/>
              <w:jc w:val="left"/>
            </w:pPr>
            <w:r>
              <w:t xml:space="preserve">NCT06948214</w:t>
            </w:r>
          </w:p>
        </w:tc>
        <w:tc>
          <w:tcPr/>
          <w:p>
            <w:pPr>
              <w:pStyle w:val="Compact"/>
              <w:jc w:val="left"/>
            </w:pPr>
            <w:r>
              <w:t xml:space="preserve">ibutamoren (LUM-201, non un peptide)</w:t>
            </w:r>
          </w:p>
        </w:tc>
        <w:tc>
          <w:tcPr/>
          <w:p>
            <w:pPr>
              <w:pStyle w:val="Compact"/>
              <w:jc w:val="left"/>
            </w:pPr>
            <w:r>
              <w:t xml:space="preserve">crescita in bambini con carenza ormonale, 150 partecipanti</w:t>
            </w:r>
          </w:p>
        </w:tc>
        <w:tc>
          <w:tcPr/>
          <w:p>
            <w:pPr>
              <w:pStyle w:val="Compact"/>
              <w:jc w:val="left"/>
            </w:pPr>
            <w:r>
              <w:t xml:space="preserve">gennaio 2028</w:t>
            </w:r>
          </w:p>
        </w:tc>
      </w:tr>
    </w:tbl>
    <w:p>
      <w:pPr>
        <w:pStyle w:val="BodyText"/>
      </w:pPr>
      <w:r>
        <w:t xml:space="preserve">I dettagli su ciascuno studio si trovano nella sezione «Studi in corso e prospettive» del rispettivo capitolo.</w:t>
      </w:r>
    </w:p>
    <w:bookmarkEnd w:id="2837"/>
    <w:bookmarkStart w:id="2847" w:name="Xa9023d504d272ade1676eb3da2214f40313a144"/>
    <w:p>
      <w:pPr>
        <w:pStyle w:val="Heading3"/>
      </w:pPr>
      <w:r>
        <w:t xml:space="preserve">Che cosa rivela il registro sulla direzione</w:t>
      </w:r>
    </w:p>
    <w:p>
      <w:pPr>
        <w:pStyle w:val="FirstParagraph"/>
      </w:pPr>
      <w:r>
        <w:rPr>
          <w:bCs/>
          <w:b/>
        </w:rPr>
        <w:t xml:space="preserve">Dalla bilancia agli endpoint clinici forti.</w:t>
      </w:r>
      <w:r>
        <w:t xml:space="preserve"> </w:t>
      </w:r>
      <w:r>
        <w:t xml:space="preserve">La prima generazione di studi sul dimagrimento misurava soprattutto chilogrammi. I grandi studi dei prossimi anni si chiedono se infarti, ictus, scompenso cardiaco, insufficienza renale o cirrosi epatica diventino più rari. Tutti e sei gli studi di fase 3 in corso del gruppo A con più di 5.000 partecipanti ciascuno sono studi di esito di questo tipo. Per i servizi sanitari e le assicurazioni che decidono sul rimborso questi risultati sono più importanti di qualsiasi record di perdita di peso.</w:t>
      </w:r>
    </w:p>
    <w:p>
      <w:pPr>
        <w:pStyle w:val="BodyText"/>
      </w:pPr>
      <w:r>
        <w:rPr>
          <w:bCs/>
          <w:b/>
        </w:rPr>
        <w:t xml:space="preserve">Confronti diretti.</w:t>
      </w:r>
      <w:r>
        <w:t xml:space="preserve"> </w:t>
      </w:r>
      <w:r>
        <w:t xml:space="preserve">I nuovi principi attivi devono confrontarsi sempre più con quelli affermati, non solo con il placebo: retatrutide contro tirzepatide</w:t>
      </w:r>
      <w:r>
        <w:rPr>
          <w:rStyle w:val="FootnoteReference"/>
        </w:rPr>
        <w:footnoteReference w:id="2838"/>
      </w:r>
      <w:r>
        <w:t xml:space="preserve">, zenagamtide contro semaglutide (AMAZE 7, NCT07668414), maridebart cafraglutide contro semaglutide nel diabete di tipo 2 (MARITIME-T2D-3, NCT07866066). Anche nuovi produttori si confrontano direttamente: Roche testa il doppio agonista GLP-1/GIP enicepatide contro tirzepatide</w:t>
      </w:r>
      <w:r>
        <w:rPr>
          <w:rStyle w:val="FootnoteReference"/>
        </w:rPr>
        <w:footnoteReference w:id="2839"/>
      </w:r>
      <w:r>
        <w:t xml:space="preserve">, l’azienda Kailera il principio attivo ribupatide contro semaglutide (KaiNETIC-3, NCT07284979), AstraZeneca il principio attivo da assumere quotidianamente elecoglipron contro semaglutide in compresse (Eluminate-2, NCT07662213).</w:t>
      </w:r>
    </w:p>
    <w:p>
      <w:pPr>
        <w:pStyle w:val="BodyText"/>
      </w:pPr>
      <w:r>
        <w:rPr>
          <w:bCs/>
          <w:b/>
        </w:rPr>
        <w:t xml:space="preserve">Mantenere il peso invece di perderlo soltanto.</w:t>
      </w:r>
      <w:r>
        <w:t xml:space="preserve"> </w:t>
      </w:r>
      <w:r>
        <w:t xml:space="preserve">Diversi studi esaminano espressamente il periodo dopo il calo di peso: retatrutide per il mantenimento del peso (TRIUMPH-6, NCT06859268), uno studio a lungo termine su CagriSema di due anni più estensione</w:t>
      </w:r>
      <w:r>
        <w:rPr>
          <w:rStyle w:val="FootnoteReference"/>
        </w:rPr>
        <w:footnoteReference w:id="2840"/>
      </w:r>
      <w:r>
        <w:t xml:space="preserve">, il passaggio da altri farmaci GLP-1 al maridebart cafraglutide somministrato mensilmente</w:t>
      </w:r>
      <w:r>
        <w:rPr>
          <w:rStyle w:val="FootnoteReference"/>
        </w:rPr>
        <w:footnoteReference w:id="2841"/>
      </w:r>
      <w:r>
        <w:t xml:space="preserve"> </w:t>
      </w:r>
      <w:r>
        <w:t xml:space="preserve">o al berobenatide, un principio attivo sperimentale di Pfizer da iniettare mensilmente</w:t>
      </w:r>
      <w:r>
        <w:rPr>
          <w:rStyle w:val="FootnoteReference"/>
        </w:rPr>
        <w:footnoteReference w:id="2842"/>
      </w:r>
      <w:r>
        <w:t xml:space="preserve">. Lo sfondo sono studi come SURMOUNT-4: chi ha sospeso tirzepatide dopo 36 settimane ha ripreso nell’anno successivo in media il 14,0%, mentre con il trattamento continuato il peso è sceso di un ulteriore 5,5%</w:t>
      </w:r>
      <w:r>
        <w:rPr>
          <w:rStyle w:val="FootnoteReference"/>
        </w:rPr>
        <w:footnoteReference w:id="2843"/>
      </w:r>
      <w:r>
        <w:t xml:space="preserve">.</w:t>
      </w:r>
    </w:p>
    <w:p>
      <w:pPr>
        <w:pStyle w:val="BodyText"/>
      </w:pPr>
      <w:r>
        <w:rPr>
          <w:bCs/>
          <w:b/>
        </w:rPr>
        <w:t xml:space="preserve">Nuovi paesi, nuove molecole.</w:t>
      </w:r>
      <w:r>
        <w:t xml:space="preserve"> </w:t>
      </w:r>
      <w:r>
        <w:t xml:space="preserve">Gran parte dei nuovi studi di fase 3 proviene da aziende cinesi che testano propri principi attivi basati sul GLP-1 contro semaglutide o dulaglutide – per esempio il bofanglutide iniettato ogni due settimane (BALANCE-OBS, NCT07622810) o la proteina di fusione dell’exendina-4 JY09</w:t>
      </w:r>
      <w:r>
        <w:rPr>
          <w:rStyle w:val="FootnoteReference"/>
        </w:rPr>
        <w:footnoteReference w:id="2844"/>
      </w:r>
      <w:r>
        <w:t xml:space="preserve">. Il mercato diventa quindi più ampio, non solo più potente.</w:t>
      </w:r>
    </w:p>
    <w:p>
      <w:pPr>
        <w:pStyle w:val="BodyText"/>
      </w:pPr>
      <w:r>
        <w:rPr>
          <w:bCs/>
          <w:b/>
        </w:rPr>
        <w:t xml:space="preserve">Bambini e adolescenti.</w:t>
      </w:r>
      <w:r>
        <w:t xml:space="preserve"> </w:t>
      </w:r>
      <w:r>
        <w:t xml:space="preserve">Per quasi tutti i grandi principi attivi sono in corso studi su adolescenti, in parte anche su bambini, per esempio per tirzepatide</w:t>
      </w:r>
      <w:r>
        <w:rPr>
          <w:rStyle w:val="FootnoteReference"/>
        </w:rPr>
        <w:footnoteReference w:id="2845"/>
      </w:r>
      <w:r>
        <w:t xml:space="preserve">, orforglipron</w:t>
      </w:r>
      <w:r>
        <w:rPr>
          <w:rStyle w:val="FootnoteReference"/>
        </w:rPr>
        <w:footnoteReference w:id="2846"/>
      </w:r>
      <w:r>
        <w:t xml:space="preserve"> </w:t>
      </w:r>
      <w:r>
        <w:t xml:space="preserve">e CagriSema (NCT07253285, conclusione prevista nel 2033).</w:t>
      </w:r>
    </w:p>
    <w:p>
      <w:pPr>
        <w:pStyle w:val="BodyText"/>
      </w:pPr>
      <w:r>
        <w:rPr>
          <w:bCs/>
          <w:b/>
        </w:rPr>
        <w:t xml:space="preserve">E al di fuori del metabolismo?</w:t>
      </w:r>
      <w:r>
        <w:t xml:space="preserve"> </w:t>
      </w:r>
      <w:r>
        <w:t xml:space="preserve">Qui la pipeline è scarna. Dove un peptide non è brevettabile, viene già venduto come integratore o esiste solo sul mercato grigio, quasi nessuno finanzia costosi studi registrativi. Ciò spiega perché proprio i peptidi più discussi su internet manchino praticamente dai registri.</w:t>
      </w:r>
    </w:p>
    <w:bookmarkEnd w:id="2847"/>
    <w:bookmarkStart w:id="2865" w:name="nuovi-principi-dazione"/>
    <w:p>
      <w:pPr>
        <w:pStyle w:val="Heading3"/>
      </w:pPr>
      <w:r>
        <w:t xml:space="preserve">Nuovi principi d’azione</w:t>
      </w:r>
    </w:p>
    <w:bookmarkStart w:id="2851" w:name="tripli-agonisti"/>
    <w:p>
      <w:pPr>
        <w:pStyle w:val="Heading4"/>
      </w:pPr>
      <w:r>
        <w:t xml:space="preserve">Tripli agonisti</w:t>
      </w:r>
    </w:p>
    <w:p>
      <w:pPr>
        <w:pStyle w:val="FirstParagraph"/>
      </w:pPr>
      <w:r>
        <w:t xml:space="preserve">Retatrutide attiva tre recettori contemporaneamente: GLP-1, GIP e glucagone. La componente sul glucagone dovrebbe aumentare il consumo energetico e la degradazione dei grassi nel fegato. Nello studio di fase 2 con 338 adulti, dopo 48 settimane il peso è sceso del 24,2% alla dose più alta studiata, con placebo del 2,1%</w:t>
      </w:r>
      <w:r>
        <w:rPr>
          <w:rStyle w:val="FootnoteReference"/>
        </w:rPr>
        <w:footnoteReference w:id="2848"/>
      </w:r>
      <w:r>
        <w:t xml:space="preserve">. Il primo studio di fase 3, TRIUMPH-1, con 2.339 adulti, lo ha confermato: dopo 80 settimane la perdita di peso era, a seconda della dose, dal 17,6 al 25,0%, con placebo del 3,9%. Nei partecipanti con artrosi del ginocchio il dolore si è ridotto, in quelli con apnea notturna il numero delle pause respiratorie</w:t>
      </w:r>
      <w:r>
        <w:rPr>
          <w:rStyle w:val="FootnoteReference"/>
        </w:rPr>
        <w:footnoteReference w:id="2849"/>
      </w:r>
      <w:r>
        <w:t xml:space="preserve">. Se questa perdita di peso aggiuntiva porti anche a meno eventi cardiaci e renali dovrà mostrarlo TRIUMPH-Outcomes entro il 2029</w:t>
      </w:r>
      <w:r>
        <w:rPr>
          <w:rStyle w:val="FootnoteReference"/>
        </w:rPr>
        <w:footnoteReference w:id="2850"/>
      </w:r>
      <w:r>
        <w:t xml:space="preserve">. Dettagli ed effetti collaterali sono descritti nel capitolo Retatrutide.</w:t>
      </w:r>
    </w:p>
    <w:bookmarkEnd w:id="2851"/>
    <w:bookmarkStart w:id="2856" w:name="amilina-la-quarta-via-ormonale"/>
    <w:p>
      <w:pPr>
        <w:pStyle w:val="Heading4"/>
      </w:pPr>
      <w:r>
        <w:t xml:space="preserve">Amilina: la quarta via ormonale</w:t>
      </w:r>
    </w:p>
    <w:p>
      <w:pPr>
        <w:pStyle w:val="FirstParagraph"/>
      </w:pPr>
      <w:r>
        <w:t xml:space="preserve">L’amilina viene secreta insieme all’insulina e agisce nel tronco encefalico dando sazietà. Si distinguono tre linee di sviluppo:</w:t>
      </w:r>
    </w:p>
    <w:p>
      <w:pPr>
        <w:numPr>
          <w:ilvl w:val="0"/>
          <w:numId w:val="1355"/>
        </w:numPr>
        <w:pStyle w:val="Compact"/>
      </w:pPr>
      <w:r>
        <w:rPr>
          <w:bCs/>
          <w:b/>
        </w:rPr>
        <w:t xml:space="preserve">Combinazione in un’unica iniezione:</w:t>
      </w:r>
      <w:r>
        <w:t xml:space="preserve"> </w:t>
      </w:r>
      <w:r>
        <w:t xml:space="preserve">CagriSema unisce l’analogo dell’amilina cagrilintide a semaglutide. In REDEFINE 1 con 3.417 adulti il peso è sceso dopo 68 settimane del 20,4%, con placebo del 3,0%; disturbi gastrointestinali si sono verificati nel 79,6% contro il 39,9%</w:t>
      </w:r>
      <w:r>
        <w:rPr>
          <w:rStyle w:val="FootnoteReference"/>
        </w:rPr>
        <w:footnoteReference w:id="2852"/>
      </w:r>
      <w:r>
        <w:t xml:space="preserve">.</w:t>
      </w:r>
    </w:p>
    <w:p>
      <w:pPr>
        <w:numPr>
          <w:ilvl w:val="0"/>
          <w:numId w:val="1355"/>
        </w:numPr>
        <w:pStyle w:val="Compact"/>
      </w:pPr>
      <w:r>
        <w:rPr>
          <w:bCs/>
          <w:b/>
        </w:rPr>
        <w:t xml:space="preserve">Una molecola per due recettori:</w:t>
      </w:r>
      <w:r>
        <w:t xml:space="preserve"> </w:t>
      </w:r>
      <w:r>
        <w:t xml:space="preserve">l’amicretina, dal 2026 zenagamtide, attiva contemporaneamente i recettori del GLP-1 e dell’amilina. In un piccolo studio di fase 1b/2a con 125 partecipanti il peso è sceso al livello di dose più alto del 24,3% dopo 36 settimane</w:t>
      </w:r>
      <w:r>
        <w:rPr>
          <w:rStyle w:val="FootnoteReference"/>
        </w:rPr>
        <w:footnoteReference w:id="2853"/>
      </w:r>
      <w:r>
        <w:t xml:space="preserve">. Il programma di fase 3 AMAZE è in corso dal 2026.</w:t>
      </w:r>
    </w:p>
    <w:p>
      <w:pPr>
        <w:numPr>
          <w:ilvl w:val="0"/>
          <w:numId w:val="1355"/>
        </w:numPr>
        <w:pStyle w:val="Compact"/>
      </w:pPr>
      <w:r>
        <w:rPr>
          <w:bCs/>
          <w:b/>
        </w:rPr>
        <w:t xml:space="preserve">Amilina da sola:</w:t>
      </w:r>
      <w:r>
        <w:t xml:space="preserve"> </w:t>
      </w:r>
      <w:r>
        <w:t xml:space="preserve">qui la speranza è una migliore tollerabilità. Eloralintide, un agonista selettivo del recettore dell’amilina di Lilly, ha portato in uno studio di fase 2 con 263 adulti, dopo 48 settimane, a una perdita di peso del 9–20% contro lo 0,4% con placebo; nausea e stanchezza erano, a seconda della dose, nettamente più frequenti che con placebo</w:t>
      </w:r>
      <w:r>
        <w:rPr>
          <w:rStyle w:val="FootnoteReference"/>
        </w:rPr>
        <w:footnoteReference w:id="2854"/>
      </w:r>
      <w:r>
        <w:t xml:space="preserve">. Petrelintide di Zealand Pharma ha ridotto il peso nello studio di fase 2 ZUPREME 1 con 493 partecipanti, dopo 28 settimane, del 7,9–9,8% (placebo 1,7%). La nausea si è verificata nel 20% contro il 6%, il vomito invece non più spesso che con placebo</w:t>
      </w:r>
      <w:r>
        <w:rPr>
          <w:rStyle w:val="FootnoteReference"/>
        </w:rPr>
        <w:footnoteReference w:id="2855"/>
      </w:r>
      <w:r>
        <w:t xml:space="preserve">.</w:t>
      </w:r>
    </w:p>
    <w:p>
      <w:pPr>
        <w:pStyle w:val="FirstParagraph"/>
      </w:pPr>
      <w:r>
        <w:t xml:space="preserve">Entrambi i principi attivi a base di sola amilina sono ormai in fase 3: eloralintide in ENLIGHTEN-1 con 1.980 partecipanti previsti (NCT07321886, conclusione luglio 2030), petrelintide in ZUPREME-3 con 3.900 partecipanti previsti sotto la guida di Roche (NCT07843498, conclusione marzo 2029). Lilly testa inoltre una combinazione di eloralintide e tirzepatide (AMPLIFY-1, NCT07881432, 2.115 partecipanti previsti).</w:t>
      </w:r>
    </w:p>
    <w:bookmarkEnd w:id="2856"/>
    <w:bookmarkStart w:id="2859" w:name="coniugati-anticorpo-peptide"/>
    <w:p>
      <w:pPr>
        <w:pStyle w:val="Heading4"/>
      </w:pPr>
      <w:r>
        <w:t xml:space="preserve">Coniugati anticorpo-peptide</w:t>
      </w:r>
    </w:p>
    <w:p>
      <w:pPr>
        <w:pStyle w:val="FirstParagraph"/>
      </w:pPr>
      <w:r>
        <w:t xml:space="preserve">I peptidi vengono degradati rapidamente nel corpo ed eliminati attraverso i reni. Una soluzione è legarli a un anticorpo che resta nel sangue per settimane. Una revisione descrive questi coniugati anticorpo-peptide come una nuova classe di principi attivi a sé stante: a differenza delle proteine di fusione, il peptide viene prodotto chimicamente e solo dopo legato all’anticorpo, così da poter contenere anche elementi costitutivi insoliti</w:t>
      </w:r>
      <w:r>
        <w:rPr>
          <w:rStyle w:val="FootnoteReference"/>
        </w:rPr>
        <w:footnoteReference w:id="2857"/>
      </w:r>
      <w:r>
        <w:t xml:space="preserve">.</w:t>
      </w:r>
    </w:p>
    <w:p>
      <w:pPr>
        <w:pStyle w:val="BodyText"/>
      </w:pPr>
      <w:r>
        <w:t xml:space="preserve">L’esempio più noto è maridebart cafraglutide (MariTide). Unisce un anticorpo che blocca il recettore del GIP a peptidi di tipo GLP-1 che attivano il recettore del GLP-1. Nello studio di fase 2 con 592 partecipanti è stato iniettato ogni quattro od otto settimane. Dopo 52 settimane la perdita di peso senza diabete era dal 12,3 al 16,2% (placebo 2,5%), con diabete di tipo 2 dall’8,4 al 12,3% (placebo 1,7%). I disturbi gastrointestinali erano frequenti, ma più rari quando la dose veniva aumentata lentamente</w:t>
      </w:r>
      <w:r>
        <w:rPr>
          <w:rStyle w:val="FootnoteReference"/>
        </w:rPr>
        <w:footnoteReference w:id="2858"/>
      </w:r>
      <w:r>
        <w:t xml:space="preserve">. Il concetto è: meno iniezioni invece del massimo effetto.</w:t>
      </w:r>
    </w:p>
    <w:bookmarkEnd w:id="2859"/>
    <w:bookmarkStart w:id="2863" w:name="X13220b9bf4249d222b4d142d791316da3ccfb57"/>
    <w:p>
      <w:pPr>
        <w:pStyle w:val="Heading4"/>
      </w:pPr>
      <w:r>
        <w:t xml:space="preserve">Proteggere i muscoli durante il dimagrimento</w:t>
      </w:r>
    </w:p>
    <w:p>
      <w:pPr>
        <w:pStyle w:val="FirstParagraph"/>
      </w:pPr>
      <w:r>
        <w:t xml:space="preserve">A ogni forte perdita di peso si perde anche massa muscolare e ossea. Un approccio è l’anticorpo</w:t>
      </w:r>
      <w:r>
        <w:t xml:space="preserve"> </w:t>
      </w:r>
      <w:r>
        <w:rPr>
          <w:bCs/>
          <w:b/>
        </w:rPr>
        <w:t xml:space="preserve">bimagrumab</w:t>
      </w:r>
      <w:r>
        <w:t xml:space="preserve">, che blocca i recettori dell’attivina di tipo II – interruttori che frenano la crescita muscolare. Bimagrumab non è un peptide, ma viene combinato in modo mirato con farmaci peptidici.</w:t>
      </w:r>
    </w:p>
    <w:p>
      <w:pPr>
        <w:numPr>
          <w:ilvl w:val="0"/>
          <w:numId w:val="1356"/>
        </w:numPr>
        <w:pStyle w:val="Compact"/>
      </w:pPr>
      <w:r>
        <w:t xml:space="preserve">In uno studio di fase 2 con 75 adulti con diabete di tipo 2 e sovrappeso, con il solo bimagrumab la massa grassa è scesa dopo 48 settimane del 20,5%, mentre la massa magra è aumentata del 3,6% (placebo −0,5% e −0,8%)</w:t>
      </w:r>
      <w:r>
        <w:rPr>
          <w:rStyle w:val="FootnoteReference"/>
        </w:rPr>
        <w:footnoteReference w:id="2860"/>
      </w:r>
      <w:r>
        <w:t xml:space="preserve">.</w:t>
      </w:r>
    </w:p>
    <w:p>
      <w:pPr>
        <w:numPr>
          <w:ilvl w:val="0"/>
          <w:numId w:val="1356"/>
        </w:numPr>
        <w:pStyle w:val="Compact"/>
      </w:pPr>
      <w:r>
        <w:t xml:space="preserve">In uno studio di fase 2 con 507 adulti con obesità la perdita di peso dopo 48 settimane era di 9,3 kg con il solo bimagrumab, di 14,2 kg con la sola semaglutide e di 17,8 kg con la combinazione (placebo 3,3 kg). Effetti collaterali frequenti di bimagrumab erano crampi muscolari, diarrea e acne</w:t>
      </w:r>
      <w:r>
        <w:rPr>
          <w:rStyle w:val="FootnoteReference"/>
        </w:rPr>
        <w:footnoteReference w:id="2861"/>
      </w:r>
      <w:r>
        <w:t xml:space="preserve">.</w:t>
      </w:r>
    </w:p>
    <w:p>
      <w:pPr>
        <w:pStyle w:val="FirstParagraph"/>
      </w:pPr>
      <w:r>
        <w:t xml:space="preserve">Lilly testa ora bimagrumab con tirzepatide (NCT06643728, 252 partecipanti, conclusione gennaio 2027). Uno studio più piccolo al Massachusetts General Hospital esamina la stessa combinazione con attenzione alla composizione corporea e alle ossa</w:t>
      </w:r>
      <w:r>
        <w:rPr>
          <w:rStyle w:val="FootnoteReference"/>
        </w:rPr>
        <w:footnoteReference w:id="2862"/>
      </w:r>
      <w:r>
        <w:t xml:space="preserve">. Se più massa muscolare alla scansione significhi anche più forza, meno cadute o meno fratture finora non è dimostrato. Nel registro non risultano studi di fase 3.</w:t>
      </w:r>
    </w:p>
    <w:bookmarkEnd w:id="2863"/>
    <w:bookmarkStart w:id="2864" w:name="compresse"/>
    <w:p>
      <w:pPr>
        <w:pStyle w:val="Heading4"/>
      </w:pPr>
      <w:r>
        <w:t xml:space="preserve">Compresse</w:t>
      </w:r>
    </w:p>
    <w:p>
      <w:pPr>
        <w:pStyle w:val="FirstParagraph"/>
      </w:pPr>
      <w:r>
        <w:t xml:space="preserve">Il cambiamento forse più gravido di conseguenze non riguarda il recettore, ma la via d’ingresso nel corpo: compresse con peptidi e piccole molecole che agiscono come peptidi. A questo tema è dedicato il prossimo capitolo.</w:t>
      </w:r>
    </w:p>
    <w:bookmarkEnd w:id="2864"/>
    <w:bookmarkEnd w:id="2865"/>
    <w:bookmarkStart w:id="2866" w:name="in-breve-3"/>
    <w:p>
      <w:pPr>
        <w:pStyle w:val="Heading3"/>
      </w:pPr>
      <w:r>
        <w:t xml:space="preserve">In breve</w:t>
      </w:r>
    </w:p>
    <w:p>
      <w:pPr>
        <w:numPr>
          <w:ilvl w:val="0"/>
          <w:numId w:val="1357"/>
        </w:numPr>
        <w:pStyle w:val="Compact"/>
      </w:pPr>
      <w:r>
        <w:t xml:space="preserve">Dopo l’esclusione di voci fittizie ed estranee al tema sono in corso 730 studi interventistici sui principi attivi di questo libro, di cui 157 in fase 3.</w:t>
      </w:r>
    </w:p>
    <w:p>
      <w:pPr>
        <w:numPr>
          <w:ilvl w:val="0"/>
          <w:numId w:val="1357"/>
        </w:numPr>
        <w:pStyle w:val="Compact"/>
      </w:pPr>
      <w:r>
        <w:t xml:space="preserve">Quasi nove studi in fase avanzata su dieci riguardano metabolismo e peso. Per i popolari peptidi del mercato grigio non è in corso nemmeno uno studio di fase 3.</w:t>
      </w:r>
    </w:p>
    <w:p>
      <w:pPr>
        <w:numPr>
          <w:ilvl w:val="0"/>
          <w:numId w:val="1357"/>
        </w:numPr>
        <w:pStyle w:val="Compact"/>
      </w:pPr>
      <w:r>
        <w:t xml:space="preserve">I grandi studi cardiovascolari, renali ed epatici si concludono tra il 2027 e il 2032. Solo essi mostreranno se i nuovi principi attivi fanno di più che ridurre il peso.</w:t>
      </w:r>
    </w:p>
    <w:p>
      <w:pPr>
        <w:numPr>
          <w:ilvl w:val="0"/>
          <w:numId w:val="1357"/>
        </w:numPr>
        <w:pStyle w:val="Compact"/>
      </w:pPr>
      <w:r>
        <w:t xml:space="preserve">I nuovi principi d’azione – tripli agonisti, amilina, coniugati anticorpo-peptide, protezione muscolare – sono documentati in studi di fase 2, e la maggior parte si trova in fase 3. Per nessuno di questi nuovi principi attivi un’autorizzazione è certa.</w:t>
      </w:r>
    </w:p>
    <w:bookmarkEnd w:id="2866"/>
    <w:bookmarkEnd w:id="2867"/>
    <w:bookmarkStart w:id="2903" w:name="compresse-invece-di-iniezioni"/>
    <w:p>
      <w:pPr>
        <w:pStyle w:val="Heading2"/>
      </w:pPr>
      <w:r>
        <w:t xml:space="preserve">Compresse invece di iniezioni</w:t>
      </w:r>
    </w:p>
    <w:p>
      <w:pPr>
        <w:pStyle w:val="FirstParagraph"/>
      </w:pPr>
      <w:r>
        <w:t xml:space="preserve">Quasi tutti i farmaci peptidici di questo libro vengono iniettati. Il motivo è semplice: l’apparato gastrointestinale è fatto per scomporre proteine e peptidi nei loro elementi costitutivi. Ciò che è utile per il cibo rende un peptide inutilizzabile come farmaco prima che raggiunga il sangue. La Parte I ha descritto in dettaglio questi ostacoli (capitolo «Come i peptidi entrano nel corpo»).</w:t>
      </w:r>
    </w:p>
    <w:p>
      <w:pPr>
        <w:pStyle w:val="BodyText"/>
      </w:pPr>
      <w:r>
        <w:t xml:space="preserve">Che si faccia comunque un’intensa ricerca sulle compresse ha diversi motivi. Molte persone non amano farsi iniezioni. Le iniezioni vanno per lo più conservate in frigorifero, e le penne sono complesse da produrre. E poiché i farmaci contro l’obesità, secondo le conoscenze attuali, vanno assunti a tempo indeterminato per essere efficaci, ogni facilitazione per il trattamento a lungo termine conta. Una revisione descrive come negli studi clinici siano già state sperimentate forme orali di insulina, calcitonina, paratormone e vasopressina, e come solo semaglutide abbia segnato la svolta per un principio attivo di ampio uso</w:t>
      </w:r>
      <w:r>
        <w:rPr>
          <w:rStyle w:val="FootnoteReference"/>
        </w:rPr>
        <w:footnoteReference w:id="2868"/>
      </w:r>
      <w:r>
        <w:t xml:space="preserve">.</w:t>
      </w:r>
    </w:p>
    <w:p>
      <w:pPr>
        <w:pStyle w:val="BodyText"/>
      </w:pPr>
      <w:r>
        <w:t xml:space="preserve">Oggi esistono due vie fondamentalmente diverse verso la compressa: si protegge un</w:t>
      </w:r>
      <w:r>
        <w:t xml:space="preserve"> </w:t>
      </w:r>
      <w:r>
        <w:rPr>
          <w:bCs/>
          <w:b/>
        </w:rPr>
        <w:t xml:space="preserve">peptide</w:t>
      </w:r>
      <w:r>
        <w:t xml:space="preserve"> </w:t>
      </w:r>
      <w:r>
        <w:t xml:space="preserve">in modo che almeno una piccola parte venga assorbita – oppure si sostituisce il peptide con una</w:t>
      </w:r>
      <w:r>
        <w:t xml:space="preserve"> </w:t>
      </w:r>
      <w:r>
        <w:rPr>
          <w:bCs/>
          <w:b/>
        </w:rPr>
        <w:t xml:space="preserve">piccola molecola</w:t>
      </w:r>
      <w:r>
        <w:t xml:space="preserve">, che passa dall’intestino al sangue come un farmaco comune e agisce comunque sullo stesso recettore.</w:t>
      </w:r>
    </w:p>
    <w:bookmarkStart w:id="2883" w:name="X5e30516178af34bd0b9429909b0ba66ec0aaeff"/>
    <w:p>
      <w:pPr>
        <w:pStyle w:val="Heading3"/>
      </w:pPr>
      <w:r>
        <w:t xml:space="preserve">Via 1: peptide più promotore dell’assorbimento</w:t>
      </w:r>
    </w:p>
    <w:bookmarkStart w:id="2870" w:name="il-principio"/>
    <w:p>
      <w:pPr>
        <w:pStyle w:val="Heading4"/>
      </w:pPr>
      <w:r>
        <w:t xml:space="preserve">Il principio</w:t>
      </w:r>
    </w:p>
    <w:p>
      <w:pPr>
        <w:pStyle w:val="FirstParagraph"/>
      </w:pPr>
      <w:r>
        <w:t xml:space="preserve">Un</w:t>
      </w:r>
      <w:r>
        <w:t xml:space="preserve"> </w:t>
      </w:r>
      <w:r>
        <w:rPr>
          <w:bCs/>
          <w:b/>
        </w:rPr>
        <w:t xml:space="preserve">promotore dell’assorbimento</w:t>
      </w:r>
      <w:r>
        <w:t xml:space="preserve"> </w:t>
      </w:r>
      <w:r>
        <w:t xml:space="preserve">(termine tecnico: promotore della permeazione) è un eccipiente che rende la mucosa temporaneamente più permeabile o protegge il peptide dalla degradazione. Nella compressa di semaglutide si tratta dell’eccipiente</w:t>
      </w:r>
      <w:r>
        <w:t xml:space="preserve"> </w:t>
      </w:r>
      <w:r>
        <w:rPr>
          <w:bCs/>
          <w:b/>
        </w:rPr>
        <w:t xml:space="preserve">SNAC</w:t>
      </w:r>
      <w:r>
        <w:t xml:space="preserve">. Nelle immediate vicinanze della compressa alza il pH, attenua l’attivazione dell’enzima digestivo pepsina e fa sì che semaglutide si presenti come singola molecola, più facile da assorbire. Ciononostante, secondo una revisione, solo circa lo 0,4–1% del principio attivo arriva nel sangue – e solo a digiuno e con poca acqua. Dopo un pasto nel sangue non è praticamente rilevabile semaglutide</w:t>
      </w:r>
      <w:r>
        <w:rPr>
          <w:rStyle w:val="FootnoteReference"/>
        </w:rPr>
        <w:footnoteReference w:id="2869"/>
      </w:r>
      <w:r>
        <w:t xml:space="preserve">. Ne derivano le rigide regole di assunzione riportate nel riassunto delle caratteristiche del prodotto.</w:t>
      </w:r>
    </w:p>
    <w:bookmarkEnd w:id="2870"/>
    <w:bookmarkStart w:id="2872" w:name="la-compressa-di-semaglutide-nellobesità"/>
    <w:p>
      <w:pPr>
        <w:pStyle w:val="Heading4"/>
      </w:pPr>
      <w:r>
        <w:t xml:space="preserve">La compressa di semaglutide nell’obesità</w:t>
      </w:r>
    </w:p>
    <w:p>
      <w:pPr>
        <w:pStyle w:val="FirstParagraph"/>
      </w:pPr>
      <w:r>
        <w:t xml:space="preserve">Per il diabete di tipo 2 la compressa di semaglutide (Rybelsus) è autorizzata nell’UE dal 2020. Per l’obesità sono state testate dosi più alte: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Studio</w:t>
            </w:r>
          </w:p>
        </w:tc>
        <w:tc>
          <w:tcPr/>
          <w:p>
            <w:pPr>
              <w:pStyle w:val="Compact"/>
              <w:jc w:val="left"/>
            </w:pPr>
            <w:r>
              <w:t xml:space="preserve">Partecipanti e disegno</w:t>
            </w:r>
          </w:p>
        </w:tc>
        <w:tc>
          <w:tcPr/>
          <w:p>
            <w:pPr>
              <w:pStyle w:val="Compact"/>
              <w:jc w:val="left"/>
            </w:pPr>
            <w:r>
              <w:t xml:space="preserve">Durata</w:t>
            </w:r>
          </w:p>
        </w:tc>
        <w:tc>
          <w:tcPr/>
          <w:p>
            <w:pPr>
              <w:pStyle w:val="Compact"/>
              <w:jc w:val="left"/>
            </w:pPr>
            <w:r>
              <w:t xml:space="preserve">Risultato</w:t>
            </w:r>
          </w:p>
        </w:tc>
      </w:tr>
      <w:tr>
        <w:tc>
          <w:tcPr/>
          <w:p>
            <w:pPr>
              <w:pStyle w:val="Compact"/>
              <w:jc w:val="left"/>
            </w:pPr>
            <w:r>
              <w:t xml:space="preserve">OASIS 1 (Knop 2023), PMID 37385278</w:t>
            </w:r>
          </w:p>
        </w:tc>
        <w:tc>
          <w:tcPr/>
          <w:p>
            <w:pPr>
              <w:pStyle w:val="Compact"/>
              <w:jc w:val="left"/>
            </w:pPr>
            <w:r>
              <w:t xml:space="preserve">667 adulti senza diabete, compressa contro placebo</w:t>
            </w:r>
          </w:p>
        </w:tc>
        <w:tc>
          <w:tcPr/>
          <w:p>
            <w:pPr>
              <w:pStyle w:val="Compact"/>
              <w:jc w:val="left"/>
            </w:pPr>
            <w:r>
              <w:t xml:space="preserve">68 settimane</w:t>
            </w:r>
          </w:p>
        </w:tc>
        <w:tc>
          <w:tcPr/>
          <w:p>
            <w:pPr>
              <w:pStyle w:val="Compact"/>
              <w:jc w:val="left"/>
            </w:pPr>
            <w:r>
              <w:t xml:space="preserve">−15,1% di peso vs. −2,4%</w:t>
            </w:r>
          </w:p>
        </w:tc>
      </w:tr>
      <w:tr>
        <w:tc>
          <w:tcPr/>
          <w:p>
            <w:pPr>
              <w:pStyle w:val="Compact"/>
              <w:jc w:val="left"/>
            </w:pPr>
            <w:r>
              <w:t xml:space="preserve">OASIS 4 (Wharton 2025), PMID 40934115</w:t>
            </w:r>
          </w:p>
        </w:tc>
        <w:tc>
          <w:tcPr/>
          <w:p>
            <w:pPr>
              <w:pStyle w:val="Compact"/>
              <w:jc w:val="left"/>
            </w:pPr>
            <w:r>
              <w:t xml:space="preserve">307 adulti senza diabete, dose più bassa in compresse contro placebo</w:t>
            </w:r>
          </w:p>
        </w:tc>
        <w:tc>
          <w:tcPr/>
          <w:p>
            <w:pPr>
              <w:pStyle w:val="Compact"/>
              <w:jc w:val="left"/>
            </w:pPr>
            <w:r>
              <w:t xml:space="preserve">64 settimane</w:t>
            </w:r>
          </w:p>
        </w:tc>
        <w:tc>
          <w:tcPr/>
          <w:p>
            <w:pPr>
              <w:pStyle w:val="Compact"/>
              <w:jc w:val="left"/>
            </w:pPr>
            <w:r>
              <w:t xml:space="preserve">−13,6% vs. −2,2%</w:t>
            </w:r>
          </w:p>
        </w:tc>
      </w:tr>
      <w:tr>
        <w:tc>
          <w:tcPr/>
          <w:p>
            <w:pPr>
              <w:pStyle w:val="Compact"/>
              <w:jc w:val="left"/>
            </w:pPr>
            <w:r>
              <w:t xml:space="preserve">Per confronto: STEP 1 (Wilding 2021), PMID 33567185</w:t>
            </w:r>
          </w:p>
        </w:tc>
        <w:tc>
          <w:tcPr/>
          <w:p>
            <w:pPr>
              <w:pStyle w:val="Compact"/>
              <w:jc w:val="left"/>
            </w:pPr>
            <w:r>
              <w:t xml:space="preserve">1.961 adulti senza diabete, iniezione settimanale contro placebo</w:t>
            </w:r>
          </w:p>
        </w:tc>
        <w:tc>
          <w:tcPr/>
          <w:p>
            <w:pPr>
              <w:pStyle w:val="Compact"/>
              <w:jc w:val="left"/>
            </w:pPr>
            <w:r>
              <w:t xml:space="preserve">68 settimane</w:t>
            </w:r>
          </w:p>
        </w:tc>
        <w:tc>
          <w:tcPr/>
          <w:p>
            <w:pPr>
              <w:pStyle w:val="Compact"/>
              <w:jc w:val="left"/>
            </w:pPr>
            <w:r>
              <w:t xml:space="preserve">−14,9% vs. −2,4%</w:t>
            </w:r>
          </w:p>
        </w:tc>
      </w:tr>
    </w:tbl>
    <w:p>
      <w:pPr>
        <w:pStyle w:val="BodyText"/>
      </w:pPr>
      <w:r>
        <w:t xml:space="preserve">In entrambi gli studi con compresse i disturbi gastrointestinali erano frequenti: 80% contro 46% con placebo in OASIS 1, 74,0% contro 42,2% in OASIS 4. Secondo il capitolo Semaglutide, lo studio OASIS 4 costituisce la base della compressa di Wegovy autorizzata negli USA (verificare lo stato attuale dell’autorizzazione). Un ulteriore studio di fase 3 sulla compressa è in corso (OASIS 5, NCT07770841, conclusione aprile 2028).</w:t>
      </w:r>
    </w:p>
    <w:p>
      <w:pPr>
        <w:pStyle w:val="BodyText"/>
      </w:pPr>
      <w:r>
        <w:t xml:space="preserve">I numeri sono vicini a quelli dell’iniezione. Manca tuttavia un grande confronto diretto tra compressa e iniezione nell’obesità, e i confronti trasversali tra studi sono solo un orientamento approssimativo.</w:t>
      </w:r>
    </w:p>
    <w:p>
      <w:pPr>
        <w:pStyle w:val="BodyText"/>
      </w:pPr>
      <w:r>
        <w:rPr>
          <w:bCs/>
          <w:b/>
        </w:rPr>
        <w:t xml:space="preserve">Uno svantaggio raramente menzionato:</w:t>
      </w:r>
      <w:r>
        <w:t xml:space="preserve"> </w:t>
      </w:r>
      <w:r>
        <w:t xml:space="preserve">poiché ne viene assorbita solo una frazione, la compressa richiede una quantità di principio attivo molte volte superiore. Una stima dei costi per i generici dopo la scadenza del brevetto è arrivata, per semaglutide iniettabile, a 28–140 dollari USA per persona all’anno, per la compressa a 186–380 dollari USA</w:t>
      </w:r>
      <w:r>
        <w:rPr>
          <w:rStyle w:val="FootnoteReference"/>
        </w:rPr>
        <w:footnoteReference w:id="2871"/>
      </w:r>
      <w:r>
        <w:t xml:space="preserve">. La compressa non è quindi automaticamente la soluzione più economica (maggiori dettagli nel capitolo «Brevetti, generici e prezzi»).</w:t>
      </w:r>
    </w:p>
    <w:bookmarkEnd w:id="2872"/>
    <w:bookmarkStart w:id="2874" w:name="endpoint-clinici-forti-soul"/>
    <w:p>
      <w:pPr>
        <w:pStyle w:val="Heading4"/>
      </w:pPr>
      <w:r>
        <w:t xml:space="preserve">Endpoint clinici forti: SOUL</w:t>
      </w:r>
    </w:p>
    <w:p>
      <w:pPr>
        <w:pStyle w:val="FirstParagraph"/>
      </w:pPr>
      <w:r>
        <w:t xml:space="preserve">Per il diabete di tipo 2 il beneficio della compressa di semaglutide è dimostrato oltre la glicemia. In SOUL, con 9.650 persone con diabete di tipo 2 e malattia vascolare o renale, eventi cardiovascolari gravi si sono verificati, in un periodo medio di osservazione di circa quattro anni, nel 12,0% con la compressa e nel 13,8% con placebo (hazard ratio 0,86). Gli endpoint renali confermativi non differivano in modo significativo</w:t>
      </w:r>
      <w:r>
        <w:rPr>
          <w:rStyle w:val="FootnoteReference"/>
        </w:rPr>
        <w:footnoteReference w:id="2873"/>
      </w:r>
      <w:r>
        <w:t xml:space="preserve">. Per le persone con obesità senza diabete uno studio del genere con la compressa non esiste ancora.</w:t>
      </w:r>
    </w:p>
    <w:bookmarkEnd w:id="2874"/>
    <w:bookmarkStart w:id="2877" w:name="amilina-e-glp-1-in-compressa"/>
    <w:p>
      <w:pPr>
        <w:pStyle w:val="Heading4"/>
      </w:pPr>
      <w:r>
        <w:t xml:space="preserve">Amilina e GLP-1 in compressa</w:t>
      </w:r>
    </w:p>
    <w:p>
      <w:pPr>
        <w:pStyle w:val="FirstParagraph"/>
      </w:pPr>
      <w:r>
        <w:t xml:space="preserve">Novo Nordisk sviluppa anche l’amicretina (dal 2026 zenagamtide) in compressa. Secondo la pubblicazione dello studio, il peptide agisce sui recettori del GLP-1, dell’amilina e della calcitonina. In uno studio di fase 2 con 186 adulti con diabete di tipo 2, dopo 36 settimane l’HbA1c è sceso nei tre gruppi di dose da 0,5 a 1,1 punti percentuali in più rispetto al placebo. I disturbi gastrointestinali si sono verificati, a seconda della dose, nel 26–47% (placebo 23%); eventi avversi gravi hanno riguardato il 4% con zenagamtide e nessuno con placebo</w:t>
      </w:r>
      <w:r>
        <w:rPr>
          <w:rStyle w:val="FootnoteReference"/>
        </w:rPr>
        <w:footnoteReference w:id="2875"/>
      </w:r>
      <w:r>
        <w:t xml:space="preserve">. Lo studio di fase 3 AMAZE 9 testa la compressa nel sovrappeso con 950 partecipanti (NCT07720271, conclusione agosto 2028). Uno studio di fase 1 esamina espressamente come quantità d’acqua e momento del pasto influenzino l’assorbimento</w:t>
      </w:r>
      <w:r>
        <w:rPr>
          <w:rStyle w:val="FootnoteReference"/>
        </w:rPr>
        <w:footnoteReference w:id="2876"/>
      </w:r>
      <w:r>
        <w:t xml:space="preserve"> </w:t>
      </w:r>
      <w:r>
        <w:t xml:space="preserve">– un indizio che anche questa compressa sarà probabilmente legata a regole di assunzione.</w:t>
      </w:r>
    </w:p>
    <w:bookmarkEnd w:id="2877"/>
    <w:bookmarkStart w:id="2882" w:name="Xd9e82fad6e3974492cb8ac508c8dff1c10fb5b2"/>
    <w:p>
      <w:pPr>
        <w:pStyle w:val="Heading4"/>
      </w:pPr>
      <w:r>
        <w:t xml:space="preserve">Peptidi orali al di fuori del metabolismo</w:t>
      </w:r>
    </w:p>
    <w:p>
      <w:pPr>
        <w:pStyle w:val="FirstParagraph"/>
      </w:pPr>
      <w:r>
        <w:t xml:space="preserve">La svolta non si limita ai farmaci dimagranti. Due esempi mostrano che i peptidi orali stanno diventando una classe di farmaci a sé stante:</w:t>
      </w:r>
    </w:p>
    <w:p>
      <w:pPr>
        <w:numPr>
          <w:ilvl w:val="0"/>
          <w:numId w:val="1358"/>
        </w:numPr>
        <w:pStyle w:val="Compact"/>
      </w:pPr>
      <w:r>
        <w:rPr>
          <w:bCs/>
          <w:b/>
        </w:rPr>
        <w:t xml:space="preserve">Enlicitide</w:t>
      </w:r>
      <w:r>
        <w:t xml:space="preserve"> </w:t>
      </w:r>
      <w:r>
        <w:t xml:space="preserve">è un peptide ad anello (macrociclico) che inibisce la proteina PCSK9 e riduce così il colesterolo LDL. Finora questi inibitori esistevano solo in forma iniettabile (anticorpi). Il principio attivo è stato trovato con un metodo che esplora biblioteche di peptidi molto grandi alla ricerca di partner di legame adatti, e poi ottimizzato chimicamente in modo mirato</w:t>
      </w:r>
      <w:r>
        <w:rPr>
          <w:rStyle w:val="FootnoteReference"/>
        </w:rPr>
        <w:footnoteReference w:id="2878"/>
      </w:r>
      <w:r>
        <w:t xml:space="preserve">. Nello studio di fase 3 CORALreef Lipids con 2.909 partecipanti il colesterolo LDL è sceso dopo 24 settimane del 57,1%, con placebo è salito del 3,0%. Gli eventi avversi si sono verificati con frequenza simile in entrambi i gruppi</w:t>
      </w:r>
      <w:r>
        <w:rPr>
          <w:rStyle w:val="FootnoteReference"/>
        </w:rPr>
        <w:footnoteReference w:id="2879"/>
      </w:r>
      <w:r>
        <w:t xml:space="preserve">. Se ciò prevenga anche infarti e ictus dovrà mostrarlo CORALreef Outcomes con 14.550 partecipanti (NCT06008756, conclusione novembre 2031).</w:t>
      </w:r>
    </w:p>
    <w:p>
      <w:pPr>
        <w:numPr>
          <w:ilvl w:val="0"/>
          <w:numId w:val="1358"/>
        </w:numPr>
        <w:pStyle w:val="Compact"/>
      </w:pPr>
      <w:r>
        <w:rPr>
          <w:bCs/>
          <w:b/>
        </w:rPr>
        <w:t xml:space="preserve">Icotrokinra</w:t>
      </w:r>
      <w:r>
        <w:t xml:space="preserve"> </w:t>
      </w:r>
      <w:r>
        <w:t xml:space="preserve">è un peptide orale che blocca il recettore del messaggero infiammatorio interleuchina-23. Nello studio di fase 3 ICONIC-LEAD con 684 adulti e adolescenti con psoriasi da moderata a grave, dopo 16 settimane il 65% ha raggiunto una pelle (quasi) libera da lesioni contro l’8% con placebo; gli eventi avversi erano ugualmente frequenti in entrambi i gruppi (49%)</w:t>
      </w:r>
      <w:r>
        <w:rPr>
          <w:rStyle w:val="FootnoteReference"/>
        </w:rPr>
        <w:footnoteReference w:id="2880"/>
      </w:r>
      <w:r>
        <w:t xml:space="preserve">. Nel marzo 2026 icotrokinra è stato autorizzato negli USA, nell’UE la valutazione era in corso (Keam 2026, PMID 42243571; verificare lo stato attuale). Notevole è il percorso: secondo un’indagine farmacologica icotrokinra funziona</w:t>
      </w:r>
      <w:r>
        <w:t xml:space="preserve"> </w:t>
      </w:r>
      <w:r>
        <w:rPr>
          <w:bCs/>
          <w:b/>
        </w:rPr>
        <w:t xml:space="preserve">senza</w:t>
      </w:r>
      <w:r>
        <w:t xml:space="preserve"> </w:t>
      </w:r>
      <w:r>
        <w:t xml:space="preserve">promotore dell’assorbimento. Nell’esperimento animale solo lo 0,1–0,3% è arrivato nel sangue, eppure un effetto sistemico era misurabile, perché il peptide è molto stabile e molto potente</w:t>
      </w:r>
      <w:r>
        <w:rPr>
          <w:rStyle w:val="FootnoteReference"/>
        </w:rPr>
        <w:footnoteReference w:id="2881"/>
      </w:r>
      <w:r>
        <w:t xml:space="preserve">. Sono in corso studi nella colite ulcerosa (ICONIC-UC, NCT07196748).</w:t>
      </w:r>
    </w:p>
    <w:p>
      <w:pPr>
        <w:pStyle w:val="FirstParagraph"/>
      </w:pPr>
      <w:r>
        <w:t xml:space="preserve">Entrambi i principi attivi non sono peptidi del mercato grigio, ma molecole progettate a tavolino in modo mirato e testate per anni in grandi studi. Non hanno nulla in comune con i peptidi «orali» offerti su internet.</w:t>
      </w:r>
    </w:p>
    <w:bookmarkEnd w:id="2882"/>
    <w:bookmarkEnd w:id="2883"/>
    <w:bookmarkStart w:id="2892" w:name="via-2-piccole-molecole-invece-di-peptidi"/>
    <w:p>
      <w:pPr>
        <w:pStyle w:val="Heading3"/>
      </w:pPr>
      <w:r>
        <w:t xml:space="preserve">Via 2: piccole molecole invece di peptidi</w:t>
      </w:r>
    </w:p>
    <w:bookmarkStart w:id="2889" w:name="orforglipron"/>
    <w:p>
      <w:pPr>
        <w:pStyle w:val="Heading4"/>
      </w:pPr>
      <w:r>
        <w:t xml:space="preserve">Orforglipron</w:t>
      </w:r>
    </w:p>
    <w:p>
      <w:pPr>
        <w:pStyle w:val="FirstParagraph"/>
      </w:pPr>
      <w:r>
        <w:t xml:space="preserve">Orforglipron non è un peptide, ma una piccola molecola prodotta chimicamente che attiva il recettore del GLP-1 (in dettaglio nel capitolo Orforglipron nella Parte II · A). Si assume come una normale compressa una volta al giorno, secondo gli studi senza riguardo ai pasti o alla quantità d’acqua</w:t>
      </w:r>
      <w:r>
        <w:rPr>
          <w:rStyle w:val="FootnoteReference"/>
        </w:rPr>
        <w:footnoteReference w:id="2884"/>
      </w:r>
      <w:r>
        <w:t xml:space="preserve">.</w:t>
      </w:r>
    </w:p>
    <w:p>
      <w:pPr>
        <w:numPr>
          <w:ilvl w:val="0"/>
          <w:numId w:val="1359"/>
        </w:numPr>
        <w:pStyle w:val="Compact"/>
      </w:pPr>
      <w:r>
        <w:rPr>
          <w:bCs/>
          <w:b/>
        </w:rPr>
        <w:t xml:space="preserve">Peso:</w:t>
      </w:r>
      <w:r>
        <w:t xml:space="preserve"> </w:t>
      </w:r>
      <w:r>
        <w:t xml:space="preserve">in ATTAIN-1, con 3.127 adulti con obesità, il peso è sceso dopo 72 settimane alla dose più alta dell’11,2%, con placebo del 2,1%. A causa degli effetti collaterali ha interrotto il 5,3–10,3% (placebo 2,7%)</w:t>
      </w:r>
      <w:r>
        <w:rPr>
          <w:rStyle w:val="FootnoteReference"/>
        </w:rPr>
        <w:footnoteReference w:id="2885"/>
      </w:r>
      <w:r>
        <w:t xml:space="preserve">.</w:t>
      </w:r>
    </w:p>
    <w:p>
      <w:pPr>
        <w:numPr>
          <w:ilvl w:val="0"/>
          <w:numId w:val="1359"/>
        </w:numPr>
        <w:pStyle w:val="Compact"/>
      </w:pPr>
      <w:r>
        <w:rPr>
          <w:bCs/>
          <w:b/>
        </w:rPr>
        <w:t xml:space="preserve">Glicemia:</w:t>
      </w:r>
      <w:r>
        <w:t xml:space="preserve"> </w:t>
      </w:r>
      <w:r>
        <w:t xml:space="preserve">nel confronto in aperto con la compressa di semaglutide (ACHIEVE-3, 1.698 partecipanti) orforglipron ha ridotto l’HbA1c dopo 52 settimane in misura maggiore, alle rispettive dosi più alte di 1,91 contro 1,47 punti percentuali</w:t>
      </w:r>
      <w:r>
        <w:rPr>
          <w:rStyle w:val="FootnoteReference"/>
        </w:rPr>
        <w:footnoteReference w:id="2886"/>
      </w:r>
      <w:r>
        <w:t xml:space="preserve">.</w:t>
      </w:r>
    </w:p>
    <w:p>
      <w:pPr>
        <w:numPr>
          <w:ilvl w:val="0"/>
          <w:numId w:val="1359"/>
        </w:numPr>
        <w:pStyle w:val="Compact"/>
      </w:pPr>
      <w:r>
        <w:rPr>
          <w:bCs/>
          <w:b/>
        </w:rPr>
        <w:t xml:space="preserve">Mantenere il peso:</w:t>
      </w:r>
      <w:r>
        <w:t xml:space="preserve"> </w:t>
      </w:r>
      <w:r>
        <w:t xml:space="preserve">in ATTAIN-MAINTAIN i partecipanti, dopo un calo di peso con tirzepatide o semaglutide iniettabili, sono passati a orforglipron o placebo. Dopo 52 settimane, con orforglipron hanno mantenuto rispettivamente il 74,7% e il 79,3% della perdita di peso, con placebo il 49,2% e il 37,6%. Non c’era un gruppo che continuasse semplicemente a ricevere l’iniezione; gli autori lo indicano essi stessi come limite</w:t>
      </w:r>
      <w:r>
        <w:rPr>
          <w:rStyle w:val="FootnoteReference"/>
        </w:rPr>
        <w:footnoteReference w:id="2887"/>
      </w:r>
      <w:r>
        <w:t xml:space="preserve">.</w:t>
      </w:r>
    </w:p>
    <w:p>
      <w:pPr>
        <w:numPr>
          <w:ilvl w:val="0"/>
          <w:numId w:val="1359"/>
        </w:numPr>
        <w:pStyle w:val="Compact"/>
      </w:pPr>
      <w:r>
        <w:rPr>
          <w:bCs/>
          <w:b/>
        </w:rPr>
        <w:t xml:space="preserve">Fegato:</w:t>
      </w:r>
      <w:r>
        <w:t xml:space="preserve"> </w:t>
      </w:r>
      <w:r>
        <w:t xml:space="preserve">per le piccole molecole GLP-1 i valori epatici erano una preoccupazione particolare. Un’analisi aggregata di sette studi di fase 3 con 11.220 partecipanti non ha trovato per orforglipron alcun caso che soddisfacesse i criteri di un danno epatico da farmaci</w:t>
      </w:r>
      <w:r>
        <w:rPr>
          <w:rStyle w:val="FootnoteReference"/>
        </w:rPr>
        <w:footnoteReference w:id="2888"/>
      </w:r>
      <w:r>
        <w:t xml:space="preserve">.</w:t>
      </w:r>
    </w:p>
    <w:bookmarkEnd w:id="2889"/>
    <w:bookmarkStart w:id="2891" w:name="non-ogni-piccola-molecola-ce-la-fa"/>
    <w:p>
      <w:pPr>
        <w:pStyle w:val="Heading4"/>
      </w:pPr>
      <w:r>
        <w:t xml:space="preserve">Non ogni piccola molecola ce la fa</w:t>
      </w:r>
    </w:p>
    <w:p>
      <w:pPr>
        <w:pStyle w:val="FirstParagraph"/>
      </w:pPr>
      <w:r>
        <w:t xml:space="preserve">Che la strada sia difficile lo mostra</w:t>
      </w:r>
      <w:r>
        <w:t xml:space="preserve"> </w:t>
      </w:r>
      <w:r>
        <w:rPr>
          <w:bCs/>
          <w:b/>
        </w:rPr>
        <w:t xml:space="preserve">danuglipron</w:t>
      </w:r>
      <w:r>
        <w:t xml:space="preserve"> </w:t>
      </w:r>
      <w:r>
        <w:t xml:space="preserve">di Pfizer. In uno studio di fase 2b con 628 adulti con obesità, in cui le compresse venivano assunte due volte al giorno, il peso è sceso molto più che con placebo, ma solo il 39,3% ha completato il trattamento; circa il 38% ha interrotto a causa degli effetti collaterali</w:t>
      </w:r>
      <w:r>
        <w:rPr>
          <w:rStyle w:val="FootnoteReference"/>
        </w:rPr>
        <w:footnoteReference w:id="2890"/>
      </w:r>
      <w:r>
        <w:t xml:space="preserve">. Secondo comunicazioni del produttore lo sviluppo è stato interrotto. Altre aziende sviluppano proprie compresse; AstraZeneca, per esempio, testa il principio attivo elecoglipron in uno studio di fase 3 contro la compressa di semaglutide (Eluminate-2, NCT07662213).</w:t>
      </w:r>
    </w:p>
    <w:bookmarkEnd w:id="2891"/>
    <w:bookmarkEnd w:id="2892"/>
    <w:bookmarkStart w:id="2894" w:name="X32134f0ca148a73309bf1f2ab7344ce7914487e"/>
    <w:p>
      <w:pPr>
        <w:pStyle w:val="Heading3"/>
      </w:pPr>
      <w:r>
        <w:t xml:space="preserve">Compressa peptidica o piccola molecola: un confronto</w:t>
      </w:r>
    </w:p>
    <w:p>
      <w:pPr>
        <w:pStyle w:val="FirstParagraph"/>
      </w:pPr>
      <w:r>
        <w:t xml:space="preserve">Manca un confronto diretto tra la compressa di semaglutide e orforglipron nell’obesità. Un’analisi li ha confrontati indirettamente, allineando i dati individuali di OASIS 4 con i dati aggregati pubblicati di ATTAIN-1. Secondo questa analisi la perdita di peso con la compressa di semaglutide era maggiore di circa 3 punti percentuali, e le interruzioni per effetti collaterali erano più frequenti con orforglipron</w:t>
      </w:r>
      <w:r>
        <w:rPr>
          <w:rStyle w:val="FootnoteReference"/>
        </w:rPr>
        <w:footnoteReference w:id="2893"/>
      </w:r>
      <w:r>
        <w:t xml:space="preserve">. Questi confronti indiretti vanno letti con cautela: i dati individuali erano disponibili solo per uno dei due studi, e precisamente per quello del programma di semaglutide.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Caratteristica</w:t>
            </w:r>
          </w:p>
        </w:tc>
        <w:tc>
          <w:tcPr/>
          <w:p>
            <w:pPr>
              <w:pStyle w:val="Compact"/>
              <w:jc w:val="left"/>
            </w:pPr>
            <w:r>
              <w:t xml:space="preserve">Iniezione peptidica</w:t>
            </w:r>
          </w:p>
        </w:tc>
        <w:tc>
          <w:tcPr/>
          <w:p>
            <w:pPr>
              <w:pStyle w:val="Compact"/>
              <w:jc w:val="left"/>
            </w:pPr>
            <w:r>
              <w:t xml:space="preserve">Compressa peptidica</w:t>
            </w:r>
          </w:p>
        </w:tc>
        <w:tc>
          <w:tcPr/>
          <w:p>
            <w:pPr>
              <w:pStyle w:val="Compact"/>
              <w:jc w:val="left"/>
            </w:pPr>
            <w:r>
              <w:t xml:space="preserve">Piccola molecola</w:t>
            </w:r>
          </w:p>
        </w:tc>
      </w:tr>
      <w:tr>
        <w:tc>
          <w:tcPr/>
          <w:p>
            <w:pPr>
              <w:pStyle w:val="Compact"/>
              <w:jc w:val="left"/>
            </w:pPr>
            <w:r>
              <w:t xml:space="preserve">Esempio</w:t>
            </w:r>
          </w:p>
        </w:tc>
        <w:tc>
          <w:tcPr/>
          <w:p>
            <w:pPr>
              <w:pStyle w:val="Compact"/>
              <w:jc w:val="left"/>
            </w:pPr>
            <w:r>
              <w:t xml:space="preserve">semaglutide, tirzepatide</w:t>
            </w:r>
          </w:p>
        </w:tc>
        <w:tc>
          <w:tcPr/>
          <w:p>
            <w:pPr>
              <w:pStyle w:val="Compact"/>
              <w:jc w:val="left"/>
            </w:pPr>
            <w:r>
              <w:t xml:space="preserve">compressa di semaglutide, compressa di zenagamtide</w:t>
            </w:r>
          </w:p>
        </w:tc>
        <w:tc>
          <w:tcPr/>
          <w:p>
            <w:pPr>
              <w:pStyle w:val="Compact"/>
              <w:jc w:val="left"/>
            </w:pPr>
            <w:r>
              <w:t xml:space="preserve">orforglipron</w:t>
            </w:r>
          </w:p>
        </w:tc>
      </w:tr>
      <w:tr>
        <w:tc>
          <w:tcPr/>
          <w:p>
            <w:pPr>
              <w:pStyle w:val="Compact"/>
              <w:jc w:val="left"/>
            </w:pPr>
            <w:r>
              <w:t xml:space="preserve">Assunzione</w:t>
            </w:r>
          </w:p>
        </w:tc>
        <w:tc>
          <w:tcPr/>
          <w:p>
            <w:pPr>
              <w:pStyle w:val="Compact"/>
              <w:jc w:val="left"/>
            </w:pPr>
            <w:r>
              <w:t xml:space="preserve">da settimanale a mensile</w:t>
            </w:r>
          </w:p>
        </w:tc>
        <w:tc>
          <w:tcPr/>
          <w:p>
            <w:pPr>
              <w:pStyle w:val="Compact"/>
              <w:jc w:val="left"/>
            </w:pPr>
            <w:r>
              <w:t xml:space="preserve">quotidiana, a digiuno, con regole di assunzione</w:t>
            </w:r>
          </w:p>
        </w:tc>
        <w:tc>
          <w:tcPr/>
          <w:p>
            <w:pPr>
              <w:pStyle w:val="Compact"/>
              <w:jc w:val="left"/>
            </w:pPr>
            <w:r>
              <w:t xml:space="preserve">quotidiana, senza regole sui pasti</w:t>
            </w:r>
          </w:p>
        </w:tc>
      </w:tr>
      <w:tr>
        <w:tc>
          <w:tcPr/>
          <w:p>
            <w:pPr>
              <w:pStyle w:val="Compact"/>
              <w:jc w:val="left"/>
            </w:pPr>
            <w:r>
              <w:t xml:space="preserve">Fabbisogno di principio attivo</w:t>
            </w:r>
          </w:p>
        </w:tc>
        <w:tc>
          <w:tcPr/>
          <w:p>
            <w:pPr>
              <w:pStyle w:val="Compact"/>
              <w:jc w:val="left"/>
            </w:pPr>
            <w:r>
              <w:t xml:space="preserve">basso</w:t>
            </w:r>
          </w:p>
        </w:tc>
        <w:tc>
          <w:tcPr/>
          <w:p>
            <w:pPr>
              <w:pStyle w:val="Compact"/>
              <w:jc w:val="left"/>
            </w:pPr>
            <w:r>
              <w:t xml:space="preserve">molto alto (assorbimento circa 1%)</w:t>
            </w:r>
          </w:p>
        </w:tc>
        <w:tc>
          <w:tcPr/>
          <w:p>
            <w:pPr>
              <w:pStyle w:val="Compact"/>
              <w:jc w:val="left"/>
            </w:pPr>
            <w:r>
              <w:t xml:space="preserve">normale per compresse</w:t>
            </w:r>
          </w:p>
        </w:tc>
      </w:tr>
      <w:tr>
        <w:tc>
          <w:tcPr/>
          <w:p>
            <w:pPr>
              <w:pStyle w:val="Compact"/>
              <w:jc w:val="left"/>
            </w:pPr>
            <w:r>
              <w:t xml:space="preserve">Perdita di peso negli studi</w:t>
            </w:r>
          </w:p>
        </w:tc>
        <w:tc>
          <w:tcPr/>
          <w:p>
            <w:pPr>
              <w:pStyle w:val="Compact"/>
              <w:jc w:val="left"/>
            </w:pPr>
            <w:r>
              <w:t xml:space="preserve">la più alta</w:t>
            </w:r>
          </w:p>
        </w:tc>
        <w:tc>
          <w:tcPr/>
          <w:p>
            <w:pPr>
              <w:pStyle w:val="Compact"/>
              <w:jc w:val="left"/>
            </w:pPr>
            <w:r>
              <w:t xml:space="preserve">simile all’iniezione di semaglutide</w:t>
            </w:r>
          </w:p>
        </w:tc>
        <w:tc>
          <w:tcPr/>
          <w:p>
            <w:pPr>
              <w:pStyle w:val="Compact"/>
              <w:jc w:val="left"/>
            </w:pPr>
            <w:r>
              <w:t xml:space="preserve">un po’ minore</w:t>
            </w:r>
          </w:p>
        </w:tc>
      </w:tr>
      <w:tr>
        <w:tc>
          <w:tcPr/>
          <w:p>
            <w:pPr>
              <w:pStyle w:val="Compact"/>
              <w:jc w:val="left"/>
            </w:pPr>
            <w:r>
              <w:t xml:space="preserve">Degradazione, interazioni</w:t>
            </w:r>
          </w:p>
        </w:tc>
        <w:tc>
          <w:tcPr/>
          <w:p>
            <w:pPr>
              <w:pStyle w:val="Compact"/>
              <w:jc w:val="left"/>
            </w:pPr>
            <w:r>
              <w:t xml:space="preserve">come le proteine, quasi nessuna interazione</w:t>
            </w:r>
          </w:p>
        </w:tc>
        <w:tc>
          <w:tcPr/>
          <w:p>
            <w:pPr>
              <w:pStyle w:val="Compact"/>
              <w:jc w:val="left"/>
            </w:pPr>
            <w:r>
              <w:t xml:space="preserve">come le proteine</w:t>
            </w:r>
          </w:p>
        </w:tc>
        <w:tc>
          <w:tcPr/>
          <w:p>
            <w:pPr>
              <w:pStyle w:val="Compact"/>
              <w:jc w:val="left"/>
            </w:pPr>
            <w:r>
              <w:t xml:space="preserve">tramite enzimi epatici, interazioni possibili</w:t>
            </w:r>
          </w:p>
        </w:tc>
      </w:tr>
      <w:tr>
        <w:tc>
          <w:tcPr/>
          <w:p>
            <w:pPr>
              <w:pStyle w:val="Compact"/>
              <w:jc w:val="left"/>
            </w:pPr>
            <w:r>
              <w:t xml:space="preserve">Endpoint clinici forti</w:t>
            </w:r>
          </w:p>
        </w:tc>
        <w:tc>
          <w:tcPr/>
          <w:p>
            <w:pPr>
              <w:pStyle w:val="Compact"/>
              <w:jc w:val="left"/>
            </w:pPr>
            <w:r>
              <w:t xml:space="preserve">dimostrati per diversi principi attivi</w:t>
            </w:r>
          </w:p>
        </w:tc>
        <w:tc>
          <w:tcPr/>
          <w:p>
            <w:pPr>
              <w:pStyle w:val="Compact"/>
              <w:jc w:val="left"/>
            </w:pPr>
            <w:r>
              <w:t xml:space="preserve">dimostrati nel diabete di tipo 2 (SOUL)</w:t>
            </w:r>
          </w:p>
        </w:tc>
        <w:tc>
          <w:tcPr/>
          <w:p>
            <w:pPr>
              <w:pStyle w:val="Compact"/>
              <w:jc w:val="left"/>
            </w:pPr>
            <w:r>
              <w:t xml:space="preserve">studio di esito in corso fino al 2031</w:t>
            </w:r>
          </w:p>
        </w:tc>
      </w:tr>
    </w:tbl>
    <w:p>
      <w:pPr>
        <w:pStyle w:val="BodyText"/>
      </w:pPr>
      <w:r>
        <w:t xml:space="preserve">Il punto «interazioni» merita una spiegazione: i peptidi vengono degradati nel corpo come le altre proteine. Le piccole molecole come orforglipron vengono invece metabolizzate tramite enzimi epatici, attraverso cui passano anche molti altri farmaci. Per questo per orforglipron sono stati condotti numerosi studi di interazione (vedi capitolo Orforglipron).</w:t>
      </w:r>
    </w:p>
    <w:bookmarkEnd w:id="2894"/>
    <w:bookmarkStart w:id="2900" w:name="domande-aperte"/>
    <w:p>
      <w:pPr>
        <w:pStyle w:val="Heading3"/>
      </w:pPr>
      <w:r>
        <w:t xml:space="preserve">Domande aperte</w:t>
      </w:r>
    </w:p>
    <w:p>
      <w:pPr>
        <w:pStyle w:val="FirstParagraph"/>
      </w:pPr>
      <w:r>
        <w:rPr>
          <w:bCs/>
          <w:b/>
        </w:rPr>
        <w:t xml:space="preserve">Una compressa quotidiana si assume in modo più affidabile di un’iniezione settimanale?</w:t>
      </w:r>
      <w:r>
        <w:t xml:space="preserve"> </w:t>
      </w:r>
      <w:r>
        <w:t xml:space="preserve">Non è affatto scontato. Chi scambia un’iniezione a settimana con sette compresse ha sette occasioni a settimana per dimenticare una dose. Per la compressa di semaglutide si aggiunge che già un pasto troppo anticipato può impedire praticamente l’assorbimento</w:t>
      </w:r>
      <w:r>
        <w:rPr>
          <w:rStyle w:val="FootnoteReference"/>
        </w:rPr>
        <w:footnoteReference w:id="2895"/>
      </w:r>
      <w:r>
        <w:t xml:space="preserve">. Come ciò si ripercuota sull’effetto nella vita quotidiana non lo mostrano gli studi registrativi, con i loro partecipanti seguiti da vicino.</w:t>
      </w:r>
    </w:p>
    <w:p>
      <w:pPr>
        <w:pStyle w:val="BodyText"/>
      </w:pPr>
      <w:r>
        <w:rPr>
          <w:bCs/>
          <w:b/>
        </w:rPr>
        <w:t xml:space="preserve">Esistono endpoint clinici forti per le compresse nell’obesità?</w:t>
      </w:r>
      <w:r>
        <w:t xml:space="preserve"> </w:t>
      </w:r>
      <w:r>
        <w:t xml:space="preserve">Non ancora. SOUL riguardava persone con diabete di tipo 2. Lo studio cardiovascolare su orforglipron è in corso fino al 2031</w:t>
      </w:r>
      <w:r>
        <w:rPr>
          <w:rStyle w:val="FootnoteReference"/>
        </w:rPr>
        <w:footnoteReference w:id="2896"/>
      </w:r>
      <w:r>
        <w:t xml:space="preserve">, e orforglipron viene testato persino in persone in sovrappeso, per prevenire la progressione verso l’obesità o le malattie conseguenti (ATTAIN-NOW, NCT07794579, 2.001 partecipanti, conclusione settembre 2030).</w:t>
      </w:r>
    </w:p>
    <w:p>
      <w:pPr>
        <w:pStyle w:val="BodyText"/>
      </w:pPr>
      <w:r>
        <w:rPr>
          <w:bCs/>
          <w:b/>
        </w:rPr>
        <w:t xml:space="preserve">La compressa è il mezzo per il mantenimento?</w:t>
      </w:r>
      <w:r>
        <w:t xml:space="preserve"> </w:t>
      </w:r>
      <w:r>
        <w:t xml:space="preserve">ATTAIN-MAINTAIN suggerisce che il passaggio dall’iniezione a una compressa possa mantenere gran parte della perdita di peso. Se ciò sia altrettanto valido quanto proseguire con l’iniezione non è stato verificato.</w:t>
      </w:r>
    </w:p>
    <w:p>
      <w:pPr>
        <w:pStyle w:val="BodyText"/>
      </w:pPr>
      <w:r>
        <w:rPr>
          <w:bCs/>
          <w:b/>
        </w:rPr>
        <w:t xml:space="preserve">Le compresse diventeranno più economiche?</w:t>
      </w:r>
      <w:r>
        <w:t xml:space="preserve"> </w:t>
      </w:r>
      <w:r>
        <w:t xml:space="preserve">Per le piccole molecole è plausibile, perché vengono prodotte con procedimenti chimici standard. Per le compresse peptidiche la stima dei costi depone piuttosto contro, perché richiedono molto più principio attivo</w:t>
      </w:r>
      <w:r>
        <w:rPr>
          <w:rStyle w:val="FootnoteReference"/>
        </w:rPr>
        <w:footnoteReference w:id="2897"/>
      </w:r>
      <w:r>
        <w:t xml:space="preserve">. I prezzi concreti in Europa sono aperti.</w:t>
      </w:r>
    </w:p>
    <w:p>
      <w:pPr>
        <w:pStyle w:val="BodyText"/>
      </w:pPr>
      <w:r>
        <w:rPr>
          <w:bCs/>
          <w:b/>
        </w:rPr>
        <w:t xml:space="preserve">E le gocce, le compresse orodispersibili e gli spray nasali di internet?</w:t>
      </w:r>
      <w:r>
        <w:t xml:space="preserve"> </w:t>
      </w:r>
      <w:r>
        <w:t xml:space="preserve">Qui è d’obbligo la cautela. Un’indagine sulle preparazioni galeniche prodotte negli USA ha trovato preparazioni di semaglutide o tirzepatide per uso sublinguale e come compresse orodispersibili per le quali non esistono prove di efficacia e sicurezza</w:t>
      </w:r>
      <w:r>
        <w:rPr>
          <w:rStyle w:val="FootnoteReference"/>
        </w:rPr>
        <w:footnoteReference w:id="2898"/>
      </w:r>
      <w:r>
        <w:t xml:space="preserve">. In un’analisi di laboratorio, generici di semaglutide orale contenevano in parte molto meno principio attivo di quanto dichiarato e rilasciavano principio attivo e SNAC in modo diverso dall’originale</w:t>
      </w:r>
      <w:r>
        <w:rPr>
          <w:rStyle w:val="FootnoteReference"/>
        </w:rPr>
        <w:footnoteReference w:id="2899"/>
      </w:r>
      <w:r>
        <w:t xml:space="preserve">. Un peptide venduto «in compresse» viene a malapena assorbito senza una formulazione verificata – ciò vale per semaglutide come per BPC-157 o altri peptidi del mercato grigio.</w:t>
      </w:r>
    </w:p>
    <w:bookmarkEnd w:id="2900"/>
    <w:bookmarkStart w:id="2901" w:name="valutazione-dellautore"/>
    <w:p>
      <w:pPr>
        <w:pStyle w:val="Heading3"/>
      </w:pPr>
      <w:r>
        <w:t xml:space="preserve">Valutazione dell’autore</w:t>
      </w:r>
    </w:p>
    <w:p>
      <w:pPr>
        <w:pStyle w:val="FirstParagraph"/>
      </w:pPr>
      <w:r>
        <w:t xml:space="preserve">L’iniezione non scomparirà, ma il suo monopolio è finito. Per la fase di forte calo di peso i principi attivi iniettabili dovrebbero restare in testa nei prossimi anni, perché negli studi ottengono di più e i dati cardiovascolari esistono finora quasi esclusivamente per loro. Per il mantenimento pluriennale, per le persone con paura degli aghi e per i paesi senza una catena del freddo affidabile, le compresse sono invece un vero progresso. Se si affermeranno più le compresse peptidiche o le piccole molecole sarà deciso meno dall’efficacia che da prezzo, comodità di assunzione e sicurezza a lungo termine. È una valutazione; accertato è solo che entrambe le vie vengono testate in grandi studi di fase 3.</w:t>
      </w:r>
    </w:p>
    <w:bookmarkEnd w:id="2901"/>
    <w:bookmarkStart w:id="2902" w:name="in-breve-4"/>
    <w:p>
      <w:pPr>
        <w:pStyle w:val="Heading3"/>
      </w:pPr>
      <w:r>
        <w:t xml:space="preserve">In breve</w:t>
      </w:r>
    </w:p>
    <w:p>
      <w:pPr>
        <w:numPr>
          <w:ilvl w:val="0"/>
          <w:numId w:val="1360"/>
        </w:numPr>
        <w:pStyle w:val="Compact"/>
      </w:pPr>
      <w:r>
        <w:t xml:space="preserve">I peptidi in compresse funzionano solo con un grande impegno tecnico. Con la compressa di semaglutide circa l’1% del principio attivo arriva nel sangue, eppure negli studi raggiunge perdite di peso simili all’iniezione.</w:t>
      </w:r>
    </w:p>
    <w:p>
      <w:pPr>
        <w:numPr>
          <w:ilvl w:val="0"/>
          <w:numId w:val="1360"/>
        </w:numPr>
        <w:pStyle w:val="Compact"/>
      </w:pPr>
      <w:r>
        <w:t xml:space="preserve">Le piccole molecole come orforglipron aggirano il problema, ma negli studi hanno prodotto una perdita di peso un po’ minore e vengono degradate tramite enzimi epatici.</w:t>
      </w:r>
    </w:p>
    <w:p>
      <w:pPr>
        <w:numPr>
          <w:ilvl w:val="0"/>
          <w:numId w:val="1360"/>
        </w:numPr>
        <w:pStyle w:val="Compact"/>
      </w:pPr>
      <w:r>
        <w:t xml:space="preserve">I peptidi orali stanno diventando una classe di farmaci a sé anche al di fuori del metabolismo, per esempio contro il colesterolo alto (enlicitide) e la psoriasi (icotrokinra).</w:t>
      </w:r>
    </w:p>
    <w:p>
      <w:pPr>
        <w:numPr>
          <w:ilvl w:val="0"/>
          <w:numId w:val="1360"/>
        </w:numPr>
        <w:pStyle w:val="Compact"/>
      </w:pPr>
      <w:r>
        <w:t xml:space="preserve">Restano aperti i dati a lungo termine, gli endpoint clinici forti nell’obesità, l’aderenza alla terapia nella vita quotidiana e i prezzi.</w:t>
      </w:r>
    </w:p>
    <w:p>
      <w:pPr>
        <w:numPr>
          <w:ilvl w:val="0"/>
          <w:numId w:val="1360"/>
        </w:numPr>
        <w:pStyle w:val="Compact"/>
      </w:pPr>
      <w:r>
        <w:t xml:space="preserve">I farmaci vanno usati solo con accompagnamento medico e secondo il riassunto delle caratteristiche del prodotto; i peptidi «orali» del mercato grigio non hanno nulla a che fare con questi sviluppi.</w:t>
      </w:r>
    </w:p>
    <w:bookmarkEnd w:id="2902"/>
    <w:bookmarkEnd w:id="2903"/>
    <w:bookmarkStart w:id="2930" w:name="brevetti-generici-e-prezzi"/>
    <w:p>
      <w:pPr>
        <w:pStyle w:val="Heading2"/>
      </w:pPr>
      <w:r>
        <w:t xml:space="preserve">Brevetti, generici e prezzi</w:t>
      </w:r>
    </w:p>
    <w:p>
      <w:pPr>
        <w:pStyle w:val="FirstParagraph"/>
      </w:pPr>
      <w:r>
        <w:t xml:space="preserve">Se un farmaco funziona lo decidono gli studi. Se arriva alle persone lo decidono brevetti, prezzi, catene di approvvigionamento e casse malattia. Per i farmaci GLP-1 questa seconda parte della storia è quasi drammatica quanto la prima: carenze di fornitura, un mercato di copie galeniche negli USA, contraffazioni in tutto il mondo – e nel 2026 la scadenza dei primi brevetti di semaglutide in grandi paesi.</w:t>
      </w:r>
    </w:p>
    <w:p>
      <w:pPr>
        <w:pStyle w:val="BodyText"/>
      </w:pPr>
      <w:r>
        <w:rPr>
          <w:bCs/>
          <w:b/>
        </w:rPr>
        <w:t xml:space="preserve">Un’avvertenza importante in premessa:</w:t>
      </w:r>
      <w:r>
        <w:t xml:space="preserve"> </w:t>
      </w:r>
      <w:r>
        <w:t xml:space="preserve">prezzi, durata dei brevetti e regole di rimborso cambiano rapidamente e sono documentati solo in parte in lavori scientifici. Dove questo capitolo fornisce dati senza prova da studi, sono contrassegnati con «aggiornato al 2026, da verificare». Prezzi concreti in euro volutamente non vengono indicati, perché variano a seconda del paese, della confezione e del momento.</w:t>
      </w:r>
    </w:p>
    <w:bookmarkStart w:id="2905" w:name="X733fa6d6bec1a49f6b1a9cf4b8e9a8fdd95a649"/>
    <w:p>
      <w:pPr>
        <w:pStyle w:val="Heading3"/>
      </w:pPr>
      <w:r>
        <w:t xml:space="preserve">Brevetti, generici e biosimilari: i termini</w:t>
      </w:r>
    </w:p>
    <w:p>
      <w:pPr>
        <w:pStyle w:val="FirstParagraph"/>
      </w:pPr>
      <w:r>
        <w:t xml:space="preserve">Un</w:t>
      </w:r>
      <w:r>
        <w:t xml:space="preserve"> </w:t>
      </w:r>
      <w:r>
        <w:rPr>
          <w:bCs/>
          <w:b/>
        </w:rPr>
        <w:t xml:space="preserve">brevetto</w:t>
      </w:r>
      <w:r>
        <w:t xml:space="preserve"> </w:t>
      </w:r>
      <w:r>
        <w:t xml:space="preserve">concede al produttore per un periodo limitato il diritto esclusivo di vendere un principio attivo. Nell’UE e negli USA la durata di base è di 20 anni dal deposito; poiché lo sviluppo dura molti anni, per i farmaci può essere prolungata fino a cinque anni tramite un certificato protettivo complementare. Oltre al brevetto sul principio attivo stesso esistono spesso altri brevetti su procedimenti di produzione, forme farmaceutiche o penne.</w:t>
      </w:r>
    </w:p>
    <w:p>
      <w:pPr>
        <w:pStyle w:val="BodyText"/>
      </w:pPr>
      <w:r>
        <w:t xml:space="preserve">Alla scadenza della protezione altri produttori possono offrire preparati equivalenti:</w:t>
      </w:r>
    </w:p>
    <w:p>
      <w:pPr>
        <w:numPr>
          <w:ilvl w:val="0"/>
          <w:numId w:val="1361"/>
        </w:numPr>
        <w:pStyle w:val="Compact"/>
      </w:pPr>
      <w:r>
        <w:t xml:space="preserve">I</w:t>
      </w:r>
      <w:r>
        <w:t xml:space="preserve"> </w:t>
      </w:r>
      <w:r>
        <w:rPr>
          <w:bCs/>
          <w:b/>
        </w:rPr>
        <w:t xml:space="preserve">generici</w:t>
      </w:r>
      <w:r>
        <w:t xml:space="preserve"> </w:t>
      </w:r>
      <w:r>
        <w:t xml:space="preserve">sono copie di principi attivi prodotti chimicamente. Devono dimostrare di contenere lo stesso principio attivo e di essere ugualmente disponibili nell’organismo; non sono necessari nuovi grandi studi di efficacia.</w:t>
      </w:r>
    </w:p>
    <w:p>
      <w:pPr>
        <w:numPr>
          <w:ilvl w:val="0"/>
          <w:numId w:val="1361"/>
        </w:numPr>
        <w:pStyle w:val="Compact"/>
      </w:pPr>
      <w:r>
        <w:t xml:space="preserve">I</w:t>
      </w:r>
      <w:r>
        <w:t xml:space="preserve"> </w:t>
      </w:r>
      <w:r>
        <w:rPr>
          <w:bCs/>
          <w:b/>
        </w:rPr>
        <w:t xml:space="preserve">biosimilari</w:t>
      </w:r>
      <w:r>
        <w:t xml:space="preserve"> </w:t>
      </w:r>
      <w:r>
        <w:t xml:space="preserve">sono successori di principi attivi prodotti biologicamente, per esempio anticorpi o proteine di fusione. Poiché la produzione biologica non fornisce mai molecole del tutto identiche, la loro autorizzazione è più complessa.</w:t>
      </w:r>
    </w:p>
    <w:p>
      <w:pPr>
        <w:pStyle w:val="FirstParagraph"/>
      </w:pPr>
      <w:r>
        <w:t xml:space="preserve">Peptidi brevi come liraglutide o semaglutide stanno nel mezzo: possono essere prodotti con tecniche di ingegneria genetica o chimicamente. Ciò ha conseguenze pratiche. Un’analisi di laboratorio ha confrontato 16 prodotti generici iniettabili e 8 orali di semaglutide e 2 prodotti generici di liraglutide con gli originali. Ha trovato nuove impurità, in diverse compresse di semaglutide molto meno principio attivo di quanto dichiarato e per liraglutide una maggiore tendenza all’aggregazione</w:t>
      </w:r>
      <w:r>
        <w:rPr>
          <w:rStyle w:val="FootnoteReference"/>
        </w:rPr>
        <w:footnoteReference w:id="2904"/>
      </w:r>
      <w:r>
        <w:t xml:space="preserve">. Se le differenze abbiano un significato clinico è, secondo gli autori, sconosciuto. L’analisi mostra però perché le autorità guardino con attenzione ai generici peptidici.</w:t>
      </w:r>
    </w:p>
    <w:bookmarkEnd w:id="2905"/>
    <w:bookmarkStart w:id="2907" w:name="liraglutide-il-primo-generico-glp-1"/>
    <w:p>
      <w:pPr>
        <w:pStyle w:val="Heading3"/>
      </w:pPr>
      <w:r>
        <w:t xml:space="preserve">Liraglutide: il primo generico GLP-1</w:t>
      </w:r>
    </w:p>
    <w:p>
      <w:pPr>
        <w:pStyle w:val="FirstParagraph"/>
      </w:pPr>
      <w:r>
        <w:t xml:space="preserve">Liraglutide è il primo principio attivo GLP-1 la cui protezione è scaduta in grandi mercati. Negli USA sono in commercio dal 2024 generici della formulazione per il diabete (Victoza) e dal 2025 anche di quella per l’obesità (Saxenda). In Europa i preparati equivalenti si aggiungono gradualmente; la situazione varia da paese a paese (vedi capitolo Liraglutide).</w:t>
      </w:r>
    </w:p>
    <w:p>
      <w:pPr>
        <w:pStyle w:val="BodyText"/>
      </w:pPr>
      <w:r>
        <w:t xml:space="preserve">Per l’assistenza ciò ha due facce. Da un lato un principio attivo con beneficio cardiovascolare dimostrato nel diabete di tipo 2 diventa più economico. Dall’altro liraglutide va iniettato ogni giorno e sul peso agisce molto meno di semaglutide: in STEP 8 il peso è sceso in media del 15,8% con semaglutide settimanale, del 6,4% con liraglutide giornaliero; almeno un quinto del proprio peso lo hanno perso il 38,5% contro il 6,0%</w:t>
      </w:r>
      <w:r>
        <w:rPr>
          <w:rStyle w:val="FootnoteReference"/>
        </w:rPr>
        <w:footnoteReference w:id="2906"/>
      </w:r>
      <w:r>
        <w:t xml:space="preserve">. Per chi non può permettersi il farmaco più recente, un farmaco più vecchio ed economico può comunque essere una scelta migliore di nessun farmaco.</w:t>
      </w:r>
    </w:p>
    <w:bookmarkEnd w:id="2907"/>
    <w:bookmarkStart w:id="2912" w:name="semaglutide-il-2026-come-anno-di-svolta"/>
    <w:p>
      <w:pPr>
        <w:pStyle w:val="Heading3"/>
      </w:pPr>
      <w:r>
        <w:t xml:space="preserve">Semaglutide: il 2026 come anno di svolta</w:t>
      </w:r>
    </w:p>
    <w:p>
      <w:pPr>
        <w:pStyle w:val="FirstParagraph"/>
      </w:pPr>
      <w:r>
        <w:t xml:space="preserve">Per semaglutide i brevetti scadono nel 2026 in diversi grandi paesi al di fuori dell’UE e degli USA, tra cui, secondo il capitolo Semaglutide, Canada, Cina, India e Brasile. Un’analisi di banche dati brevettuali ha delineato il seguente quadro</w:t>
      </w:r>
      <w:r>
        <w:rPr>
          <w:rStyle w:val="FootnoteReference"/>
        </w:rPr>
        <w:footnoteReference w:id="2908"/>
      </w:r>
      <w:r>
        <w:t xml:space="preserve">:</w:t>
      </w:r>
    </w:p>
    <w:p>
      <w:pPr>
        <w:numPr>
          <w:ilvl w:val="0"/>
          <w:numId w:val="1362"/>
        </w:numPr>
        <w:pStyle w:val="Compact"/>
      </w:pPr>
      <w:r>
        <w:t xml:space="preserve">In dodici paesi la protezione brevettuale termina nel 2026. In questi paesi vive il 47% delle persone con obesità e il 49% delle persone con diabete di tipo 2 in tutto il mondo.</w:t>
      </w:r>
    </w:p>
    <w:p>
      <w:pPr>
        <w:numPr>
          <w:ilvl w:val="0"/>
          <w:numId w:val="1362"/>
        </w:numPr>
        <w:pStyle w:val="Compact"/>
      </w:pPr>
      <w:r>
        <w:t xml:space="preserve">In altri 150 paesi gli autori non hanno trovato alcun deposito di brevetto.</w:t>
      </w:r>
    </w:p>
    <w:p>
      <w:pPr>
        <w:numPr>
          <w:ilvl w:val="0"/>
          <w:numId w:val="1362"/>
        </w:numPr>
        <w:pStyle w:val="Compact"/>
      </w:pPr>
      <w:r>
        <w:t xml:space="preserve">Entro la fine del 2026 i generici di semaglutide iniettabile potrebbero così essere disponibili in 162 paesi, in cui vive il 69% delle persone con diabete di tipo 2 e l’84% delle persone con obesità clinica.</w:t>
      </w:r>
    </w:p>
    <w:p>
      <w:pPr>
        <w:numPr>
          <w:ilvl w:val="0"/>
          <w:numId w:val="1362"/>
        </w:numPr>
        <w:pStyle w:val="Compact"/>
      </w:pPr>
      <w:r>
        <w:t xml:space="preserve">Dai dati sulle forniture di principio attivo dall’India hanno stimato i costi di produzione: un anno di semaglutide iniettabile potrebbe essere offerto come generico a 28–140 dollari USA per persona, la compressa a 186–380 dollari USA. La penna rappresentava una parte sproporzionatamente grande dei costi.</w:t>
      </w:r>
    </w:p>
    <w:p>
      <w:pPr>
        <w:pStyle w:val="FirstParagraph"/>
      </w:pPr>
      <w:r>
        <w:t xml:space="preserve">Gli autori stessi sottolineano che costi delle penne, ulteriori brevetti e sistemi sanitari deboli possono comunque limitare l’accesso. Quanto i generici possano abbassare i prezzi lo mostra un’analisi dall’India: lì i prezzi degli inibitori di SGLT2 e degli agonisti del recettore del GLP-1 sono scesi dopo la scadenza dei brevetti di circa il 60–90%. Tra i prezzi dei generici indiani e i prezzi di listino statunitensi gli autori hanno trovato differenze da 15 a 65 volte. Segnalano però anche che i generici di diversi produttori possono differire per qualità e assorbimento nell’organismo</w:t>
      </w:r>
      <w:r>
        <w:rPr>
          <w:rStyle w:val="FootnoteReference"/>
        </w:rPr>
        <w:footnoteReference w:id="2909"/>
      </w:r>
      <w:r>
        <w:t xml:space="preserve">.</w:t>
      </w:r>
    </w:p>
    <w:p>
      <w:pPr>
        <w:pStyle w:val="BodyText"/>
      </w:pPr>
      <w:r>
        <w:rPr>
          <w:bCs/>
          <w:b/>
        </w:rPr>
        <w:t xml:space="preserve">Nell’UE e negli USA</w:t>
      </w:r>
      <w:r>
        <w:t xml:space="preserve"> </w:t>
      </w:r>
      <w:r>
        <w:t xml:space="preserve">i generici di semaglutide sono attesi solo intorno al 2031/2032. Per i lettori in Austria e in Germania ciò significa: un generico di semaglutide venduto legalmente in Canada o in India non è qui un farmaco autorizzato. Le regole sull’importazione per uso personale sono restrittive (vedi capitolo «Quadro giuridico» nella Parte I), e le offerte online che si richiamano a tali generici sono una tipica porta d’ingresso per le contraffazioni (vedi capitolo «Il mercato grigio»).</w:t>
      </w:r>
    </w:p>
    <w:p>
      <w:pPr>
        <w:pStyle w:val="BodyText"/>
      </w:pPr>
      <w:r>
        <w:rPr>
          <w:bCs/>
          <w:b/>
        </w:rPr>
        <w:t xml:space="preserve">Un segnale politico:</w:t>
      </w:r>
      <w:r>
        <w:t xml:space="preserve"> </w:t>
      </w:r>
      <w:r>
        <w:t xml:space="preserve">nel settembre 2025 l’Organizzazione mondiale della sanità ha inserito semaglutide, liraglutide, dulaglutide e tirzepatide nel suo elenco dei medicinali essenziali. Un commento vi vede un passo che dovrebbe facilitare le negoziazioni sui prezzi e lo sviluppo di generici nei paesi a basso e medio reddito; al contempo indica come ostacoli la mancanza di risorse, infrastrutture deboli e il rischio di un uso acritico</w:t>
      </w:r>
      <w:r>
        <w:rPr>
          <w:rStyle w:val="FootnoteReference"/>
        </w:rPr>
        <w:footnoteReference w:id="2910"/>
      </w:r>
      <w:r>
        <w:t xml:space="preserve">. Nella sua prima linea guida sulle terapie GLP-1 nell’obesità l’OMS formula una raccomandazione condizionata per il trattamento a lungo termine insieme a una terapia comportamentale intensiva. Come motivi della limitazione cita, tra l’altro, i dati limitati a lungo termine, i costi e la questione dell’accesso equo</w:t>
      </w:r>
      <w:r>
        <w:rPr>
          <w:rStyle w:val="FootnoteReference"/>
        </w:rPr>
        <w:footnoteReference w:id="2911"/>
      </w:r>
      <w:r>
        <w:t xml:space="preserve">.</w:t>
      </w:r>
    </w:p>
    <w:bookmarkEnd w:id="2912"/>
    <w:bookmarkStart w:id="2913" w:name="tirzepatide-e-i-successori"/>
    <w:p>
      <w:pPr>
        <w:pStyle w:val="Heading3"/>
      </w:pPr>
      <w:r>
        <w:t xml:space="preserve">Tirzepatide e i successori</w:t>
      </w:r>
    </w:p>
    <w:p>
      <w:pPr>
        <w:pStyle w:val="FirstParagraph"/>
      </w:pPr>
      <w:r>
        <w:t xml:space="preserve">Per tirzepatide e tutti i principi attivi più recenti – retatrutide, CagriSema, amicretina, maridebart cafraglutide, orforglipron – non c’è da attendersi una scadenza brevettuale in questo decennio. Per tirzepatide, secondo fonti del settore, i generici sono attesi al più presto nella seconda metà degli anni 2030. Ne risulta uno schema prevedibile: i principi attivi più vecchi diventano più economici, i più potenti restano costosi.</w:t>
      </w:r>
    </w:p>
    <w:bookmarkEnd w:id="2913"/>
    <w:bookmarkStart w:id="2917" w:name="la-fine-del-compounding-negli-usa"/>
    <w:p>
      <w:pPr>
        <w:pStyle w:val="Heading3"/>
      </w:pPr>
      <w:r>
        <w:t xml:space="preserve">La fine del compounding negli USA</w:t>
      </w:r>
    </w:p>
    <w:p>
      <w:pPr>
        <w:pStyle w:val="FirstParagraph"/>
      </w:pPr>
      <w:r>
        <w:t xml:space="preserve">Durante le carenze ufficiali di fornitura le farmacie statunitensi potevano preparare esse stesse semaglutide e tirzepatide («compounding», vedi Parte I). Ne è nato un grande mercato. Un’indagine nello stato americano del Colorado ha trovato nella primavera del 2024 93 aziende con 188 sedi che pubblicizzavano questi preparati – per lo più come spa mediche o servizi per il dimagrimento. 41 di questi siti web facevano riferimento nelle descrizioni dei prodotti all’autorizzazione della FDA, sebbene i preparati non ne avessero alcuna. Un venditore pubblicizzava una miscela con BPC-157, una sostanza che la FDA ha classificato come non idonea al compounding</w:t>
      </w:r>
      <w:r>
        <w:rPr>
          <w:rStyle w:val="FootnoteReference"/>
        </w:rPr>
        <w:footnoteReference w:id="2914"/>
      </w:r>
      <w:r>
        <w:t xml:space="preserve">.</w:t>
      </w:r>
    </w:p>
    <w:p>
      <w:pPr>
        <w:pStyle w:val="BodyText"/>
      </w:pPr>
      <w:r>
        <w:t xml:space="preserve">Dopo che la FDA ha dichiarato concluse le carenze – per tirzepatide alla fine del 2024, per semaglutide all’inizio del 2025 –, i periodi transitori per le copie dei preparati autorizzati sono scaduti nel corso del 2025. Da allora sono ammesse solo preparazioni che si differenziano dai preparati autorizzati. Un’analisi ha trovato 33 prodotti di questo tipo, tra cui miscele con vitamina B12, glicina o un lassativo, nonché gocce e compresse orodispersibili, il cui beneficio e la cui sicurezza sono in gran parte sconosciuti</w:t>
      </w:r>
      <w:r>
        <w:rPr>
          <w:rStyle w:val="FootnoteReference"/>
        </w:rPr>
        <w:footnoteReference w:id="2915"/>
      </w:r>
      <w:r>
        <w:t xml:space="preserve">. Un laboratorio ha trovato in miscele di tirzepatide e B12 di diversi venditori un’impurità finora sconosciuta, che si forma per una reazione chimica tra tirzepatide e determinate forme di B12; quali conseguenze abbia per la salute è sconosciuto</w:t>
      </w:r>
      <w:r>
        <w:rPr>
          <w:rStyle w:val="FootnoteReference"/>
        </w:rPr>
        <w:footnoteReference w:id="2916"/>
      </w:r>
      <w:r>
        <w:t xml:space="preserve">.</w:t>
      </w:r>
    </w:p>
    <w:p>
      <w:pPr>
        <w:pStyle w:val="BodyText"/>
      </w:pPr>
      <w:r>
        <w:t xml:space="preserve">Il compounding non è quindi scomparso, ma si è spostato in una nicchia in cui le aggiunte «personalizzate» forniscono la base giuridica. In Europa non esiste un sistema paragonabile.</w:t>
      </w:r>
    </w:p>
    <w:bookmarkEnd w:id="2917"/>
    <w:bookmarkStart w:id="2920" w:name="carenze-di-fornitura"/>
    <w:p>
      <w:pPr>
        <w:pStyle w:val="Heading3"/>
      </w:pPr>
      <w:r>
        <w:t xml:space="preserve">Carenze di fornitura</w:t>
      </w:r>
    </w:p>
    <w:p>
      <w:pPr>
        <w:pStyle w:val="FirstParagraph"/>
      </w:pPr>
      <w:r>
        <w:t xml:space="preserve">Dal 2022 la domanda di semaglutide e poi di tirzepatide ha superato la produzione. Le persone con diabete di tipo 2 a volte non ricevevano i loro farmaci. In Germania e in Austria autorità e società scientifiche hanno invitato a riservare Ozempic alle persone con diabete di tipo 2 e a non prescriverlo per la sola perdita di peso.</w:t>
      </w:r>
    </w:p>
    <w:p>
      <w:pPr>
        <w:pStyle w:val="BodyText"/>
      </w:pPr>
      <w:r>
        <w:t xml:space="preserve">Quanto era grande la quota di prescrizioni al di fuori dell’autorizzazione? Uno studio di registro nazionale dalla Danimarca dà una risposta. Il numero di nuovi utilizzatori di Ozempic è aumentato fortemente dal 2022, fino a un picco di 10 ogni 1.000 adulti all’anno all’inizio del 2023. Nel 2022 un terzo dei nuovi utilizzatori non aveva un diabete di tipo 2 documentato; nel 2023 questa quota è di nuovo diminuita. Gli autori concludono che le prescrizioni per la perdita di peso spiegano solo una parte minore della carenza</w:t>
      </w:r>
      <w:r>
        <w:rPr>
          <w:rStyle w:val="FootnoteReference"/>
        </w:rPr>
        <w:footnoteReference w:id="2918"/>
      </w:r>
      <w:r>
        <w:t xml:space="preserve">.</w:t>
      </w:r>
    </w:p>
    <w:p>
      <w:pPr>
        <w:pStyle w:val="BodyText"/>
      </w:pPr>
      <w:r>
        <w:t xml:space="preserve">Le carenze hanno conseguenze dirette sul trattamento. In un’indagine statunitense su 288 persone che hanno sospeso semaglutide o tirzepatide per la perdita di peso entro il primo anno, l’11,8% ha indicato le carenze di fornitura come motivo principale. I più frequenti erano però problemi di costo o di assicurazione (47,6%), seguiti dagli effetti collaterali (14,6%); il 2,4% è passato a un preparato galenico</w:t>
      </w:r>
      <w:r>
        <w:rPr>
          <w:rStyle w:val="FootnoteReference"/>
        </w:rPr>
        <w:footnoteReference w:id="2919"/>
      </w:r>
      <w:r>
        <w:t xml:space="preserve">.</w:t>
      </w:r>
    </w:p>
    <w:p>
      <w:pPr>
        <w:pStyle w:val="BodyText"/>
      </w:pPr>
      <w:r>
        <w:t xml:space="preserve">Da allora i produttori hanno ampliato fortemente le capacità produttive, e negli USA le carenze ufficiali sono considerate concluse. In Europa la situazione varia a seconda del preparato e del paese.</w:t>
      </w:r>
    </w:p>
    <w:bookmarkEnd w:id="2920"/>
    <w:bookmarkStart w:id="2925" w:name="prezzi-quanto-vale-un-farmaco-dimagrante"/>
    <w:p>
      <w:pPr>
        <w:pStyle w:val="Heading3"/>
      </w:pPr>
      <w:r>
        <w:t xml:space="preserve">Prezzi: quanto vale un farmaco dimagrante?</w:t>
      </w:r>
    </w:p>
    <w:p>
      <w:pPr>
        <w:pStyle w:val="FirstParagraph"/>
      </w:pPr>
      <w:r>
        <w:t xml:space="preserve">Negli USA i prezzi di listino dei farmaci GLP-1 sono molto più alti che in Europa. Lavori di economia sanitaria statunitensi si chiedono quindi se il beneficio giustifichi il prezzo:</w:t>
      </w:r>
    </w:p>
    <w:p>
      <w:pPr>
        <w:numPr>
          <w:ilvl w:val="0"/>
          <w:numId w:val="1363"/>
        </w:numPr>
        <w:pStyle w:val="Compact"/>
      </w:pPr>
      <w:r>
        <w:t xml:space="preserve">Un modello per gli adulti statunitensi ha mostrato che tirzepatide e semaglutide eviterebbero nell’arco della vita molti casi di diabete e malattie cardiovascolari, ma ai prezzi netti di allora non erano costo-efficaci. Per raggiungere una soglia consueta i prezzi avrebbero dovuto scendere di un ulteriore 30,5% (tirzepatide) e 81,9% (semaglutide)</w:t>
      </w:r>
      <w:r>
        <w:rPr>
          <w:rStyle w:val="FootnoteReference"/>
        </w:rPr>
        <w:footnoteReference w:id="2921"/>
      </w:r>
      <w:r>
        <w:t xml:space="preserve">.</w:t>
      </w:r>
    </w:p>
    <w:p>
      <w:pPr>
        <w:numPr>
          <w:ilvl w:val="0"/>
          <w:numId w:val="1363"/>
        </w:numPr>
        <w:pStyle w:val="Compact"/>
      </w:pPr>
      <w:r>
        <w:t xml:space="preserve">Una meta-analisi di nove studi di economia sanitaria da paesi ad alto reddito ha concluso che gli agonisti del recettore del GLP-1 per il trattamento dell’obesità senza diabete non sono in generale costo-efficaci dal punto di vista dei finanziatori; in sottogruppi e su periodi più lunghi potrebbe essere diverso</w:t>
      </w:r>
      <w:r>
        <w:rPr>
          <w:rStyle w:val="FootnoteReference"/>
        </w:rPr>
        <w:footnoteReference w:id="2922"/>
      </w:r>
      <w:r>
        <w:t xml:space="preserve">.</w:t>
      </w:r>
    </w:p>
    <w:p>
      <w:pPr>
        <w:numPr>
          <w:ilvl w:val="0"/>
          <w:numId w:val="1363"/>
        </w:numPr>
        <w:pStyle w:val="Compact"/>
      </w:pPr>
      <w:r>
        <w:t xml:space="preserve">Per le persone senza diabete che hanno già avuto un infarto o un ictus un modello ha dato un esito più favorevole: al prezzo che i pazienti paganti in proprio negli USA pagavano al momento dell’analisi, semaglutide sarebbe costo-efficace in questo gruppo</w:t>
      </w:r>
      <w:r>
        <w:rPr>
          <w:rStyle w:val="FootnoteReference"/>
        </w:rPr>
        <w:footnoteReference w:id="2923"/>
      </w:r>
      <w:r>
        <w:t xml:space="preserve">.</w:t>
      </w:r>
    </w:p>
    <w:p>
      <w:pPr>
        <w:pStyle w:val="FirstParagraph"/>
      </w:pPr>
      <w:r>
        <w:t xml:space="preserve">Questi calcoli dipendono molto dalle ipotesi di prezzo, e i prezzi si muovono. Negli USA dal 2025 i produttori hanno introdotto offerte dirette nettamente più economiche per chi paga in proprio e hanno stipulato accordi sui prezzi con il governo; semaglutide è inoltre oggetto delle negoziazioni statali sui prezzi per il programma per anziani Medicare. Quanto la copertura dei costi influenzi l’uso lo mostra un’analisi statunitense: dopo che Wegovy, nel marzo 2024, è stato autorizzato per la riduzione del rischio cardiovascolare e coperto da Medicare per questo uso, il numero di confezioni di Wegovy dispensate tramite Medicare è aumentato in termini relativi del 598,1%</w:t>
      </w:r>
      <w:r>
        <w:rPr>
          <w:rStyle w:val="FootnoteReference"/>
        </w:rPr>
        <w:footnoteReference w:id="2924"/>
      </w:r>
      <w:r>
        <w:t xml:space="preserve">.</w:t>
      </w:r>
    </w:p>
    <w:p>
      <w:pPr>
        <w:pStyle w:val="BodyText"/>
      </w:pPr>
      <w:r>
        <w:rPr>
          <w:bCs/>
          <w:b/>
        </w:rPr>
        <w:t xml:space="preserve">Valutazione dell’autore:</w:t>
      </w:r>
      <w:r>
        <w:t xml:space="preserve"> </w:t>
      </w:r>
      <w:r>
        <w:t xml:space="preserve">i prezzi dei farmaci basati sul GLP-1 diminuiranno nei prossimi anni – grazie ai generici dei principi attivi più vecchi, alla concorrenza tra produttori, alle compresse a base di piccole molecole e alla pressione politica. L’effetto sarà più evidente nei paesi con scadenza brevettuale precoce. Nell’UE il grande salto di prezzo dovrebbe arrivare solo con i generici di semaglutide all’inizio degli anni 2030.</w:t>
      </w:r>
    </w:p>
    <w:bookmarkEnd w:id="2925"/>
    <w:bookmarkStart w:id="2926" w:name="rimborso-in-germania-e-in-austria"/>
    <w:p>
      <w:pPr>
        <w:pStyle w:val="Heading3"/>
      </w:pPr>
      <w:r>
        <w:t xml:space="preserve">Rimborso in Germania e in Austria</w:t>
      </w:r>
    </w:p>
    <w:p>
      <w:pPr>
        <w:pStyle w:val="FirstParagraph"/>
      </w:pPr>
      <w:r>
        <w:rPr>
          <w:bCs/>
          <w:b/>
        </w:rPr>
        <w:t xml:space="preserve">Germania:</w:t>
      </w:r>
      <w:r>
        <w:t xml:space="preserve"> </w:t>
      </w:r>
      <w:r>
        <w:t xml:space="preserve">nel diabete di tipo 2 l’assicurazione sanitaria obbligatoria copre i costi dei farmaci GLP-1 autorizzati come Ozempic, Rybelsus, Trulicity o Mounjaro nell’ambito dell’autorizzazione. I farmaci che servono prevalentemente alla riduzione del peso sono invece esclusi dal rimborso secondo il § 34 SGB V; Wegovy, Saxenda e Mounjaro per la gestione del peso devono quindi di regola essere pagati di tasca propria dagli assicurati del sistema obbligatorio. Se questa regola verrà modificata per le persone con alto rischio cardiovascolare è oggetto di discussione politica e negli organi di autogoverno. Le assicurazioni sanitarie private decidono secondo le proprie condizioni tariffarie.</w:t>
      </w:r>
    </w:p>
    <w:p>
      <w:pPr>
        <w:pStyle w:val="BodyText"/>
      </w:pPr>
      <w:r>
        <w:rPr>
          <w:bCs/>
          <w:b/>
        </w:rPr>
        <w:t xml:space="preserve">Austria:</w:t>
      </w:r>
      <w:r>
        <w:t xml:space="preserve"> </w:t>
      </w:r>
      <w:r>
        <w:t xml:space="preserve">per il diabete di tipo 2 i farmaci GLP-1 sono rimborsabili, ma la copertura è in parte legata a condizioni o a un’autorizzazione da parte della cassa malattia. Per la sola gestione del peso i costi di regola non vengono coperti o lo sono solo in casi eccezionali.</w:t>
      </w:r>
    </w:p>
    <w:p>
      <w:pPr>
        <w:pStyle w:val="BodyText"/>
      </w:pPr>
      <w:r>
        <w:t xml:space="preserve">In entrambi i paesi vale: se un trattamento venga rimborsato dipende dall’indicazione, dai reperti e dalla situazione giuridica attuale. Il medico curante e la cassa malattia sono gli interlocutori giusti. Una prescrizione per la perdita di peso con un preparato autorizzato solo per il diabete è un uso al di fuori dell’autorizzazione e non viene rimborsata.</w:t>
      </w:r>
    </w:p>
    <w:bookmarkEnd w:id="2926"/>
    <w:bookmarkStart w:id="2928" w:name="che-cosa-significa-per-i-pazienti"/>
    <w:p>
      <w:pPr>
        <w:pStyle w:val="Heading3"/>
      </w:pPr>
      <w:r>
        <w:t xml:space="preserve">Che cosa significa per i pazienti</w:t>
      </w:r>
    </w:p>
    <w:p>
      <w:pPr>
        <w:numPr>
          <w:ilvl w:val="0"/>
          <w:numId w:val="1364"/>
        </w:numPr>
        <w:pStyle w:val="Compact"/>
      </w:pPr>
      <w:r>
        <w:rPr>
          <w:bCs/>
          <w:b/>
        </w:rPr>
        <w:t xml:space="preserve">Più economico non significa mercato grigio.</w:t>
      </w:r>
      <w:r>
        <w:t xml:space="preserve"> </w:t>
      </w:r>
      <w:r>
        <w:t xml:space="preserve">Con la scadenza dei brevetti in altri paesi aumenteranno le offerte che si richiamano a «generici». Per l’Austria e la Germania solo i preparati autorizzati qui e provenienti da farmacie sono farmaci controllati.</w:t>
      </w:r>
    </w:p>
    <w:p>
      <w:pPr>
        <w:numPr>
          <w:ilvl w:val="0"/>
          <w:numId w:val="1364"/>
        </w:numPr>
        <w:pStyle w:val="Compact"/>
      </w:pPr>
      <w:r>
        <w:rPr>
          <w:bCs/>
          <w:b/>
        </w:rPr>
        <w:t xml:space="preserve">Sospendere per motivi di costo è frequente – e ha conseguenze.</w:t>
      </w:r>
      <w:r>
        <w:t xml:space="preserve"> </w:t>
      </w:r>
      <w:r>
        <w:t xml:space="preserve">Nell’estensione di STEP 1 i partecipanti, un anno dopo la sospensione di semaglutide, hanno ripreso in media due terzi della perdita di peso, e i miglioramenti di pressione arteriosa e valori ematici sono in gran parte regrediti</w:t>
      </w:r>
      <w:r>
        <w:rPr>
          <w:rStyle w:val="FootnoteReference"/>
        </w:rPr>
        <w:footnoteReference w:id="2927"/>
      </w:r>
      <w:r>
        <w:t xml:space="preserve">. Chi pensa di sospendere per motivi di costo dovrebbe parlarne con il medico.</w:t>
      </w:r>
    </w:p>
    <w:p>
      <w:pPr>
        <w:numPr>
          <w:ilvl w:val="0"/>
          <w:numId w:val="1364"/>
        </w:numPr>
        <w:pStyle w:val="Compact"/>
      </w:pPr>
      <w:r>
        <w:rPr>
          <w:bCs/>
          <w:b/>
        </w:rPr>
        <w:t xml:space="preserve">I principi attivi più vecchi non sono privi di valore.</w:t>
      </w:r>
      <w:r>
        <w:t xml:space="preserve"> </w:t>
      </w:r>
      <w:r>
        <w:t xml:space="preserve">Liraglutide o dulaglutide sono ben studiati e hanno nel diabete di tipo 2 un beneficio cardiovascolare dimostrato. Quale principio attivo sia indicato nel singolo caso è una decisione medica.</w:t>
      </w:r>
    </w:p>
    <w:bookmarkEnd w:id="2928"/>
    <w:bookmarkStart w:id="2929" w:name="in-breve-5"/>
    <w:p>
      <w:pPr>
        <w:pStyle w:val="Heading3"/>
      </w:pPr>
      <w:r>
        <w:t xml:space="preserve">In breve</w:t>
      </w:r>
    </w:p>
    <w:p>
      <w:pPr>
        <w:numPr>
          <w:ilvl w:val="0"/>
          <w:numId w:val="1365"/>
        </w:numPr>
        <w:pStyle w:val="Compact"/>
      </w:pPr>
      <w:r>
        <w:t xml:space="preserve">Nel 2026 la protezione brevettuale di semaglutide termina in paesi in cui vive quasi la metà delle persone con obesità. Lì i generici potrebbero costare una frazione dei prezzi attuali; nell’UE e negli USA sono attesi solo intorno al 2031/2032 (da verificare).</w:t>
      </w:r>
    </w:p>
    <w:p>
      <w:pPr>
        <w:numPr>
          <w:ilvl w:val="0"/>
          <w:numId w:val="1365"/>
        </w:numPr>
        <w:pStyle w:val="Compact"/>
      </w:pPr>
      <w:r>
        <w:t xml:space="preserve">Per liraglutide esistono già generici; tirzepatide e tutti i principi attivi più recenti resteranno presumibilmente protetti da brevetto fino a ben oltre la metà degli anni 2030.</w:t>
      </w:r>
    </w:p>
    <w:p>
      <w:pPr>
        <w:numPr>
          <w:ilvl w:val="0"/>
          <w:numId w:val="1365"/>
        </w:numPr>
        <w:pStyle w:val="Compact"/>
      </w:pPr>
      <w:r>
        <w:t xml:space="preserve">Il compounding statunitense con copie dei preparati autorizzati è in gran parte terminato dopo la fine delle carenze; restano preparazioni modificate con aggiunte non verificate.</w:t>
      </w:r>
    </w:p>
    <w:p>
      <w:pPr>
        <w:numPr>
          <w:ilvl w:val="0"/>
          <w:numId w:val="1365"/>
        </w:numPr>
        <w:pStyle w:val="Compact"/>
      </w:pPr>
      <w:r>
        <w:t xml:space="preserve">Negli studi i costi sono il motivo più frequente di interruzione di un trattamento. In Germania i farmaci dimagranti sono esclusi dal rimborso, in Austria il rimborso è solo limitato.</w:t>
      </w:r>
    </w:p>
    <w:bookmarkEnd w:id="2929"/>
    <w:bookmarkEnd w:id="2930"/>
    <w:bookmarkStart w:id="2976" w:name="previsioni-dal-2030-al-2035"/>
    <w:p>
      <w:pPr>
        <w:pStyle w:val="Heading2"/>
      </w:pPr>
      <w:r>
        <w:t xml:space="preserve">Previsioni dal 2030 al 2035</w:t>
      </w:r>
    </w:p>
    <w:p>
      <w:pPr>
        <w:pStyle w:val="FirstParagraph"/>
      </w:pPr>
      <w:r>
        <w:t xml:space="preserve">Le previsioni in medicina hanno un pessimo bilancio di successi. Anche questo libro ne conosce esempi: esperimenti sugli animali e dati osservazionali facevano sperare che i farmaci GLP-1 rallentassero il declino cognitivo nell’Alzheimer. Nei due studi di fase 3 evoke ed evoke+, con complessivamente 3.808 partecipanti, la malattia è però progredita con le compresse di semaglutide alla stessa velocità che con il placebo</w:t>
      </w:r>
      <w:r>
        <w:rPr>
          <w:rStyle w:val="FootnoteReference"/>
        </w:rPr>
        <w:footnoteReference w:id="2931"/>
      </w:r>
      <w:r>
        <w:t xml:space="preserve">. Nel Parkinson lo studio di fase 3 Exenatide-PD3, con 194 partecipanti, non ha trovato alcun indizio che l’exenatide rallenti la progressione</w:t>
      </w:r>
      <w:r>
        <w:rPr>
          <w:rStyle w:val="FootnoteReference"/>
        </w:rPr>
        <w:footnoteReference w:id="2932"/>
      </w:r>
      <w:r>
        <w:t xml:space="preserve">.</w:t>
      </w:r>
    </w:p>
    <w:p>
      <w:pPr>
        <w:pStyle w:val="BodyText"/>
      </w:pPr>
      <w:r>
        <w:t xml:space="preserve">Questo capitolo separa quindi rigorosamente in ogni sezione:</w:t>
      </w:r>
    </w:p>
    <w:p>
      <w:pPr>
        <w:numPr>
          <w:ilvl w:val="0"/>
          <w:numId w:val="1366"/>
        </w:numPr>
        <w:pStyle w:val="Compact"/>
      </w:pPr>
      <w:r>
        <w:rPr>
          <w:bCs/>
          <w:b/>
        </w:rPr>
        <w:t xml:space="preserve">Accertato:</w:t>
      </w:r>
      <w:r>
        <w:t xml:space="preserve"> </w:t>
      </w:r>
      <w:r>
        <w:t xml:space="preserve">ciò che è iscritto nei registri degli studi (con data di conclusione prevista), ciò che è pubblicato in studi sottoposti a revisione paritaria e ciò che è stato deciso dalle autorità. Anche ciò che è accertato può cambiare – le date di conclusione slittano, gli studi vengono interrotti.</w:t>
      </w:r>
    </w:p>
    <w:p>
      <w:pPr>
        <w:numPr>
          <w:ilvl w:val="0"/>
          <w:numId w:val="1366"/>
        </w:numPr>
        <w:pStyle w:val="Compact"/>
      </w:pPr>
      <w:r>
        <w:rPr>
          <w:bCs/>
          <w:b/>
        </w:rPr>
        <w:t xml:space="preserve">Valutazione dell’autore:</w:t>
      </w:r>
      <w:r>
        <w:t xml:space="preserve"> </w:t>
      </w:r>
      <w:r>
        <w:t xml:space="preserve">un’aspettativa motivata, che può rivelarsi sbagliata. È indicata come tale e di volta in volta motivata.</w:t>
      </w:r>
    </w:p>
    <w:p>
      <w:pPr>
        <w:pStyle w:val="FirstParagraph"/>
      </w:pPr>
      <w:r>
        <w:t xml:space="preserve">I dati dei registri riflettono la situazione a ottobre 2026.</w:t>
      </w:r>
    </w:p>
    <w:bookmarkStart w:id="2942" w:name="gruppo-a-metabolismo-e-peso"/>
    <w:p>
      <w:pPr>
        <w:pStyle w:val="Heading3"/>
      </w:pPr>
      <w:r>
        <w:t xml:space="preserve">Gruppo A – Metabolismo e peso</w:t>
      </w:r>
    </w:p>
    <w:p>
      <w:pPr>
        <w:pStyle w:val="FirstParagraph"/>
      </w:pPr>
      <w:r>
        <w:rPr>
          <w:bCs/>
          <w:b/>
        </w:rPr>
        <w:t xml:space="preserve">Accertato:</w:t>
      </w:r>
    </w:p>
    <w:p>
      <w:pPr>
        <w:numPr>
          <w:ilvl w:val="0"/>
          <w:numId w:val="1367"/>
        </w:numPr>
        <w:pStyle w:val="Compact"/>
      </w:pPr>
      <w:r>
        <w:t xml:space="preserve">Entro il 2032 si concluderanno almeno nove grandi studi di esito e sul fegato: SURMOUNT-MMO su tirzepatide</w:t>
      </w:r>
      <w:r>
        <w:rPr>
          <w:rStyle w:val="FootnoteReference"/>
        </w:rPr>
        <w:footnoteReference w:id="2933"/>
      </w:r>
      <w:r>
        <w:t xml:space="preserve"> </w:t>
      </w:r>
      <w:r>
        <w:t xml:space="preserve">e REDEFINE 3 su CagriSema</w:t>
      </w:r>
      <w:r>
        <w:rPr>
          <w:rStyle w:val="FootnoteReference"/>
        </w:rPr>
        <w:footnoteReference w:id="2934"/>
      </w:r>
      <w:r>
        <w:t xml:space="preserve"> </w:t>
      </w:r>
      <w:r>
        <w:t xml:space="preserve">nel 2027, TRIUMPH-Outcomes su retatrutide</w:t>
      </w:r>
      <w:r>
        <w:rPr>
          <w:rStyle w:val="FootnoteReference"/>
        </w:rPr>
        <w:footnoteReference w:id="2935"/>
      </w:r>
      <w:r>
        <w:t xml:space="preserve"> </w:t>
      </w:r>
      <w:r>
        <w:t xml:space="preserve">e LIVERAGE-Cirrhosis su survodutide</w:t>
      </w:r>
      <w:r>
        <w:rPr>
          <w:rStyle w:val="FootnoteReference"/>
        </w:rPr>
        <w:footnoteReference w:id="2936"/>
      </w:r>
      <w:r>
        <w:t xml:space="preserve"> </w:t>
      </w:r>
      <w:r>
        <w:t xml:space="preserve">nel 2029, MARITIME-CV e MARITIME-HF su maridebart cafraglutide</w:t>
      </w:r>
      <w:r>
        <w:rPr>
          <w:rStyle w:val="FootnoteReference"/>
        </w:rPr>
        <w:footnoteReference w:id="2937"/>
      </w:r>
      <w:r>
        <w:t xml:space="preserve"> </w:t>
      </w:r>
      <w:r>
        <w:t xml:space="preserve">nonché AMBIENCE su zenagamtide</w:t>
      </w:r>
      <w:r>
        <w:rPr>
          <w:rStyle w:val="FootnoteReference"/>
        </w:rPr>
        <w:footnoteReference w:id="2938"/>
      </w:r>
      <w:r>
        <w:t xml:space="preserve"> </w:t>
      </w:r>
      <w:r>
        <w:t xml:space="preserve">nel 2030, ATTAIN-Outcomes su orforglipron</w:t>
      </w:r>
      <w:r>
        <w:rPr>
          <w:rStyle w:val="FootnoteReference"/>
        </w:rPr>
        <w:footnoteReference w:id="2939"/>
      </w:r>
      <w:r>
        <w:t xml:space="preserve"> </w:t>
      </w:r>
      <w:r>
        <w:t xml:space="preserve">nel 2031 e SYNERGY-Outcomes su tirzepatide e retatrutide</w:t>
      </w:r>
      <w:r>
        <w:rPr>
          <w:rStyle w:val="FootnoteReference"/>
        </w:rPr>
        <w:footnoteReference w:id="2940"/>
      </w:r>
      <w:r>
        <w:t xml:space="preserve"> </w:t>
      </w:r>
      <w:r>
        <w:t xml:space="preserve">nel 2032.</w:t>
      </w:r>
    </w:p>
    <w:p>
      <w:pPr>
        <w:numPr>
          <w:ilvl w:val="0"/>
          <w:numId w:val="1367"/>
        </w:numPr>
        <w:pStyle w:val="Compact"/>
      </w:pPr>
      <w:r>
        <w:t xml:space="preserve">Principi attivi a base di sola amilina sono in fase 3: eloralintide (ENLIGHTEN-1, NCT07321886, conclusione 2030) e petrelintide (ZUPREME-3, NCT07843498, conclusione 2029).</w:t>
      </w:r>
    </w:p>
    <w:p>
      <w:pPr>
        <w:numPr>
          <w:ilvl w:val="0"/>
          <w:numId w:val="1367"/>
        </w:numPr>
        <w:pStyle w:val="Compact"/>
      </w:pPr>
      <w:r>
        <w:t xml:space="preserve">Per CagriSema e orforglipron, secondo i rispettivi capitoli, le domande di autorizzazione sono state presentate o annunciate; per retatrutide sono attese dopo la conclusione di TRIUMPH-1 e TRIUMPH-2 (situazione a ottobre 2026, da verificare).</w:t>
      </w:r>
    </w:p>
    <w:p>
      <w:pPr>
        <w:numPr>
          <w:ilvl w:val="0"/>
          <w:numId w:val="1367"/>
        </w:numPr>
        <w:pStyle w:val="Compact"/>
      </w:pPr>
      <w:r>
        <w:t xml:space="preserve">In dodici paesi la protezione brevettuale di semaglutide termina nel 2026, tra cui grandi mercati al di fuori di UE e USA</w:t>
      </w:r>
      <w:r>
        <w:rPr>
          <w:rStyle w:val="FootnoteReference"/>
        </w:rPr>
        <w:footnoteReference w:id="2941"/>
      </w:r>
      <w:r>
        <w:t xml:space="preserve">. Nell’UE e negli USA i generici sono attesi intorno al 2031/2032.</w:t>
      </w:r>
    </w:p>
    <w:p>
      <w:pPr>
        <w:pStyle w:val="FirstParagraph"/>
      </w:pPr>
      <w:r>
        <w:rPr>
          <w:bCs/>
          <w:b/>
        </w:rPr>
        <w:t xml:space="preserve">Valutazione dell’autore:</w:t>
      </w:r>
      <w:r>
        <w:t xml:space="preserve"> </w:t>
      </w:r>
      <w:r>
        <w:t xml:space="preserve">entro il 2030 nell’UE saranno presumibilmente autorizzate diverse nuove classi di principi attivi – almeno una combinazione con amilina, un triplo agonista e una piccola molecola in compresse. Motivazione: i programmi di fase 3 sono in stadio avanzato, i risultati finora pubblicati sono chiaramente positivi e i produttori hanno presentato o annunciato domande di autorizzazione. Una perdita di peso media del 20–25% negli studi non dovrebbe allora essere più un’eccezione. Più importante di un nuovo record sarà però la domanda su quale principio attivo sia adatto a quale persona: chi ha bisogno soprattutto di protezione cardiaca, chi ha una steatosi epatica, chi vuole evitare le iniezioni, chi tollera male gli effetti collaterali. Tra il 2030 e il 2035 mi aspetto prezzi nettamente in calo per semaglutide in Europa grazie ai generici, mentre i principi attivi più recenti resteranno costosi. Il rischio di un’assistenza a due velocità – i farmaci più potenti per chi paga in proprio, quelli più vecchi per tutti gli altri – lo ritengo reale.</w:t>
      </w:r>
    </w:p>
    <w:bookmarkEnd w:id="2942"/>
    <w:bookmarkStart w:id="2945" w:name="Xbffee3f034239cbe240826074928f59ed162365"/>
    <w:p>
      <w:pPr>
        <w:pStyle w:val="Heading3"/>
      </w:pPr>
      <w:r>
        <w:t xml:space="preserve">Gruppo B – Guarigione, rigenerazione e sistema immunitario</w:t>
      </w:r>
    </w:p>
    <w:p>
      <w:pPr>
        <w:pStyle w:val="FirstParagraph"/>
      </w:pPr>
      <w:r>
        <w:rPr>
          <w:bCs/>
          <w:b/>
        </w:rPr>
        <w:t xml:space="preserve">Accertato:</w:t>
      </w:r>
    </w:p>
    <w:p>
      <w:pPr>
        <w:numPr>
          <w:ilvl w:val="0"/>
          <w:numId w:val="1368"/>
        </w:numPr>
        <w:pStyle w:val="Compact"/>
      </w:pPr>
      <w:r>
        <w:t xml:space="preserve">Lo studio di fase 3 sulla timosina alfa-1 dopo intervento per cancro del colon, con 2.500 partecipanti, dovrebbe concludersi nel marzo 2027</w:t>
      </w:r>
      <w:r>
        <w:rPr>
          <w:rStyle w:val="FootnoteReference"/>
        </w:rPr>
        <w:footnoteReference w:id="2943"/>
      </w:r>
      <w:r>
        <w:t xml:space="preserve">.</w:t>
      </w:r>
    </w:p>
    <w:p>
      <w:pPr>
        <w:numPr>
          <w:ilvl w:val="0"/>
          <w:numId w:val="1368"/>
        </w:numPr>
        <w:pStyle w:val="Compact"/>
      </w:pPr>
      <w:r>
        <w:t xml:space="preserve">Lo studio di fase 3 SEER-2 con collirio di timosina beta-4 nella cheratopatia neurotrofica risultava concluso secondo il registro nel maggio 2026; a ottobre 2026 i risultati non erano disponibili</w:t>
      </w:r>
      <w:r>
        <w:rPr>
          <w:rStyle w:val="FootnoteReference"/>
        </w:rPr>
        <w:footnoteReference w:id="2944"/>
      </w:r>
      <w:r>
        <w:t xml:space="preserve">.</w:t>
      </w:r>
    </w:p>
    <w:p>
      <w:pPr>
        <w:numPr>
          <w:ilvl w:val="0"/>
          <w:numId w:val="1368"/>
        </w:numPr>
        <w:pStyle w:val="Compact"/>
      </w:pPr>
      <w:r>
        <w:t xml:space="preserve">È previsto uno studio cinese di fase 2 con timosina beta-4 ricombinante dopo infarto (NCT07586865, 189 partecipanti, conclusione maggio 2028).</w:t>
      </w:r>
    </w:p>
    <w:p>
      <w:pPr>
        <w:numPr>
          <w:ilvl w:val="0"/>
          <w:numId w:val="1368"/>
        </w:numPr>
        <w:pStyle w:val="Compact"/>
      </w:pPr>
      <w:r>
        <w:t xml:space="preserve">Per BPC-157 è registrato un piccolo studio randomizzato con 30 partecipanti dopo interventi alla spalla, non ancora iniziato (NCT07803250, conclusione prevista agosto 2027).</w:t>
      </w:r>
    </w:p>
    <w:p>
      <w:pPr>
        <w:pStyle w:val="FirstParagraph"/>
      </w:pPr>
      <w:r>
        <w:rPr>
          <w:bCs/>
          <w:b/>
        </w:rPr>
        <w:t xml:space="preserve">Valutazione dell’autore:</w:t>
      </w:r>
      <w:r>
        <w:t xml:space="preserve"> </w:t>
      </w:r>
      <w:r>
        <w:t xml:space="preserve">entro il 2035 ritengo molto improbabile un’autorizzazione di BPC-157, TB-500 o KPV nell’UE. Motivazione: non esistono programmi di fase 2 o di fase 3, né un produttore con un riconoscibile interesse all’autorizzazione, e anche un risultato positivo del piccolo studio sulla spalla sarebbe solo un primo indizio. Più realistica è un’autorizzazione di nicchia per il collirio di timosina beta-4 in una rara malattia della cornea, se SEER-2 darà esito positivo. La timosina alfa-1 potrebbe avere in Cina un ruolo più importante nel follow-up oncologico, se lo studio sul cancro del colon sarà positivo – ma con riserva, a causa della mancanza del doppio cieco.</w:t>
      </w:r>
    </w:p>
    <w:bookmarkEnd w:id="2945"/>
    <w:bookmarkStart w:id="2947" w:name="gruppo-c-asse-dellormone-della-crescita"/>
    <w:p>
      <w:pPr>
        <w:pStyle w:val="Heading3"/>
      </w:pPr>
      <w:r>
        <w:t xml:space="preserve">Gruppo C – Asse dell’ormone della crescita</w:t>
      </w:r>
    </w:p>
    <w:p>
      <w:pPr>
        <w:pStyle w:val="FirstParagraph"/>
      </w:pPr>
      <w:r>
        <w:rPr>
          <w:bCs/>
          <w:b/>
        </w:rPr>
        <w:t xml:space="preserve">Accertato:</w:t>
      </w:r>
    </w:p>
    <w:p>
      <w:pPr>
        <w:numPr>
          <w:ilvl w:val="0"/>
          <w:numId w:val="1369"/>
        </w:numPr>
        <w:pStyle w:val="Compact"/>
      </w:pPr>
      <w:r>
        <w:t xml:space="preserve">Ibutamoren (non un peptide) viene testato come LUM-201 in uno studio di fase 3 con 150 bambini con carenza di ormone della crescita (NCT06948214, conclusione gennaio 2028). Uno studio di fase 2 con 202 anziani con obesità dovrebbe esaminare LUM-201 in aggiunta a semaglutide (NCT07754045, conclusione febbraio 2028).</w:t>
      </w:r>
    </w:p>
    <w:p>
      <w:pPr>
        <w:numPr>
          <w:ilvl w:val="0"/>
          <w:numId w:val="1369"/>
        </w:numPr>
        <w:pStyle w:val="Compact"/>
      </w:pPr>
      <w:r>
        <w:t xml:space="preserve">Il registro a lungo termine sulla mecasermina prosegue fino alla fine del 2027</w:t>
      </w:r>
      <w:r>
        <w:rPr>
          <w:rStyle w:val="FootnoteReference"/>
        </w:rPr>
        <w:footnoteReference w:id="2946"/>
      </w:r>
      <w:r>
        <w:t xml:space="preserve">.</w:t>
      </w:r>
    </w:p>
    <w:p>
      <w:pPr>
        <w:numPr>
          <w:ilvl w:val="0"/>
          <w:numId w:val="1369"/>
        </w:numPr>
        <w:pStyle w:val="Compact"/>
      </w:pPr>
      <w:r>
        <w:t xml:space="preserve">Per sermorelina, CJC-1295, ipamorelina, GHRP-2, GHRP-6, hexarelin e IGF-1 LR3 non è registrato alcuno studio in corso (vedi i rispettivi capitoli).</w:t>
      </w:r>
    </w:p>
    <w:p>
      <w:pPr>
        <w:pStyle w:val="FirstParagraph"/>
      </w:pPr>
      <w:r>
        <w:rPr>
          <w:bCs/>
          <w:b/>
        </w:rPr>
        <w:t xml:space="preserve">Valutazione dell’autore:</w:t>
      </w:r>
      <w:r>
        <w:t xml:space="preserve"> </w:t>
      </w:r>
      <w:r>
        <w:t xml:space="preserve">una nuova autorizzazione di un peptide che libera ormone della crescita per adulti la ritengo improbabile entro il 2035. Motivazione: le sostanze sono vecchie, difficilmente brevettabili, e le questioni di sicurezza legate a livelli di IGF-1 stabilmente elevati (vedi Parte IV) rendono i grandi studi costosi e rischiosi. Interessante è un’altra tendenza: poiché una forte perdita di peso costa anche muscoli, l’asse dell’ormone della crescita potrebbe ricevere nuova attenzione come possibile protezione muscolare – lo studio con LUM-201 e semaglutide è un primo esempio. Se ne derivi un beneficio è del tutto aperto.</w:t>
      </w:r>
    </w:p>
    <w:bookmarkEnd w:id="2947"/>
    <w:bookmarkStart w:id="2951" w:name="gruppo-d-cervello-sonno-e-longevità"/>
    <w:p>
      <w:pPr>
        <w:pStyle w:val="Heading3"/>
      </w:pPr>
      <w:r>
        <w:t xml:space="preserve">Gruppo D – Cervello, sonno e longevità</w:t>
      </w:r>
    </w:p>
    <w:p>
      <w:pPr>
        <w:pStyle w:val="FirstParagraph"/>
      </w:pPr>
      <w:r>
        <w:rPr>
          <w:bCs/>
          <w:b/>
        </w:rPr>
        <w:t xml:space="preserve">Accertato:</w:t>
      </w:r>
    </w:p>
    <w:p>
      <w:pPr>
        <w:numPr>
          <w:ilvl w:val="0"/>
          <w:numId w:val="1370"/>
        </w:numPr>
        <w:pStyle w:val="Compact"/>
      </w:pPr>
      <w:r>
        <w:t xml:space="preserve">Elamipretide (SS-31) è autorizzato negli USA da settembre 2025 con procedura accelerata per la sindrome di Barth, vincolato a uno studio di conferma (4TAZPower, NCT07531251, conclusione novembre 2029). Lo studio di fase 3 ReNEW nella degenerazione maculare secca dovrebbe concludersi nel settembre 2027</w:t>
      </w:r>
      <w:r>
        <w:rPr>
          <w:rStyle w:val="FootnoteReference"/>
        </w:rPr>
        <w:footnoteReference w:id="2948"/>
      </w:r>
      <w:r>
        <w:t xml:space="preserve">.</w:t>
      </w:r>
    </w:p>
    <w:p>
      <w:pPr>
        <w:numPr>
          <w:ilvl w:val="0"/>
          <w:numId w:val="1370"/>
        </w:numPr>
        <w:pStyle w:val="Compact"/>
      </w:pPr>
      <w:r>
        <w:t xml:space="preserve">Su Cerebrolysin sono in corso solo studi più piccoli, per esempio nella CADASIL</w:t>
      </w:r>
      <w:r>
        <w:rPr>
          <w:rStyle w:val="FootnoteReference"/>
        </w:rPr>
        <w:footnoteReference w:id="2949"/>
      </w:r>
      <w:r>
        <w:t xml:space="preserve">.</w:t>
      </w:r>
    </w:p>
    <w:p>
      <w:pPr>
        <w:numPr>
          <w:ilvl w:val="0"/>
          <w:numId w:val="1370"/>
        </w:numPr>
        <w:pStyle w:val="Compact"/>
      </w:pPr>
      <w:r>
        <w:t xml:space="preserve">Per Semax, Selank, Dihexa, DSIP, Pinealon, umanina, FOXO4-DRI e MOTS-c non risulta alcuno studio registrato in modo affidabile sulla somministrazione del principio attivo. Per Epitalon esiste solo uno studio non controllato in cui è uno dei cinque componenti di un siero per la pelle</w:t>
      </w:r>
      <w:r>
        <w:rPr>
          <w:rStyle w:val="FootnoteReference"/>
        </w:rPr>
        <w:footnoteReference w:id="2950"/>
      </w:r>
      <w:r>
        <w:t xml:space="preserve">.</w:t>
      </w:r>
    </w:p>
    <w:p>
      <w:pPr>
        <w:numPr>
          <w:ilvl w:val="0"/>
          <w:numId w:val="1370"/>
        </w:numPr>
        <w:pStyle w:val="Compact"/>
      </w:pPr>
      <w:r>
        <w:t xml:space="preserve">Negli USA viene rivalutata la classificazione di diversi di questi peptidi per le preparazioni galeniche (vedi capitoli Semax e Dihexa; Willis 2026, PMID 42752426).</w:t>
      </w:r>
    </w:p>
    <w:p>
      <w:pPr>
        <w:pStyle w:val="FirstParagraph"/>
      </w:pPr>
      <w:r>
        <w:rPr>
          <w:bCs/>
          <w:b/>
        </w:rPr>
        <w:t xml:space="preserve">Valutazione dell’autore:</w:t>
      </w:r>
      <w:r>
        <w:t xml:space="preserve"> </w:t>
      </w:r>
      <w:r>
        <w:t xml:space="preserve">i peptidi della longevità resteranno presumibilmente fino al 2035 ciò che sono oggi: sostanze con interessanti dati animali e una grande domanda online, ma senza prova di un beneficio nell’uomo. Motivazione: gli studi sull’«invecchiamento sano» richiedono molti anni ed endpoint chiari che per questo ambito quasi non esistono ancora; nessun produttore ha un programma riconoscibile. Se le autorità statunitensi liberalizzassero singoli peptidi per le preparazioni galeniche, ciò ne aumenterebbe la diffusione senza migliorare i dati. Elamipretide è l’unico principio attivo di questo gruppo con una strada realistica verso un’autorizzazione più ampia, e anche questo solo se ReNEW darà esito positivo.</w:t>
      </w:r>
    </w:p>
    <w:bookmarkEnd w:id="2951"/>
    <w:bookmarkStart w:id="2953" w:name="X870a31c791b60f4823aac314b7d3542d8f48541"/>
    <w:p>
      <w:pPr>
        <w:pStyle w:val="Heading3"/>
      </w:pPr>
      <w:r>
        <w:t xml:space="preserve">Gruppo E – Ormoni, sessualità e pigmentazione</w:t>
      </w:r>
    </w:p>
    <w:p>
      <w:pPr>
        <w:pStyle w:val="FirstParagraph"/>
      </w:pPr>
      <w:r>
        <w:rPr>
          <w:bCs/>
          <w:b/>
        </w:rPr>
        <w:t xml:space="preserve">Accertato:</w:t>
      </w:r>
    </w:p>
    <w:p>
      <w:pPr>
        <w:numPr>
          <w:ilvl w:val="0"/>
          <w:numId w:val="1371"/>
        </w:numPr>
        <w:pStyle w:val="Compact"/>
      </w:pPr>
      <w:r>
        <w:t xml:space="preserve">Lo studio di fase 3 sull’afamelanotide nella vitiligine, con 200 partecipanti, risultava concluso secondo il registro nel giugno 2026; a ottobre 2026 non erano disponibili risultati sottoposti a revisione paritaria</w:t>
      </w:r>
      <w:r>
        <w:rPr>
          <w:rStyle w:val="FootnoteReference"/>
        </w:rPr>
        <w:footnoteReference w:id="2952"/>
      </w:r>
      <w:r>
        <w:t xml:space="preserve">.</w:t>
      </w:r>
    </w:p>
    <w:p>
      <w:pPr>
        <w:numPr>
          <w:ilvl w:val="0"/>
          <w:numId w:val="1371"/>
        </w:numPr>
        <w:pStyle w:val="Compact"/>
      </w:pPr>
      <w:r>
        <w:t xml:space="preserve">La kisspeptina viene studiata in piccoli studi di fase 2 nella carenza ormonale congenita (NCT05896293, conclusione maggio 2028) e nell’amenorrea ipotalamica (NCT07224438, conclusione maggio 2030).</w:t>
      </w:r>
    </w:p>
    <w:p>
      <w:pPr>
        <w:numPr>
          <w:ilvl w:val="0"/>
          <w:numId w:val="1371"/>
        </w:numPr>
        <w:pStyle w:val="Compact"/>
      </w:pPr>
      <w:r>
        <w:t xml:space="preserve">L’ossitocina spray nasale viene testata come complemento di una terapia di coppia nel disturbo da stress post-traumatico con 240 partecipanti (NCT06194851, conclusione settembre 2028).</w:t>
      </w:r>
    </w:p>
    <w:p>
      <w:pPr>
        <w:pStyle w:val="FirstParagraph"/>
      </w:pPr>
      <w:r>
        <w:rPr>
          <w:bCs/>
          <w:b/>
        </w:rPr>
        <w:t xml:space="preserve">Valutazione dell’autore:</w:t>
      </w:r>
      <w:r>
        <w:t xml:space="preserve"> </w:t>
      </w:r>
      <w:r>
        <w:t xml:space="preserve">entro il 2030 è ipotizzabile soprattutto un’estensione dell’autorizzazione dell’afamelanotide alla vitiligine – se lo studio di fase 3 sarà positivo. La kisspeptina dovrebbe restare uno strumento di ricerca e diagnostica; un’autorizzazione entro il 2035 presuppone studi comparativi più grandi, che finora mancano. Per l’ossitocina spray nasale non mi aspetto un’autorizzazione per l’autismo o l’ansia sociale, tutt’al più prove per usi strettamente delimitati in combinazione con la psicoterapia. Il Melanotan II resta un prodotto del mercato grigio.</w:t>
      </w:r>
    </w:p>
    <w:bookmarkEnd w:id="2953"/>
    <w:bookmarkStart w:id="2954" w:name="Xe5e5cae28e98db599e9d825234128713ffbe5fb"/>
    <w:p>
      <w:pPr>
        <w:pStyle w:val="Heading3"/>
      </w:pPr>
      <w:r>
        <w:t xml:space="preserve">Gruppo F – Collagene, alimentazione e cosmetica</w:t>
      </w:r>
    </w:p>
    <w:p>
      <w:pPr>
        <w:pStyle w:val="FirstParagraph"/>
      </w:pPr>
      <w:r>
        <w:rPr>
          <w:bCs/>
          <w:b/>
        </w:rPr>
        <w:t xml:space="preserve">Accertato:</w:t>
      </w:r>
    </w:p>
    <w:p>
      <w:pPr>
        <w:numPr>
          <w:ilvl w:val="0"/>
          <w:numId w:val="1372"/>
        </w:numPr>
        <w:pStyle w:val="Compact"/>
      </w:pPr>
      <w:r>
        <w:t xml:space="preserve">Uno studio controllato con placebo con 204 partecipanti testa il collagene idrolizzato nell’artrosi del ginocchio, l’endpoint principale è il dolore (NCT04998188, conclusione dicembre 2027).</w:t>
      </w:r>
    </w:p>
    <w:p>
      <w:pPr>
        <w:numPr>
          <w:ilvl w:val="0"/>
          <w:numId w:val="1372"/>
        </w:numPr>
        <w:pStyle w:val="Compact"/>
      </w:pPr>
      <w:r>
        <w:t xml:space="preserve">Uno studio di fase 1/2 con 144 partecipanti esamina la carnosina nell’arteriopatia periferica, l’endpoint principale è la distanza percorsa in sei minuti (NCT06480760, conclusione ottobre 2028).</w:t>
      </w:r>
    </w:p>
    <w:p>
      <w:pPr>
        <w:numPr>
          <w:ilvl w:val="0"/>
          <w:numId w:val="1372"/>
        </w:numPr>
        <w:pStyle w:val="Compact"/>
      </w:pPr>
      <w:r>
        <w:t xml:space="preserve">Per lattotripeptidi, Matrixyl e Argireline non è registrato alcuno studio in corso.</w:t>
      </w:r>
    </w:p>
    <w:p>
      <w:pPr>
        <w:pStyle w:val="FirstParagraph"/>
      </w:pPr>
      <w:r>
        <w:rPr>
          <w:bCs/>
          <w:b/>
        </w:rPr>
        <w:t xml:space="preserve">Valutazione dell’autore:</w:t>
      </w:r>
      <w:r>
        <w:t xml:space="preserve"> </w:t>
      </w:r>
      <w:r>
        <w:t xml:space="preserve">questo gruppo resterà nell’ambito di alimenti e cosmetici; non ci si devono attendere autorizzazioni come farmaci, perché i prodotti sono già in libera vendita e nessuno dovrebbe sostenere i costi di un programma registrativo. Ciò che potrebbe cambiare è la qualità delle prove: studi finanziati in modo indipendente e registrati in anticipo, come quello sull’artrosi del ginocchio, mostreranno se i piccoli effetti degli studi finanziati dai produttori reggono. Mi aspetto che in questi studi gli effetti risultino piuttosto più piccoli.</w:t>
      </w:r>
    </w:p>
    <w:bookmarkEnd w:id="2954"/>
    <w:bookmarkStart w:id="2973" w:name="temi-trasversali"/>
    <w:p>
      <w:pPr>
        <w:pStyle w:val="Heading3"/>
      </w:pPr>
      <w:r>
        <w:t xml:space="preserve">Temi trasversali</w:t>
      </w:r>
    </w:p>
    <w:bookmarkStart w:id="2956" w:name="dati-a-lungo-termine"/>
    <w:p>
      <w:pPr>
        <w:pStyle w:val="Heading4"/>
      </w:pPr>
      <w:r>
        <w:t xml:space="preserve">Dati a lungo termine</w:t>
      </w:r>
    </w:p>
    <w:p>
      <w:pPr>
        <w:pStyle w:val="FirstParagraph"/>
      </w:pPr>
      <w:r>
        <w:rPr>
          <w:bCs/>
          <w:b/>
        </w:rPr>
        <w:t xml:space="preserve">Accertato:</w:t>
      </w:r>
      <w:r>
        <w:t xml:space="preserve"> </w:t>
      </w:r>
      <w:r>
        <w:t xml:space="preserve">la linea guida dell’OMS sulle terapie GLP-1 nell’obesità formula solo una raccomandazione condizionata e indica tra i motivi i dati limitati a lungo termine</w:t>
      </w:r>
      <w:r>
        <w:rPr>
          <w:rStyle w:val="FootnoteReference"/>
        </w:rPr>
        <w:footnoteReference w:id="2955"/>
      </w:r>
      <w:r>
        <w:t xml:space="preserve">. Gli studi di esito in corso osservano i loro partecipanti per diversi anni, ma quasi nessuno per oltre dieci anni.</w:t>
      </w:r>
    </w:p>
    <w:p>
      <w:pPr>
        <w:pStyle w:val="BodyText"/>
      </w:pPr>
      <w:r>
        <w:rPr>
          <w:bCs/>
          <w:b/>
        </w:rPr>
        <w:t xml:space="preserve">Valutazione dell’autore:</w:t>
      </w:r>
      <w:r>
        <w:t xml:space="preserve"> </w:t>
      </w:r>
      <w:r>
        <w:t xml:space="preserve">entro il 2035 i dati a dieci anni proverranno soprattutto da registri nazionali e dati delle casse malattia, non da studi randomizzati. Rileveranno meglio gli effetti collaterali rari, ma separeranno con più difficoltà causa ed effetto. Per bambini e adolescenti, per i quali diversi studi proseguono fino all’inizio degli anni 2030, la questione delle conseguenze a lungo termine è particolarmente urgente.</w:t>
      </w:r>
    </w:p>
    <w:bookmarkEnd w:id="2956"/>
    <w:bookmarkStart w:id="2961" w:name="terapia-di-mantenimento"/>
    <w:p>
      <w:pPr>
        <w:pStyle w:val="Heading4"/>
      </w:pPr>
      <w:r>
        <w:t xml:space="preserve">Terapia di mantenimento</w:t>
      </w:r>
    </w:p>
    <w:p>
      <w:pPr>
        <w:pStyle w:val="FirstParagraph"/>
      </w:pPr>
      <w:r>
        <w:rPr>
          <w:bCs/>
          <w:b/>
        </w:rPr>
        <w:t xml:space="preserve">Accertato:</w:t>
      </w:r>
      <w:r>
        <w:t xml:space="preserve"> </w:t>
      </w:r>
      <w:r>
        <w:t xml:space="preserve">dopo la sospensione gran parte del peso perso ritorna. Nell’estensione di STEP 1, un anno dopo la fine del trattamento con semaglutide, erano in media due terzi</w:t>
      </w:r>
      <w:r>
        <w:rPr>
          <w:rStyle w:val="FootnoteReference"/>
        </w:rPr>
        <w:footnoteReference w:id="2957"/>
      </w:r>
      <w:r>
        <w:t xml:space="preserve">. In SURMOUNT-4 i partecipanti, dopo il passaggio da tirzepatide a placebo, hanno ripreso nell’anno successivo il 14,0%</w:t>
      </w:r>
      <w:r>
        <w:rPr>
          <w:rStyle w:val="FootnoteReference"/>
        </w:rPr>
        <w:footnoteReference w:id="2958"/>
      </w:r>
      <w:r>
        <w:t xml:space="preserve">. Il passaggio dall’iniezione a orforglipron ha mantenuto in ATTAIN-MAINTAIN gran parte della perdita di peso</w:t>
      </w:r>
      <w:r>
        <w:rPr>
          <w:rStyle w:val="FootnoteReference"/>
        </w:rPr>
        <w:footnoteReference w:id="2959"/>
      </w:r>
      <w:r>
        <w:t xml:space="preserve">. Sono in corso altri studi sul mantenimento del peso (TRIUMPH-6, NCT06859268; passaggio a principi attivi mensili, NCT07575399, NCT07845500). Calcoli modellistici suggeriscono che somministrazioni meno frequenti potrebbero mantenere parte dell’effetto; ciò finora non è stato verificato in studi e non è una base per modifiche arbitrarie del trattamento</w:t>
      </w:r>
      <w:r>
        <w:rPr>
          <w:rStyle w:val="FootnoteReference"/>
        </w:rPr>
        <w:footnoteReference w:id="2960"/>
      </w:r>
      <w:r>
        <w:t xml:space="preserve">.</w:t>
      </w:r>
    </w:p>
    <w:p>
      <w:pPr>
        <w:pStyle w:val="BodyText"/>
      </w:pPr>
      <w:r>
        <w:rPr>
          <w:bCs/>
          <w:b/>
        </w:rPr>
        <w:t xml:space="preserve">Valutazione dell’autore:</w:t>
      </w:r>
      <w:r>
        <w:t xml:space="preserve"> </w:t>
      </w:r>
      <w:r>
        <w:t xml:space="preserve">entro il 2030 si affermerà un modello a gradini: prima una fase con un principio attivo molto efficace, poi un mantenimento con una compressa, un preparato mensile o un’intensità più bassa. Motivazione: diversi produttori stanno testando proprio questa sequenza, ed è attraente per i finanziatori. Se il mantenimento sia necessario per tutta la vita o se in alcune persone una sospensione riesca senza un grande recupero di peso resterà una delle principali questioni aperte.</w:t>
      </w:r>
    </w:p>
    <w:bookmarkEnd w:id="2961"/>
    <w:bookmarkStart w:id="2963" w:name="personalizzazione"/>
    <w:p>
      <w:pPr>
        <w:pStyle w:val="Heading4"/>
      </w:pPr>
      <w:r>
        <w:t xml:space="preserve">Personalizzazione</w:t>
      </w:r>
    </w:p>
    <w:p>
      <w:pPr>
        <w:pStyle w:val="FirstParagraph"/>
      </w:pPr>
      <w:r>
        <w:rPr>
          <w:bCs/>
          <w:b/>
        </w:rPr>
        <w:t xml:space="preserve">Accertato:</w:t>
      </w:r>
      <w:r>
        <w:t xml:space="preserve"> </w:t>
      </w:r>
      <w:r>
        <w:t xml:space="preserve">la medicina di precisione nell’obesità esiste già per rare forme genetiche: setmelanotide è autorizzato solo per determinati difetti genetici (vedi capitolo Setmelanotide). Orforglipron viene testato in uno studio con 2.001 partecipanti in sovrappeso, per prevenire la progressione verso l’obesità o le malattie conseguenti (ATTAIN-NOW, NCT07794579, conclusione settembre 2030). L’OMS annuncia che come passo successivo elaborerà criteri su chi debba essere trattato per primo in caso di risorse limitate</w:t>
      </w:r>
      <w:r>
        <w:rPr>
          <w:rStyle w:val="FootnoteReference"/>
        </w:rPr>
        <w:footnoteReference w:id="2962"/>
      </w:r>
      <w:r>
        <w:t xml:space="preserve">.</w:t>
      </w:r>
    </w:p>
    <w:p>
      <w:pPr>
        <w:pStyle w:val="BodyText"/>
      </w:pPr>
      <w:r>
        <w:rPr>
          <w:bCs/>
          <w:b/>
        </w:rPr>
        <w:t xml:space="preserve">Valutazione dell’autore:</w:t>
      </w:r>
      <w:r>
        <w:t xml:space="preserve"> </w:t>
      </w:r>
      <w:r>
        <w:t xml:space="preserve">un test affidabile che dica in anticipo chi risponde bene a quale principio attivo non è in vista entro il 2030. La personalizzazione sarà inizialmente pragmatica: secondo malattie concomitanti, tollerabilità, disponibilità alle iniezioni e costi. La questione se i farmaci debbano essere usati già prima che si sviluppi un’obesità resterà controversa sul piano etico ed economico.</w:t>
      </w:r>
    </w:p>
    <w:bookmarkEnd w:id="2963"/>
    <w:bookmarkStart w:id="2967" w:name="regolamentazione-del-mercato-grigio"/>
    <w:p>
      <w:pPr>
        <w:pStyle w:val="Heading4"/>
      </w:pPr>
      <w:r>
        <w:t xml:space="preserve">Regolamentazione del mercato grigio</w:t>
      </w:r>
    </w:p>
    <w:p>
      <w:pPr>
        <w:pStyle w:val="FirstParagraph"/>
      </w:pPr>
      <w:r>
        <w:rPr>
          <w:bCs/>
          <w:b/>
        </w:rPr>
        <w:t xml:space="preserve">Accertato:</w:t>
      </w:r>
      <w:r>
        <w:t xml:space="preserve"> </w:t>
      </w:r>
      <w:r>
        <w:t xml:space="preserve">le analisi di laboratorio e i casi clinici della Parte I e della Parte IV mostrano contraffazioni, dosaggi errati e impurità. Nel frattempo vengono venduti online anche principi attivi non autorizzati come retatrutide e zenagamtide</w:t>
      </w:r>
      <w:r>
        <w:rPr>
          <w:rStyle w:val="FootnoteReference"/>
        </w:rPr>
        <w:footnoteReference w:id="2964"/>
      </w:r>
      <w:r>
        <w:t xml:space="preserve">. Negli USA le copie galeniche di semaglutide e tirzepatide sono state in gran parte cessate dopo la fine delle carenze; le preparazioni modificate continuano a esistere</w:t>
      </w:r>
      <w:r>
        <w:rPr>
          <w:rStyle w:val="FootnoteReference"/>
        </w:rPr>
        <w:footnoteReference w:id="2965"/>
      </w:r>
      <w:r>
        <w:t xml:space="preserve">. La classificazione dei peptidi per le preparazioni galeniche viene rinegoziata negli USA</w:t>
      </w:r>
      <w:r>
        <w:rPr>
          <w:rStyle w:val="FootnoteReference"/>
        </w:rPr>
        <w:footnoteReference w:id="2966"/>
      </w:r>
      <w:r>
        <w:t xml:space="preserve">.</w:t>
      </w:r>
    </w:p>
    <w:p>
      <w:pPr>
        <w:pStyle w:val="BodyText"/>
      </w:pPr>
      <w:r>
        <w:rPr>
          <w:bCs/>
          <w:b/>
        </w:rPr>
        <w:t xml:space="preserve">Valutazione dell’autore:</w:t>
      </w:r>
      <w:r>
        <w:t xml:space="preserve"> </w:t>
      </w:r>
      <w:r>
        <w:t xml:space="preserve">il mercato grigio non scomparirà entro il 2035, ma cambierà. Prezzi in calo per i farmaci autorizzati dovrebbero ridurre l’incentivo a contraffare semaglutide. Allo stesso tempo ogni nuovo principio attivo che fa scalpore negli studi verrà offerto come «Research Peptide» già prima della sua autorizzazione. Mi aspetto controlli più severi sui rivenditori online e sui canali di pagamento nell’UE, ma nessuna soluzione efficace finché saranno possibili ordini da paesi con una vigilanza debole.</w:t>
      </w:r>
    </w:p>
    <w:bookmarkEnd w:id="2967"/>
    <w:bookmarkStart w:id="2972" w:name="X8dd0b4d3120935f1d4c976f6f58f970d846a209"/>
    <w:p>
      <w:pPr>
        <w:pStyle w:val="Heading4"/>
      </w:pPr>
      <w:r>
        <w:t xml:space="preserve">Intelligenza artificiale nella progettazione di peptidi</w:t>
      </w:r>
    </w:p>
    <w:p>
      <w:pPr>
        <w:pStyle w:val="FirstParagraph"/>
      </w:pPr>
      <w:r>
        <w:rPr>
          <w:bCs/>
          <w:b/>
        </w:rPr>
        <w:t xml:space="preserve">Accertato:</w:t>
      </w:r>
      <w:r>
        <w:t xml:space="preserve"> </w:t>
      </w:r>
      <w:r>
        <w:t xml:space="preserve">finora tutte le prove pubblicate provengono da esperimenti di laboratorio e sugli animali. Un gruppo di ricerca ha progettato con metodi di apprendimento automatico 10.000 nuovi agonisti del recettore del GLP-1, ne ha selezionati 60 al computer e li ha testati in laboratorio; due candidati hanno agito nei topi circa tre volte più a lungo di semaglutide</w:t>
      </w:r>
      <w:r>
        <w:rPr>
          <w:rStyle w:val="FootnoteReference"/>
        </w:rPr>
        <w:footnoteReference w:id="2968"/>
      </w:r>
      <w:r>
        <w:t xml:space="preserve">. Un altro metodo ha progettato peptidi ad anello che si legano in modo mirato a proteine predefinite; le strutture determinate in laboratorio corrispondevano strettamente ai modelli al computer</w:t>
      </w:r>
      <w:r>
        <w:rPr>
          <w:rStyle w:val="FootnoteReference"/>
        </w:rPr>
        <w:footnoteReference w:id="2969"/>
      </w:r>
      <w:r>
        <w:t xml:space="preserve">. Con un modello ad apprendimento sono stati derivati da peptidi batterici nuovi peptidi antimicrobici, uno dei quali ha ridotto in topi con un’infezione della coscia la carica batterica di oltre il 95%</w:t>
      </w:r>
      <w:r>
        <w:rPr>
          <w:rStyle w:val="FootnoteReference"/>
        </w:rPr>
        <w:footnoteReference w:id="2970"/>
      </w:r>
      <w:r>
        <w:t xml:space="preserve">. Il peptide orale anti-PCSK9 enlicitide è stato trovato con un altro metodo ad alta produttività ed è già in fase 3</w:t>
      </w:r>
      <w:r>
        <w:rPr>
          <w:rStyle w:val="FootnoteReference"/>
        </w:rPr>
        <w:footnoteReference w:id="2971"/>
      </w:r>
      <w:r>
        <w:t xml:space="preserve">.</w:t>
      </w:r>
    </w:p>
    <w:p>
      <w:pPr>
        <w:pStyle w:val="BodyText"/>
      </w:pPr>
      <w:r>
        <w:rPr>
          <w:bCs/>
          <w:b/>
        </w:rPr>
        <w:t xml:space="preserve">Valutazione dell’autore:</w:t>
      </w:r>
      <w:r>
        <w:t xml:space="preserve"> </w:t>
      </w:r>
      <w:r>
        <w:t xml:space="preserve">entro il 2030 i primi peptidi progettati con metodi di IA saranno in studi precoci sull’uomo; un’autorizzazione entro il 2035 è possibile, ma non probabile, perché anche una molecola trovata rapidamente deve attraversare tutte le fasi cliniche. L’IA accorcia la ricerca dei candidati, non la sperimentazione sull’uomo. Per i lettori ciò significa: le offerte che promettono «peptidi ottimizzati con l’IA» sono pubblicità, non una prova di efficacia.</w:t>
      </w:r>
    </w:p>
    <w:bookmarkEnd w:id="2972"/>
    <w:bookmarkEnd w:id="2973"/>
    <w:bookmarkStart w:id="2974" w:name="X1885f6ffe14378b1ff53471cc591802c9fde229"/>
    <w:p>
      <w:pPr>
        <w:pStyle w:val="Heading3"/>
      </w:pPr>
      <w:r>
        <w:t xml:space="preserve">Cronologia: che cosa è annunciato nel registro fino al 2032</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Periodo</w:t>
            </w:r>
          </w:p>
        </w:tc>
        <w:tc>
          <w:tcPr/>
          <w:p>
            <w:pPr>
              <w:pStyle w:val="Compact"/>
              <w:jc w:val="left"/>
            </w:pPr>
            <w:r>
              <w:t xml:space="preserve">Evento previsto secondo il registro</w:t>
            </w:r>
          </w:p>
        </w:tc>
        <w:tc>
          <w:tcPr/>
          <w:p>
            <w:pPr>
              <w:pStyle w:val="Compact"/>
              <w:jc w:val="left"/>
            </w:pPr>
            <w:r>
              <w:t xml:space="preserve">Principio attivo</w:t>
            </w:r>
          </w:p>
        </w:tc>
        <w:tc>
          <w:tcPr/>
          <w:p>
            <w:pPr>
              <w:pStyle w:val="Compact"/>
              <w:jc w:val="left"/>
            </w:pPr>
            <w:r>
              <w:t xml:space="preserve">Studio</w:t>
            </w:r>
          </w:p>
        </w:tc>
      </w:tr>
      <w:tr>
        <w:tc>
          <w:tcPr/>
          <w:p>
            <w:pPr>
              <w:pStyle w:val="Compact"/>
              <w:jc w:val="left"/>
            </w:pPr>
            <w:r>
              <w:t xml:space="preserve">2026/2027</w:t>
            </w:r>
          </w:p>
        </w:tc>
        <w:tc>
          <w:tcPr/>
          <w:p>
            <w:pPr>
              <w:pStyle w:val="Compact"/>
              <w:jc w:val="left"/>
            </w:pPr>
            <w:r>
              <w:t xml:space="preserve">risultati del confronto diretto con tirzepatide</w:t>
            </w:r>
          </w:p>
        </w:tc>
        <w:tc>
          <w:tcPr/>
          <w:p>
            <w:pPr>
              <w:pStyle w:val="Compact"/>
              <w:jc w:val="left"/>
            </w:pPr>
            <w:r>
              <w:t xml:space="preserve">retatrutide</w:t>
            </w:r>
          </w:p>
        </w:tc>
        <w:tc>
          <w:tcPr/>
          <w:p>
            <w:pPr>
              <w:pStyle w:val="Compact"/>
              <w:jc w:val="left"/>
            </w:pPr>
            <w:r>
              <w:t xml:space="preserve">NCT06662383</w:t>
            </w:r>
          </w:p>
        </w:tc>
      </w:tr>
      <w:tr>
        <w:tc>
          <w:tcPr/>
          <w:p>
            <w:pPr>
              <w:pStyle w:val="Compact"/>
              <w:jc w:val="left"/>
            </w:pPr>
            <w:r>
              <w:t xml:space="preserve">2027</w:t>
            </w:r>
          </w:p>
        </w:tc>
        <w:tc>
          <w:tcPr/>
          <w:p>
            <w:pPr>
              <w:pStyle w:val="Compact"/>
              <w:jc w:val="left"/>
            </w:pPr>
            <w:r>
              <w:t xml:space="preserve">risultati cardiovascolari senza diabete</w:t>
            </w:r>
          </w:p>
        </w:tc>
        <w:tc>
          <w:tcPr/>
          <w:p>
            <w:pPr>
              <w:pStyle w:val="Compact"/>
              <w:jc w:val="left"/>
            </w:pPr>
            <w:r>
              <w:t xml:space="preserve">tirzepatide</w:t>
            </w:r>
          </w:p>
        </w:tc>
        <w:tc>
          <w:tcPr/>
          <w:p>
            <w:pPr>
              <w:pStyle w:val="Compact"/>
              <w:jc w:val="left"/>
            </w:pPr>
            <w:r>
              <w:t xml:space="preserve">NCT05556512</w:t>
            </w:r>
          </w:p>
        </w:tc>
      </w:tr>
      <w:tr>
        <w:tc>
          <w:tcPr/>
          <w:p>
            <w:pPr>
              <w:pStyle w:val="Compact"/>
              <w:jc w:val="left"/>
            </w:pPr>
            <w:r>
              <w:t xml:space="preserve">2027</w:t>
            </w:r>
          </w:p>
        </w:tc>
        <w:tc>
          <w:tcPr/>
          <w:p>
            <w:pPr>
              <w:pStyle w:val="Compact"/>
              <w:jc w:val="left"/>
            </w:pPr>
            <w:r>
              <w:t xml:space="preserve">risultati cardiovascolari</w:t>
            </w:r>
          </w:p>
        </w:tc>
        <w:tc>
          <w:tcPr/>
          <w:p>
            <w:pPr>
              <w:pStyle w:val="Compact"/>
              <w:jc w:val="left"/>
            </w:pPr>
            <w:r>
              <w:t xml:space="preserve">CagriSema</w:t>
            </w:r>
          </w:p>
        </w:tc>
        <w:tc>
          <w:tcPr/>
          <w:p>
            <w:pPr>
              <w:pStyle w:val="Compact"/>
              <w:jc w:val="left"/>
            </w:pPr>
            <w:r>
              <w:t xml:space="preserve">NCT05669755</w:t>
            </w:r>
          </w:p>
        </w:tc>
      </w:tr>
      <w:tr>
        <w:tc>
          <w:tcPr/>
          <w:p>
            <w:pPr>
              <w:pStyle w:val="Compact"/>
              <w:jc w:val="left"/>
            </w:pPr>
            <w:r>
              <w:t xml:space="preserve">2027</w:t>
            </w:r>
          </w:p>
        </w:tc>
        <w:tc>
          <w:tcPr/>
          <w:p>
            <w:pPr>
              <w:pStyle w:val="Compact"/>
              <w:jc w:val="left"/>
            </w:pPr>
            <w:r>
              <w:t xml:space="preserve">follow-up dopo cancro del colon</w:t>
            </w:r>
          </w:p>
        </w:tc>
        <w:tc>
          <w:tcPr/>
          <w:p>
            <w:pPr>
              <w:pStyle w:val="Compact"/>
              <w:jc w:val="left"/>
            </w:pPr>
            <w:r>
              <w:t xml:space="preserve">timosina alfa-1</w:t>
            </w:r>
          </w:p>
        </w:tc>
        <w:tc>
          <w:tcPr/>
          <w:p>
            <w:pPr>
              <w:pStyle w:val="Compact"/>
              <w:jc w:val="left"/>
            </w:pPr>
            <w:r>
              <w:t xml:space="preserve">NCT05086614</w:t>
            </w:r>
          </w:p>
        </w:tc>
      </w:tr>
      <w:tr>
        <w:tc>
          <w:tcPr/>
          <w:p>
            <w:pPr>
              <w:pStyle w:val="Compact"/>
              <w:jc w:val="left"/>
            </w:pPr>
            <w:r>
              <w:t xml:space="preserve">2027</w:t>
            </w:r>
          </w:p>
        </w:tc>
        <w:tc>
          <w:tcPr/>
          <w:p>
            <w:pPr>
              <w:pStyle w:val="Compact"/>
              <w:jc w:val="left"/>
            </w:pPr>
            <w:r>
              <w:t xml:space="preserve">degenerazione maculare</w:t>
            </w:r>
          </w:p>
        </w:tc>
        <w:tc>
          <w:tcPr/>
          <w:p>
            <w:pPr>
              <w:pStyle w:val="Compact"/>
              <w:jc w:val="left"/>
            </w:pPr>
            <w:r>
              <w:t xml:space="preserve">elamipretide</w:t>
            </w:r>
          </w:p>
        </w:tc>
        <w:tc>
          <w:tcPr/>
          <w:p>
            <w:pPr>
              <w:pStyle w:val="Compact"/>
              <w:jc w:val="left"/>
            </w:pPr>
            <w:r>
              <w:t xml:space="preserve">NCT06373731</w:t>
            </w:r>
          </w:p>
        </w:tc>
      </w:tr>
      <w:tr>
        <w:tc>
          <w:tcPr/>
          <w:p>
            <w:pPr>
              <w:pStyle w:val="Compact"/>
              <w:jc w:val="left"/>
            </w:pPr>
            <w:r>
              <w:t xml:space="preserve">2028</w:t>
            </w:r>
          </w:p>
        </w:tc>
        <w:tc>
          <w:tcPr/>
          <w:p>
            <w:pPr>
              <w:pStyle w:val="Compact"/>
              <w:jc w:val="left"/>
            </w:pPr>
            <w:r>
              <w:t xml:space="preserve">crescita nei bambini</w:t>
            </w:r>
          </w:p>
        </w:tc>
        <w:tc>
          <w:tcPr/>
          <w:p>
            <w:pPr>
              <w:pStyle w:val="Compact"/>
              <w:jc w:val="left"/>
            </w:pPr>
            <w:r>
              <w:t xml:space="preserve">ibutamoren (LUM-201)</w:t>
            </w:r>
          </w:p>
        </w:tc>
        <w:tc>
          <w:tcPr/>
          <w:p>
            <w:pPr>
              <w:pStyle w:val="Compact"/>
              <w:jc w:val="left"/>
            </w:pPr>
            <w:r>
              <w:t xml:space="preserve">NCT06948214</w:t>
            </w:r>
          </w:p>
        </w:tc>
      </w:tr>
      <w:tr>
        <w:tc>
          <w:tcPr/>
          <w:p>
            <w:pPr>
              <w:pStyle w:val="Compact"/>
              <w:jc w:val="left"/>
            </w:pPr>
            <w:r>
              <w:t xml:space="preserve">2029</w:t>
            </w:r>
          </w:p>
        </w:tc>
        <w:tc>
          <w:tcPr/>
          <w:p>
            <w:pPr>
              <w:pStyle w:val="Compact"/>
              <w:jc w:val="left"/>
            </w:pPr>
            <w:r>
              <w:t xml:space="preserve">eventi cardiaci e renali</w:t>
            </w:r>
          </w:p>
        </w:tc>
        <w:tc>
          <w:tcPr/>
          <w:p>
            <w:pPr>
              <w:pStyle w:val="Compact"/>
              <w:jc w:val="left"/>
            </w:pPr>
            <w:r>
              <w:t xml:space="preserve">retatrutide</w:t>
            </w:r>
          </w:p>
        </w:tc>
        <w:tc>
          <w:tcPr/>
          <w:p>
            <w:pPr>
              <w:pStyle w:val="Compact"/>
              <w:jc w:val="left"/>
            </w:pPr>
            <w:r>
              <w:t xml:space="preserve">NCT06383390</w:t>
            </w:r>
          </w:p>
        </w:tc>
      </w:tr>
      <w:tr>
        <w:tc>
          <w:tcPr/>
          <w:p>
            <w:pPr>
              <w:pStyle w:val="Compact"/>
              <w:jc w:val="left"/>
            </w:pPr>
            <w:r>
              <w:t xml:space="preserve">2030</w:t>
            </w:r>
          </w:p>
        </w:tc>
        <w:tc>
          <w:tcPr/>
          <w:p>
            <w:pPr>
              <w:pStyle w:val="Compact"/>
              <w:jc w:val="left"/>
            </w:pPr>
            <w:r>
              <w:t xml:space="preserve">risultati cardiovascolari, scompenso cardiaco</w:t>
            </w:r>
          </w:p>
        </w:tc>
        <w:tc>
          <w:tcPr/>
          <w:p>
            <w:pPr>
              <w:pStyle w:val="Compact"/>
              <w:jc w:val="left"/>
            </w:pPr>
            <w:r>
              <w:t xml:space="preserve">maridebart cafraglutide</w:t>
            </w:r>
          </w:p>
        </w:tc>
        <w:tc>
          <w:tcPr/>
          <w:p>
            <w:pPr>
              <w:pStyle w:val="Compact"/>
              <w:jc w:val="left"/>
            </w:pPr>
            <w:r>
              <w:t xml:space="preserve">NCT07037433, NCT07037459</w:t>
            </w:r>
          </w:p>
        </w:tc>
      </w:tr>
      <w:tr>
        <w:tc>
          <w:tcPr/>
          <w:p>
            <w:pPr>
              <w:pStyle w:val="Compact"/>
              <w:jc w:val="left"/>
            </w:pPr>
            <w:r>
              <w:t xml:space="preserve">2030</w:t>
            </w:r>
          </w:p>
        </w:tc>
        <w:tc>
          <w:tcPr/>
          <w:p>
            <w:pPr>
              <w:pStyle w:val="Compact"/>
              <w:jc w:val="left"/>
            </w:pPr>
            <w:r>
              <w:t xml:space="preserve">risultati cardiovascolari</w:t>
            </w:r>
          </w:p>
        </w:tc>
        <w:tc>
          <w:tcPr/>
          <w:p>
            <w:pPr>
              <w:pStyle w:val="Compact"/>
              <w:jc w:val="left"/>
            </w:pPr>
            <w:r>
              <w:t xml:space="preserve">zenagamtide</w:t>
            </w:r>
          </w:p>
        </w:tc>
        <w:tc>
          <w:tcPr/>
          <w:p>
            <w:pPr>
              <w:pStyle w:val="Compact"/>
              <w:jc w:val="left"/>
            </w:pPr>
            <w:r>
              <w:t xml:space="preserve">NCT07861100</w:t>
            </w:r>
          </w:p>
        </w:tc>
      </w:tr>
      <w:tr>
        <w:tc>
          <w:tcPr/>
          <w:p>
            <w:pPr>
              <w:pStyle w:val="Compact"/>
              <w:jc w:val="left"/>
            </w:pPr>
            <w:r>
              <w:t xml:space="preserve">2031</w:t>
            </w:r>
          </w:p>
        </w:tc>
        <w:tc>
          <w:tcPr/>
          <w:p>
            <w:pPr>
              <w:pStyle w:val="Compact"/>
              <w:jc w:val="left"/>
            </w:pPr>
            <w:r>
              <w:t xml:space="preserve">risultati cardiovascolari</w:t>
            </w:r>
          </w:p>
        </w:tc>
        <w:tc>
          <w:tcPr/>
          <w:p>
            <w:pPr>
              <w:pStyle w:val="Compact"/>
              <w:jc w:val="left"/>
            </w:pPr>
            <w:r>
              <w:t xml:space="preserve">orforglipron</w:t>
            </w:r>
          </w:p>
        </w:tc>
        <w:tc>
          <w:tcPr/>
          <w:p>
            <w:pPr>
              <w:pStyle w:val="Compact"/>
              <w:jc w:val="left"/>
            </w:pPr>
            <w:r>
              <w:t xml:space="preserve">NCT07241390</w:t>
            </w:r>
          </w:p>
        </w:tc>
      </w:tr>
      <w:tr>
        <w:tc>
          <w:tcPr/>
          <w:p>
            <w:pPr>
              <w:pStyle w:val="Compact"/>
              <w:jc w:val="left"/>
            </w:pPr>
            <w:r>
              <w:t xml:space="preserve">2031</w:t>
            </w:r>
          </w:p>
        </w:tc>
        <w:tc>
          <w:tcPr/>
          <w:p>
            <w:pPr>
              <w:pStyle w:val="Compact"/>
              <w:jc w:val="left"/>
            </w:pPr>
            <w:r>
              <w:t xml:space="preserve">risultati cardiovascolari</w:t>
            </w:r>
          </w:p>
        </w:tc>
        <w:tc>
          <w:tcPr/>
          <w:p>
            <w:pPr>
              <w:pStyle w:val="Compact"/>
              <w:jc w:val="left"/>
            </w:pPr>
            <w:r>
              <w:t xml:space="preserve">enlicitide (peptide orale)</w:t>
            </w:r>
          </w:p>
        </w:tc>
        <w:tc>
          <w:tcPr/>
          <w:p>
            <w:pPr>
              <w:pStyle w:val="Compact"/>
              <w:jc w:val="left"/>
            </w:pPr>
            <w:r>
              <w:t xml:space="preserve">NCT06008756</w:t>
            </w:r>
          </w:p>
        </w:tc>
      </w:tr>
      <w:tr>
        <w:tc>
          <w:tcPr/>
          <w:p>
            <w:pPr>
              <w:pStyle w:val="Compact"/>
              <w:jc w:val="left"/>
            </w:pPr>
            <w:r>
              <w:t xml:space="preserve">2032</w:t>
            </w:r>
          </w:p>
        </w:tc>
        <w:tc>
          <w:tcPr/>
          <w:p>
            <w:pPr>
              <w:pStyle w:val="Compact"/>
              <w:jc w:val="left"/>
            </w:pPr>
            <w:r>
              <w:t xml:space="preserve">eventi epatici gravi</w:t>
            </w:r>
          </w:p>
        </w:tc>
        <w:tc>
          <w:tcPr/>
          <w:p>
            <w:pPr>
              <w:pStyle w:val="Compact"/>
              <w:jc w:val="left"/>
            </w:pPr>
            <w:r>
              <w:t xml:space="preserve">tirzepatide, retatrutide</w:t>
            </w:r>
          </w:p>
        </w:tc>
        <w:tc>
          <w:tcPr/>
          <w:p>
            <w:pPr>
              <w:pStyle w:val="Compact"/>
              <w:jc w:val="left"/>
            </w:pPr>
            <w:r>
              <w:t xml:space="preserve">NCT07165028</w:t>
            </w:r>
          </w:p>
        </w:tc>
      </w:tr>
    </w:tbl>
    <w:p>
      <w:pPr>
        <w:pStyle w:val="BodyText"/>
      </w:pPr>
      <w:r>
        <w:t xml:space="preserve">Gli anni sono le date di conclusione degli studi indicate nel registro. Le pubblicazioni seguono per lo più più tardi, e gli slittamenti sono frequenti.</w:t>
      </w:r>
    </w:p>
    <w:bookmarkEnd w:id="2974"/>
    <w:bookmarkStart w:id="2975" w:name="conclusione-del-libro"/>
    <w:p>
      <w:pPr>
        <w:pStyle w:val="Heading3"/>
      </w:pPr>
      <w:r>
        <w:t xml:space="preserve">Conclusione del libro</w:t>
      </w:r>
    </w:p>
    <w:p>
      <w:pPr>
        <w:pStyle w:val="FirstParagraph"/>
      </w:pPr>
      <w:r>
        <w:t xml:space="preserve">Dei peptidi di questo libro solo pochi hanno dimostrato in grandi studi sull’uomo che cosa sanno fare – in primo luogo i farmaci basati sul GLP-1, il cui beneficio è documentato fino a una riduzione degli eventi cardiovascolari. Per la maggior parte dei peptidi pubblicizzati su internet come rimedi miracolosi per la guarigione, i muscoli o una lunga vita esistono invece solo esperimenti sugli animali, piccoli studi o nessun dato – e nemmeno un grande studio in corso che possa cambiare presto la situazione. Il futuro della medicina dei peptidi non si decide quindi nei negozi online, ma negli studi di esito che si concluderanno tra il 2027 e il 2032. Chi si interessa a un peptide fa bene a porsi tre domande: esistono studi randomizzati sull’uomo, il prodotto è un farmaco controllato, e un medico accompagna l’uso?</w:t>
      </w:r>
    </w:p>
    <w:bookmarkEnd w:id="2975"/>
    <w:bookmarkEnd w:id="2976"/>
    <w:bookmarkEnd w:id="2977"/>
    <w:bookmarkStart w:id="2997" w:name="glossario"/>
    <w:p>
      <w:pPr>
        <w:pStyle w:val="Heading1"/>
      </w:pPr>
      <w:r>
        <w:t xml:space="preserve">Glossario</w:t>
      </w:r>
    </w:p>
    <w:p>
      <w:pPr>
        <w:pStyle w:val="FirstParagraph"/>
      </w:pPr>
      <w:r>
        <w:t xml:space="preserve">Le spiegazioni seguenti sono volutamente brevi. Trattazioni più ampie si trovano nei capitoli della Parte I, in particolare in «Che cosa sono i peptidi – e che cosa non sono» e «Leggere correttamente gli studi».</w:t>
      </w:r>
    </w:p>
    <w:bookmarkStart w:id="2978" w:name="a"/>
    <w:p>
      <w:pPr>
        <w:pStyle w:val="Heading3"/>
      </w:pPr>
      <w:r>
        <w:t xml:space="preserve">A</w:t>
      </w:r>
    </w:p>
    <w:p>
      <w:pPr>
        <w:pStyle w:val="FirstParagraph"/>
      </w:pPr>
      <w:r>
        <w:rPr>
          <w:bCs/>
          <w:b/>
        </w:rPr>
        <w:t xml:space="preserve">Acromegalia</w:t>
      </w:r>
      <w:r>
        <w:t xml:space="preserve">: Malattia dovuta a una sovrapproduzione persistente di ormone della crescita in età adulta, per lo più causata da un tumore benigno dell’ipofisi. Tipici sono mani, piedi e tratti del viso ingranditi.</w:t>
      </w:r>
    </w:p>
    <w:p>
      <w:pPr>
        <w:pStyle w:val="BodyText"/>
      </w:pPr>
      <w:r>
        <w:rPr>
          <w:bCs/>
          <w:b/>
        </w:rPr>
        <w:t xml:space="preserve">Agonista</w:t>
      </w:r>
      <w:r>
        <w:t xml:space="preserve">: Una sostanza che si lega a un recettore e lo attiva, cioè scatena un segnale. Semaglutide, per esempio, è un agonista del recettore del GLP-1.</w:t>
      </w:r>
    </w:p>
    <w:p>
      <w:pPr>
        <w:pStyle w:val="BodyText"/>
      </w:pPr>
      <w:r>
        <w:rPr>
          <w:bCs/>
          <w:b/>
        </w:rPr>
        <w:t xml:space="preserve">Agonista del recettore del GLP-1</w:t>
      </w:r>
      <w:r>
        <w:t xml:space="preserve">: Un principio attivo che attiva il recettore del GLP-1, per esempio exenatide, liraglutide, dulaglutide o semaglutide.</w:t>
      </w:r>
    </w:p>
    <w:p>
      <w:pPr>
        <w:pStyle w:val="BodyText"/>
      </w:pPr>
      <w:r>
        <w:rPr>
          <w:bCs/>
          <w:b/>
        </w:rPr>
        <w:t xml:space="preserve">Albumina</w:t>
      </w:r>
      <w:r>
        <w:t xml:space="preserve">: La proteina più abbondante del plasma sanguigno. Alcuni farmaci peptidici sono costruiti in modo da legarsi all’albumina e rimanere così più a lungo nel corpo.</w:t>
      </w:r>
    </w:p>
    <w:p>
      <w:pPr>
        <w:pStyle w:val="BodyText"/>
      </w:pPr>
      <w:r>
        <w:rPr>
          <w:bCs/>
          <w:b/>
        </w:rPr>
        <w:t xml:space="preserve">Amilina</w:t>
      </w:r>
      <w:r>
        <w:t xml:space="preserve">: Un ormone peptidico secreto dal pancreas insieme all’insulina, che influenza tra l’altro la sazietà e lo svuotamento gastrico. Derivati come pramlintide e cagrilintide sono usati come farmaci o oggetto di ricerca.</w:t>
      </w:r>
    </w:p>
    <w:p>
      <w:pPr>
        <w:pStyle w:val="BodyText"/>
      </w:pPr>
      <w:r>
        <w:rPr>
          <w:bCs/>
          <w:b/>
        </w:rPr>
        <w:t xml:space="preserve">Amminoacido</w:t>
      </w:r>
      <w:r>
        <w:t xml:space="preserve">: Elemento costitutivo di base di peptidi e proteine. L’essere umano utilizza essenzialmente 20 amminoacidi standard, che vengono uniti in catene tramite legami peptidici.</w:t>
      </w:r>
    </w:p>
    <w:p>
      <w:pPr>
        <w:pStyle w:val="BodyText"/>
      </w:pPr>
      <w:r>
        <w:rPr>
          <w:bCs/>
          <w:b/>
        </w:rPr>
        <w:t xml:space="preserve">Analisi intention-to-treat</w:t>
      </w:r>
      <w:r>
        <w:t xml:space="preserve">: Analisi di uno studio in cui tutti i partecipanti vengono contati nel gruppo a cui sono stati assegnati – anche se hanno interrotto il trattamento. È considerata una stima più realistica dell’effetto nella vita quotidiana.</w:t>
      </w:r>
    </w:p>
    <w:p>
      <w:pPr>
        <w:pStyle w:val="BodyText"/>
      </w:pPr>
      <w:r>
        <w:rPr>
          <w:bCs/>
          <w:b/>
        </w:rPr>
        <w:t xml:space="preserve">Analogo</w:t>
      </w:r>
      <w:r>
        <w:t xml:space="preserve">: Una molecola ricostruita sul modello di una molecola naturale, ma modificata in modo mirato – per esempio per renderla più stabile o di più lunga durata d’azione.</w:t>
      </w:r>
    </w:p>
    <w:p>
      <w:pPr>
        <w:pStyle w:val="BodyText"/>
      </w:pPr>
      <w:r>
        <w:rPr>
          <w:bCs/>
          <w:b/>
        </w:rPr>
        <w:t xml:space="preserve">Angiogenesi</w:t>
      </w:r>
      <w:r>
        <w:t xml:space="preserve">: Formazione di nuovi vasi sanguigni. È importante per la guarigione delle ferite, ma può anche favorire la crescita dei tumori.</w:t>
      </w:r>
    </w:p>
    <w:p>
      <w:pPr>
        <w:pStyle w:val="BodyText"/>
      </w:pPr>
      <w:r>
        <w:rPr>
          <w:bCs/>
          <w:b/>
        </w:rPr>
        <w:t xml:space="preserve">Antagonista</w:t>
      </w:r>
      <w:r>
        <w:t xml:space="preserve">: Una sostanza che si lega a un recettore senza attivarlo e blocca così l’azione dei messaggeri endogeni.</w:t>
      </w:r>
    </w:p>
    <w:p>
      <w:pPr>
        <w:pStyle w:val="BodyText"/>
      </w:pPr>
      <w:r>
        <w:rPr>
          <w:bCs/>
          <w:b/>
        </w:rPr>
        <w:t xml:space="preserve">Anticorpi</w:t>
      </w:r>
      <w:r>
        <w:t xml:space="preserve">: Molecole proteiche del sistema immunitario che si legano in modo mirato a strutture estranee. Gli anticorpi formati contro farmaci peptidici possono attenuarne l’effetto o scatenare reazioni.</w:t>
      </w:r>
    </w:p>
    <w:p>
      <w:pPr>
        <w:pStyle w:val="BodyText"/>
      </w:pPr>
      <w:r>
        <w:rPr>
          <w:bCs/>
          <w:b/>
        </w:rPr>
        <w:t xml:space="preserve">Autorizzazione all’immissione in commercio</w:t>
      </w:r>
      <w:r>
        <w:t xml:space="preserve">: L’approvazione da parte delle autorità per mettere in commercio un farmaco, dopo la verifica di qualità, efficacia e sicurezza.</w:t>
      </w:r>
    </w:p>
    <w:bookmarkEnd w:id="2978"/>
    <w:bookmarkStart w:id="2979" w:name="b"/>
    <w:p>
      <w:pPr>
        <w:pStyle w:val="Heading3"/>
      </w:pPr>
      <w:r>
        <w:t xml:space="preserve">B</w:t>
      </w:r>
    </w:p>
    <w:p>
      <w:pPr>
        <w:pStyle w:val="FirstParagraph"/>
      </w:pPr>
      <w:r>
        <w:rPr>
          <w:bCs/>
          <w:b/>
        </w:rPr>
        <w:t xml:space="preserve">Bias di pubblicazione</w:t>
      </w:r>
      <w:r>
        <w:t xml:space="preserve">: La distorsione del quadro complessivo quando gli studi con risultati positivi vengono pubblicati più spesso di quelli con risultati negativi.</w:t>
      </w:r>
    </w:p>
    <w:p>
      <w:pPr>
        <w:pStyle w:val="BodyText"/>
      </w:pPr>
      <w:r>
        <w:rPr>
          <w:bCs/>
          <w:b/>
        </w:rPr>
        <w:t xml:space="preserve">Biodisponibilità</w:t>
      </w:r>
      <w:r>
        <w:t xml:space="preserve">: La quota di un principio attivo somministrato che arriva immodificata nella circolazione sanguigna. Con un’infusione in vena è del 100%, con le compresse di peptidi spesso solo di pochi punti percentuali o meno.</w:t>
      </w:r>
    </w:p>
    <w:p>
      <w:pPr>
        <w:pStyle w:val="BodyText"/>
      </w:pPr>
      <w:r>
        <w:rPr>
          <w:bCs/>
          <w:b/>
        </w:rPr>
        <w:t xml:space="preserve">Biosimilare</w:t>
      </w:r>
      <w:r>
        <w:t xml:space="preserve">: Un preparato successore di un farmaco biologico dopo la scadenza della protezione brevettuale. Deve essere dimostrabilmente molto simile all’originale per qualità, efficacia e sicurezza.</w:t>
      </w:r>
    </w:p>
    <w:p>
      <w:pPr>
        <w:pStyle w:val="BodyText"/>
      </w:pPr>
      <w:r>
        <w:rPr>
          <w:bCs/>
          <w:b/>
        </w:rPr>
        <w:t xml:space="preserve">BMI (indice di massa corporea)</w:t>
      </w:r>
      <w:r>
        <w:t xml:space="preserve">: Peso corporeo in chilogrammi diviso per il quadrato dell’altezza in metri. Misura approssimativa di sottopeso, normopeso e sovrappeso.</w:t>
      </w:r>
    </w:p>
    <w:bookmarkEnd w:id="2979"/>
    <w:bookmarkStart w:id="2980" w:name="c"/>
    <w:p>
      <w:pPr>
        <w:pStyle w:val="Heading3"/>
      </w:pPr>
      <w:r>
        <w:t xml:space="preserve">C</w:t>
      </w:r>
    </w:p>
    <w:p>
      <w:pPr>
        <w:pStyle w:val="FirstParagraph"/>
      </w:pPr>
      <w:r>
        <w:rPr>
          <w:bCs/>
          <w:b/>
        </w:rPr>
        <w:t xml:space="preserve">C-terminale</w:t>
      </w:r>
      <w:r>
        <w:t xml:space="preserve">: L’estremità di una catena peptidica con il gruppo acido libero. Le sequenze peptidiche si scrivono dall’N-terminale al C-terminale.</w:t>
      </w:r>
    </w:p>
    <w:p>
      <w:pPr>
        <w:pStyle w:val="BodyText"/>
      </w:pPr>
      <w:r>
        <w:rPr>
          <w:bCs/>
          <w:b/>
        </w:rPr>
        <w:t xml:space="preserve">Caso clinico</w:t>
      </w:r>
      <w:r>
        <w:t xml:space="preserve">: La descrizione di un singolo caso di malattia in una rivista scientifica. I casi clinici sono importanti per riconoscere effetti collaterali rari, ma dicono poco sull’efficacia.</w:t>
      </w:r>
    </w:p>
    <w:p>
      <w:pPr>
        <w:pStyle w:val="BodyText"/>
      </w:pPr>
      <w:r>
        <w:rPr>
          <w:bCs/>
          <w:b/>
        </w:rPr>
        <w:t xml:space="preserve">Cecità (mascheramento)</w:t>
      </w:r>
      <w:r>
        <w:t xml:space="preserve">: L’occultamento dell’assegnazione ai gruppi ai partecipanti e/o al personale dello studio, per evitare effetti legati alle aspettative.</w:t>
      </w:r>
    </w:p>
    <w:p>
      <w:pPr>
        <w:pStyle w:val="BodyText"/>
      </w:pPr>
      <w:r>
        <w:rPr>
          <w:bCs/>
          <w:b/>
        </w:rPr>
        <w:t xml:space="preserve">Compounding</w:t>
      </w:r>
      <w:r>
        <w:t xml:space="preserve">: Negli USA la produzione di farmaci da parte delle farmacie stesse, per esempio in caso di carenze di fornitura. Queste preparazioni non sono specialità medicinali autorizzate.</w:t>
      </w:r>
    </w:p>
    <w:p>
      <w:pPr>
        <w:pStyle w:val="BodyText"/>
      </w:pPr>
      <w:r>
        <w:rPr>
          <w:bCs/>
          <w:b/>
        </w:rPr>
        <w:t xml:space="preserve">Conflitto di interessi</w:t>
      </w:r>
      <w:r>
        <w:t xml:space="preserve">: Una situazione in cui interessi economici o di altro tipo potrebbero influenzare il giudizio di ricercatori o autori, per esempio tramite il finanziamento di uno studio da parte del produttore.</w:t>
      </w:r>
    </w:p>
    <w:p>
      <w:pPr>
        <w:pStyle w:val="BodyText"/>
      </w:pPr>
      <w:r>
        <w:rPr>
          <w:bCs/>
          <w:b/>
        </w:rPr>
        <w:t xml:space="preserve">Confondimento (fattore confondente)</w:t>
      </w:r>
      <w:r>
        <w:t xml:space="preserve">: Un fattore che è legato sia a un trattamento sia a un risultato e può così creare un’associazione apparente. Problema tipico degli studi osservazionali.</w:t>
      </w:r>
    </w:p>
    <w:bookmarkEnd w:id="2980"/>
    <w:bookmarkStart w:id="2981" w:name="d"/>
    <w:p>
      <w:pPr>
        <w:pStyle w:val="Heading3"/>
      </w:pPr>
      <w:r>
        <w:t xml:space="preserve">D</w:t>
      </w:r>
    </w:p>
    <w:p>
      <w:pPr>
        <w:pStyle w:val="FirstParagraph"/>
      </w:pPr>
      <w:r>
        <w:rPr>
          <w:bCs/>
          <w:b/>
        </w:rPr>
        <w:t xml:space="preserve">Dalton</w:t>
      </w:r>
      <w:r>
        <w:t xml:space="preserve">: Unità di misura per la massa delle molecole. Un amminoacido in una catena peptidica pesa in media poco più di 100 dalton.</w:t>
      </w:r>
    </w:p>
    <w:p>
      <w:pPr>
        <w:pStyle w:val="BodyText"/>
      </w:pPr>
      <w:r>
        <w:rPr>
          <w:bCs/>
          <w:b/>
        </w:rPr>
        <w:t xml:space="preserve">Diabete di tipo 2</w:t>
      </w:r>
      <w:r>
        <w:t xml:space="preserve">: La forma più frequente di diabete, in cui il corpo utilizza l’insulina in modo meno efficace e il pancreas non ne produce abbastanza per compensare. Spesso associato al sovrappeso.</w:t>
      </w:r>
    </w:p>
    <w:p>
      <w:pPr>
        <w:pStyle w:val="BodyText"/>
      </w:pPr>
      <w:r>
        <w:rPr>
          <w:bCs/>
          <w:b/>
        </w:rPr>
        <w:t xml:space="preserve">Dipeptidil peptidasi-4 (DPP-4)</w:t>
      </w:r>
      <w:r>
        <w:t xml:space="preserve">: Un enzima che degrada rapidamente, tra l’altro, l’ormone intestinale GLP-1. Gli inibitori di questo enzima (gliptine) sono usati come compresse antidiabetiche.</w:t>
      </w:r>
    </w:p>
    <w:p>
      <w:pPr>
        <w:pStyle w:val="BodyText"/>
      </w:pPr>
      <w:r>
        <w:rPr>
          <w:bCs/>
          <w:b/>
        </w:rPr>
        <w:t xml:space="preserve">Doppio cieco</w:t>
      </w:r>
      <w:r>
        <w:t xml:space="preserve">: Uno studio in cui né i partecipanti né il personale dello studio sanno chi riceve il principio attivo e chi il placebo. Ciò riduce l’influenza delle aspettative sui risultati.</w:t>
      </w:r>
    </w:p>
    <w:bookmarkEnd w:id="2981"/>
    <w:bookmarkStart w:id="2982" w:name="e"/>
    <w:p>
      <w:pPr>
        <w:pStyle w:val="Heading3"/>
      </w:pPr>
      <w:r>
        <w:t xml:space="preserve">E</w:t>
      </w:r>
    </w:p>
    <w:p>
      <w:pPr>
        <w:pStyle w:val="FirstParagraph"/>
      </w:pPr>
      <w:r>
        <w:rPr>
          <w:bCs/>
          <w:b/>
        </w:rPr>
        <w:t xml:space="preserve">Effetto placebo</w:t>
      </w:r>
      <w:r>
        <w:t xml:space="preserve">: Un miglioramento dei disturbi che non dipende da un principio attivo, ma da aspettative, attenzioni ricevute o dal decorso naturale.</w:t>
      </w:r>
    </w:p>
    <w:p>
      <w:pPr>
        <w:pStyle w:val="BodyText"/>
      </w:pPr>
      <w:r>
        <w:rPr>
          <w:bCs/>
          <w:b/>
        </w:rPr>
        <w:t xml:space="preserve">Emivita</w:t>
      </w:r>
      <w:r>
        <w:t xml:space="preserve">: Il tempo dopo il quale metà di un principio attivo è stata degradata o eliminata dal corpo. Determina in modo decisivo quanto spesso un farmaco deve essere somministrato.</w:t>
      </w:r>
    </w:p>
    <w:p>
      <w:pPr>
        <w:pStyle w:val="BodyText"/>
      </w:pPr>
      <w:r>
        <w:rPr>
          <w:bCs/>
          <w:b/>
        </w:rPr>
        <w:t xml:space="preserve">Endotossine</w:t>
      </w:r>
      <w:r>
        <w:t xml:space="preserve">: Componenti termostabili della parete cellulare di determinati batteri. Se arrivano nel sangue possono provocare febbre, infiammazioni e reazioni circolatorie; restano attive anche dopo l’uccisione dei batteri.</w:t>
      </w:r>
    </w:p>
    <w:p>
      <w:pPr>
        <w:pStyle w:val="BodyText"/>
      </w:pPr>
      <w:r>
        <w:rPr>
          <w:bCs/>
          <w:b/>
        </w:rPr>
        <w:t xml:space="preserve">Endpoint</w:t>
      </w:r>
      <w:r>
        <w:t xml:space="preserve">: La caratteristica con cui in uno studio si misura il successo di un trattamento, per esempio perdita di peso, glicemia o infarti. Il più importante viene stabilito prima dell’inizio dello studio come endpoint primario.</w:t>
      </w:r>
    </w:p>
    <w:p>
      <w:pPr>
        <w:pStyle w:val="BodyText"/>
      </w:pPr>
      <w:r>
        <w:rPr>
          <w:bCs/>
          <w:b/>
        </w:rPr>
        <w:t xml:space="preserve">Endpoint clinico forte</w:t>
      </w:r>
      <w:r>
        <w:t xml:space="preserve">: Un risultato di studio che conta direttamente per i pazienti, per esempio morte, infarto, ictus o frattura ossea.</w:t>
      </w:r>
    </w:p>
    <w:p>
      <w:pPr>
        <w:pStyle w:val="BodyText"/>
      </w:pPr>
      <w:r>
        <w:rPr>
          <w:bCs/>
          <w:b/>
        </w:rPr>
        <w:t xml:space="preserve">Endpoint surrogato</w:t>
      </w:r>
      <w:r>
        <w:t xml:space="preserve">: Un valore misurato usato al posto di un evento clinicamente rilevante, per esempio la glicemia invece dell’infarto. Il miglioramento di un surrogato non significa automaticamente un beneficio per i pazienti.</w:t>
      </w:r>
    </w:p>
    <w:p>
      <w:pPr>
        <w:pStyle w:val="BodyText"/>
      </w:pPr>
      <w:r>
        <w:rPr>
          <w:bCs/>
          <w:b/>
        </w:rPr>
        <w:t xml:space="preserve">Esenzione a fini terapeutici (Therapeutic Use Exemption, TUE)</w:t>
      </w:r>
      <w:r>
        <w:t xml:space="preserve">: Un’autorizzazione medica eccezionale nello sport, che consente l’uso di un farmaco proibito ma necessario dal punto di vista medico.</w:t>
      </w:r>
    </w:p>
    <w:p>
      <w:pPr>
        <w:pStyle w:val="BodyText"/>
      </w:pPr>
      <w:r>
        <w:rPr>
          <w:bCs/>
          <w:b/>
        </w:rPr>
        <w:t xml:space="preserve">Estimando</w:t>
      </w:r>
      <w:r>
        <w:t xml:space="preserve">: Una descrizione precisa di quale effetto del trattamento venga stimato in uno studio – per esempio indipendentemente dal fatto che i partecipanti interrompano il trattamento, oppure solo per il periodo di effettiva assunzione.</w:t>
      </w:r>
    </w:p>
    <w:p>
      <w:pPr>
        <w:pStyle w:val="BodyText"/>
      </w:pPr>
      <w:r>
        <w:rPr>
          <w:bCs/>
          <w:b/>
        </w:rPr>
        <w:t xml:space="preserve">EudraVigilance</w:t>
      </w:r>
      <w:r>
        <w:t xml:space="preserve">: La banca dati dell’Agenzia europea per i medicinali per le segnalazioni di sospette reazioni avverse.</w:t>
      </w:r>
    </w:p>
    <w:p>
      <w:pPr>
        <w:pStyle w:val="BodyText"/>
      </w:pPr>
      <w:r>
        <w:rPr>
          <w:bCs/>
          <w:b/>
        </w:rPr>
        <w:t xml:space="preserve">Evento avverso</w:t>
      </w:r>
      <w:r>
        <w:t xml:space="preserve">: Qualsiasi problema di salute che si verifica durante uno studio, indipendentemente dal fatto che sia causato dal trattamento. Solo il confronto con il gruppo di controllo mostra se un nesso è probabile.</w:t>
      </w:r>
    </w:p>
    <w:bookmarkEnd w:id="2982"/>
    <w:bookmarkStart w:id="2983" w:name="f"/>
    <w:p>
      <w:pPr>
        <w:pStyle w:val="Heading3"/>
      </w:pPr>
      <w:r>
        <w:t xml:space="preserve">F</w:t>
      </w:r>
    </w:p>
    <w:p>
      <w:pPr>
        <w:pStyle w:val="FirstParagraph"/>
      </w:pPr>
      <w:r>
        <w:rPr>
          <w:bCs/>
          <w:b/>
        </w:rPr>
        <w:t xml:space="preserve">FAERS</w:t>
      </w:r>
      <w:r>
        <w:t xml:space="preserve">: Il sistema di segnalazione dell’autorità statunitense per i farmaci FDA per le sospette reazioni avverse.</w:t>
      </w:r>
    </w:p>
    <w:p>
      <w:pPr>
        <w:pStyle w:val="BodyText"/>
      </w:pPr>
      <w:r>
        <w:rPr>
          <w:bCs/>
          <w:b/>
        </w:rPr>
        <w:t xml:space="preserve">Farmaco biologico</w:t>
      </w:r>
      <w:r>
        <w:t xml:space="preserve">: Un farmaco il cui principio attivo è prodotto con l’aiuto di cellule viventi, per esempio con tecniche di ingegneria genetica in batteri o cellule di mammifero. Ne fanno parte molti peptidi più grandi e tutti i farmaci anticorpali.</w:t>
      </w:r>
    </w:p>
    <w:p>
      <w:pPr>
        <w:pStyle w:val="BodyText"/>
      </w:pPr>
      <w:r>
        <w:rPr>
          <w:bCs/>
          <w:b/>
        </w:rPr>
        <w:t xml:space="preserve">Farmacocinetica</w:t>
      </w:r>
      <w:r>
        <w:t xml:space="preserve">: La disciplina che studia che cosa fa il corpo con un principio attivo – assorbimento, distribuzione, degradazione ed eliminazione.</w:t>
      </w:r>
    </w:p>
    <w:p>
      <w:pPr>
        <w:pStyle w:val="BodyText"/>
      </w:pPr>
      <w:r>
        <w:rPr>
          <w:bCs/>
          <w:b/>
        </w:rPr>
        <w:t xml:space="preserve">Farmacodinamica</w:t>
      </w:r>
      <w:r>
        <w:t xml:space="preserve">: La disciplina che studia che cosa fa un principio attivo nel corpo – cioè i suoi effetti e meccanismi d’azione.</w:t>
      </w:r>
    </w:p>
    <w:p>
      <w:pPr>
        <w:pStyle w:val="BodyText"/>
      </w:pPr>
      <w:r>
        <w:rPr>
          <w:bCs/>
          <w:b/>
        </w:rPr>
        <w:t xml:space="preserve">Farmacovigilanza</w:t>
      </w:r>
      <w:r>
        <w:t xml:space="preserve">: Il monitoraggio sistematico dei farmaci dopo l’autorizzazione, per riconoscere e valutare gli effetti collaterali.</w:t>
      </w:r>
    </w:p>
    <w:p>
      <w:pPr>
        <w:pStyle w:val="BodyText"/>
      </w:pPr>
      <w:r>
        <w:rPr>
          <w:bCs/>
          <w:b/>
        </w:rPr>
        <w:t xml:space="preserve">Fasi degli studi</w:t>
      </w:r>
      <w:r>
        <w:t xml:space="preserve">: Gli stadi della sperimentazione dei farmaci sull’uomo, dalla fase 1 (tollerabilità su poche persone) alla fase 3 (grandi studi comparativi) e alla fase 4 (osservazione dopo l’autorizzazione).</w:t>
      </w:r>
    </w:p>
    <w:bookmarkEnd w:id="2983"/>
    <w:bookmarkStart w:id="2984" w:name="g"/>
    <w:p>
      <w:pPr>
        <w:pStyle w:val="Heading3"/>
      </w:pPr>
      <w:r>
        <w:t xml:space="preserve">G</w:t>
      </w:r>
    </w:p>
    <w:p>
      <w:pPr>
        <w:pStyle w:val="FirstParagraph"/>
      </w:pPr>
      <w:r>
        <w:rPr>
          <w:bCs/>
          <w:b/>
        </w:rPr>
        <w:t xml:space="preserve">GHRH (ormone di rilascio dell’ormone della crescita)</w:t>
      </w:r>
      <w:r>
        <w:t xml:space="preserve">: Un ormone dell’ipotalamo che stimola l’ipofisi a secernere ormone della crescita. Sermorelina, tesamorelina e CJC-1295 ne sono derivati.</w:t>
      </w:r>
    </w:p>
    <w:p>
      <w:pPr>
        <w:pStyle w:val="BodyText"/>
      </w:pPr>
      <w:r>
        <w:rPr>
          <w:bCs/>
          <w:b/>
        </w:rPr>
        <w:t xml:space="preserve">GHRP (peptidi di rilascio dell’ormone della crescita)</w:t>
      </w:r>
      <w:r>
        <w:t xml:space="preserve">: Un gruppo di peptidi sintetici che aumentano la secrezione dell’ormone della crescita tramite il recettore della grelina, per esempio GHRP-2, GHRP-6, hexarelin e ipamorelina.</w:t>
      </w:r>
    </w:p>
    <w:p>
      <w:pPr>
        <w:pStyle w:val="BodyText"/>
      </w:pPr>
      <w:r>
        <w:rPr>
          <w:bCs/>
          <w:b/>
        </w:rPr>
        <w:t xml:space="preserve">GIP (polipeptide insulinotropico glucosio-dipendente)</w:t>
      </w:r>
      <w:r>
        <w:t xml:space="preserve">: Un ormone intestinale del gruppo delle incretine. Tirzepatide attiva, oltre al recettore del GLP-1, anche il recettore del GIP.</w:t>
      </w:r>
    </w:p>
    <w:p>
      <w:pPr>
        <w:pStyle w:val="BodyText"/>
      </w:pPr>
      <w:r>
        <w:rPr>
          <w:bCs/>
          <w:b/>
        </w:rPr>
        <w:t xml:space="preserve">GLP-1 (peptide simil-glucagone 1)</w:t>
      </w:r>
      <w:r>
        <w:t xml:space="preserve">: Un ormone intestinale secreto dopo i pasti, che potenzia il rilascio di insulina in funzione della glicemia, rallenta lo svuotamento gastrico e influenza il senso di sazietà.</w:t>
      </w:r>
    </w:p>
    <w:p>
      <w:pPr>
        <w:pStyle w:val="BodyText"/>
      </w:pPr>
      <w:r>
        <w:rPr>
          <w:bCs/>
          <w:b/>
        </w:rPr>
        <w:t xml:space="preserve">Glucagone</w:t>
      </w:r>
      <w:r>
        <w:t xml:space="preserve">: Un ormone peptidico del pancreas che aumenta la glicemia. Alcuni nuovi principi attivi attivano anche il recettore del glucagone.</w:t>
      </w:r>
    </w:p>
    <w:p>
      <w:pPr>
        <w:pStyle w:val="BodyText"/>
      </w:pPr>
      <w:r>
        <w:rPr>
          <w:bCs/>
          <w:b/>
        </w:rPr>
        <w:t xml:space="preserve">GnRH (ormone di rilascio delle gonadotropine)</w:t>
      </w:r>
      <w:r>
        <w:t xml:space="preserve">: Un ormone dell’ipotalamo che regola la secrezione degli ormoni LH e FSH, che controllano gli ormoni sessuali. La gonadorelina ne è una forma sintetica.</w:t>
      </w:r>
    </w:p>
    <w:p>
      <w:pPr>
        <w:pStyle w:val="BodyText"/>
      </w:pPr>
      <w:r>
        <w:rPr>
          <w:bCs/>
          <w:b/>
        </w:rPr>
        <w:t xml:space="preserve">Grelina</w:t>
      </w:r>
      <w:r>
        <w:t xml:space="preserve">: Un ormone peptidico prodotto soprattutto nello stomaco, che provoca fame e stimola la secrezione dell’ormone della crescita.</w:t>
      </w:r>
    </w:p>
    <w:p>
      <w:pPr>
        <w:pStyle w:val="BodyText"/>
      </w:pPr>
      <w:r>
        <w:rPr>
          <w:bCs/>
          <w:b/>
        </w:rPr>
        <w:t xml:space="preserve">Gruppo di controllo</w:t>
      </w:r>
      <w:r>
        <w:t xml:space="preserve">: Il gruppo di confronto in uno studio, che non riceve il principio attivo, ma un placebo o un trattamento standard.</w:t>
      </w:r>
    </w:p>
    <w:bookmarkEnd w:id="2984"/>
    <w:bookmarkStart w:id="2985" w:name="h"/>
    <w:p>
      <w:pPr>
        <w:pStyle w:val="Heading3"/>
      </w:pPr>
      <w:r>
        <w:t xml:space="preserve">H</w:t>
      </w:r>
    </w:p>
    <w:p>
      <w:pPr>
        <w:pStyle w:val="FirstParagraph"/>
      </w:pPr>
      <w:r>
        <w:rPr>
          <w:bCs/>
          <w:b/>
        </w:rPr>
        <w:t xml:space="preserve">Hazard ratio</w:t>
      </w:r>
      <w:r>
        <w:t xml:space="preserve">: Una misura di come il rischio di un evento differisca nel tempo tra due gruppi. Un valore di 0,80 indica un rischio relativo inferiore di circa il 20%.</w:t>
      </w:r>
    </w:p>
    <w:p>
      <w:pPr>
        <w:pStyle w:val="BodyText"/>
      </w:pPr>
      <w:r>
        <w:rPr>
          <w:bCs/>
          <w:b/>
        </w:rPr>
        <w:t xml:space="preserve">HbA1c</w:t>
      </w:r>
      <w:r>
        <w:t xml:space="preserve">: La quota del pigmento rosso del sangue a cui è legato lo zucchero. Rispecchia la glicemia media degli ultimi due o tre mesi ed è un importante endpoint surrogato negli studi sul diabete.</w:t>
      </w:r>
    </w:p>
    <w:p>
      <w:pPr>
        <w:pStyle w:val="BodyText"/>
      </w:pPr>
      <w:r>
        <w:rPr>
          <w:bCs/>
          <w:b/>
        </w:rPr>
        <w:t xml:space="preserve">HPLC (cromatografia liquida ad alte prestazioni)</w:t>
      </w:r>
      <w:r>
        <w:t xml:space="preserve">: Un metodo di laboratorio con cui è possibile separare miscele di sostanze e determinare la purezza dei peptidi.</w:t>
      </w:r>
    </w:p>
    <w:bookmarkEnd w:id="2985"/>
    <w:bookmarkStart w:id="2986" w:name="i"/>
    <w:p>
      <w:pPr>
        <w:pStyle w:val="Heading3"/>
      </w:pPr>
      <w:r>
        <w:t xml:space="preserve">I</w:t>
      </w:r>
    </w:p>
    <w:p>
      <w:pPr>
        <w:pStyle w:val="FirstParagraph"/>
      </w:pPr>
      <w:r>
        <w:rPr>
          <w:bCs/>
          <w:b/>
        </w:rPr>
        <w:t xml:space="preserve">Idrolizzato</w:t>
      </w:r>
      <w:r>
        <w:t xml:space="preserve">: Una miscela di frammenti che si forma quando le proteine vengono scisse con enzimi o acidi. I peptidi di collagene si ottengono in questo modo.</w:t>
      </w:r>
    </w:p>
    <w:p>
      <w:pPr>
        <w:pStyle w:val="BodyText"/>
      </w:pPr>
      <w:r>
        <w:rPr>
          <w:bCs/>
          <w:b/>
        </w:rPr>
        <w:t xml:space="preserve">IGF-1 (fattore di crescita insulino-simile 1)</w:t>
      </w:r>
      <w:r>
        <w:t xml:space="preserve">: Un fattore di crescita prodotto soprattutto nel fegato sotto l’influenza dell’ormone della crescita. Media molti effetti dell’ormone della crescita e serve come valore di laboratorio per valutarlo.</w:t>
      </w:r>
    </w:p>
    <w:p>
      <w:pPr>
        <w:pStyle w:val="BodyText"/>
      </w:pPr>
      <w:r>
        <w:rPr>
          <w:bCs/>
          <w:b/>
        </w:rPr>
        <w:t xml:space="preserve">Immunogenicità</w:t>
      </w:r>
      <w:r>
        <w:t xml:space="preserve">: La proprietà di una sostanza di scatenare una reazione del sistema immunitario, per esempio la formazione di anticorpi.</w:t>
      </w:r>
    </w:p>
    <w:p>
      <w:pPr>
        <w:pStyle w:val="BodyText"/>
      </w:pPr>
      <w:r>
        <w:rPr>
          <w:bCs/>
          <w:b/>
        </w:rPr>
        <w:t xml:space="preserve">Impurità</w:t>
      </w:r>
      <w:r>
        <w:t xml:space="preserve">: Componenti indesiderati di un prodotto, per esempio catene peptidiche difettose derivanti dalla sintesi, residui di solventi, metalli o componenti batterici.</w:t>
      </w:r>
    </w:p>
    <w:p>
      <w:pPr>
        <w:pStyle w:val="BodyText"/>
      </w:pPr>
      <w:r>
        <w:rPr>
          <w:bCs/>
          <w:b/>
        </w:rPr>
        <w:t xml:space="preserve">In vitro</w:t>
      </w:r>
      <w:r>
        <w:t xml:space="preserve">: «Nel vetro» – esperimenti in laboratorio su cellule, tessuti o molecole isolate al di fuori di un organismo vivente.</w:t>
      </w:r>
    </w:p>
    <w:p>
      <w:pPr>
        <w:pStyle w:val="BodyText"/>
      </w:pPr>
      <w:r>
        <w:rPr>
          <w:bCs/>
          <w:b/>
        </w:rPr>
        <w:t xml:space="preserve">Incretine</w:t>
      </w:r>
      <w:r>
        <w:t xml:space="preserve">: Ormoni intestinali che dopo un pasto potenziano la secrezione di insulina. I più importanti sono GLP-1 e GIP.</w:t>
      </w:r>
    </w:p>
    <w:p>
      <w:pPr>
        <w:pStyle w:val="BodyText"/>
      </w:pPr>
      <w:r>
        <w:rPr>
          <w:bCs/>
          <w:b/>
        </w:rPr>
        <w:t xml:space="preserve">Insulina</w:t>
      </w:r>
      <w:r>
        <w:t xml:space="preserve">: Un ormone peptidico del pancreas composto da 51 amminoacidi, che abbassa la glicemia. Nel 1922 è stato il primo peptide usato come farmaco.</w:t>
      </w:r>
    </w:p>
    <w:p>
      <w:pPr>
        <w:pStyle w:val="BodyText"/>
      </w:pPr>
      <w:r>
        <w:rPr>
          <w:bCs/>
          <w:b/>
        </w:rPr>
        <w:t xml:space="preserve">Integratore alimentare</w:t>
      </w:r>
      <w:r>
        <w:t xml:space="preserve">: Un alimento destinato a integrare la normale alimentazione con nutrienti o altre sostanze. Non ha bisogno di autorizzazione, ma non può avere un effetto farmacologico.</w:t>
      </w:r>
    </w:p>
    <w:p>
      <w:pPr>
        <w:pStyle w:val="BodyText"/>
      </w:pPr>
      <w:r>
        <w:rPr>
          <w:bCs/>
          <w:b/>
        </w:rPr>
        <w:t xml:space="preserve">Intervallo di confidenza</w:t>
      </w:r>
      <w:r>
        <w:t xml:space="preserve">: Un intervallo attorno a un risultato di studio in cui il valore vero si trova con una determinata probabilità (di solito 95%). Intervalli ampi indicano una stima incerta.</w:t>
      </w:r>
    </w:p>
    <w:p>
      <w:pPr>
        <w:pStyle w:val="BodyText"/>
      </w:pPr>
      <w:r>
        <w:rPr>
          <w:bCs/>
          <w:b/>
        </w:rPr>
        <w:t xml:space="preserve">Ipofisi</w:t>
      </w:r>
      <w:r>
        <w:t xml:space="preserve">: Una piccola ghiandola endocrina alla base del cranio, che secerne tra l’altro l’ormone della crescita e gli ormoni di controllo per tiroide, surreni e gonadi.</w:t>
      </w:r>
    </w:p>
    <w:p>
      <w:pPr>
        <w:pStyle w:val="BodyText"/>
      </w:pPr>
      <w:r>
        <w:rPr>
          <w:bCs/>
          <w:b/>
        </w:rPr>
        <w:t xml:space="preserve">Ipoglicemia</w:t>
      </w:r>
      <w:r>
        <w:t xml:space="preserve">: Livello di zucchero nel sangue troppo basso. Può provocare tremori, sudorazione, confusione e perdita di coscienza ed è un’emergenza.</w:t>
      </w:r>
    </w:p>
    <w:p>
      <w:pPr>
        <w:pStyle w:val="BodyText"/>
      </w:pPr>
      <w:r>
        <w:rPr>
          <w:bCs/>
          <w:b/>
        </w:rPr>
        <w:t xml:space="preserve">Ipotalamo</w:t>
      </w:r>
      <w:r>
        <w:t xml:space="preserve">: Una regione del cervello che controlla l’ipofisi tramite ormoni di rilascio ed è coinvolta in fame, sete, sonno e temperatura corporea.</w:t>
      </w:r>
    </w:p>
    <w:bookmarkEnd w:id="2986"/>
    <w:bookmarkStart w:id="2987" w:name="l"/>
    <w:p>
      <w:pPr>
        <w:pStyle w:val="Heading3"/>
      </w:pPr>
      <w:r>
        <w:t xml:space="preserve">L</w:t>
      </w:r>
    </w:p>
    <w:p>
      <w:pPr>
        <w:pStyle w:val="FirstParagraph"/>
      </w:pPr>
      <w:r>
        <w:rPr>
          <w:bCs/>
          <w:b/>
        </w:rPr>
        <w:t xml:space="preserve">Legame peptidico</w:t>
      </w:r>
      <w:r>
        <w:t xml:space="preserve">: Il legame chimico tra il gruppo acido di un amminoacido e il gruppo amminico del successivo, durante la cui formazione viene eliminata acqua.</w:t>
      </w:r>
    </w:p>
    <w:p>
      <w:pPr>
        <w:pStyle w:val="BodyText"/>
      </w:pPr>
      <w:r>
        <w:rPr>
          <w:bCs/>
          <w:b/>
        </w:rPr>
        <w:t xml:space="preserve">Liofilizzato</w:t>
      </w:r>
      <w:r>
        <w:t xml:space="preserve">: Una polvere essiccata a freddo. Molti peptidi vengono conservati in questa forma e devono essere sciolti in un liquido prima dell’uso.</w:t>
      </w:r>
    </w:p>
    <w:p>
      <w:pPr>
        <w:pStyle w:val="BodyText"/>
      </w:pPr>
      <w:r>
        <w:rPr>
          <w:bCs/>
          <w:b/>
        </w:rPr>
        <w:t xml:space="preserve">Livello di evidenza</w:t>
      </w:r>
      <w:r>
        <w:t xml:space="preserve">: In questo libro una classificazione da A a D di quanto bene sia dimostrato l’effetto di un peptide sull’uomo. A indica più grandi studi randomizzati e un’autorizzazione, D esclusivamente studi sugli animali e di laboratorio.</w:t>
      </w:r>
    </w:p>
    <w:bookmarkEnd w:id="2987"/>
    <w:bookmarkStart w:id="2988" w:name="m"/>
    <w:p>
      <w:pPr>
        <w:pStyle w:val="Heading3"/>
      </w:pPr>
      <w:r>
        <w:t xml:space="preserve">M</w:t>
      </w:r>
    </w:p>
    <w:p>
      <w:pPr>
        <w:pStyle w:val="FirstParagraph"/>
      </w:pPr>
      <w:r>
        <w:rPr>
          <w:bCs/>
          <w:b/>
        </w:rPr>
        <w:t xml:space="preserve">Medicinale</w:t>
      </w:r>
      <w:r>
        <w:t xml:space="preserve">: Una sostanza o una preparazione destinata a curare, alleviare o prevenire malattie, o che influenza funzioni corporee per via farmacologica, immunologica o metabolica. Nell’UE un medicinale ha bisogno di un’autorizzazione prima della vendita.</w:t>
      </w:r>
    </w:p>
    <w:p>
      <w:pPr>
        <w:pStyle w:val="BodyText"/>
      </w:pPr>
      <w:r>
        <w:rPr>
          <w:bCs/>
          <w:b/>
        </w:rPr>
        <w:t xml:space="preserve">Medicinale per funzione</w:t>
      </w:r>
      <w:r>
        <w:t xml:space="preserve">: Termine giuridico per un prodotto che è considerato un medicinale per il suo effetto farmacologico, immunologico o metabolico – indipendentemente da come viene pubblicizzato.</w:t>
      </w:r>
    </w:p>
    <w:p>
      <w:pPr>
        <w:pStyle w:val="BodyText"/>
      </w:pPr>
      <w:r>
        <w:rPr>
          <w:bCs/>
          <w:b/>
        </w:rPr>
        <w:t xml:space="preserve">Medicinale per presentazione</w:t>
      </w:r>
      <w:r>
        <w:t xml:space="preserve">: Termine giuridico per un prodotto che è considerato un medicinale perché viene presentato o pubblicizzato come rimedio contro le malattie.</w:t>
      </w:r>
    </w:p>
    <w:p>
      <w:pPr>
        <w:pStyle w:val="BodyText"/>
      </w:pPr>
      <w:r>
        <w:rPr>
          <w:bCs/>
          <w:b/>
        </w:rPr>
        <w:t xml:space="preserve">Meta-analisi</w:t>
      </w:r>
      <w:r>
        <w:t xml:space="preserve">: Una sintesi statistica dei risultati di più studi sulla stessa domanda. È valida solo quanto gli studi che vi confluiscono.</w:t>
      </w:r>
    </w:p>
    <w:p>
      <w:pPr>
        <w:pStyle w:val="BodyText"/>
      </w:pPr>
      <w:r>
        <w:rPr>
          <w:bCs/>
          <w:b/>
        </w:rPr>
        <w:t xml:space="preserve">Mimetico</w:t>
      </w:r>
      <w:r>
        <w:t xml:space="preserve">: Una sostanza che imita l’effetto di un’altra senza averne la struttura – per esempio una piccola molecola che attiva un recettore come un ormone peptidico.</w:t>
      </w:r>
    </w:p>
    <w:bookmarkEnd w:id="2988"/>
    <w:bookmarkStart w:id="2989" w:name="n"/>
    <w:p>
      <w:pPr>
        <w:pStyle w:val="Heading3"/>
      </w:pPr>
      <w:r>
        <w:t xml:space="preserve">N</w:t>
      </w:r>
    </w:p>
    <w:p>
      <w:pPr>
        <w:pStyle w:val="FirstParagraph"/>
      </w:pPr>
      <w:r>
        <w:rPr>
          <w:bCs/>
          <w:b/>
        </w:rPr>
        <w:t xml:space="preserve">N-terminale</w:t>
      </w:r>
      <w:r>
        <w:t xml:space="preserve">: L’inizio di una catena peptidica con il gruppo amminico libero.</w:t>
      </w:r>
    </w:p>
    <w:p>
      <w:pPr>
        <w:pStyle w:val="BodyText"/>
      </w:pPr>
      <w:r>
        <w:rPr>
          <w:bCs/>
          <w:b/>
        </w:rPr>
        <w:t xml:space="preserve">Novel Food</w:t>
      </w:r>
      <w:r>
        <w:t xml:space="preserve">: Nell’UE un alimento o un ingrediente che non è stato consumato in misura significativa prima del 15 maggio 1997. Questi prodotti hanno bisogno di un’autorizzazione prima della vendita.</w:t>
      </w:r>
    </w:p>
    <w:p>
      <w:pPr>
        <w:pStyle w:val="BodyText"/>
      </w:pPr>
      <w:r>
        <w:rPr>
          <w:bCs/>
          <w:b/>
        </w:rPr>
        <w:t xml:space="preserve">Number Needed to Treat (NNT)</w:t>
      </w:r>
      <w:r>
        <w:t xml:space="preserve">: Il numero di persone che devono essere trattate per un certo periodo affinché una persona eviti un evento. Si calcola dalla riduzione del rischio assoluto.</w:t>
      </w:r>
    </w:p>
    <w:p>
      <w:pPr>
        <w:pStyle w:val="BodyText"/>
      </w:pPr>
      <w:r>
        <w:rPr>
          <w:bCs/>
          <w:b/>
        </w:rPr>
        <w:t xml:space="preserve">Numero NCT</w:t>
      </w:r>
      <w:r>
        <w:t xml:space="preserve">: Il numero identificativo di uno studio nel registro ClinicalTrials.gov, composto da «NCT» e otto cifre.</w:t>
      </w:r>
    </w:p>
    <w:bookmarkEnd w:id="2989"/>
    <w:bookmarkStart w:id="2990" w:name="o"/>
    <w:p>
      <w:pPr>
        <w:pStyle w:val="Heading3"/>
      </w:pPr>
      <w:r>
        <w:t xml:space="preserve">O</w:t>
      </w:r>
    </w:p>
    <w:p>
      <w:pPr>
        <w:pStyle w:val="FirstParagraph"/>
      </w:pPr>
      <w:r>
        <w:rPr>
          <w:bCs/>
          <w:b/>
        </w:rPr>
        <w:t xml:space="preserve">Obesità</w:t>
      </w:r>
      <w:r>
        <w:t xml:space="preserve">: Eccesso di peso patologico, per lo più definito come un indice di massa corporea pari o superiore a 30. È considerata una malattia cronica con un rischio aumentato di diabete, malattie cardiovascolari e articolari.</w:t>
      </w:r>
    </w:p>
    <w:p>
      <w:pPr>
        <w:pStyle w:val="BodyText"/>
      </w:pPr>
      <w:r>
        <w:rPr>
          <w:bCs/>
          <w:b/>
        </w:rPr>
        <w:t xml:space="preserve">Oligopeptide</w:t>
      </w:r>
      <w:r>
        <w:t xml:space="preserve">: Un peptide breve composto da circa due a dieci amminoacidi.</w:t>
      </w:r>
    </w:p>
    <w:p>
      <w:pPr>
        <w:pStyle w:val="BodyText"/>
      </w:pPr>
      <w:r>
        <w:rPr>
          <w:bCs/>
          <w:b/>
        </w:rPr>
        <w:t xml:space="preserve">Ormone della crescita (somatotropina)</w:t>
      </w:r>
      <w:r>
        <w:t xml:space="preserve">: Una proteina dell’ipofisi che influenza crescita, metabolismo e composizione corporea. Molti peptidi di questo libro dovrebbero aumentarne la secrezione.</w:t>
      </w:r>
    </w:p>
    <w:bookmarkEnd w:id="2990"/>
    <w:bookmarkStart w:id="2991" w:name="p"/>
    <w:p>
      <w:pPr>
        <w:pStyle w:val="Heading3"/>
      </w:pPr>
      <w:r>
        <w:t xml:space="preserve">P</w:t>
      </w:r>
    </w:p>
    <w:p>
      <w:pPr>
        <w:pStyle w:val="FirstParagraph"/>
      </w:pPr>
      <w:r>
        <w:rPr>
          <w:bCs/>
          <w:b/>
        </w:rPr>
        <w:t xml:space="preserve">Pancreatite</w:t>
      </w:r>
      <w:r>
        <w:t xml:space="preserve">: Infiammazione del pancreas. Viene discussa come possibile effetto collaterale raro dei farmaci GLP-1.</w:t>
      </w:r>
    </w:p>
    <w:p>
      <w:pPr>
        <w:pStyle w:val="BodyText"/>
      </w:pPr>
      <w:r>
        <w:rPr>
          <w:bCs/>
          <w:b/>
        </w:rPr>
        <w:t xml:space="preserve">Peptide</w:t>
      </w:r>
      <w:r>
        <w:t xml:space="preserve">: Una catena di amminoacidi uniti da legami peptidici. A partire da circa 50 amminoacidi si parla di solito di proteina.</w:t>
      </w:r>
    </w:p>
    <w:p>
      <w:pPr>
        <w:pStyle w:val="BodyText"/>
      </w:pPr>
      <w:r>
        <w:rPr>
          <w:bCs/>
          <w:b/>
        </w:rPr>
        <w:t xml:space="preserve">Peptide ciclico</w:t>
      </w:r>
      <w:r>
        <w:t xml:space="preserve">: Un peptide la cui catena è chiusa ad anello. Le strutture ad anello rendono spesso i peptidi più stabili nei confronti degli enzimi.</w:t>
      </w:r>
    </w:p>
    <w:p>
      <w:pPr>
        <w:pStyle w:val="BodyText"/>
      </w:pPr>
      <w:r>
        <w:rPr>
          <w:bCs/>
          <w:b/>
        </w:rPr>
        <w:t xml:space="preserve">Peptidi antimicrobici</w:t>
      </w:r>
      <w:r>
        <w:t xml:space="preserve">: Peptidi endogeni che fanno parte delle difese immunitarie innate e possono danneggiare batteri, funghi o virus. Un esempio è LL-37.</w:t>
      </w:r>
    </w:p>
    <w:p>
      <w:pPr>
        <w:pStyle w:val="BodyText"/>
      </w:pPr>
      <w:r>
        <w:rPr>
          <w:bCs/>
          <w:b/>
        </w:rPr>
        <w:t xml:space="preserve">Piramide delle evidenze</w:t>
      </w:r>
      <w:r>
        <w:t xml:space="preserve">: Una gerarchia dei tipi di studio in base al loro valore probatorio, dagli studi di laboratorio e sugli animali in basso fino alle meta-analisi di studi randomizzati in alto.</w:t>
      </w:r>
    </w:p>
    <w:p>
      <w:pPr>
        <w:pStyle w:val="BodyText"/>
      </w:pPr>
      <w:r>
        <w:rPr>
          <w:bCs/>
          <w:b/>
        </w:rPr>
        <w:t xml:space="preserve">Placebo</w:t>
      </w:r>
      <w:r>
        <w:t xml:space="preserve">: Un preparato fittizio senza principio attivo, usato negli studi come confronto.</w:t>
      </w:r>
    </w:p>
    <w:p>
      <w:pPr>
        <w:pStyle w:val="BodyText"/>
      </w:pPr>
      <w:r>
        <w:rPr>
          <w:bCs/>
          <w:b/>
        </w:rPr>
        <w:t xml:space="preserve">PMID</w:t>
      </w:r>
      <w:r>
        <w:t xml:space="preserve">: Il numero identificativo PubMed, un numero univoco per ogni voce nella banca dati bibliografica PubMed.</w:t>
      </w:r>
    </w:p>
    <w:p>
      <w:pPr>
        <w:pStyle w:val="BodyText"/>
      </w:pPr>
      <w:r>
        <w:rPr>
          <w:bCs/>
          <w:b/>
        </w:rPr>
        <w:t xml:space="preserve">Polipeptide</w:t>
      </w:r>
      <w:r>
        <w:t xml:space="preserve">: Una catena peptidica più lunga, per lo più con più di dieci amminoacidi.</w:t>
      </w:r>
    </w:p>
    <w:p>
      <w:pPr>
        <w:pStyle w:val="BodyText"/>
      </w:pPr>
      <w:r>
        <w:rPr>
          <w:bCs/>
          <w:b/>
        </w:rPr>
        <w:t xml:space="preserve">Preprint</w:t>
      </w:r>
      <w:r>
        <w:t xml:space="preserve">: Un lavoro scientifico reso pubblico prima della revisione da parte di esperti.</w:t>
      </w:r>
    </w:p>
    <w:p>
      <w:pPr>
        <w:pStyle w:val="BodyText"/>
      </w:pPr>
      <w:r>
        <w:rPr>
          <w:bCs/>
          <w:b/>
        </w:rPr>
        <w:t xml:space="preserve">Prodotto cosmetico</w:t>
      </w:r>
      <w:r>
        <w:t xml:space="preserve">: Un prodotto per uso esterno che pulisce, cura, protegge o modifica l’aspetto. Non può rivendicare un effetto medicinale e nell’UE non ha bisogno di autorizzazione.</w:t>
      </w:r>
    </w:p>
    <w:p>
      <w:pPr>
        <w:pStyle w:val="BodyText"/>
      </w:pPr>
      <w:r>
        <w:rPr>
          <w:bCs/>
          <w:b/>
        </w:rPr>
        <w:t xml:space="preserve">Proteasi</w:t>
      </w:r>
      <w:r>
        <w:t xml:space="preserve">: Un enzima che scinde i legami peptidici e degrada così proteine e peptidi. Chiamato anche peptidasi.</w:t>
      </w:r>
    </w:p>
    <w:p>
      <w:pPr>
        <w:pStyle w:val="BodyText"/>
      </w:pPr>
      <w:r>
        <w:rPr>
          <w:bCs/>
          <w:b/>
        </w:rPr>
        <w:t xml:space="preserve">Proteina</w:t>
      </w:r>
      <w:r>
        <w:t xml:space="preserve">: Una grande molecola proteica composta per lo più da più di 50 amminoacidi, con un determinato ripiegamento spaziale.</w:t>
      </w:r>
    </w:p>
    <w:p>
      <w:pPr>
        <w:pStyle w:val="BodyText"/>
      </w:pPr>
      <w:r>
        <w:rPr>
          <w:bCs/>
          <w:b/>
        </w:rPr>
        <w:t xml:space="preserve">PubMed</w:t>
      </w:r>
      <w:r>
        <w:t xml:space="preserve">: Una banca dati bibliografica liberamente accessibile della National Library of Medicine statunitense, con milioni di voci della ricerca biomedica.</w:t>
      </w:r>
    </w:p>
    <w:bookmarkEnd w:id="2991"/>
    <w:bookmarkStart w:id="2992" w:name="r"/>
    <w:p>
      <w:pPr>
        <w:pStyle w:val="Heading3"/>
      </w:pPr>
      <w:r>
        <w:t xml:space="preserve">R</w:t>
      </w:r>
    </w:p>
    <w:p>
      <w:pPr>
        <w:pStyle w:val="FirstParagraph"/>
      </w:pPr>
      <w:r>
        <w:rPr>
          <w:bCs/>
          <w:b/>
        </w:rPr>
        <w:t xml:space="preserve">Rabdomiolisi</w:t>
      </w:r>
      <w:r>
        <w:t xml:space="preserve">: Una disgregazione del tessuto muscolare in cui componenti muscolari passano nel sangue e possono danneggiare i reni.</w:t>
      </w:r>
    </w:p>
    <w:p>
      <w:pPr>
        <w:pStyle w:val="BodyText"/>
      </w:pPr>
      <w:r>
        <w:rPr>
          <w:bCs/>
          <w:b/>
        </w:rPr>
        <w:t xml:space="preserve">Randomizzazione</w:t>
      </w:r>
      <w:r>
        <w:t xml:space="preserve">: L’assegnazione casuale dei partecipanti ai gruppi di uno studio. Fa sì che i gruppi differiscano sistematicamente solo per il trattamento.</w:t>
      </w:r>
    </w:p>
    <w:p>
      <w:pPr>
        <w:pStyle w:val="BodyText"/>
      </w:pPr>
      <w:r>
        <w:rPr>
          <w:bCs/>
          <w:b/>
        </w:rPr>
        <w:t xml:space="preserve">RCT (studio randomizzato controllato)</w:t>
      </w:r>
      <w:r>
        <w:t xml:space="preserve">: Uno studio con assegnazione casuale a un gruppo di trattamento e a un gruppo di controllo. È considerato il modo più affidabile per dimostrare l’effetto di un trattamento.</w:t>
      </w:r>
    </w:p>
    <w:p>
      <w:pPr>
        <w:pStyle w:val="BodyText"/>
      </w:pPr>
      <w:r>
        <w:rPr>
          <w:bCs/>
          <w:b/>
        </w:rPr>
        <w:t xml:space="preserve">Recettore</w:t>
      </w:r>
      <w:r>
        <w:t xml:space="preserve">: Una molecola proteica, per lo più sulla superficie cellulare, a cui si lega un messaggero, scatenando così un segnale nella cellula.</w:t>
      </w:r>
    </w:p>
    <w:p>
      <w:pPr>
        <w:pStyle w:val="BodyText"/>
      </w:pPr>
      <w:r>
        <w:rPr>
          <w:bCs/>
          <w:b/>
        </w:rPr>
        <w:t xml:space="preserve">Recettori della melanocortina</w:t>
      </w:r>
      <w:r>
        <w:t xml:space="preserve">: Una famiglia di recettori che influenzano tra l’altro la pigmentazione della pelle, l’appetito e la funzione sessuale. Afamelanotide, bremelanotide, Melanotan II e setmelanotide agiscono su questi recettori.</w:t>
      </w:r>
    </w:p>
    <w:p>
      <w:pPr>
        <w:pStyle w:val="BodyText"/>
      </w:pPr>
      <w:r>
        <w:rPr>
          <w:bCs/>
          <w:b/>
        </w:rPr>
        <w:t xml:space="preserve">Registro degli studi</w:t>
      </w:r>
      <w:r>
        <w:t xml:space="preserve">: Banche dati pubbliche in cui gli studi clinici vengono iscritti prima dell’inizio, per esempio ClinicalTrials.gov o il registro UE.</w:t>
      </w:r>
    </w:p>
    <w:p>
      <w:pPr>
        <w:pStyle w:val="BodyText"/>
      </w:pPr>
      <w:r>
        <w:rPr>
          <w:bCs/>
          <w:b/>
        </w:rPr>
        <w:t xml:space="preserve">Research Peptides</w:t>
      </w:r>
      <w:r>
        <w:t xml:space="preserve">: Peptidi venduti con la dicitura «solo per scopi di ricerca» o «non per uso umano», ma spesso a privati. Non sono farmaci controllati.</w:t>
      </w:r>
    </w:p>
    <w:p>
      <w:pPr>
        <w:pStyle w:val="BodyText"/>
      </w:pPr>
      <w:r>
        <w:rPr>
          <w:bCs/>
          <w:b/>
        </w:rPr>
        <w:t xml:space="preserve">Revisione sistematica</w:t>
      </w:r>
      <w:r>
        <w:t xml:space="preserve">: Un lavoro che, secondo regole stabilite, cerca, valuta e riassume tutti gli studi disponibili su una domanda.</w:t>
      </w:r>
    </w:p>
    <w:p>
      <w:pPr>
        <w:pStyle w:val="BodyText"/>
      </w:pPr>
      <w:r>
        <w:rPr>
          <w:bCs/>
          <w:b/>
        </w:rPr>
        <w:t xml:space="preserve">Riassunto delle caratteristiche del prodotto</w:t>
      </w:r>
      <w:r>
        <w:t xml:space="preserve">: L’informazione approvata dalle autorità su un farmaco autorizzato, destinata a medici e farmacie, con indicazioni, posologia, controindicazioni ed effetti collaterali.</w:t>
      </w:r>
    </w:p>
    <w:p>
      <w:pPr>
        <w:pStyle w:val="BodyText"/>
      </w:pPr>
      <w:r>
        <w:rPr>
          <w:bCs/>
          <w:b/>
        </w:rPr>
        <w:t xml:space="preserve">Ricombinante</w:t>
      </w:r>
      <w:r>
        <w:t xml:space="preserve">: Prodotto con tecniche di ingegneria genetica, inserendo le istruzioni di costruzione di un peptide o di una proteina in batteri, lieviti o altre cellule.</w:t>
      </w:r>
    </w:p>
    <w:p>
      <w:pPr>
        <w:pStyle w:val="BodyText"/>
      </w:pPr>
      <w:r>
        <w:rPr>
          <w:bCs/>
          <w:b/>
        </w:rPr>
        <w:t xml:space="preserve">Riduzione del rischio assoluto</w:t>
      </w:r>
      <w:r>
        <w:t xml:space="preserve">: La differenza nella frequenza di un evento tra due gruppi, espressa in punti percentuali. Se un rischio scende dall’8% al 6,5%, la riduzione del rischio assoluto è di 1,5 punti percentuali.</w:t>
      </w:r>
    </w:p>
    <w:p>
      <w:pPr>
        <w:pStyle w:val="BodyText"/>
      </w:pPr>
      <w:r>
        <w:rPr>
          <w:bCs/>
          <w:b/>
        </w:rPr>
        <w:t xml:space="preserve">Rischio relativo</w:t>
      </w:r>
      <w:r>
        <w:t xml:space="preserve">: Il rapporto tra le frequenze di un evento in due gruppi. Un rischio relativo di 0,5 indica un dimezzamento – indipendentemente da quanto sia frequente l’evento nel complesso.</w:t>
      </w:r>
    </w:p>
    <w:bookmarkEnd w:id="2992"/>
    <w:bookmarkStart w:id="2993" w:name="s"/>
    <w:p>
      <w:pPr>
        <w:pStyle w:val="Heading3"/>
      </w:pPr>
      <w:r>
        <w:t xml:space="preserve">S</w:t>
      </w:r>
    </w:p>
    <w:p>
      <w:pPr>
        <w:pStyle w:val="FirstParagraph"/>
      </w:pPr>
      <w:r>
        <w:rPr>
          <w:bCs/>
          <w:b/>
        </w:rPr>
        <w:t xml:space="preserve">Secretagogo</w:t>
      </w:r>
      <w:r>
        <w:t xml:space="preserve">: Una sostanza che stimola la secrezione di un’altra sostanza. I secretagoghi dell’ormone della crescita aumentano il rilascio di ormone della crescita.</w:t>
      </w:r>
    </w:p>
    <w:p>
      <w:pPr>
        <w:pStyle w:val="BodyText"/>
      </w:pPr>
      <w:r>
        <w:rPr>
          <w:bCs/>
          <w:b/>
        </w:rPr>
        <w:t xml:space="preserve">Sequenza</w:t>
      </w:r>
      <w:r>
        <w:t xml:space="preserve">: L’ordine degli amminoacidi in una catena peptidica. Determina le proprietà del peptide.</w:t>
      </w:r>
    </w:p>
    <w:p>
      <w:pPr>
        <w:pStyle w:val="BodyText"/>
      </w:pPr>
      <w:r>
        <w:rPr>
          <w:bCs/>
          <w:b/>
        </w:rPr>
        <w:t xml:space="preserve">Significatività (statistica)</w:t>
      </w:r>
      <w:r>
        <w:t xml:space="preserve">: L’affermazione che una differenza osservata probabilmente non è dovuta solo al caso. Non dice nulla sul fatto che la differenza sia grande o rilevante.</w:t>
      </w:r>
    </w:p>
    <w:p>
      <w:pPr>
        <w:pStyle w:val="BodyText"/>
      </w:pPr>
      <w:r>
        <w:rPr>
          <w:bCs/>
          <w:b/>
        </w:rPr>
        <w:t xml:space="preserve">Sintesi peptidica in fase solida</w:t>
      </w:r>
      <w:r>
        <w:t xml:space="preserve">: Procedimento chimico in cui una catena peptidica viene costruita su un materiale di supporto solido, un elemento alla volta. È alla base della produzione della maggior parte dei peptidi brevi.</w:t>
      </w:r>
    </w:p>
    <w:p>
      <w:pPr>
        <w:pStyle w:val="BodyText"/>
      </w:pPr>
      <w:r>
        <w:rPr>
          <w:bCs/>
          <w:b/>
        </w:rPr>
        <w:t xml:space="preserve">SNAC</w:t>
      </w:r>
      <w:r>
        <w:t xml:space="preserve">: Un eccipiente (N-[8-(2-idrossibenzoil)ammino]caprilato di sodio) che nella compressa di semaglutide rende possibile l’assorbimento del peptide nello stomaco.</w:t>
      </w:r>
    </w:p>
    <w:p>
      <w:pPr>
        <w:pStyle w:val="BodyText"/>
      </w:pPr>
      <w:r>
        <w:rPr>
          <w:bCs/>
          <w:b/>
        </w:rPr>
        <w:t xml:space="preserve">Sottocutaneo</w:t>
      </w:r>
      <w:r>
        <w:t xml:space="preserve">: Iniettato sotto la pelle, nel tessuto adiposo sottocutaneo. È la via di somministrazione più frequente per i farmaci peptidici.</w:t>
      </w:r>
    </w:p>
    <w:p>
      <w:pPr>
        <w:pStyle w:val="BodyText"/>
      </w:pPr>
      <w:r>
        <w:rPr>
          <w:bCs/>
          <w:b/>
        </w:rPr>
        <w:t xml:space="preserve">Spettrometria di massa</w:t>
      </w:r>
      <w:r>
        <w:t xml:space="preserve">: Un metodo di misura che determina le molecole in base alla loro massa. Permette di identificare in modo univoco i peptidi in prodotti e liquidi corporei, per esempio nei controlli antidoping.</w:t>
      </w:r>
    </w:p>
    <w:p>
      <w:pPr>
        <w:pStyle w:val="BodyText"/>
      </w:pPr>
      <w:r>
        <w:rPr>
          <w:bCs/>
          <w:b/>
        </w:rPr>
        <w:t xml:space="preserve">Sterilità</w:t>
      </w:r>
      <w:r>
        <w:t xml:space="preserve">: Assenza di microrganismi vivi. Un prodotto sterile può comunque contenere endotossine.</w:t>
      </w:r>
    </w:p>
    <w:p>
      <w:pPr>
        <w:pStyle w:val="BodyText"/>
      </w:pPr>
      <w:r>
        <w:rPr>
          <w:bCs/>
          <w:b/>
        </w:rPr>
        <w:t xml:space="preserve">Studi preclinici</w:t>
      </w:r>
      <w:r>
        <w:t xml:space="preserve">: Indagini in laboratorio e sugli animali condotte prima dei primi studi sull’uomo.</w:t>
      </w:r>
    </w:p>
    <w:p>
      <w:pPr>
        <w:pStyle w:val="BodyText"/>
      </w:pPr>
      <w:r>
        <w:rPr>
          <w:bCs/>
          <w:b/>
        </w:rPr>
        <w:t xml:space="preserve">Studio di coorte</w:t>
      </w:r>
      <w:r>
        <w:t xml:space="preserve">: Uno studio osservazionale che segue un gruppo di persone per un lungo periodo e confronta con quale frequenza si verificano determinati eventi in presenza di caratteristiche o trattamenti diversi.</w:t>
      </w:r>
    </w:p>
    <w:p>
      <w:pPr>
        <w:pStyle w:val="BodyText"/>
      </w:pPr>
      <w:r>
        <w:rPr>
          <w:bCs/>
          <w:b/>
        </w:rPr>
        <w:t xml:space="preserve">Studio in aperto</w:t>
      </w:r>
      <w:r>
        <w:t xml:space="preserve">: Uno studio senza cecità, in cui partecipanti e personale dello studio sanno quale trattamento viene somministrato.</w:t>
      </w:r>
    </w:p>
    <w:bookmarkEnd w:id="2993"/>
    <w:bookmarkStart w:id="2994" w:name="u"/>
    <w:p>
      <w:pPr>
        <w:pStyle w:val="Heading3"/>
      </w:pPr>
      <w:r>
        <w:t xml:space="preserve">U</w:t>
      </w:r>
    </w:p>
    <w:p>
      <w:pPr>
        <w:pStyle w:val="FirstParagraph"/>
      </w:pPr>
      <w:r>
        <w:rPr>
          <w:bCs/>
          <w:b/>
        </w:rPr>
        <w:t xml:space="preserve">Uso off-label</w:t>
      </w:r>
      <w:r>
        <w:t xml:space="preserve">: L’uso di un farmaco autorizzato al di fuori delle indicazioni, dei dosaggi o dei gruppi di persone autorizzati.</w:t>
      </w:r>
    </w:p>
    <w:bookmarkEnd w:id="2994"/>
    <w:bookmarkStart w:id="2995" w:name="v"/>
    <w:p>
      <w:pPr>
        <w:pStyle w:val="Heading3"/>
      </w:pPr>
      <w:r>
        <w:t xml:space="preserve">V</w:t>
      </w:r>
    </w:p>
    <w:p>
      <w:pPr>
        <w:pStyle w:val="FirstParagraph"/>
      </w:pPr>
      <w:r>
        <w:rPr>
          <w:bCs/>
          <w:b/>
        </w:rPr>
        <w:t xml:space="preserve">Valore p</w:t>
      </w:r>
      <w:r>
        <w:t xml:space="preserve">: Una misura statistica di quanto sarebbe probabile una differenza almeno così grande se in realtà non ci fosse alcun effetto. Valori inferiori a 0,05 sono considerati di solito statisticamente significativi.</w:t>
      </w:r>
    </w:p>
    <w:bookmarkEnd w:id="2995"/>
    <w:bookmarkStart w:id="2996" w:name="w"/>
    <w:p>
      <w:pPr>
        <w:pStyle w:val="Heading3"/>
      </w:pPr>
      <w:r>
        <w:t xml:space="preserve">W</w:t>
      </w:r>
    </w:p>
    <w:p>
      <w:pPr>
        <w:pStyle w:val="FirstParagraph"/>
      </w:pPr>
      <w:r>
        <w:rPr>
          <w:bCs/>
          <w:b/>
        </w:rPr>
        <w:t xml:space="preserve">WADA (Agenzia mondiale antidoping)</w:t>
      </w:r>
      <w:r>
        <w:t xml:space="preserve">: L’organizzazione internazionale che pubblica ogni anno l’elenco delle sostanze e dei metodi proibiti nello sport.</w:t>
      </w:r>
    </w:p>
    <w:bookmarkEnd w:id="2996"/>
    <w:bookmarkEnd w:id="2997"/>
    <w:bookmarkStart w:id="3013" w:name="metodologia"/>
    <w:p>
      <w:pPr>
        <w:pStyle w:val="Heading1"/>
      </w:pPr>
      <w:r>
        <w:t xml:space="preserve">Metodologia</w:t>
      </w:r>
    </w:p>
    <w:p>
      <w:pPr>
        <w:pStyle w:val="FirstParagraph"/>
      </w:pPr>
      <w:r>
        <w:t xml:space="preserve">Questa appendice descrive come sono stati cercati, selezionati e verificati gli studi per questo libro. Dovrebbe permetterti di ricostruire la ricerca e, se necessario, di ripeterla o aggiornarla in prima persona.</w:t>
      </w:r>
    </w:p>
    <w:bookmarkStart w:id="2998" w:name="banche-dati"/>
    <w:p>
      <w:pPr>
        <w:pStyle w:val="Heading3"/>
      </w:pPr>
      <w:r>
        <w:t xml:space="preserve">Banche dati</w:t>
      </w:r>
    </w:p>
    <w:p>
      <w:pPr>
        <w:pStyle w:val="FirstParagraph"/>
      </w:pPr>
      <w:r>
        <w:t xml:space="preserve">La ricerca si basa su due banche dati liberamente accessibili:</w:t>
      </w:r>
    </w:p>
    <w:p>
      <w:pPr>
        <w:numPr>
          <w:ilvl w:val="0"/>
          <w:numId w:val="1373"/>
        </w:numPr>
        <w:pStyle w:val="Compact"/>
      </w:pPr>
      <w:r>
        <w:rPr>
          <w:bCs/>
          <w:b/>
        </w:rPr>
        <w:t xml:space="preserve">PubMed</w:t>
      </w:r>
      <w:r>
        <w:t xml:space="preserve"> </w:t>
      </w:r>
      <w:r>
        <w:t xml:space="preserve">(pubmed.ncbi.nlm.nih.gov), la banca dati bibliografica della National Library of Medicine statunitense. Registra pubblicazioni di riviste biomediche con titolo, autori, riassunto (abstract) e parole chiave. Ogni voce ha un numero univoco, il PMID.</w:t>
      </w:r>
    </w:p>
    <w:p>
      <w:pPr>
        <w:numPr>
          <w:ilvl w:val="0"/>
          <w:numId w:val="1373"/>
        </w:numPr>
        <w:pStyle w:val="Compact"/>
      </w:pPr>
      <w:r>
        <w:rPr>
          <w:bCs/>
          <w:b/>
        </w:rPr>
        <w:t xml:space="preserve">ClinicalTrials.gov</w:t>
      </w:r>
      <w:r>
        <w:t xml:space="preserve"> </w:t>
      </w:r>
      <w:r>
        <w:t xml:space="preserve">(clinicaltrials.gov), il registro degli studi dei National Institutes of Health statunitensi. Qui vengono registrati prima del loro inizio studi clinici da tutto il mondo, con disegno, numero previsto di partecipanti, endpoint e stato. Ogni studio ha un numero NCT.</w:t>
      </w:r>
    </w:p>
    <w:p>
      <w:pPr>
        <w:pStyle w:val="FirstParagraph"/>
      </w:pPr>
      <w:r>
        <w:t xml:space="preserve">Entrambe le banche dati sono state interrogate tramite le loro interfacce di programmazione ufficiali e pubblicamente accessibili: PubMed tramite le E-Utilities del National Center for Biotechnology Information, ClinicalTrials.gov tramite l’interfaccia di programmazione nella versione 2. Altre banche dati come Embase, Cochrane Library, Web of Science, il registro UE degli studi o registri nazionali non sono state consultate in modo sistematico.</w:t>
      </w:r>
    </w:p>
    <w:bookmarkEnd w:id="2998"/>
    <w:bookmarkStart w:id="2999" w:name="periodo-delle-interrogazioni"/>
    <w:p>
      <w:pPr>
        <w:pStyle w:val="Heading3"/>
      </w:pPr>
      <w:r>
        <w:t xml:space="preserve">Periodo delle interrogazioni</w:t>
      </w:r>
    </w:p>
    <w:p>
      <w:pPr>
        <w:pStyle w:val="FirstParagraph"/>
      </w:pPr>
      <w:r>
        <w:t xml:space="preserve">Le interrogazioni sistematiche sono state effettuate nell’</w:t>
      </w:r>
      <w:r>
        <w:rPr>
          <w:bCs/>
          <w:b/>
        </w:rPr>
        <w:t xml:space="preserve">ottobre 2026</w:t>
      </w:r>
      <w:r>
        <w:t xml:space="preserve">; il conteggio dei risultati per tutti i peptidi risale al 28 ottobre 2026. Ricerche mirate integrative su singoli studi, casi clinici e revisioni sono state svolte nello stesso periodo. Gli studi pubblicati successivamente non sono considerati. Il libro è aggiornato a novembre 2026.</w:t>
      </w:r>
    </w:p>
    <w:bookmarkEnd w:id="2999"/>
    <w:bookmarkStart w:id="3000" w:name="strategia-di-ricerca"/>
    <w:p>
      <w:pPr>
        <w:pStyle w:val="Heading3"/>
      </w:pPr>
      <w:r>
        <w:t xml:space="preserve">Strategia di ricerca</w:t>
      </w:r>
    </w:p>
    <w:p>
      <w:pPr>
        <w:pStyle w:val="FirstParagraph"/>
      </w:pPr>
      <w:r>
        <w:t xml:space="preserve">Per ciascuno dei 58 peptidi e sostanze di confronto è stato definito un proprio termine di ricerca PubMed. Comprende il nome internazionale del principio attivo e le abbreviazioni, i nomi in codice e i nomi commerciali di uso comune, e cerca nel titolo e nel riassunto (contrassegno</w:t>
      </w:r>
      <w:r>
        <w:t xml:space="preserve"> </w:t>
      </w:r>
      <w:r>
        <w:rPr>
          <w:rStyle w:val="VerbatimChar"/>
        </w:rPr>
        <w:t xml:space="preserve">[tiab]</w:t>
      </w:r>
      <w:r>
        <w:t xml:space="preserve">) o solo nel titolo (</w:t>
      </w:r>
      <w:r>
        <w:rPr>
          <w:rStyle w:val="VerbatimChar"/>
        </w:rPr>
        <w:t xml:space="preserve">[ti]</w:t>
      </w:r>
      <w:r>
        <w:t xml:space="preserve">). Per termini ambigui il termine di ricerca è stato ristretto, per esempio per i peptidi di collagene ai lavori sull’assunzione o per la kisspeptina ai lavori sulla somministrazione del peptide.</w:t>
      </w:r>
    </w:p>
    <w:p>
      <w:pPr>
        <w:pStyle w:val="BodyText"/>
      </w:pPr>
      <w:r>
        <w:t xml:space="preserve">A questo termine di ricerca sono stati applicati tre filtri:</w:t>
      </w:r>
    </w:p>
    <w:p>
      <w:pPr>
        <w:pStyle w:val="BodyText"/>
      </w:pPr>
      <w:r>
        <w:rPr>
          <w:bCs/>
          <w:b/>
        </w:rPr>
        <w:t xml:space="preserve">Studi sull’uomo.</w:t>
      </w:r>
      <w:r>
        <w:t xml:space="preserve"> </w:t>
      </w:r>
      <w:r>
        <w:t xml:space="preserve">Per trovare studi clinici sull’uomo, il termine di ricerca è stato combinato con il seguente filtro:</w:t>
      </w:r>
    </w:p>
    <w:p>
      <w:pPr>
        <w:pStyle w:val="BodyText"/>
      </w:pPr>
      <w:r>
        <w:rPr>
          <w:rStyle w:val="VerbatimChar"/>
        </w:rPr>
        <w:t xml:space="preserve">(clinical trial[pt] OR randomized controlled trial[pt]) AND humans[mh]</w:t>
      </w:r>
    </w:p>
    <w:p>
      <w:pPr>
        <w:pStyle w:val="BodyText"/>
      </w:pPr>
      <w:r>
        <w:t xml:space="preserve">La parte</w:t>
      </w:r>
      <w:r>
        <w:t xml:space="preserve"> </w:t>
      </w:r>
      <w:r>
        <w:rPr>
          <w:rStyle w:val="VerbatimChar"/>
        </w:rPr>
        <w:t xml:space="preserve">[pt]</w:t>
      </w:r>
      <w:r>
        <w:t xml:space="preserve"> </w:t>
      </w:r>
      <w:r>
        <w:t xml:space="preserve">cerca il tipo di pubblicazione che PubMed assegna a ogni articolo;</w:t>
      </w:r>
      <w:r>
        <w:t xml:space="preserve"> </w:t>
      </w:r>
      <w:r>
        <w:rPr>
          <w:rStyle w:val="VerbatimChar"/>
        </w:rPr>
        <w:t xml:space="preserve">humans[mh]</w:t>
      </w:r>
      <w:r>
        <w:t xml:space="preserve"> </w:t>
      </w:r>
      <w:r>
        <w:t xml:space="preserve">sta per la parola chiave «esseri umani» nel sistema di parole chiave MeSH. Si trovano così articoli contrassegnati come studio clinico o come studio randomizzato controllato e che riguardano esseri umani.</w:t>
      </w:r>
    </w:p>
    <w:p>
      <w:pPr>
        <w:pStyle w:val="BodyText"/>
      </w:pPr>
      <w:r>
        <w:rPr>
          <w:bCs/>
          <w:b/>
        </w:rPr>
        <w:t xml:space="preserve">Meta-analisi e revisioni.</w:t>
      </w:r>
      <w:r>
        <w:t xml:space="preserve"> </w:t>
      </w:r>
      <w:r>
        <w:t xml:space="preserve">Per i lavori di sintesi il termine di ricerca è stato combinato con questo filtro:</w:t>
      </w:r>
    </w:p>
    <w:p>
      <w:pPr>
        <w:pStyle w:val="BodyText"/>
      </w:pPr>
      <w:r>
        <w:rPr>
          <w:rStyle w:val="VerbatimChar"/>
        </w:rPr>
        <w:t xml:space="preserve">(meta-analysis[pt] OR systematic review[pt])</w:t>
      </w:r>
    </w:p>
    <w:p>
      <w:pPr>
        <w:pStyle w:val="BodyText"/>
      </w:pPr>
      <w:r>
        <w:rPr>
          <w:bCs/>
          <w:b/>
        </w:rPr>
        <w:t xml:space="preserve">Ricerca preclinica.</w:t>
      </w:r>
      <w:r>
        <w:t xml:space="preserve"> </w:t>
      </w:r>
      <w:r>
        <w:t xml:space="preserve">Per i peptidi con meno di 25 studi sull’uomo trovati sono stati inoltre analizzati i lavori restanti più rilevanti senza il filtro per gli studi sull’uomo, per includere studi sugli animali e di laboratorio, casi clinici e analisi di prodotti del mercato grigio.</w:t>
      </w:r>
    </w:p>
    <w:p>
      <w:pPr>
        <w:pStyle w:val="BodyText"/>
      </w:pPr>
      <w:r>
        <w:rPr>
          <w:bCs/>
          <w:b/>
        </w:rPr>
        <w:t xml:space="preserve">Studi di registro.</w:t>
      </w:r>
      <w:r>
        <w:t xml:space="preserve"> </w:t>
      </w:r>
      <w:r>
        <w:t xml:space="preserve">Su ClinicalTrials.gov per ogni peptide è stato usato un proprio termine di ricerca, per lo più semplice, con il nome del principio attivo. Sono state registrate tutte le voci, indipendentemente da stato e fase dello studio.</w:t>
      </w:r>
    </w:p>
    <w:p>
      <w:pPr>
        <w:pStyle w:val="BodyText"/>
      </w:pPr>
      <w:r>
        <w:t xml:space="preserve">Oltre a queste ricerche automatizzate, per ogni capitolo sono stati cercati in modo mirato i principali studi registrativi e di esito, grandi meta-analisi, programmi di studio (per esempio STEP, SURMOUNT o SELECT), dati di sicurezza, casi clinici e analisi di laboratorio di prodotti del mercato grigio. Per la Parte I sono stati inoltre ricercati lavori sulla storia della medicina dei peptidi, sulle forme farmaceutiche, sulla metodologia degli studi e sul mercato grigio.</w:t>
      </w:r>
    </w:p>
    <w:bookmarkEnd w:id="3000"/>
    <w:bookmarkStart w:id="3007" w:name="termini-di-ricerca-per-peptide"/>
    <w:p>
      <w:pPr>
        <w:pStyle w:val="Heading3"/>
      </w:pPr>
      <w:r>
        <w:t xml:space="preserve">Termini di ricerca per peptide</w:t>
      </w:r>
    </w:p>
    <w:p>
      <w:pPr>
        <w:pStyle w:val="FirstParagraph"/>
      </w:pPr>
      <w:r>
        <w:t xml:space="preserve">Le tabelle seguenti riportano i termini di ricerca PubMed usati per l’interrogazione sistematica. A ogni termine sono stati aggiunti i filtri descritti sopra. Un asterisco alla fine di una parola sta per qualsiasi desinenza,</w:t>
      </w:r>
      <w:r>
        <w:t xml:space="preserve"> </w:t>
      </w:r>
      <w:r>
        <w:rPr>
          <w:rStyle w:val="VerbatimChar"/>
        </w:rPr>
        <w:t xml:space="preserve">OR</w:t>
      </w:r>
      <w:r>
        <w:t xml:space="preserve"> </w:t>
      </w:r>
      <w:r>
        <w:t xml:space="preserve">collega denominazioni alternative,</w:t>
      </w:r>
      <w:r>
        <w:t xml:space="preserve"> </w:t>
      </w:r>
      <w:r>
        <w:rPr>
          <w:rStyle w:val="VerbatimChar"/>
        </w:rPr>
        <w:t xml:space="preserve">AND</w:t>
      </w:r>
      <w:r>
        <w:t xml:space="preserve"> </w:t>
      </w:r>
      <w:r>
        <w:t xml:space="preserve">restringe la ricerca.</w:t>
      </w:r>
    </w:p>
    <w:bookmarkStart w:id="3001" w:name="a.-metabolismo-e-peso-1"/>
    <w:p>
      <w:pPr>
        <w:pStyle w:val="Heading4"/>
      </w:pPr>
      <w:r>
        <w:t xml:space="preserve">A. Metabolismo e peso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Peptide</w:t>
            </w:r>
          </w:p>
        </w:tc>
        <w:tc>
          <w:tcPr/>
          <w:p>
            <w:pPr>
              <w:pStyle w:val="Compact"/>
              <w:jc w:val="left"/>
            </w:pPr>
            <w:r>
              <w:t xml:space="preserve">Termine di ricerca PubMed</w:t>
            </w:r>
          </w:p>
        </w:tc>
      </w:tr>
      <w:tr>
        <w:tc>
          <w:tcPr/>
          <w:p>
            <w:pPr>
              <w:pStyle w:val="Compact"/>
              <w:jc w:val="left"/>
            </w:pPr>
            <w:r>
              <w:t xml:space="preserve">Exenatide</w:t>
            </w:r>
          </w:p>
        </w:tc>
        <w:tc>
          <w:tcPr/>
          <w:p>
            <w:pPr>
              <w:pStyle w:val="Compact"/>
              <w:jc w:val="left"/>
            </w:pPr>
            <w:r>
              <w:rPr>
                <w:rStyle w:val="VerbatimChar"/>
              </w:rPr>
              <w:t xml:space="preserve">exenatide[tiab]</w:t>
            </w:r>
          </w:p>
        </w:tc>
      </w:tr>
      <w:tr>
        <w:tc>
          <w:tcPr/>
          <w:p>
            <w:pPr>
              <w:pStyle w:val="Compact"/>
              <w:jc w:val="left"/>
            </w:pPr>
            <w:r>
              <w:t xml:space="preserve">Liraglutide</w:t>
            </w:r>
          </w:p>
        </w:tc>
        <w:tc>
          <w:tcPr/>
          <w:p>
            <w:pPr>
              <w:pStyle w:val="Compact"/>
              <w:jc w:val="left"/>
            </w:pPr>
            <w:r>
              <w:rPr>
                <w:rStyle w:val="VerbatimChar"/>
              </w:rPr>
              <w:t xml:space="preserve">liraglutide[tiab]</w:t>
            </w:r>
          </w:p>
        </w:tc>
      </w:tr>
      <w:tr>
        <w:tc>
          <w:tcPr/>
          <w:p>
            <w:pPr>
              <w:pStyle w:val="Compact"/>
              <w:jc w:val="left"/>
            </w:pPr>
            <w:r>
              <w:t xml:space="preserve">Dulaglutide</w:t>
            </w:r>
          </w:p>
        </w:tc>
        <w:tc>
          <w:tcPr/>
          <w:p>
            <w:pPr>
              <w:pStyle w:val="Compact"/>
              <w:jc w:val="left"/>
            </w:pPr>
            <w:r>
              <w:rPr>
                <w:rStyle w:val="VerbatimChar"/>
              </w:rPr>
              <w:t xml:space="preserve">dulaglutide[tiab]</w:t>
            </w:r>
          </w:p>
        </w:tc>
      </w:tr>
      <w:tr>
        <w:tc>
          <w:tcPr/>
          <w:p>
            <w:pPr>
              <w:pStyle w:val="Compact"/>
              <w:jc w:val="left"/>
            </w:pPr>
            <w:r>
              <w:t xml:space="preserve">Semaglutide</w:t>
            </w:r>
          </w:p>
        </w:tc>
        <w:tc>
          <w:tcPr/>
          <w:p>
            <w:pPr>
              <w:pStyle w:val="Compact"/>
              <w:jc w:val="left"/>
            </w:pPr>
            <w:r>
              <w:rPr>
                <w:rStyle w:val="VerbatimChar"/>
              </w:rPr>
              <w:t xml:space="preserve">semaglutide[tiab]</w:t>
            </w:r>
          </w:p>
        </w:tc>
      </w:tr>
      <w:tr>
        <w:tc>
          <w:tcPr/>
          <w:p>
            <w:pPr>
              <w:pStyle w:val="Compact"/>
              <w:jc w:val="left"/>
            </w:pPr>
            <w:r>
              <w:t xml:space="preserve">Tirzepatide</w:t>
            </w:r>
          </w:p>
        </w:tc>
        <w:tc>
          <w:tcPr/>
          <w:p>
            <w:pPr>
              <w:pStyle w:val="Compact"/>
              <w:jc w:val="left"/>
            </w:pPr>
            <w:r>
              <w:rPr>
                <w:rStyle w:val="VerbatimChar"/>
              </w:rPr>
              <w:t xml:space="preserve">tirzepatide[tiab]</w:t>
            </w:r>
          </w:p>
        </w:tc>
      </w:tr>
      <w:tr>
        <w:tc>
          <w:tcPr/>
          <w:p>
            <w:pPr>
              <w:pStyle w:val="Compact"/>
              <w:jc w:val="left"/>
            </w:pPr>
            <w:r>
              <w:t xml:space="preserve">Retatrutide</w:t>
            </w:r>
          </w:p>
        </w:tc>
        <w:tc>
          <w:tcPr/>
          <w:p>
            <w:pPr>
              <w:pStyle w:val="Compact"/>
              <w:jc w:val="left"/>
            </w:pPr>
            <w:r>
              <w:rPr>
                <w:rStyle w:val="VerbatimChar"/>
              </w:rPr>
              <w:t xml:space="preserve">retatrutide[tiab]</w:t>
            </w:r>
          </w:p>
        </w:tc>
      </w:tr>
      <w:tr>
        <w:tc>
          <w:tcPr/>
          <w:p>
            <w:pPr>
              <w:pStyle w:val="Compact"/>
              <w:jc w:val="left"/>
            </w:pPr>
            <w:r>
              <w:t xml:space="preserve">Survodutide</w:t>
            </w:r>
          </w:p>
        </w:tc>
        <w:tc>
          <w:tcPr/>
          <w:p>
            <w:pPr>
              <w:pStyle w:val="Compact"/>
              <w:jc w:val="left"/>
            </w:pPr>
            <w:r>
              <w:rPr>
                <w:rStyle w:val="VerbatimChar"/>
              </w:rPr>
              <w:t xml:space="preserve">survodutide[tiab]</w:t>
            </w:r>
          </w:p>
        </w:tc>
      </w:tr>
      <w:tr>
        <w:tc>
          <w:tcPr/>
          <w:p>
            <w:pPr>
              <w:pStyle w:val="Compact"/>
              <w:jc w:val="left"/>
            </w:pPr>
            <w:r>
              <w:t xml:space="preserve">Mazdutide</w:t>
            </w:r>
          </w:p>
        </w:tc>
        <w:tc>
          <w:tcPr/>
          <w:p>
            <w:pPr>
              <w:pStyle w:val="Compact"/>
              <w:jc w:val="left"/>
            </w:pPr>
            <w:r>
              <w:rPr>
                <w:rStyle w:val="VerbatimChar"/>
              </w:rPr>
              <w:t xml:space="preserve">mazdutide[tiab]</w:t>
            </w:r>
          </w:p>
        </w:tc>
      </w:tr>
      <w:tr>
        <w:tc>
          <w:tcPr/>
          <w:p>
            <w:pPr>
              <w:pStyle w:val="Compact"/>
              <w:jc w:val="left"/>
            </w:pPr>
            <w:r>
              <w:t xml:space="preserve">Cagrilintide o CagriSema</w:t>
            </w:r>
          </w:p>
        </w:tc>
        <w:tc>
          <w:tcPr/>
          <w:p>
            <w:pPr>
              <w:pStyle w:val="Compact"/>
              <w:jc w:val="left"/>
            </w:pPr>
            <w:r>
              <w:rPr>
                <w:rStyle w:val="VerbatimChar"/>
              </w:rPr>
              <w:t xml:space="preserve">cagrilintide[tiab]</w:t>
            </w:r>
          </w:p>
        </w:tc>
      </w:tr>
      <w:tr>
        <w:tc>
          <w:tcPr/>
          <w:p>
            <w:pPr>
              <w:pStyle w:val="Compact"/>
              <w:jc w:val="left"/>
            </w:pPr>
            <w:r>
              <w:t xml:space="preserve">Amicretina</w:t>
            </w:r>
          </w:p>
        </w:tc>
        <w:tc>
          <w:tcPr/>
          <w:p>
            <w:pPr>
              <w:pStyle w:val="Compact"/>
              <w:jc w:val="left"/>
            </w:pPr>
            <w:r>
              <w:rPr>
                <w:rStyle w:val="VerbatimChar"/>
              </w:rPr>
              <w:t xml:space="preserve">amycretin[tiab]</w:t>
            </w:r>
          </w:p>
        </w:tc>
      </w:tr>
      <w:tr>
        <w:tc>
          <w:tcPr/>
          <w:p>
            <w:pPr>
              <w:pStyle w:val="Compact"/>
              <w:jc w:val="left"/>
            </w:pPr>
            <w:r>
              <w:t xml:space="preserve">Maridebart cafraglutide (MariTide)</w:t>
            </w:r>
          </w:p>
        </w:tc>
        <w:tc>
          <w:tcPr/>
          <w:p>
            <w:pPr>
              <w:pStyle w:val="Compact"/>
              <w:jc w:val="left"/>
            </w:pPr>
            <w:r>
              <w:rPr>
                <w:rStyle w:val="VerbatimChar"/>
              </w:rPr>
              <w:t xml:space="preserve">maridebart[tiab] OR AMG 133[tiab]</w:t>
            </w:r>
          </w:p>
        </w:tc>
      </w:tr>
      <w:tr>
        <w:tc>
          <w:tcPr/>
          <w:p>
            <w:pPr>
              <w:pStyle w:val="Compact"/>
              <w:jc w:val="left"/>
            </w:pPr>
            <w:r>
              <w:t xml:space="preserve">Pramlintide</w:t>
            </w:r>
          </w:p>
        </w:tc>
        <w:tc>
          <w:tcPr/>
          <w:p>
            <w:pPr>
              <w:pStyle w:val="Compact"/>
              <w:jc w:val="left"/>
            </w:pPr>
            <w:r>
              <w:rPr>
                <w:rStyle w:val="VerbatimChar"/>
              </w:rPr>
              <w:t xml:space="preserve">pramlintide[tiab]</w:t>
            </w:r>
          </w:p>
        </w:tc>
      </w:tr>
      <w:tr>
        <w:tc>
          <w:tcPr/>
          <w:p>
            <w:pPr>
              <w:pStyle w:val="Compact"/>
              <w:jc w:val="left"/>
            </w:pPr>
            <w:r>
              <w:t xml:space="preserve">Setmelanotide</w:t>
            </w:r>
          </w:p>
        </w:tc>
        <w:tc>
          <w:tcPr/>
          <w:p>
            <w:pPr>
              <w:pStyle w:val="Compact"/>
              <w:jc w:val="left"/>
            </w:pPr>
            <w:r>
              <w:rPr>
                <w:rStyle w:val="VerbatimChar"/>
              </w:rPr>
              <w:t xml:space="preserve">setmelanotide[tiab]</w:t>
            </w:r>
          </w:p>
        </w:tc>
      </w:tr>
      <w:tr>
        <w:tc>
          <w:tcPr/>
          <w:p>
            <w:pPr>
              <w:pStyle w:val="Compact"/>
              <w:jc w:val="left"/>
            </w:pPr>
            <w:r>
              <w:t xml:space="preserve">AOD-9604</w:t>
            </w:r>
          </w:p>
        </w:tc>
        <w:tc>
          <w:tcPr/>
          <w:p>
            <w:pPr>
              <w:pStyle w:val="Compact"/>
              <w:jc w:val="left"/>
            </w:pPr>
            <w:r>
              <w:rPr>
                <w:rStyle w:val="VerbatimChar"/>
              </w:rPr>
              <w:t xml:space="preserve">AOD9604[tiab] OR AOD-9604[tiab]</w:t>
            </w:r>
          </w:p>
        </w:tc>
      </w:tr>
      <w:tr>
        <w:tc>
          <w:tcPr/>
          <w:p>
            <w:pPr>
              <w:pStyle w:val="Compact"/>
              <w:jc w:val="left"/>
            </w:pPr>
            <w:r>
              <w:t xml:space="preserve">Orforglipron (confronto)</w:t>
            </w:r>
          </w:p>
        </w:tc>
        <w:tc>
          <w:tcPr/>
          <w:p>
            <w:pPr>
              <w:pStyle w:val="Compact"/>
              <w:jc w:val="left"/>
            </w:pPr>
            <w:r>
              <w:rPr>
                <w:rStyle w:val="VerbatimChar"/>
              </w:rPr>
              <w:t xml:space="preserve">orforglipron[tiab]</w:t>
            </w:r>
          </w:p>
        </w:tc>
      </w:tr>
    </w:tbl>
    <w:bookmarkEnd w:id="3001"/>
    <w:bookmarkStart w:id="3002" w:name="X1815c9af507f818e39bf73d6d71cde01f418154"/>
    <w:p>
      <w:pPr>
        <w:pStyle w:val="Heading4"/>
      </w:pPr>
      <w:r>
        <w:t xml:space="preserve">B. Guarigione, rigenerazione e sistema immunitario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Peptide</w:t>
            </w:r>
          </w:p>
        </w:tc>
        <w:tc>
          <w:tcPr/>
          <w:p>
            <w:pPr>
              <w:pStyle w:val="Compact"/>
              <w:jc w:val="left"/>
            </w:pPr>
            <w:r>
              <w:t xml:space="preserve">Termine di ricerca PubMed</w:t>
            </w:r>
          </w:p>
        </w:tc>
      </w:tr>
      <w:tr>
        <w:tc>
          <w:tcPr/>
          <w:p>
            <w:pPr>
              <w:pStyle w:val="Compact"/>
              <w:jc w:val="left"/>
            </w:pPr>
            <w:r>
              <w:t xml:space="preserve">BPC-157</w:t>
            </w:r>
          </w:p>
        </w:tc>
        <w:tc>
          <w:tcPr/>
          <w:p>
            <w:pPr>
              <w:pStyle w:val="Compact"/>
              <w:jc w:val="left"/>
            </w:pPr>
            <w:r>
              <w:rPr>
                <w:rStyle w:val="VerbatimChar"/>
              </w:rPr>
              <w:t xml:space="preserve">BPC 157[tiab] OR BPC-157[tiab] OR pentadecapeptide BPC[tiab]</w:t>
            </w:r>
          </w:p>
        </w:tc>
      </w:tr>
      <w:tr>
        <w:tc>
          <w:tcPr/>
          <w:p>
            <w:pPr>
              <w:pStyle w:val="Compact"/>
              <w:jc w:val="left"/>
            </w:pPr>
            <w:r>
              <w:t xml:space="preserve">TB-500 o timosina beta-4</w:t>
            </w:r>
          </w:p>
        </w:tc>
        <w:tc>
          <w:tcPr/>
          <w:p>
            <w:pPr>
              <w:pStyle w:val="Compact"/>
              <w:jc w:val="left"/>
            </w:pPr>
            <w:r>
              <w:rPr>
                <w:rStyle w:val="VerbatimChar"/>
              </w:rPr>
              <w:t xml:space="preserve">thymosin beta-4[tiab] OR thymosin beta4[tiab] OR TB-500[tiab] OR TB500[tiab]</w:t>
            </w:r>
          </w:p>
        </w:tc>
      </w:tr>
      <w:tr>
        <w:tc>
          <w:tcPr/>
          <w:p>
            <w:pPr>
              <w:pStyle w:val="Compact"/>
              <w:jc w:val="left"/>
            </w:pPr>
            <w:r>
              <w:t xml:space="preserve">Timosina alfa-1 (timalfasina)</w:t>
            </w:r>
          </w:p>
        </w:tc>
        <w:tc>
          <w:tcPr/>
          <w:p>
            <w:pPr>
              <w:pStyle w:val="Compact"/>
              <w:jc w:val="left"/>
            </w:pPr>
            <w:r>
              <w:rPr>
                <w:rStyle w:val="VerbatimChar"/>
              </w:rPr>
              <w:t xml:space="preserve">thymosin alpha 1[tiab] OR thymalfasin[tiab] OR thymosin alpha1[tiab]</w:t>
            </w:r>
          </w:p>
        </w:tc>
      </w:tr>
      <w:tr>
        <w:tc>
          <w:tcPr/>
          <w:p>
            <w:pPr>
              <w:pStyle w:val="Compact"/>
              <w:jc w:val="left"/>
            </w:pPr>
            <w:r>
              <w:t xml:space="preserve">KPV</w:t>
            </w:r>
          </w:p>
        </w:tc>
        <w:tc>
          <w:tcPr/>
          <w:p>
            <w:pPr>
              <w:pStyle w:val="Compact"/>
              <w:jc w:val="left"/>
            </w:pPr>
            <w:r>
              <w:rPr>
                <w:rStyle w:val="VerbatimChar"/>
              </w:rPr>
              <w:t xml:space="preserve">KPV[tiab] AND (peptide[tiab] OR tripeptide[tiab])</w:t>
            </w:r>
          </w:p>
        </w:tc>
      </w:tr>
      <w:tr>
        <w:tc>
          <w:tcPr/>
          <w:p>
            <w:pPr>
              <w:pStyle w:val="Compact"/>
              <w:jc w:val="left"/>
            </w:pPr>
            <w:r>
              <w:t xml:space="preserve">LL-37</w:t>
            </w:r>
          </w:p>
        </w:tc>
        <w:tc>
          <w:tcPr/>
          <w:p>
            <w:pPr>
              <w:pStyle w:val="Compact"/>
              <w:jc w:val="left"/>
            </w:pPr>
            <w:r>
              <w:rPr>
                <w:rStyle w:val="VerbatimChar"/>
              </w:rPr>
              <w:t xml:space="preserve">LL-37[tiab] OR cathelicidin[tiab]</w:t>
            </w:r>
          </w:p>
        </w:tc>
      </w:tr>
      <w:tr>
        <w:tc>
          <w:tcPr/>
          <w:p>
            <w:pPr>
              <w:pStyle w:val="Compact"/>
              <w:jc w:val="left"/>
            </w:pPr>
            <w:r>
              <w:t xml:space="preserve">ARA-290 (cibinetide)</w:t>
            </w:r>
          </w:p>
        </w:tc>
        <w:tc>
          <w:tcPr/>
          <w:p>
            <w:pPr>
              <w:pStyle w:val="Compact"/>
              <w:jc w:val="left"/>
            </w:pPr>
            <w:r>
              <w:rPr>
                <w:rStyle w:val="VerbatimChar"/>
              </w:rPr>
              <w:t xml:space="preserve">ARA 290[tiab] OR ARA290[tiab] OR cibinetide[tiab]</w:t>
            </w:r>
          </w:p>
        </w:tc>
      </w:tr>
      <w:tr>
        <w:tc>
          <w:tcPr/>
          <w:p>
            <w:pPr>
              <w:pStyle w:val="Compact"/>
              <w:jc w:val="left"/>
            </w:pPr>
            <w:r>
              <w:t xml:space="preserve">Larazotide</w:t>
            </w:r>
          </w:p>
        </w:tc>
        <w:tc>
          <w:tcPr/>
          <w:p>
            <w:pPr>
              <w:pStyle w:val="Compact"/>
              <w:jc w:val="left"/>
            </w:pPr>
            <w:r>
              <w:rPr>
                <w:rStyle w:val="VerbatimChar"/>
              </w:rPr>
              <w:t xml:space="preserve">larazotide[tiab]</w:t>
            </w:r>
          </w:p>
        </w:tc>
      </w:tr>
      <w:tr>
        <w:tc>
          <w:tcPr/>
          <w:p>
            <w:pPr>
              <w:pStyle w:val="Compact"/>
              <w:jc w:val="left"/>
            </w:pPr>
            <w:r>
              <w:t xml:space="preserve">Thymalin o Thymogen</w:t>
            </w:r>
          </w:p>
        </w:tc>
        <w:tc>
          <w:tcPr/>
          <w:p>
            <w:pPr>
              <w:pStyle w:val="Compact"/>
              <w:jc w:val="left"/>
            </w:pPr>
            <w:r>
              <w:rPr>
                <w:rStyle w:val="VerbatimChar"/>
              </w:rPr>
              <w:t xml:space="preserve">thymalin[tiab] OR thymogen[tiab]</w:t>
            </w:r>
          </w:p>
        </w:tc>
      </w:tr>
    </w:tbl>
    <w:bookmarkEnd w:id="3002"/>
    <w:bookmarkStart w:id="3003" w:name="c.-asse-dellormone-della-crescita-1"/>
    <w:p>
      <w:pPr>
        <w:pStyle w:val="Heading4"/>
      </w:pPr>
      <w:r>
        <w:t xml:space="preserve">C. Asse dell’ormone della crescita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Peptide</w:t>
            </w:r>
          </w:p>
        </w:tc>
        <w:tc>
          <w:tcPr/>
          <w:p>
            <w:pPr>
              <w:pStyle w:val="Compact"/>
              <w:jc w:val="left"/>
            </w:pPr>
            <w:r>
              <w:t xml:space="preserve">Termine di ricerca PubMed</w:t>
            </w:r>
          </w:p>
        </w:tc>
      </w:tr>
      <w:tr>
        <w:tc>
          <w:tcPr/>
          <w:p>
            <w:pPr>
              <w:pStyle w:val="Compact"/>
              <w:jc w:val="left"/>
            </w:pPr>
            <w:r>
              <w:t xml:space="preserve">Sermorelina</w:t>
            </w:r>
          </w:p>
        </w:tc>
        <w:tc>
          <w:tcPr/>
          <w:p>
            <w:pPr>
              <w:pStyle w:val="Compact"/>
              <w:jc w:val="left"/>
            </w:pPr>
            <w:r>
              <w:rPr>
                <w:rStyle w:val="VerbatimChar"/>
              </w:rPr>
              <w:t xml:space="preserve">sermorelin[tiab]</w:t>
            </w:r>
          </w:p>
        </w:tc>
      </w:tr>
      <w:tr>
        <w:tc>
          <w:tcPr/>
          <w:p>
            <w:pPr>
              <w:pStyle w:val="Compact"/>
              <w:jc w:val="left"/>
            </w:pPr>
            <w:r>
              <w:t xml:space="preserve">Tesamorelina</w:t>
            </w:r>
          </w:p>
        </w:tc>
        <w:tc>
          <w:tcPr/>
          <w:p>
            <w:pPr>
              <w:pStyle w:val="Compact"/>
              <w:jc w:val="left"/>
            </w:pPr>
            <w:r>
              <w:rPr>
                <w:rStyle w:val="VerbatimChar"/>
              </w:rPr>
              <w:t xml:space="preserve">tesamorelin[tiab]</w:t>
            </w:r>
          </w:p>
        </w:tc>
      </w:tr>
      <w:tr>
        <w:tc>
          <w:tcPr/>
          <w:p>
            <w:pPr>
              <w:pStyle w:val="Compact"/>
              <w:jc w:val="left"/>
            </w:pPr>
            <w:r>
              <w:t xml:space="preserve">CJC-1295</w:t>
            </w:r>
          </w:p>
        </w:tc>
        <w:tc>
          <w:tcPr/>
          <w:p>
            <w:pPr>
              <w:pStyle w:val="Compact"/>
              <w:jc w:val="left"/>
            </w:pPr>
            <w:r>
              <w:rPr>
                <w:rStyle w:val="VerbatimChar"/>
              </w:rPr>
              <w:t xml:space="preserve">CJC-1295[tiab] OR CJC 1295[tiab]</w:t>
            </w:r>
          </w:p>
        </w:tc>
      </w:tr>
      <w:tr>
        <w:tc>
          <w:tcPr/>
          <w:p>
            <w:pPr>
              <w:pStyle w:val="Compact"/>
              <w:jc w:val="left"/>
            </w:pPr>
            <w:r>
              <w:t xml:space="preserve">Ipamorelina</w:t>
            </w:r>
          </w:p>
        </w:tc>
        <w:tc>
          <w:tcPr/>
          <w:p>
            <w:pPr>
              <w:pStyle w:val="Compact"/>
              <w:jc w:val="left"/>
            </w:pPr>
            <w:r>
              <w:rPr>
                <w:rStyle w:val="VerbatimChar"/>
              </w:rPr>
              <w:t xml:space="preserve">ipamorelin[tiab]</w:t>
            </w:r>
          </w:p>
        </w:tc>
      </w:tr>
      <w:tr>
        <w:tc>
          <w:tcPr/>
          <w:p>
            <w:pPr>
              <w:pStyle w:val="Compact"/>
              <w:jc w:val="left"/>
            </w:pPr>
            <w:r>
              <w:t xml:space="preserve">GHRP-2 (pralmorelina)</w:t>
            </w:r>
          </w:p>
        </w:tc>
        <w:tc>
          <w:tcPr/>
          <w:p>
            <w:pPr>
              <w:pStyle w:val="Compact"/>
              <w:jc w:val="left"/>
            </w:pPr>
            <w:r>
              <w:rPr>
                <w:rStyle w:val="VerbatimChar"/>
              </w:rPr>
              <w:t xml:space="preserve">GHRP-2[tiab] OR pralmorelin[tiab]</w:t>
            </w:r>
          </w:p>
        </w:tc>
      </w:tr>
      <w:tr>
        <w:tc>
          <w:tcPr/>
          <w:p>
            <w:pPr>
              <w:pStyle w:val="Compact"/>
              <w:jc w:val="left"/>
            </w:pPr>
            <w:r>
              <w:t xml:space="preserve">GHRP-6</w:t>
            </w:r>
          </w:p>
        </w:tc>
        <w:tc>
          <w:tcPr/>
          <w:p>
            <w:pPr>
              <w:pStyle w:val="Compact"/>
              <w:jc w:val="left"/>
            </w:pPr>
            <w:r>
              <w:rPr>
                <w:rStyle w:val="VerbatimChar"/>
              </w:rPr>
              <w:t xml:space="preserve">GHRP-6[tiab]</w:t>
            </w:r>
          </w:p>
        </w:tc>
      </w:tr>
      <w:tr>
        <w:tc>
          <w:tcPr/>
          <w:p>
            <w:pPr>
              <w:pStyle w:val="Compact"/>
              <w:jc w:val="left"/>
            </w:pPr>
            <w:r>
              <w:t xml:space="preserve">Hexarelin</w:t>
            </w:r>
          </w:p>
        </w:tc>
        <w:tc>
          <w:tcPr/>
          <w:p>
            <w:pPr>
              <w:pStyle w:val="Compact"/>
              <w:jc w:val="left"/>
            </w:pPr>
            <w:r>
              <w:rPr>
                <w:rStyle w:val="VerbatimChar"/>
              </w:rPr>
              <w:t xml:space="preserve">hexarelin[tiab]</w:t>
            </w:r>
          </w:p>
        </w:tc>
      </w:tr>
      <w:tr>
        <w:tc>
          <w:tcPr/>
          <w:p>
            <w:pPr>
              <w:pStyle w:val="Compact"/>
              <w:jc w:val="left"/>
            </w:pPr>
            <w:r>
              <w:t xml:space="preserve">Macimorelina</w:t>
            </w:r>
          </w:p>
        </w:tc>
        <w:tc>
          <w:tcPr/>
          <w:p>
            <w:pPr>
              <w:pStyle w:val="Compact"/>
              <w:jc w:val="left"/>
            </w:pPr>
            <w:r>
              <w:rPr>
                <w:rStyle w:val="VerbatimChar"/>
              </w:rPr>
              <w:t xml:space="preserve">macimorelin[tiab]</w:t>
            </w:r>
          </w:p>
        </w:tc>
      </w:tr>
      <w:tr>
        <w:tc>
          <w:tcPr/>
          <w:p>
            <w:pPr>
              <w:pStyle w:val="Compact"/>
              <w:jc w:val="left"/>
            </w:pPr>
            <w:r>
              <w:t xml:space="preserve">Mecasermina (IGF-1)</w:t>
            </w:r>
          </w:p>
        </w:tc>
        <w:tc>
          <w:tcPr/>
          <w:p>
            <w:pPr>
              <w:pStyle w:val="Compact"/>
              <w:jc w:val="left"/>
            </w:pPr>
            <w:r>
              <w:rPr>
                <w:rStyle w:val="VerbatimChar"/>
              </w:rPr>
              <w:t xml:space="preserve">mecasermin[tiab] OR rhIGF-1[tiab]</w:t>
            </w:r>
          </w:p>
        </w:tc>
      </w:tr>
      <w:tr>
        <w:tc>
          <w:tcPr/>
          <w:p>
            <w:pPr>
              <w:pStyle w:val="Compact"/>
              <w:jc w:val="left"/>
            </w:pPr>
            <w:r>
              <w:t xml:space="preserve">IGF-1 LR3</w:t>
            </w:r>
          </w:p>
        </w:tc>
        <w:tc>
          <w:tcPr/>
          <w:p>
            <w:pPr>
              <w:pStyle w:val="Compact"/>
              <w:jc w:val="left"/>
            </w:pPr>
            <w:r>
              <w:rPr>
                <w:rStyle w:val="VerbatimChar"/>
              </w:rPr>
              <w:t xml:space="preserve">LR3-IGF-1[tiab] OR IGF-1 LR3[tiab] OR "Long R3"[tiab]</w:t>
            </w:r>
          </w:p>
        </w:tc>
      </w:tr>
      <w:tr>
        <w:tc>
          <w:tcPr/>
          <w:p>
            <w:pPr>
              <w:pStyle w:val="Compact"/>
              <w:jc w:val="left"/>
            </w:pPr>
            <w:r>
              <w:t xml:space="preserve">Ibutamoren (MK-677) (confronto)</w:t>
            </w:r>
          </w:p>
        </w:tc>
        <w:tc>
          <w:tcPr/>
          <w:p>
            <w:pPr>
              <w:pStyle w:val="Compact"/>
              <w:jc w:val="left"/>
            </w:pPr>
            <w:r>
              <w:rPr>
                <w:rStyle w:val="VerbatimChar"/>
              </w:rPr>
              <w:t xml:space="preserve">ibutamoren[tiab] OR MK-677[tiab] OR MK-0677[tiab]</w:t>
            </w:r>
          </w:p>
        </w:tc>
      </w:tr>
    </w:tbl>
    <w:bookmarkEnd w:id="3003"/>
    <w:bookmarkStart w:id="3004" w:name="d.-cervello-sonno-e-longevità-1"/>
    <w:p>
      <w:pPr>
        <w:pStyle w:val="Heading4"/>
      </w:pPr>
      <w:r>
        <w:t xml:space="preserve">D. Cervello, sonno e longevità</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Peptide</w:t>
            </w:r>
          </w:p>
        </w:tc>
        <w:tc>
          <w:tcPr/>
          <w:p>
            <w:pPr>
              <w:pStyle w:val="Compact"/>
              <w:jc w:val="left"/>
            </w:pPr>
            <w:r>
              <w:t xml:space="preserve">Termine di ricerca PubMed</w:t>
            </w:r>
          </w:p>
        </w:tc>
      </w:tr>
      <w:tr>
        <w:tc>
          <w:tcPr/>
          <w:p>
            <w:pPr>
              <w:pStyle w:val="Compact"/>
              <w:jc w:val="left"/>
            </w:pPr>
            <w:r>
              <w:t xml:space="preserve">Semax</w:t>
            </w:r>
          </w:p>
        </w:tc>
        <w:tc>
          <w:tcPr/>
          <w:p>
            <w:pPr>
              <w:pStyle w:val="Compact"/>
              <w:jc w:val="left"/>
            </w:pPr>
            <w:r>
              <w:rPr>
                <w:rStyle w:val="VerbatimChar"/>
              </w:rPr>
              <w:t xml:space="preserve">semax[tiab]</w:t>
            </w:r>
          </w:p>
        </w:tc>
      </w:tr>
      <w:tr>
        <w:tc>
          <w:tcPr/>
          <w:p>
            <w:pPr>
              <w:pStyle w:val="Compact"/>
              <w:jc w:val="left"/>
            </w:pPr>
            <w:r>
              <w:t xml:space="preserve">Selank</w:t>
            </w:r>
          </w:p>
        </w:tc>
        <w:tc>
          <w:tcPr/>
          <w:p>
            <w:pPr>
              <w:pStyle w:val="Compact"/>
              <w:jc w:val="left"/>
            </w:pPr>
            <w:r>
              <w:rPr>
                <w:rStyle w:val="VerbatimChar"/>
              </w:rPr>
              <w:t xml:space="preserve">selank[tiab]</w:t>
            </w:r>
          </w:p>
        </w:tc>
      </w:tr>
      <w:tr>
        <w:tc>
          <w:tcPr/>
          <w:p>
            <w:pPr>
              <w:pStyle w:val="Compact"/>
              <w:jc w:val="left"/>
            </w:pPr>
            <w:r>
              <w:t xml:space="preserve">Cerebrolysin</w:t>
            </w:r>
          </w:p>
        </w:tc>
        <w:tc>
          <w:tcPr/>
          <w:p>
            <w:pPr>
              <w:pStyle w:val="Compact"/>
              <w:jc w:val="left"/>
            </w:pPr>
            <w:r>
              <w:rPr>
                <w:rStyle w:val="VerbatimChar"/>
              </w:rPr>
              <w:t xml:space="preserve">cerebrolysin[tiab]</w:t>
            </w:r>
          </w:p>
        </w:tc>
      </w:tr>
      <w:tr>
        <w:tc>
          <w:tcPr/>
          <w:p>
            <w:pPr>
              <w:pStyle w:val="Compact"/>
              <w:jc w:val="left"/>
            </w:pPr>
            <w:r>
              <w:t xml:space="preserve">Dihexa</w:t>
            </w:r>
          </w:p>
        </w:tc>
        <w:tc>
          <w:tcPr/>
          <w:p>
            <w:pPr>
              <w:pStyle w:val="Compact"/>
              <w:jc w:val="left"/>
            </w:pPr>
            <w:r>
              <w:rPr>
                <w:rStyle w:val="VerbatimChar"/>
              </w:rPr>
              <w:t xml:space="preserve">dihexa[tiab]</w:t>
            </w:r>
          </w:p>
        </w:tc>
      </w:tr>
      <w:tr>
        <w:tc>
          <w:tcPr/>
          <w:p>
            <w:pPr>
              <w:pStyle w:val="Compact"/>
              <w:jc w:val="left"/>
            </w:pPr>
            <w:r>
              <w:t xml:space="preserve">DSIP</w:t>
            </w:r>
          </w:p>
        </w:tc>
        <w:tc>
          <w:tcPr/>
          <w:p>
            <w:pPr>
              <w:pStyle w:val="Compact"/>
              <w:jc w:val="left"/>
            </w:pPr>
            <w:r>
              <w:rPr>
                <w:rStyle w:val="VerbatimChar"/>
              </w:rPr>
              <w:t xml:space="preserve">delta sleep-inducing peptide[tiab] OR DSIP[tiab]</w:t>
            </w:r>
          </w:p>
        </w:tc>
      </w:tr>
      <w:tr>
        <w:tc>
          <w:tcPr/>
          <w:p>
            <w:pPr>
              <w:pStyle w:val="Compact"/>
              <w:jc w:val="left"/>
            </w:pPr>
            <w:r>
              <w:t xml:space="preserve">Epitalon (Epithalon)</w:t>
            </w:r>
          </w:p>
        </w:tc>
        <w:tc>
          <w:tcPr/>
          <w:p>
            <w:pPr>
              <w:pStyle w:val="Compact"/>
              <w:jc w:val="left"/>
            </w:pPr>
            <w:r>
              <w:rPr>
                <w:rStyle w:val="VerbatimChar"/>
              </w:rPr>
              <w:t xml:space="preserve">epitalon[tiab] OR epithalon[tiab] OR epithalone[tiab]</w:t>
            </w:r>
          </w:p>
        </w:tc>
      </w:tr>
      <w:tr>
        <w:tc>
          <w:tcPr/>
          <w:p>
            <w:pPr>
              <w:pStyle w:val="Compact"/>
              <w:jc w:val="left"/>
            </w:pPr>
            <w:r>
              <w:t xml:space="preserve">Pinealon</w:t>
            </w:r>
          </w:p>
        </w:tc>
        <w:tc>
          <w:tcPr/>
          <w:p>
            <w:pPr>
              <w:pStyle w:val="Compact"/>
              <w:jc w:val="left"/>
            </w:pPr>
            <w:r>
              <w:rPr>
                <w:rStyle w:val="VerbatimChar"/>
              </w:rPr>
              <w:t xml:space="preserve">pinealon[tiab]</w:t>
            </w:r>
          </w:p>
        </w:tc>
      </w:tr>
      <w:tr>
        <w:tc>
          <w:tcPr/>
          <w:p>
            <w:pPr>
              <w:pStyle w:val="Compact"/>
              <w:jc w:val="left"/>
            </w:pPr>
            <w:r>
              <w:t xml:space="preserve">MOTS-c</w:t>
            </w:r>
          </w:p>
        </w:tc>
        <w:tc>
          <w:tcPr/>
          <w:p>
            <w:pPr>
              <w:pStyle w:val="Compact"/>
              <w:jc w:val="left"/>
            </w:pPr>
            <w:r>
              <w:rPr>
                <w:rStyle w:val="VerbatimChar"/>
              </w:rPr>
              <w:t xml:space="preserve">MOTS-c[tiab]</w:t>
            </w:r>
          </w:p>
        </w:tc>
      </w:tr>
      <w:tr>
        <w:tc>
          <w:tcPr/>
          <w:p>
            <w:pPr>
              <w:pStyle w:val="Compact"/>
              <w:jc w:val="left"/>
            </w:pPr>
            <w:r>
              <w:t xml:space="preserve">Umanina</w:t>
            </w:r>
          </w:p>
        </w:tc>
        <w:tc>
          <w:tcPr/>
          <w:p>
            <w:pPr>
              <w:pStyle w:val="Compact"/>
              <w:jc w:val="left"/>
            </w:pPr>
            <w:r>
              <w:rPr>
                <w:rStyle w:val="VerbatimChar"/>
              </w:rPr>
              <w:t xml:space="preserve">humanin[tiab]</w:t>
            </w:r>
          </w:p>
        </w:tc>
      </w:tr>
      <w:tr>
        <w:tc>
          <w:tcPr/>
          <w:p>
            <w:pPr>
              <w:pStyle w:val="Compact"/>
              <w:jc w:val="left"/>
            </w:pPr>
            <w:r>
              <w:t xml:space="preserve">SS-31 (elamipretide)</w:t>
            </w:r>
          </w:p>
        </w:tc>
        <w:tc>
          <w:tcPr/>
          <w:p>
            <w:pPr>
              <w:pStyle w:val="Compact"/>
              <w:jc w:val="left"/>
            </w:pPr>
            <w:r>
              <w:rPr>
                <w:rStyle w:val="VerbatimChar"/>
              </w:rPr>
              <w:t xml:space="preserve">elamipretide[tiab] OR SS-31[tiab]</w:t>
            </w:r>
          </w:p>
        </w:tc>
      </w:tr>
      <w:tr>
        <w:tc>
          <w:tcPr/>
          <w:p>
            <w:pPr>
              <w:pStyle w:val="Compact"/>
              <w:jc w:val="left"/>
            </w:pPr>
            <w:r>
              <w:t xml:space="preserve">FOXO4-DRI</w:t>
            </w:r>
          </w:p>
        </w:tc>
        <w:tc>
          <w:tcPr/>
          <w:p>
            <w:pPr>
              <w:pStyle w:val="Compact"/>
              <w:jc w:val="left"/>
            </w:pPr>
            <w:r>
              <w:rPr>
                <w:rStyle w:val="VerbatimChar"/>
              </w:rPr>
              <w:t xml:space="preserve">FOXO4-DRI[tiab]</w:t>
            </w:r>
          </w:p>
        </w:tc>
      </w:tr>
      <w:tr>
        <w:tc>
          <w:tcPr/>
          <w:p>
            <w:pPr>
              <w:pStyle w:val="Compact"/>
              <w:jc w:val="left"/>
            </w:pPr>
            <w:r>
              <w:t xml:space="preserve">Glutatione</w:t>
            </w:r>
          </w:p>
        </w:tc>
        <w:tc>
          <w:tcPr/>
          <w:p>
            <w:pPr>
              <w:pStyle w:val="Compact"/>
              <w:jc w:val="left"/>
            </w:pPr>
            <w:r>
              <w:rPr>
                <w:rStyle w:val="VerbatimChar"/>
              </w:rPr>
              <w:t xml:space="preserve">glutathione[ti] AND (supplementation[tiab] OR oral[tiab] OR intravenous[tiab])</w:t>
            </w:r>
          </w:p>
        </w:tc>
      </w:tr>
    </w:tbl>
    <w:bookmarkEnd w:id="3004"/>
    <w:bookmarkStart w:id="3005" w:name="e.-ormoni-sessualità-e-pigmentazione-1"/>
    <w:p>
      <w:pPr>
        <w:pStyle w:val="Heading4"/>
      </w:pPr>
      <w:r>
        <w:t xml:space="preserve">E. Ormoni, sessualità e pigmentazione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Peptide</w:t>
            </w:r>
          </w:p>
        </w:tc>
        <w:tc>
          <w:tcPr/>
          <w:p>
            <w:pPr>
              <w:pStyle w:val="Compact"/>
              <w:jc w:val="left"/>
            </w:pPr>
            <w:r>
              <w:t xml:space="preserve">Termine di ricerca PubMed</w:t>
            </w:r>
          </w:p>
        </w:tc>
      </w:tr>
      <w:tr>
        <w:tc>
          <w:tcPr/>
          <w:p>
            <w:pPr>
              <w:pStyle w:val="Compact"/>
              <w:jc w:val="left"/>
            </w:pPr>
            <w:r>
              <w:t xml:space="preserve">Bremelanotide (PT-141)</w:t>
            </w:r>
          </w:p>
        </w:tc>
        <w:tc>
          <w:tcPr/>
          <w:p>
            <w:pPr>
              <w:pStyle w:val="Compact"/>
              <w:jc w:val="left"/>
            </w:pPr>
            <w:r>
              <w:rPr>
                <w:rStyle w:val="VerbatimChar"/>
              </w:rPr>
              <w:t xml:space="preserve">bremelanotide[tiab] OR PT-141[tiab]</w:t>
            </w:r>
          </w:p>
        </w:tc>
      </w:tr>
      <w:tr>
        <w:tc>
          <w:tcPr/>
          <w:p>
            <w:pPr>
              <w:pStyle w:val="Compact"/>
              <w:jc w:val="left"/>
            </w:pPr>
            <w:r>
              <w:t xml:space="preserve">Melanotan II</w:t>
            </w:r>
          </w:p>
        </w:tc>
        <w:tc>
          <w:tcPr/>
          <w:p>
            <w:pPr>
              <w:pStyle w:val="Compact"/>
              <w:jc w:val="left"/>
            </w:pPr>
            <w:r>
              <w:rPr>
                <w:rStyle w:val="VerbatimChar"/>
              </w:rPr>
              <w:t xml:space="preserve">melanotan[tiab]</w:t>
            </w:r>
          </w:p>
        </w:tc>
      </w:tr>
      <w:tr>
        <w:tc>
          <w:tcPr/>
          <w:p>
            <w:pPr>
              <w:pStyle w:val="Compact"/>
              <w:jc w:val="left"/>
            </w:pPr>
            <w:r>
              <w:t xml:space="preserve">Afamelanotide</w:t>
            </w:r>
          </w:p>
        </w:tc>
        <w:tc>
          <w:tcPr/>
          <w:p>
            <w:pPr>
              <w:pStyle w:val="Compact"/>
              <w:jc w:val="left"/>
            </w:pPr>
            <w:r>
              <w:rPr>
                <w:rStyle w:val="VerbatimChar"/>
              </w:rPr>
              <w:t xml:space="preserve">afamelanotide[tiab]</w:t>
            </w:r>
          </w:p>
        </w:tc>
      </w:tr>
      <w:tr>
        <w:tc>
          <w:tcPr/>
          <w:p>
            <w:pPr>
              <w:pStyle w:val="Compact"/>
              <w:jc w:val="left"/>
            </w:pPr>
            <w:r>
              <w:t xml:space="preserve">Kisspeptina</w:t>
            </w:r>
          </w:p>
        </w:tc>
        <w:tc>
          <w:tcPr/>
          <w:p>
            <w:pPr>
              <w:pStyle w:val="Compact"/>
              <w:jc w:val="left"/>
            </w:pPr>
            <w:r>
              <w:rPr>
                <w:rStyle w:val="VerbatimChar"/>
              </w:rPr>
              <w:t xml:space="preserve">kisspeptin[tiab] AND (administration[tiab] OR infusion[tiab] OR injection[tiab])</w:t>
            </w:r>
          </w:p>
        </w:tc>
      </w:tr>
      <w:tr>
        <w:tc>
          <w:tcPr/>
          <w:p>
            <w:pPr>
              <w:pStyle w:val="Compact"/>
              <w:jc w:val="left"/>
            </w:pPr>
            <w:r>
              <w:t xml:space="preserve">Ossitocina (intranasale)</w:t>
            </w:r>
          </w:p>
        </w:tc>
        <w:tc>
          <w:tcPr/>
          <w:p>
            <w:pPr>
              <w:pStyle w:val="Compact"/>
              <w:jc w:val="left"/>
            </w:pPr>
            <w:r>
              <w:rPr>
                <w:rStyle w:val="VerbatimChar"/>
              </w:rPr>
              <w:t xml:space="preserve">intranasal oxytocin[tiab]</w:t>
            </w:r>
          </w:p>
        </w:tc>
      </w:tr>
      <w:tr>
        <w:tc>
          <w:tcPr/>
          <w:p>
            <w:pPr>
              <w:pStyle w:val="Compact"/>
              <w:jc w:val="left"/>
            </w:pPr>
            <w:r>
              <w:t xml:space="preserve">Gonadorelina</w:t>
            </w:r>
          </w:p>
        </w:tc>
        <w:tc>
          <w:tcPr/>
          <w:p>
            <w:pPr>
              <w:pStyle w:val="Compact"/>
              <w:jc w:val="left"/>
            </w:pPr>
            <w:r>
              <w:rPr>
                <w:rStyle w:val="VerbatimChar"/>
              </w:rPr>
              <w:t xml:space="preserve">gonadorelin[tiab]</w:t>
            </w:r>
          </w:p>
        </w:tc>
      </w:tr>
    </w:tbl>
    <w:bookmarkEnd w:id="3005"/>
    <w:bookmarkStart w:id="3006" w:name="f.-collagene-alimentazione-e-cosmetica-1"/>
    <w:p>
      <w:pPr>
        <w:pStyle w:val="Heading4"/>
      </w:pPr>
      <w:r>
        <w:t xml:space="preserve">F. Collagene, alimentazione e cosmetica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Peptide</w:t>
            </w:r>
          </w:p>
        </w:tc>
        <w:tc>
          <w:tcPr/>
          <w:p>
            <w:pPr>
              <w:pStyle w:val="Compact"/>
              <w:jc w:val="left"/>
            </w:pPr>
            <w:r>
              <w:t xml:space="preserve">Termine di ricerca PubMed</w:t>
            </w:r>
          </w:p>
        </w:tc>
      </w:tr>
      <w:tr>
        <w:tc>
          <w:tcPr/>
          <w:p>
            <w:pPr>
              <w:pStyle w:val="Compact"/>
              <w:jc w:val="left"/>
            </w:pPr>
            <w:r>
              <w:t xml:space="preserve">Collagene idrolizzato o peptidi di collagene</w:t>
            </w:r>
          </w:p>
        </w:tc>
        <w:tc>
          <w:tcPr/>
          <w:p>
            <w:pPr>
              <w:pStyle w:val="Compact"/>
              <w:jc w:val="left"/>
            </w:pPr>
            <w:r>
              <w:rPr>
                <w:rStyle w:val="VerbatimChar"/>
              </w:rPr>
              <w:t xml:space="preserve">(collagen hydrolysate[tiab] OR collagen peptide*[tiab]) AND (supplement*[tiab] OR oral[tiab] OR ingestion[tiab])</w:t>
            </w:r>
          </w:p>
        </w:tc>
      </w:tr>
      <w:tr>
        <w:tc>
          <w:tcPr/>
          <w:p>
            <w:pPr>
              <w:pStyle w:val="Compact"/>
              <w:jc w:val="left"/>
            </w:pPr>
            <w:r>
              <w:t xml:space="preserve">Lattotripeptidi (VPP/IPP)</w:t>
            </w:r>
          </w:p>
        </w:tc>
        <w:tc>
          <w:tcPr/>
          <w:p>
            <w:pPr>
              <w:pStyle w:val="Compact"/>
              <w:jc w:val="left"/>
            </w:pPr>
            <w:r>
              <w:rPr>
                <w:rStyle w:val="VerbatimChar"/>
              </w:rPr>
              <w:t xml:space="preserve">lactotripeptide*[tiab] OR (valyl-prolyl-proline[tiab])</w:t>
            </w:r>
          </w:p>
        </w:tc>
      </w:tr>
      <w:tr>
        <w:tc>
          <w:tcPr/>
          <w:p>
            <w:pPr>
              <w:pStyle w:val="Compact"/>
              <w:jc w:val="left"/>
            </w:pPr>
            <w:r>
              <w:t xml:space="preserve">Carnosina</w:t>
            </w:r>
          </w:p>
        </w:tc>
        <w:tc>
          <w:tcPr/>
          <w:p>
            <w:pPr>
              <w:pStyle w:val="Compact"/>
              <w:jc w:val="left"/>
            </w:pPr>
            <w:r>
              <w:rPr>
                <w:rStyle w:val="VerbatimChar"/>
              </w:rPr>
              <w:t xml:space="preserve">carnosine[ti] AND (supplementation[tiab] OR oral[tiab])</w:t>
            </w:r>
          </w:p>
        </w:tc>
      </w:tr>
      <w:tr>
        <w:tc>
          <w:tcPr/>
          <w:p>
            <w:pPr>
              <w:pStyle w:val="Compact"/>
              <w:jc w:val="left"/>
            </w:pPr>
            <w:r>
              <w:t xml:space="preserve">GHK-Cu (peptide di rame)</w:t>
            </w:r>
          </w:p>
        </w:tc>
        <w:tc>
          <w:tcPr/>
          <w:p>
            <w:pPr>
              <w:pStyle w:val="Compact"/>
              <w:jc w:val="left"/>
            </w:pPr>
            <w:r>
              <w:rPr>
                <w:rStyle w:val="VerbatimChar"/>
              </w:rPr>
              <w:t xml:space="preserve">GHK-Cu[tiab] OR copper tripeptide[tiab] OR copper peptide GHK[tiab]</w:t>
            </w:r>
          </w:p>
        </w:tc>
      </w:tr>
      <w:tr>
        <w:tc>
          <w:tcPr/>
          <w:p>
            <w:pPr>
              <w:pStyle w:val="Compact"/>
              <w:jc w:val="left"/>
            </w:pPr>
            <w:r>
              <w:t xml:space="preserve">Palmitoil pentapeptide-4 (Matrixyl)</w:t>
            </w:r>
          </w:p>
        </w:tc>
        <w:tc>
          <w:tcPr/>
          <w:p>
            <w:pPr>
              <w:pStyle w:val="Compact"/>
              <w:jc w:val="left"/>
            </w:pPr>
            <w:r>
              <w:rPr>
                <w:rStyle w:val="VerbatimChar"/>
              </w:rPr>
              <w:t xml:space="preserve">palmitoyl pentapeptide[tiab] OR matrixyl[tiab]</w:t>
            </w:r>
          </w:p>
        </w:tc>
      </w:tr>
      <w:tr>
        <w:tc>
          <w:tcPr/>
          <w:p>
            <w:pPr>
              <w:pStyle w:val="Compact"/>
              <w:jc w:val="left"/>
            </w:pPr>
            <w:r>
              <w:t xml:space="preserve">Acetil esapeptide-8 (Argireline)</w:t>
            </w:r>
          </w:p>
        </w:tc>
        <w:tc>
          <w:tcPr/>
          <w:p>
            <w:pPr>
              <w:pStyle w:val="Compact"/>
              <w:jc w:val="left"/>
            </w:pPr>
            <w:r>
              <w:rPr>
                <w:rStyle w:val="VerbatimChar"/>
              </w:rPr>
              <w:t xml:space="preserve">acetyl hexapeptide[tiab] OR argireline[tiab]</w:t>
            </w:r>
          </w:p>
        </w:tc>
      </w:tr>
    </w:tbl>
    <w:bookmarkEnd w:id="3006"/>
    <w:bookmarkEnd w:id="3007"/>
    <w:bookmarkStart w:id="3008" w:name="entità-dei-risultati"/>
    <w:p>
      <w:pPr>
        <w:pStyle w:val="Heading3"/>
      </w:pPr>
      <w:r>
        <w:t xml:space="preserve">Entità dei risultati</w:t>
      </w:r>
    </w:p>
    <w:p>
      <w:pPr>
        <w:pStyle w:val="FirstParagraph"/>
      </w:pPr>
      <w:r>
        <w:t xml:space="preserve">Complessivamente le 58 interrogazioni hanno dato 3.216 risultati con il filtro per gli studi sull’uomo e 1.739 risultati con il filtro per meta-analisi e revisioni. Su ClinicalTrials.gov sono state trovate 4.879 voci di registro. Questi totali contengono conteggi multipli, perché alcuni studi riguardano più peptidi – per esempio gli studi di confronto tra semaglutide e tirzepatide. I numeri per peptide sono indicati all’inizio della sezione «Studi sull’uomo» del rispettivo capitolo.</w:t>
      </w:r>
    </w:p>
    <w:p>
      <w:pPr>
        <w:pStyle w:val="BodyText"/>
      </w:pPr>
      <w:r>
        <w:t xml:space="preserve">La distribuzione è molto diseguale: ai farmaci GLP-1 autorizzati corrispondono centinaia di studi sull’uomo, per molti peptidi del mercato grigio invece nessuno o solo una manciata.</w:t>
      </w:r>
    </w:p>
    <w:bookmarkEnd w:id="3008"/>
    <w:bookmarkStart w:id="3009" w:name="selezione-e-analisi"/>
    <w:p>
      <w:pPr>
        <w:pStyle w:val="Heading3"/>
      </w:pPr>
      <w:r>
        <w:t xml:space="preserve">Selezione e analisi</w:t>
      </w:r>
    </w:p>
    <w:p>
      <w:pPr>
        <w:pStyle w:val="FirstParagraph"/>
      </w:pPr>
      <w:r>
        <w:t xml:space="preserve">Per ogni peptide tutti i risultati con il filtro per gli studi sull’uomo sono stati registrati come elenco sintetico (titolo, anno, rivista, primo autore o prima autrice); costituiscono la base dell’elenco degli studi in appendice. Gli studi sull’uomo e le revisioni più importanti secondo la rilevanza di PubMed sono stati letti e analizzati con i loro riassunti, integrati dai lavori cercati in modo mirato.</w:t>
      </w:r>
    </w:p>
    <w:p>
      <w:pPr>
        <w:pStyle w:val="BodyText"/>
      </w:pPr>
      <w:r>
        <w:t xml:space="preserve">Per la presentazione nel testo vale:</w:t>
      </w:r>
    </w:p>
    <w:p>
      <w:pPr>
        <w:numPr>
          <w:ilvl w:val="0"/>
          <w:numId w:val="1374"/>
        </w:numPr>
        <w:pStyle w:val="Compact"/>
      </w:pPr>
      <w:r>
        <w:t xml:space="preserve">Ogni studio citato è stato letto sulla base della sua voce in PubMed o della voce di registro.</w:t>
      </w:r>
    </w:p>
    <w:p>
      <w:pPr>
        <w:numPr>
          <w:ilvl w:val="0"/>
          <w:numId w:val="1374"/>
        </w:numPr>
        <w:pStyle w:val="Compact"/>
      </w:pPr>
      <w:r>
        <w:t xml:space="preserve">I numeri – per esempio numeri di partecipanti, percentuali, variazioni di peso o valori p – provengono esclusivamente dal riassunto della pubblicazione o dalla voce di registro. Ciò che non è documentato lì non viene citato come numero.</w:t>
      </w:r>
    </w:p>
    <w:p>
      <w:pPr>
        <w:numPr>
          <w:ilvl w:val="0"/>
          <w:numId w:val="1374"/>
        </w:numPr>
        <w:pStyle w:val="Compact"/>
      </w:pPr>
      <w:r>
        <w:t xml:space="preserve">I testi completi non sono stati analizzati in modo sistematico. Dettagli che si trovano solo nel testo completo, per esempio singoli tassi di effetti collaterali o sottogruppi, mancano quindi in parte.</w:t>
      </w:r>
    </w:p>
    <w:p>
      <w:pPr>
        <w:numPr>
          <w:ilvl w:val="0"/>
          <w:numId w:val="1374"/>
        </w:numPr>
        <w:pStyle w:val="Compact"/>
      </w:pPr>
      <w:r>
        <w:t xml:space="preserve">I risultati sugli animali e di laboratorio sono indicati espressamente come tali.</w:t>
      </w:r>
    </w:p>
    <w:p>
      <w:pPr>
        <w:numPr>
          <w:ilvl w:val="0"/>
          <w:numId w:val="1374"/>
        </w:numPr>
        <w:pStyle w:val="Compact"/>
      </w:pPr>
      <w:r>
        <w:t xml:space="preserve">Per gli studi in corso viene riportato solo ciò che è nel registro. Sono contrassegnati come</w:t>
      </w:r>
      <w:r>
        <w:t xml:space="preserve"> </w:t>
      </w:r>
      <w:r>
        <w:rPr>
          <w:iCs/>
          <w:i/>
        </w:rPr>
        <w:t xml:space="preserve">accertati</w:t>
      </w:r>
      <w:r>
        <w:t xml:space="preserve"> </w:t>
      </w:r>
      <w:r>
        <w:t xml:space="preserve">(registrati, in corso), le previsioni proprie come</w:t>
      </w:r>
      <w:r>
        <w:t xml:space="preserve"> </w:t>
      </w:r>
      <w:r>
        <w:rPr>
          <w:iCs/>
          <w:i/>
        </w:rPr>
        <w:t xml:space="preserve">valutazione</w:t>
      </w:r>
      <w:r>
        <w:t xml:space="preserve">.</w:t>
      </w:r>
    </w:p>
    <w:bookmarkEnd w:id="3009"/>
    <w:bookmarkStart w:id="3010" w:name="livelli-di-evidenza"/>
    <w:p>
      <w:pPr>
        <w:pStyle w:val="Heading3"/>
      </w:pPr>
      <w:r>
        <w:t xml:space="preserve">Livelli di evidenza</w:t>
      </w:r>
    </w:p>
    <w:p>
      <w:pPr>
        <w:pStyle w:val="FirstParagraph"/>
      </w:pPr>
      <w:r>
        <w:t xml:space="preserve">Ogni peptide ha ricevuto un livello di evidenza secondo i seguenti criteri:</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Livello</w:t>
            </w:r>
          </w:p>
        </w:tc>
        <w:tc>
          <w:tcPr/>
          <w:p>
            <w:pPr>
              <w:pStyle w:val="Compact"/>
              <w:jc w:val="left"/>
            </w:pPr>
            <w:r>
              <w:t xml:space="preserve">Criterio</w:t>
            </w:r>
          </w:p>
        </w:tc>
      </w:tr>
      <w:tr>
        <w:tc>
          <w:tcPr/>
          <w:p>
            <w:pPr>
              <w:pStyle w:val="Compact"/>
              <w:jc w:val="left"/>
            </w:pPr>
            <w:r>
              <w:t xml:space="preserve">A</w:t>
            </w:r>
          </w:p>
        </w:tc>
        <w:tc>
          <w:tcPr/>
          <w:p>
            <w:pPr>
              <w:pStyle w:val="Compact"/>
              <w:jc w:val="left"/>
            </w:pPr>
            <w:r>
              <w:t xml:space="preserve">più grandi studi randomizzati sull’uomo, autorizzazione come farmaco</w:t>
            </w:r>
          </w:p>
        </w:tc>
      </w:tr>
      <w:tr>
        <w:tc>
          <w:tcPr/>
          <w:p>
            <w:pPr>
              <w:pStyle w:val="Compact"/>
              <w:jc w:val="left"/>
            </w:pPr>
            <w:r>
              <w:t xml:space="preserve">B</w:t>
            </w:r>
          </w:p>
        </w:tc>
        <w:tc>
          <w:tcPr/>
          <w:p>
            <w:pPr>
              <w:pStyle w:val="Compact"/>
              <w:jc w:val="left"/>
            </w:pPr>
            <w:r>
              <w:t xml:space="preserve">singoli studi randomizzati sull’uomo</w:t>
            </w:r>
          </w:p>
        </w:tc>
      </w:tr>
      <w:tr>
        <w:tc>
          <w:tcPr/>
          <w:p>
            <w:pPr>
              <w:pStyle w:val="Compact"/>
              <w:jc w:val="left"/>
            </w:pPr>
            <w:r>
              <w:t xml:space="preserve">C</w:t>
            </w:r>
          </w:p>
        </w:tc>
        <w:tc>
          <w:tcPr/>
          <w:p>
            <w:pPr>
              <w:pStyle w:val="Compact"/>
              <w:jc w:val="left"/>
            </w:pPr>
            <w:r>
              <w:t xml:space="preserve">solo studi piccoli o non controllati sull’uomo</w:t>
            </w:r>
          </w:p>
        </w:tc>
      </w:tr>
      <w:tr>
        <w:tc>
          <w:tcPr/>
          <w:p>
            <w:pPr>
              <w:pStyle w:val="Compact"/>
              <w:jc w:val="left"/>
            </w:pPr>
            <w:r>
              <w:t xml:space="preserve">D</w:t>
            </w:r>
          </w:p>
        </w:tc>
        <w:tc>
          <w:tcPr/>
          <w:p>
            <w:pPr>
              <w:pStyle w:val="Compact"/>
              <w:jc w:val="left"/>
            </w:pPr>
            <w:r>
              <w:t xml:space="preserve">solo studi sugli animali e di laboratorio</w:t>
            </w:r>
          </w:p>
        </w:tc>
      </w:tr>
    </w:tbl>
    <w:p>
      <w:pPr>
        <w:pStyle w:val="BodyText"/>
      </w:pPr>
      <w:r>
        <w:t xml:space="preserve">La classificazione si riferisce ai dati complessivi sull’uomo e al principale ambito d’uso studiato. È una valutazione dell’autore basata sugli studi analizzati e non una classificazione ufficiale.</w:t>
      </w:r>
    </w:p>
    <w:bookmarkEnd w:id="3010"/>
    <w:bookmarkStart w:id="3011" w:name="limiti-della-metodologia"/>
    <w:p>
      <w:pPr>
        <w:pStyle w:val="Heading3"/>
      </w:pPr>
      <w:r>
        <w:t xml:space="preserve">Limiti della metodologia</w:t>
      </w:r>
    </w:p>
    <w:p>
      <w:pPr>
        <w:pStyle w:val="FirstParagraph"/>
      </w:pPr>
      <w:r>
        <w:t xml:space="preserve">Come ogni ricerca bibliografica, anche questa ha dei limiti, di cui dovresti tenere conto durante la lettura:</w:t>
      </w:r>
    </w:p>
    <w:p>
      <w:pPr>
        <w:pStyle w:val="BodyText"/>
      </w:pPr>
      <w:r>
        <w:rPr>
          <w:bCs/>
          <w:b/>
        </w:rPr>
        <w:t xml:space="preserve">I risultati non equivalgono a studi indipendenti.</w:t>
      </w:r>
      <w:r>
        <w:t xml:space="preserve"> </w:t>
      </w:r>
      <w:r>
        <w:t xml:space="preserve">Un grande studio viene spesso pubblicato in più articoli – risultato principale, sottogruppi, follow-up, qualità della vita. Ciascuno di questi articoli è un risultato a sé. Al contrario, più studi possono essere riassunti in un unico articolo. I numeri dei risultati riflettono quindi l’ordine di grandezza della ricerca, non il numero esatto di studi indipendenti.</w:t>
      </w:r>
    </w:p>
    <w:p>
      <w:pPr>
        <w:pStyle w:val="BodyText"/>
      </w:pPr>
      <w:r>
        <w:rPr>
          <w:bCs/>
          <w:b/>
        </w:rPr>
        <w:t xml:space="preserve">I tipi di pubblicazione non sono sempre corretti.</w:t>
      </w:r>
      <w:r>
        <w:t xml:space="preserve"> </w:t>
      </w:r>
      <w:r>
        <w:t xml:space="preserve">Il filtro per gli studi sull’uomo si basa sull’indicizzazione di PubMed. Alcuni studi non sono contrassegnati come studio clinico e quindi mancano; alcuni lavori contrassegnati come studio clinico sono, a un esame più attento, studi osservazionali o lavori di laboratorio con materiale umano. Gli articoli molto recenti spesso non sono ancora completamente indicizzati.</w:t>
      </w:r>
    </w:p>
    <w:p>
      <w:pPr>
        <w:pStyle w:val="BodyText"/>
      </w:pPr>
      <w:r>
        <w:rPr>
          <w:bCs/>
          <w:b/>
        </w:rPr>
        <w:t xml:space="preserve">I termini di ricerca possono avere lacune.</w:t>
      </w:r>
      <w:r>
        <w:t xml:space="preserve"> </w:t>
      </w:r>
      <w:r>
        <w:t xml:space="preserve">Un termine di ricerca trova solo ciò che è descritto nel titolo o nel riassunto con le parole scelte. Gli studi che indicano una sostanza solo con un nome in codice o con un’altra grafia possono mancare. Al contrario, sigle ambigue come «KPV» o «SS-31» possono includere anche lavori su temi del tutto diversi. Per i capitoli i risultati sono stati quindi esaminati e non ripresi senza verifica.</w:t>
      </w:r>
    </w:p>
    <w:p>
      <w:pPr>
        <w:pStyle w:val="BodyText"/>
      </w:pPr>
      <w:r>
        <w:rPr>
          <w:bCs/>
          <w:b/>
        </w:rPr>
        <w:t xml:space="preserve">Lingue.</w:t>
      </w:r>
      <w:r>
        <w:t xml:space="preserve"> </w:t>
      </w:r>
      <w:r>
        <w:t xml:space="preserve">PubMed registra prevalentemente riviste in lingua inglese. I lavori pubblicati solo in altre lingue e in riviste non registrate mancano in gran parte. Ciò riguarda in particolare alcuni peptidi studiati e usati soprattutto in Russia o in altri paesi dell’Europa orientale, come Semax, Selank, Epitalon o Thymalin. Per questi la situazione effettiva degli studi è forse più ampia, ma difficilmente verificabile per i lettori internazionali.</w:t>
      </w:r>
    </w:p>
    <w:p>
      <w:pPr>
        <w:pStyle w:val="BodyText"/>
      </w:pPr>
      <w:r>
        <w:rPr>
          <w:bCs/>
          <w:b/>
        </w:rPr>
        <w:t xml:space="preserve">Studi non pubblicati.</w:t>
      </w:r>
      <w:r>
        <w:t xml:space="preserve"> </w:t>
      </w:r>
      <w:r>
        <w:t xml:space="preserve">Gli studi mai pubblicati non sono contenuti in PubMed. Il registro ClinicalTrials.gov aiuta a riconoscere queste lacune, ma non comprende tutti gli studi del mondo.</w:t>
      </w:r>
    </w:p>
    <w:p>
      <w:pPr>
        <w:pStyle w:val="BodyText"/>
      </w:pPr>
      <w:r>
        <w:rPr>
          <w:bCs/>
          <w:b/>
        </w:rPr>
        <w:t xml:space="preserve">Solo riassunti.</w:t>
      </w:r>
      <w:r>
        <w:t xml:space="preserve"> </w:t>
      </w:r>
      <w:r>
        <w:t xml:space="preserve">L’analisi si basa sui riassunti. Questi riportano i risultati principali, ma possono presentare in modo abbreviato limiti, effetti collaterali o debolezze metodologiche.</w:t>
      </w:r>
    </w:p>
    <w:p>
      <w:pPr>
        <w:pStyle w:val="BodyText"/>
      </w:pPr>
      <w:r>
        <w:rPr>
          <w:bCs/>
          <w:b/>
        </w:rPr>
        <w:t xml:space="preserve">Istantanea.</w:t>
      </w:r>
      <w:r>
        <w:t xml:space="preserve"> </w:t>
      </w:r>
      <w:r>
        <w:t xml:space="preserve">La ricerca riflette la situazione a ottobre 2026. In ambiti in rapida crescita come i farmaci GLP-1 escono nuovi studi ogni settimana.</w:t>
      </w:r>
    </w:p>
    <w:bookmarkEnd w:id="3011"/>
    <w:bookmarkStart w:id="3012" w:name="controllo-di-qualità"/>
    <w:p>
      <w:pPr>
        <w:pStyle w:val="Heading3"/>
      </w:pPr>
      <w:r>
        <w:t xml:space="preserve">Controllo di qualità</w:t>
      </w:r>
    </w:p>
    <w:p>
      <w:pPr>
        <w:pStyle w:val="FirstParagraph"/>
      </w:pPr>
      <w:r>
        <w:t xml:space="preserve">Le interrogazioni delle banche dati sono state eseguite tramite le interfacce citate, con programmi di supporto scritti appositamente. Per l’analisi valevano regole vincolanti: ogni studio nel testo è citato con PMID o numero NCT; ogni numero deve provenire da un riassunto o da una voce di registro effettivamente consultati; gli studi possono essere citati solo se la loro voce è stata prima consultata e letta.</w:t>
      </w:r>
    </w:p>
    <w:p>
      <w:pPr>
        <w:pStyle w:val="BodyText"/>
      </w:pPr>
      <w:r>
        <w:t xml:space="preserve">Inoltre ogni capitolo è stato controllato con un programma di verifica. Per ogni PMID e numero NCT citato nel testo, il programma richiama la voce in PubMed o in ClinicalTrials.gov e segnala come errore un numero inesistente. Confronta inoltre il primo autore o la prima autrice e l’anno di pubblicazione, riportati nel testo prima del PMID, con la voce della banca dati e segnala le discrepanze. Infine cerca formulazioni non ammesse come promesse di guarigione, raccomandazioni di dosaggio o indicazioni su fonti di approvvigionamento. Un capitolo era considerato finito solo quando questa verifica si concludeva senza errori. Il programma controlla inoltre se un lavoro citato è stato nel frattempo ritirato; tali lavori sono espressamente segnalati nel testo. Per concludere, circa 1.450 passaggi contenenti cifre sono stati confrontati uno per uno con i riassunti e, dove necessario, corretti.</w:t>
      </w:r>
    </w:p>
    <w:p>
      <w:pPr>
        <w:pStyle w:val="BodyText"/>
      </w:pPr>
      <w:r>
        <w:t xml:space="preserve">Questa verifica garantisce che ogni fonte citata esista e sia attribuita correttamente. Non può escludere del tutto che un risultato sia riportato nel testo in modo abbreviato o fuorviante. Per questo tutte le fonti sono indicate in modo che tu possa consultarle personalmente – come fare è spiegato nella sezione «Su questo libro» all’inizio.</w:t>
      </w:r>
    </w:p>
    <w:bookmarkEnd w:id="3012"/>
    <w:bookmarkEnd w:id="3013"/>
    <w:bookmarkStart w:id="3072" w:name="indice-degli-studi"/>
    <w:p>
      <w:pPr>
        <w:pStyle w:val="Heading1"/>
      </w:pPr>
      <w:r>
        <w:t xml:space="preserve">Indice degli studi</w:t>
      </w:r>
    </w:p>
    <w:p>
      <w:pPr>
        <w:pStyle w:val="FirstParagraph"/>
      </w:pPr>
      <w:r>
        <w:t xml:space="preserve">Questo indice elenca tutte le pubblicazioni di studi clinici sull’uomo che la ricerca ha trovato in PubMed per ciascun peptide (interrogazione di ottobre 2026; filtri: vedi Metodologia). Titoli e riviste sono riportati nella lingua originale. Ogni studio può essere consultato tramite il suo PMID su pubmed.ncbi.nlm.nih.gov. Non ogni voce è uno studio a sé: alcuni studi sono stati analizzati e pubblicati più volte.</w:t>
      </w:r>
      <w:r>
        <w:t xml:space="preserve"> </w:t>
      </w:r>
      <w:r>
        <w:t xml:space="preserve">Totale: 3.216 voci.</w:t>
      </w:r>
    </w:p>
    <w:bookmarkStart w:id="3014" w:name="exenatide-437"/>
    <w:p>
      <w:pPr>
        <w:pStyle w:val="Heading2"/>
      </w:pPr>
      <w:r>
        <w:t xml:space="preserve">Exenatide (437)</w:t>
      </w:r>
    </w:p>
    <w:p>
      <w:pPr>
        <w:numPr>
          <w:ilvl w:val="0"/>
          <w:numId w:val="1375"/>
        </w:numPr>
        <w:pStyle w:val="Compact"/>
      </w:pPr>
      <w:r>
        <w:t xml:space="preserve">2026 · Retnakaran R ·</w:t>
      </w:r>
      <w:r>
        <w:t xml:space="preserve"> </w:t>
      </w:r>
      <w:r>
        <w:rPr>
          <w:iCs/>
          <w:i/>
        </w:rPr>
        <w:t xml:space="preserve">Am J Physiol Endocrinol Metab</w:t>
      </w:r>
      <w:r>
        <w:t xml:space="preserve"> </w:t>
      </w:r>
      <w:r>
        <w:t xml:space="preserve">· Glucose-lowering in type 2 diabetes may be mediated by improved proinsulin processing without better β-cell compensation. PMID 42721371</w:t>
      </w:r>
    </w:p>
    <w:p>
      <w:pPr>
        <w:numPr>
          <w:ilvl w:val="0"/>
          <w:numId w:val="1375"/>
        </w:numPr>
        <w:pStyle w:val="Compact"/>
      </w:pPr>
      <w:r>
        <w:t xml:space="preserve">2026 · Corey KM ·</w:t>
      </w:r>
      <w:r>
        <w:t xml:space="preserve"> </w:t>
      </w:r>
      <w:r>
        <w:rPr>
          <w:iCs/>
          <w:i/>
        </w:rPr>
        <w:t xml:space="preserve">JCI Insight</w:t>
      </w:r>
      <w:r>
        <w:t xml:space="preserve"> </w:t>
      </w:r>
      <w:r>
        <w:t xml:space="preserve">· A validated, modifiable proteomic score from the EXSCEL trial predicts cardiovascular events in diabetes. PMID 42390946</w:t>
      </w:r>
    </w:p>
    <w:p>
      <w:pPr>
        <w:numPr>
          <w:ilvl w:val="0"/>
          <w:numId w:val="1375"/>
        </w:numPr>
        <w:pStyle w:val="Compact"/>
      </w:pPr>
      <w:r>
        <w:t xml:space="preserve">2026 · Mikkelsen AD ·</w:t>
      </w:r>
      <w:r>
        <w:t xml:space="preserve"> </w:t>
      </w:r>
      <w:r>
        <w:rPr>
          <w:iCs/>
          <w:i/>
        </w:rPr>
        <w:t xml:space="preserve">Acta Anaesthesiol Scand</w:t>
      </w:r>
      <w:r>
        <w:t xml:space="preserve"> </w:t>
      </w:r>
      <w:r>
        <w:t xml:space="preserve">· Glucagon-Like Peptide-1 Agonist vs. Placebo and Pulmonary Decline After Open-Heart Surgery: A Substudy of the GLORIOUS Randomised Clinical Trial. PMID 42318973</w:t>
      </w:r>
    </w:p>
    <w:p>
      <w:pPr>
        <w:numPr>
          <w:ilvl w:val="0"/>
          <w:numId w:val="1375"/>
        </w:numPr>
        <w:pStyle w:val="Compact"/>
      </w:pPr>
      <w:r>
        <w:t xml:space="preserve">2026 · Wu TH ·</w:t>
      </w:r>
      <w:r>
        <w:t xml:space="preserve"> </w:t>
      </w:r>
      <w:r>
        <w:rPr>
          <w:iCs/>
          <w:i/>
        </w:rPr>
        <w:t xml:space="preserve">J Chin Med Assoc</w:t>
      </w:r>
      <w:r>
        <w:t xml:space="preserve"> </w:t>
      </w:r>
      <w:r>
        <w:t xml:space="preserve">· Effects of insulin and exenatide therapy on glycemic control and β-cell function in patients newly diagnosed with type 2 diabetes and severe hyperglycemia. PMID 42290292</w:t>
      </w:r>
    </w:p>
    <w:p>
      <w:pPr>
        <w:numPr>
          <w:ilvl w:val="0"/>
          <w:numId w:val="1375"/>
        </w:numPr>
        <w:pStyle w:val="Compact"/>
      </w:pPr>
      <w:r>
        <w:t xml:space="preserve">2026 · Kittipibul V ·</w:t>
      </w:r>
      <w:r>
        <w:t xml:space="preserve"> </w:t>
      </w:r>
      <w:r>
        <w:rPr>
          <w:iCs/>
          <w:i/>
        </w:rPr>
        <w:t xml:space="preserve">Am Heart J</w:t>
      </w:r>
      <w:r>
        <w:t xml:space="preserve"> </w:t>
      </w:r>
      <w:r>
        <w:t xml:space="preserve">· Serial assessment of NT-proBNP and high-sensitivity cardiac troponin with glucagon-like peptide-1 receptor agonist therapy in type 2 diabetes: Insights from EXSCEL. PMID 42102896</w:t>
      </w:r>
    </w:p>
    <w:p>
      <w:pPr>
        <w:numPr>
          <w:ilvl w:val="0"/>
          <w:numId w:val="1375"/>
        </w:numPr>
        <w:pStyle w:val="Compact"/>
      </w:pPr>
      <w:r>
        <w:t xml:space="preserve">2026 · Parikh M ·</w:t>
      </w:r>
      <w:r>
        <w:t xml:space="preserve"> </w:t>
      </w:r>
      <w:r>
        <w:rPr>
          <w:iCs/>
          <w:i/>
        </w:rPr>
        <w:t xml:space="preserve">J Clin Endocrinol Metab</w:t>
      </w:r>
      <w:r>
        <w:t xml:space="preserve"> </w:t>
      </w:r>
      <w:r>
        <w:t xml:space="preserve">· Exenatide induces an enhanced endogenous glucagon-like peptide-1 secretory response in patients receiving basal insulin. PMID 41604435</w:t>
      </w:r>
    </w:p>
    <w:p>
      <w:pPr>
        <w:numPr>
          <w:ilvl w:val="0"/>
          <w:numId w:val="1375"/>
        </w:numPr>
        <w:pStyle w:val="Compact"/>
      </w:pPr>
      <w:r>
        <w:t xml:space="preserve">2026 · Goodman J ·</w:t>
      </w:r>
      <w:r>
        <w:t xml:space="preserve"> </w:t>
      </w:r>
      <w:r>
        <w:rPr>
          <w:iCs/>
          <w:i/>
        </w:rPr>
        <w:t xml:space="preserve">Br J Clin Pharmacol</w:t>
      </w:r>
      <w:r>
        <w:t xml:space="preserve"> </w:t>
      </w:r>
      <w:r>
        <w:t xml:space="preserve">· An experimental medicine protocol for exploring the haemodynamic effects of dual agonism at the glucagon-like peptide-1 and glucagon receptor in healthy subjects. PMID 41025322</w:t>
      </w:r>
    </w:p>
    <w:p>
      <w:pPr>
        <w:numPr>
          <w:ilvl w:val="0"/>
          <w:numId w:val="1375"/>
        </w:numPr>
        <w:pStyle w:val="Compact"/>
      </w:pPr>
      <w:r>
        <w:t xml:space="preserve">2025 · Almby KE ·</w:t>
      </w:r>
      <w:r>
        <w:t xml:space="preserve"> </w:t>
      </w:r>
      <w:r>
        <w:rPr>
          <w:iCs/>
          <w:i/>
        </w:rPr>
        <w:t xml:space="preserve">Endocrine</w:t>
      </w:r>
      <w:r>
        <w:t xml:space="preserve"> </w:t>
      </w:r>
      <w:r>
        <w:t xml:space="preserve">· Effects of acute GLP-1 analogue infusion on the glycemic and neurohormonal responses to meal test in non- hypoglycemic subjects after gastric bypass. PMID 41071533</w:t>
      </w:r>
    </w:p>
    <w:p>
      <w:pPr>
        <w:numPr>
          <w:ilvl w:val="0"/>
          <w:numId w:val="1375"/>
        </w:numPr>
        <w:pStyle w:val="Compact"/>
      </w:pPr>
      <w:r>
        <w:t xml:space="preserve">2025 · Coleman RL ·</w:t>
      </w:r>
      <w:r>
        <w:t xml:space="preserve"> </w:t>
      </w:r>
      <w:r>
        <w:rPr>
          <w:iCs/>
          <w:i/>
        </w:rPr>
        <w:t xml:space="preserve">Cardiovasc Diabetol</w:t>
      </w:r>
      <w:r>
        <w:t xml:space="preserve"> </w:t>
      </w:r>
      <w:r>
        <w:t xml:space="preserve">· Impact of changes in conventional risk factors induced by once-weekly GLP-1 receptor agonist exenatide on cardiovascular outcomes: an EXSCEL post hoc analysis. PMID 40849664</w:t>
      </w:r>
    </w:p>
    <w:p>
      <w:pPr>
        <w:numPr>
          <w:ilvl w:val="0"/>
          <w:numId w:val="1375"/>
        </w:numPr>
        <w:pStyle w:val="Compact"/>
      </w:pPr>
      <w:r>
        <w:t xml:space="preserve">2025 · Peters AE ·</w:t>
      </w:r>
      <w:r>
        <w:t xml:space="preserve"> </w:t>
      </w:r>
      <w:r>
        <w:rPr>
          <w:iCs/>
          <w:i/>
        </w:rPr>
        <w:t xml:space="preserve">Sci Rep</w:t>
      </w:r>
      <w:r>
        <w:t xml:space="preserve"> </w:t>
      </w:r>
      <w:r>
        <w:t xml:space="preserve">· Proteomic pathways across the ejection fraction spectrum in patients with heart failure and diabetes mellitus: an EXSCEL trial substudy. PMID 40825966</w:t>
      </w:r>
    </w:p>
    <w:p>
      <w:pPr>
        <w:numPr>
          <w:ilvl w:val="0"/>
          <w:numId w:val="1375"/>
        </w:numPr>
        <w:pStyle w:val="Compact"/>
      </w:pPr>
      <w:r>
        <w:t xml:space="preserve">2025 · Hepprich M ·</w:t>
      </w:r>
      <w:r>
        <w:t xml:space="preserve"> </w:t>
      </w:r>
      <w:r>
        <w:rPr>
          <w:iCs/>
          <w:i/>
        </w:rPr>
        <w:t xml:space="preserve">Eur J Endocrinol</w:t>
      </w:r>
      <w:r>
        <w:t xml:space="preserve"> </w:t>
      </w:r>
      <w:r>
        <w:t xml:space="preserve">· Exenatide for diagnosing endogenous hyperinsulinemic hypoglycemia: a randomized placebo-controlled, double-blind, cross-over proof-of-principle study. PMID 40747712</w:t>
      </w:r>
    </w:p>
    <w:p>
      <w:pPr>
        <w:numPr>
          <w:ilvl w:val="0"/>
          <w:numId w:val="1375"/>
        </w:numPr>
        <w:pStyle w:val="Compact"/>
      </w:pPr>
      <w:r>
        <w:t xml:space="preserve">2025 · Vijiaratnam N ·</w:t>
      </w:r>
      <w:r>
        <w:t xml:space="preserve"> </w:t>
      </w:r>
      <w:r>
        <w:rPr>
          <w:iCs/>
          <w:i/>
        </w:rPr>
        <w:t xml:space="preserve">Ann Neurol</w:t>
      </w:r>
      <w:r>
        <w:t xml:space="preserve"> </w:t>
      </w:r>
      <w:r>
        <w:t xml:space="preserve">· Exenatide Once Weekly in the Treatment of Patients with Multiple System Atrophy. PMID 40727970</w:t>
      </w:r>
    </w:p>
    <w:p>
      <w:pPr>
        <w:numPr>
          <w:ilvl w:val="0"/>
          <w:numId w:val="1375"/>
        </w:numPr>
        <w:pStyle w:val="Compact"/>
      </w:pPr>
      <w:r>
        <w:t xml:space="preserve">2025 · Hviid MEB ·</w:t>
      </w:r>
      <w:r>
        <w:t xml:space="preserve"> </w:t>
      </w:r>
      <w:r>
        <w:rPr>
          <w:iCs/>
          <w:i/>
        </w:rPr>
        <w:t xml:space="preserve">Alcohol Clin Exp Res (Hoboken)</w:t>
      </w:r>
      <w:r>
        <w:t xml:space="preserve"> </w:t>
      </w:r>
      <w:r>
        <w:t xml:space="preserve">· Effect of the GLP-1 receptor agonist exenatide on pro-inflammatory and metabolic biomarkers in individuals with alcohol use disorder: Post hoc results from a randomized, double-blinded, placebo-controlled clinical trial. PMID 40630018</w:t>
      </w:r>
    </w:p>
    <w:p>
      <w:pPr>
        <w:numPr>
          <w:ilvl w:val="0"/>
          <w:numId w:val="1375"/>
        </w:numPr>
        <w:pStyle w:val="Compact"/>
      </w:pPr>
      <w:r>
        <w:t xml:space="preserve">2025 · Triplitt C ·</w:t>
      </w:r>
      <w:r>
        <w:t xml:space="preserve"> </w:t>
      </w:r>
      <w:r>
        <w:rPr>
          <w:iCs/>
          <w:i/>
        </w:rPr>
        <w:t xml:space="preserve">Diabetes Care</w:t>
      </w:r>
      <w:r>
        <w:t xml:space="preserve"> </w:t>
      </w:r>
      <w:r>
        <w:t xml:space="preserve">· Changes in β-Cell Function and Insulin Sensitivity During Treatment With Dapagliflozin Alone or in Combination With Exenatide in Type 2 Diabetes. PMID 40627548</w:t>
      </w:r>
    </w:p>
    <w:p>
      <w:pPr>
        <w:numPr>
          <w:ilvl w:val="0"/>
          <w:numId w:val="1375"/>
        </w:numPr>
        <w:pStyle w:val="Compact"/>
      </w:pPr>
      <w:r>
        <w:t xml:space="preserve">2025 · Goodman J ·</w:t>
      </w:r>
      <w:r>
        <w:t xml:space="preserve"> </w:t>
      </w:r>
      <w:r>
        <w:rPr>
          <w:iCs/>
          <w:i/>
        </w:rPr>
        <w:t xml:space="preserve">Sci Rep</w:t>
      </w:r>
      <w:r>
        <w:t xml:space="preserve"> </w:t>
      </w:r>
      <w:r>
        <w:t xml:space="preserve">· Exenatide and glucagon co-infusion increases myocardial glucose uptake and improves markers of diastolic dysfunction in adults with type 2 diabetes. PMID 40593987</w:t>
      </w:r>
    </w:p>
    <w:p>
      <w:pPr>
        <w:numPr>
          <w:ilvl w:val="0"/>
          <w:numId w:val="1375"/>
        </w:numPr>
        <w:pStyle w:val="Compact"/>
      </w:pPr>
      <w:r>
        <w:t xml:space="preserve">2025 · Abdul-Ghani M ·</w:t>
      </w:r>
      <w:r>
        <w:t xml:space="preserve"> </w:t>
      </w:r>
      <w:r>
        <w:rPr>
          <w:iCs/>
          <w:i/>
        </w:rPr>
        <w:t xml:space="preserve">BMJ Open Diabetes Res Care</w:t>
      </w:r>
      <w:r>
        <w:t xml:space="preserve"> </w:t>
      </w:r>
      <w:r>
        <w:t xml:space="preserve">· Glycemic and non-glycemic benefits of initial triple therapy versus sequential add-on therapy in patients with new-onset diabetes: results from the EDICT study. PMID 40288809</w:t>
      </w:r>
    </w:p>
    <w:p>
      <w:pPr>
        <w:numPr>
          <w:ilvl w:val="0"/>
          <w:numId w:val="1375"/>
        </w:numPr>
        <w:pStyle w:val="Compact"/>
      </w:pPr>
      <w:r>
        <w:t xml:space="preserve">2025 · Kjaergaard J ·</w:t>
      </w:r>
      <w:r>
        <w:t xml:space="preserve"> </w:t>
      </w:r>
      <w:r>
        <w:rPr>
          <w:iCs/>
          <w:i/>
        </w:rPr>
        <w:t xml:space="preserve">Circ Cardiovasc Interv</w:t>
      </w:r>
      <w:r>
        <w:t xml:space="preserve"> </w:t>
      </w:r>
      <w:r>
        <w:t xml:space="preserve">· Efficacy of the Glucagon-Like Peptide-1 Agonist Exenatide in Patients Undergoing CABG or Aortic Valve Replacement: A Randomized Double-Blind Clinical Trial. PMID 40265262</w:t>
      </w:r>
    </w:p>
    <w:p>
      <w:pPr>
        <w:numPr>
          <w:ilvl w:val="0"/>
          <w:numId w:val="1375"/>
        </w:numPr>
        <w:pStyle w:val="Compact"/>
      </w:pPr>
      <w:r>
        <w:t xml:space="preserve">2025 · Patino LR ·</w:t>
      </w:r>
      <w:r>
        <w:t xml:space="preserve"> </w:t>
      </w:r>
      <w:r>
        <w:rPr>
          <w:iCs/>
          <w:i/>
        </w:rPr>
        <w:t xml:space="preserve">J Affect Disord</w:t>
      </w:r>
      <w:r>
        <w:t xml:space="preserve"> </w:t>
      </w:r>
      <w:r>
        <w:t xml:space="preserve">· A double-blind, placebo-controlled trial of exenatide for the treatment of olanzapine-related weight gain in obese and overweight adults. PMID 40203970</w:t>
      </w:r>
    </w:p>
    <w:p>
      <w:pPr>
        <w:numPr>
          <w:ilvl w:val="0"/>
          <w:numId w:val="1375"/>
        </w:numPr>
        <w:pStyle w:val="Compact"/>
      </w:pPr>
      <w:r>
        <w:t xml:space="preserve">2025 · Maddaloni E ·</w:t>
      </w:r>
      <w:r>
        <w:t xml:space="preserve"> </w:t>
      </w:r>
      <w:r>
        <w:rPr>
          <w:iCs/>
          <w:i/>
        </w:rPr>
        <w:t xml:space="preserve">Diabetes Res Clin Pract</w:t>
      </w:r>
      <w:r>
        <w:t xml:space="preserve"> </w:t>
      </w:r>
      <w:r>
        <w:t xml:space="preserve">· Risk factors for bone fractures in type 2 diabetes and the impact of once-weekly exenatide: insights from an EXSCEL post-hoc analysis. PMID 40154887</w:t>
      </w:r>
    </w:p>
    <w:p>
      <w:pPr>
        <w:numPr>
          <w:ilvl w:val="0"/>
          <w:numId w:val="1375"/>
        </w:numPr>
        <w:pStyle w:val="Compact"/>
      </w:pPr>
      <w:r>
        <w:t xml:space="preserve">2025 · Jensen ME ·</w:t>
      </w:r>
      <w:r>
        <w:t xml:space="preserve"> </w:t>
      </w:r>
      <w:r>
        <w:rPr>
          <w:iCs/>
          <w:i/>
        </w:rPr>
        <w:t xml:space="preserve">Alcohol Clin Exp Res (Hoboken)</w:t>
      </w:r>
      <w:r>
        <w:t xml:space="preserve"> </w:t>
      </w:r>
      <w:r>
        <w:t xml:space="preserve">· Blood phosphatidylethanol measurements indicate GLP-1 receptor stimulation causes delayed decreases in alcohol consumption. PMID 40123107</w:t>
      </w:r>
    </w:p>
    <w:p>
      <w:pPr>
        <w:numPr>
          <w:ilvl w:val="0"/>
          <w:numId w:val="1375"/>
        </w:numPr>
        <w:pStyle w:val="Compact"/>
      </w:pPr>
      <w:r>
        <w:t xml:space="preserve">2025 · Vijiaratnam N ·</w:t>
      </w:r>
      <w:r>
        <w:t xml:space="preserve"> </w:t>
      </w:r>
      <w:r>
        <w:rPr>
          <w:iCs/>
          <w:i/>
        </w:rPr>
        <w:t xml:space="preserve">Lancet</w:t>
      </w:r>
      <w:r>
        <w:t xml:space="preserve"> </w:t>
      </w:r>
      <w:r>
        <w:t xml:space="preserve">· Exenatide once a week versus placebo as a potential disease-modifying treatment for people with Parkinson’s disease in the UK: a phase 3, multicentre, double-blind, parallel-group, randomised, placebo-controlled trial. PMID 39919773</w:t>
      </w:r>
    </w:p>
    <w:p>
      <w:pPr>
        <w:numPr>
          <w:ilvl w:val="0"/>
          <w:numId w:val="1375"/>
        </w:numPr>
        <w:pStyle w:val="Compact"/>
      </w:pPr>
      <w:r>
        <w:t xml:space="preserve">2025 · Yammine L ·</w:t>
      </w:r>
      <w:r>
        <w:t xml:space="preserve"> </w:t>
      </w:r>
      <w:r>
        <w:rPr>
          <w:iCs/>
          <w:i/>
        </w:rPr>
        <w:t xml:space="preserve">Nicotine Tob Res</w:t>
      </w:r>
      <w:r>
        <w:t xml:space="preserve"> </w:t>
      </w:r>
      <w:r>
        <w:t xml:space="preserve">· Exploring Predictors of Treatment Response to GLP-1 Receptor Agonists for Smoking Cessation. PMID 39780397</w:t>
      </w:r>
    </w:p>
    <w:p>
      <w:pPr>
        <w:numPr>
          <w:ilvl w:val="0"/>
          <w:numId w:val="1375"/>
        </w:numPr>
        <w:pStyle w:val="Compact"/>
      </w:pPr>
      <w:r>
        <w:t xml:space="preserve">2025 · Maddaloni E ·</w:t>
      </w:r>
      <w:r>
        <w:t xml:space="preserve"> </w:t>
      </w:r>
      <w:r>
        <w:rPr>
          <w:iCs/>
          <w:i/>
        </w:rPr>
        <w:t xml:space="preserve">Diabetes Care</w:t>
      </w:r>
      <w:r>
        <w:t xml:space="preserve"> </w:t>
      </w:r>
      <w:r>
        <w:t xml:space="preserve">· Osteoprotegerin, Osteopontin, and Osteocalcin Are Associated With Cardiovascular Events in Type 2 Diabetes: Insights From EXSCEL. PMID 39576722</w:t>
      </w:r>
    </w:p>
    <w:p>
      <w:pPr>
        <w:numPr>
          <w:ilvl w:val="0"/>
          <w:numId w:val="1375"/>
        </w:numPr>
        <w:pStyle w:val="Compact"/>
      </w:pPr>
      <w:r>
        <w:t xml:space="preserve">2025 · Neves JS ·</w:t>
      </w:r>
      <w:r>
        <w:t xml:space="preserve"> </w:t>
      </w:r>
      <w:r>
        <w:rPr>
          <w:iCs/>
          <w:i/>
        </w:rPr>
        <w:t xml:space="preserve">Eur J Heart Fail</w:t>
      </w:r>
      <w:r>
        <w:t xml:space="preserve"> </w:t>
      </w:r>
      <w:r>
        <w:t xml:space="preserve">· Cardiovascular outcomes with exenatide in type 2 diabetes according to ejection fraction: The EXSCEL trial. PMID 39381950</w:t>
      </w:r>
    </w:p>
    <w:p>
      <w:pPr>
        <w:numPr>
          <w:ilvl w:val="0"/>
          <w:numId w:val="1375"/>
        </w:numPr>
        <w:pStyle w:val="Compact"/>
      </w:pPr>
      <w:r>
        <w:t xml:space="preserve">2024 · Koychev I ·</w:t>
      </w:r>
      <w:r>
        <w:t xml:space="preserve"> </w:t>
      </w:r>
      <w:r>
        <w:rPr>
          <w:iCs/>
          <w:i/>
        </w:rPr>
        <w:t xml:space="preserve">Alzheimers Res Ther</w:t>
      </w:r>
      <w:r>
        <w:t xml:space="preserve"> </w:t>
      </w:r>
      <w:r>
        <w:t xml:space="preserve">· Inflammatory proteins associated with Alzheimer’s disease reduced by a GLP1 receptor agonist: a post hoc analysis of the EXSCEL randomized placebo controlled trial. PMID 39358806</w:t>
      </w:r>
    </w:p>
    <w:p>
      <w:pPr>
        <w:numPr>
          <w:ilvl w:val="0"/>
          <w:numId w:val="1375"/>
        </w:numPr>
        <w:pStyle w:val="Compact"/>
      </w:pPr>
      <w:r>
        <w:t xml:space="preserve">2024 · Oulhaj A ·</w:t>
      </w:r>
      <w:r>
        <w:t xml:space="preserve"> </w:t>
      </w:r>
      <w:r>
        <w:rPr>
          <w:iCs/>
          <w:i/>
        </w:rPr>
        <w:t xml:space="preserve">Diabetes Obes Metab</w:t>
      </w:r>
      <w:r>
        <w:t xml:space="preserve"> </w:t>
      </w:r>
      <w:r>
        <w:t xml:space="preserve">· Estimated glomerular filtration rate slope and risk of primary and secondary major adverse cardiovascular events and heart failure hospitalization in people with type 2 diabetes: An analysis of the EXSCEL trial. PMID 39086032</w:t>
      </w:r>
    </w:p>
    <w:p>
      <w:pPr>
        <w:numPr>
          <w:ilvl w:val="0"/>
          <w:numId w:val="1375"/>
        </w:numPr>
        <w:pStyle w:val="Compact"/>
      </w:pPr>
      <w:r>
        <w:t xml:space="preserve">2024 · Gooding KM ·</w:t>
      </w:r>
      <w:r>
        <w:t xml:space="preserve"> </w:t>
      </w:r>
      <w:r>
        <w:rPr>
          <w:iCs/>
          <w:i/>
        </w:rPr>
        <w:t xml:space="preserve">Diabetes Res Clin Pract</w:t>
      </w:r>
      <w:r>
        <w:t xml:space="preserve"> </w:t>
      </w:r>
      <w:r>
        <w:t xml:space="preserve">· Are the cardiovascular properties of GLP-1 receptor agonists differentially modulated by sulfonylureas? Insights from post-hoc analysis of EXSCEL. PMID 38670496</w:t>
      </w:r>
    </w:p>
    <w:p>
      <w:pPr>
        <w:numPr>
          <w:ilvl w:val="0"/>
          <w:numId w:val="1375"/>
        </w:numPr>
        <w:pStyle w:val="Compact"/>
      </w:pPr>
      <w:r>
        <w:t xml:space="preserve">2024 · Dei Cas A ·</w:t>
      </w:r>
      <w:r>
        <w:t xml:space="preserve"> </w:t>
      </w:r>
      <w:r>
        <w:rPr>
          <w:iCs/>
          <w:i/>
        </w:rPr>
        <w:t xml:space="preserve">J Endocrinol Invest</w:t>
      </w:r>
      <w:r>
        <w:t xml:space="preserve"> </w:t>
      </w:r>
      <w:r>
        <w:t xml:space="preserve">· Long-acting exenatide does not prevent cognitive decline in mild cognitive impairment: a proof-of-concept clinical trial. PMID 38565814</w:t>
      </w:r>
    </w:p>
    <w:p>
      <w:pPr>
        <w:numPr>
          <w:ilvl w:val="0"/>
          <w:numId w:val="1375"/>
        </w:numPr>
        <w:pStyle w:val="Compact"/>
      </w:pPr>
      <w:r>
        <w:t xml:space="preserve">2024 · Gatta-Cherifi B ·</w:t>
      </w:r>
      <w:r>
        <w:t xml:space="preserve"> </w:t>
      </w:r>
      <w:r>
        <w:rPr>
          <w:iCs/>
          <w:i/>
        </w:rPr>
        <w:t xml:space="preserve">Eur J Endocrinol</w:t>
      </w:r>
      <w:r>
        <w:t xml:space="preserve"> </w:t>
      </w:r>
      <w:r>
        <w:t xml:space="preserve">· Impact of exenatide on weight loss and eating behavior in adults with craniopharyngioma-related obesity: the CRANIOEXE randomized placebo-controlled trial. PMID 38450721</w:t>
      </w:r>
    </w:p>
    <w:p>
      <w:pPr>
        <w:numPr>
          <w:ilvl w:val="0"/>
          <w:numId w:val="1375"/>
        </w:numPr>
        <w:pStyle w:val="Compact"/>
      </w:pPr>
      <w:r>
        <w:t xml:space="preserve">2024 · Bensignor MO ·</w:t>
      </w:r>
      <w:r>
        <w:t xml:space="preserve"> </w:t>
      </w:r>
      <w:r>
        <w:rPr>
          <w:iCs/>
          <w:i/>
        </w:rPr>
        <w:t xml:space="preserve">Pediatr Obes</w:t>
      </w:r>
      <w:r>
        <w:t xml:space="preserve"> </w:t>
      </w:r>
      <w:r>
        <w:t xml:space="preserve">· Evaluating appetite/satiety hormones and eating behaviours as predictors of weight loss maintenance with GLP-1RA therapy in adolescents with severe obesity. PMID 38339799</w:t>
      </w:r>
    </w:p>
    <w:p>
      <w:pPr>
        <w:numPr>
          <w:ilvl w:val="0"/>
          <w:numId w:val="1375"/>
        </w:numPr>
        <w:pStyle w:val="Compact"/>
      </w:pPr>
      <w:r>
        <w:t xml:space="preserve">2024 · Grech O ·</w:t>
      </w:r>
      <w:r>
        <w:t xml:space="preserve"> </w:t>
      </w:r>
      <w:r>
        <w:rPr>
          <w:iCs/>
          <w:i/>
        </w:rPr>
        <w:t xml:space="preserve">Eye (Lond)</w:t>
      </w:r>
      <w:r>
        <w:t xml:space="preserve"> </w:t>
      </w:r>
      <w:r>
        <w:t xml:space="preserve">· Effect of glucagon like peptide-1 receptor agonist exenatide, used as an intracranial pressure lowering agent, on cognition in Idiopathic Intracranial Hypertension. PMID 38212401</w:t>
      </w:r>
    </w:p>
    <w:p>
      <w:pPr>
        <w:numPr>
          <w:ilvl w:val="0"/>
          <w:numId w:val="1375"/>
        </w:numPr>
        <w:pStyle w:val="Compact"/>
      </w:pPr>
      <w:r>
        <w:t xml:space="preserve">2024 · McGarry A ·</w:t>
      </w:r>
      <w:r>
        <w:t xml:space="preserve"> </w:t>
      </w:r>
      <w:r>
        <w:rPr>
          <w:iCs/>
          <w:i/>
        </w:rPr>
        <w:t xml:space="preserve">Lancet Neurol</w:t>
      </w:r>
      <w:r>
        <w:t xml:space="preserve"> </w:t>
      </w:r>
      <w:r>
        <w:t xml:space="preserve">· Safety, tolerability, and efficacy of NLY01 in early untreated Parkinson’s disease: a randomised, double-blind, placebo-controlled trial. PMID 38101901</w:t>
      </w:r>
    </w:p>
    <w:p>
      <w:pPr>
        <w:numPr>
          <w:ilvl w:val="0"/>
          <w:numId w:val="1375"/>
        </w:numPr>
        <w:pStyle w:val="Compact"/>
      </w:pPr>
      <w:r>
        <w:t xml:space="preserve">2023 · Santos-Pardo I ·</w:t>
      </w:r>
      <w:r>
        <w:t xml:space="preserve"> </w:t>
      </w:r>
      <w:r>
        <w:rPr>
          <w:iCs/>
          <w:i/>
        </w:rPr>
        <w:t xml:space="preserve">Cardiovasc Diabetol</w:t>
      </w:r>
      <w:r>
        <w:t xml:space="preserve"> </w:t>
      </w:r>
      <w:r>
        <w:t xml:space="preserve">· Effects of exenatide on coronary stent’s endothelialization in subjects with type 2 diabetes: a randomized controlled trial. The Rebuild study. PMID 38066597</w:t>
      </w:r>
    </w:p>
    <w:p>
      <w:pPr>
        <w:numPr>
          <w:ilvl w:val="0"/>
          <w:numId w:val="1375"/>
        </w:numPr>
        <w:pStyle w:val="Compact"/>
      </w:pPr>
      <w:r>
        <w:t xml:space="preserve">2023 · Bladin CF ·</w:t>
      </w:r>
      <w:r>
        <w:t xml:space="preserve"> </w:t>
      </w:r>
      <w:r>
        <w:rPr>
          <w:iCs/>
          <w:i/>
        </w:rPr>
        <w:t xml:space="preserve">Stroke</w:t>
      </w:r>
      <w:r>
        <w:t xml:space="preserve"> </w:t>
      </w:r>
      <w:r>
        <w:t xml:space="preserve">· Management of Poststroke Hyperglycemia: Results of the TEXAIS Randomized Clinical Trial. PMID 38011235</w:t>
      </w:r>
    </w:p>
    <w:p>
      <w:pPr>
        <w:numPr>
          <w:ilvl w:val="0"/>
          <w:numId w:val="1375"/>
        </w:numPr>
        <w:pStyle w:val="Compact"/>
      </w:pPr>
      <w:r>
        <w:t xml:space="preserve">2023 · Stenlid R ·</w:t>
      </w:r>
      <w:r>
        <w:t xml:space="preserve"> </w:t>
      </w:r>
      <w:r>
        <w:rPr>
          <w:iCs/>
          <w:i/>
        </w:rPr>
        <w:t xml:space="preserve">Ann Nutr Metab</w:t>
      </w:r>
      <w:r>
        <w:t xml:space="preserve"> </w:t>
      </w:r>
      <w:r>
        <w:t xml:space="preserve">· Screening for Inflammatory Markers Identifies IL-18Rα as a Potential Link between Exenatide and Its Anti-Inflammatory Effect: New Results from the Combat-JUDO Randomized Controlled Trial. PMID 37883939</w:t>
      </w:r>
    </w:p>
    <w:p>
      <w:pPr>
        <w:numPr>
          <w:ilvl w:val="0"/>
          <w:numId w:val="1375"/>
        </w:numPr>
        <w:pStyle w:val="Compact"/>
      </w:pPr>
      <w:r>
        <w:t xml:space="preserve">2023 · Akyay OZ ·</w:t>
      </w:r>
      <w:r>
        <w:t xml:space="preserve"> </w:t>
      </w:r>
      <w:r>
        <w:rPr>
          <w:iCs/>
          <w:i/>
        </w:rPr>
        <w:t xml:space="preserve">Medicine (Baltimore)</w:t>
      </w:r>
      <w:r>
        <w:t xml:space="preserve"> </w:t>
      </w:r>
      <w:r>
        <w:t xml:space="preserve">· The effects of exenatide and insulin glargine treatments on bone turnover markers and bone mineral density in postmenopausal patients with type 2 diabetes mellitus. PMID 37773814</w:t>
      </w:r>
    </w:p>
    <w:p>
      <w:pPr>
        <w:numPr>
          <w:ilvl w:val="0"/>
          <w:numId w:val="1375"/>
        </w:numPr>
        <w:pStyle w:val="Compact"/>
      </w:pPr>
      <w:r>
        <w:t xml:space="preserve">2023 · Liu L ·</w:t>
      </w:r>
      <w:r>
        <w:t xml:space="preserve"> </w:t>
      </w:r>
      <w:r>
        <w:rPr>
          <w:iCs/>
          <w:i/>
        </w:rPr>
        <w:t xml:space="preserve">Exp Clin Endocrinol Diabetes</w:t>
      </w:r>
      <w:r>
        <w:t xml:space="preserve"> </w:t>
      </w:r>
      <w:r>
        <w:t xml:space="preserve">· Insulin Glargine is More Suitable Than Exenatide in Preventing Muscle Loss in Non-Obese Type 2 Diabetic Patients with NAFLD. PMID 37524110</w:t>
      </w:r>
    </w:p>
    <w:p>
      <w:pPr>
        <w:numPr>
          <w:ilvl w:val="0"/>
          <w:numId w:val="1375"/>
        </w:numPr>
        <w:pStyle w:val="Compact"/>
      </w:pPr>
      <w:r>
        <w:t xml:space="preserve">2023 · Retnakaran R ·</w:t>
      </w:r>
      <w:r>
        <w:t xml:space="preserve"> </w:t>
      </w:r>
      <w:r>
        <w:rPr>
          <w:iCs/>
          <w:i/>
        </w:rPr>
        <w:t xml:space="preserve">Diabetes Obes Metab</w:t>
      </w:r>
      <w:r>
        <w:t xml:space="preserve"> </w:t>
      </w:r>
      <w:r>
        <w:t xml:space="preserve">· Baseline determinants of remission of type 2 diabetes in response to short-term insulin-based therapy: The pivotal role of beta-cell function. PMID 37380623</w:t>
      </w:r>
    </w:p>
    <w:p>
      <w:pPr>
        <w:numPr>
          <w:ilvl w:val="0"/>
          <w:numId w:val="1375"/>
        </w:numPr>
        <w:pStyle w:val="Compact"/>
      </w:pPr>
      <w:r>
        <w:t xml:space="preserve">2023 · Mitchell JL ·</w:t>
      </w:r>
      <w:r>
        <w:t xml:space="preserve"> </w:t>
      </w:r>
      <w:r>
        <w:rPr>
          <w:iCs/>
          <w:i/>
        </w:rPr>
        <w:t xml:space="preserve">Brain</w:t>
      </w:r>
      <w:r>
        <w:t xml:space="preserve"> </w:t>
      </w:r>
      <w:r>
        <w:t xml:space="preserve">· The effect of GLP-1RA exenatide on idiopathic intracranial hypertension: a randomized clinical trial. PMID 36907221</w:t>
      </w:r>
    </w:p>
    <w:p>
      <w:pPr>
        <w:numPr>
          <w:ilvl w:val="0"/>
          <w:numId w:val="1375"/>
        </w:numPr>
        <w:pStyle w:val="Compact"/>
      </w:pPr>
      <w:r>
        <w:t xml:space="preserve">2023 · Retnakaran R ·</w:t>
      </w:r>
      <w:r>
        <w:t xml:space="preserve"> </w:t>
      </w:r>
      <w:r>
        <w:rPr>
          <w:iCs/>
          <w:i/>
        </w:rPr>
        <w:t xml:space="preserve">Cardiovasc Diabetol</w:t>
      </w:r>
      <w:r>
        <w:t xml:space="preserve"> </w:t>
      </w:r>
      <w:r>
        <w:t xml:space="preserve">· The vascular function effects of adding exenatide or meal insulin to basal insulin therapy in early type 2 diabetes. PMID 36894921</w:t>
      </w:r>
    </w:p>
    <w:p>
      <w:pPr>
        <w:numPr>
          <w:ilvl w:val="0"/>
          <w:numId w:val="1375"/>
        </w:numPr>
        <w:pStyle w:val="Compact"/>
      </w:pPr>
      <w:r>
        <w:t xml:space="preserve">2023 · van der Aart-van der Beek AB ·</w:t>
      </w:r>
      <w:r>
        <w:t xml:space="preserve"> </w:t>
      </w:r>
      <w:r>
        <w:rPr>
          <w:iCs/>
          <w:i/>
        </w:rPr>
        <w:t xml:space="preserve">Diabetes Obes Metab</w:t>
      </w:r>
      <w:r>
        <w:t xml:space="preserve"> </w:t>
      </w:r>
      <w:r>
        <w:t xml:space="preserve">· Albuminuria-lowering effect of dapagliflozin, exenatide, and their combination in patients with type 2 diabetes: A randomized cross-over clinical study. PMID 36843215</w:t>
      </w:r>
    </w:p>
    <w:p>
      <w:pPr>
        <w:numPr>
          <w:ilvl w:val="0"/>
          <w:numId w:val="1375"/>
        </w:numPr>
        <w:pStyle w:val="Compact"/>
      </w:pPr>
      <w:r>
        <w:t xml:space="preserve">2023 · Green JB ·</w:t>
      </w:r>
      <w:r>
        <w:t xml:space="preserve"> </w:t>
      </w:r>
      <w:r>
        <w:rPr>
          <w:iCs/>
          <w:i/>
        </w:rPr>
        <w:t xml:space="preserve">Diabetes Obes Metab</w:t>
      </w:r>
      <w:r>
        <w:t xml:space="preserve"> </w:t>
      </w:r>
      <w:r>
        <w:t xml:space="preserve">· Sex differences in the complications, care and clinical outcomes of patients with type 2 diabetes in the Exenatide Study of Cardiovascular Event Lowering (EXSCEL). PMID 36700460</w:t>
      </w:r>
    </w:p>
    <w:p>
      <w:pPr>
        <w:numPr>
          <w:ilvl w:val="0"/>
          <w:numId w:val="1375"/>
        </w:numPr>
        <w:pStyle w:val="Compact"/>
      </w:pPr>
      <w:r>
        <w:t xml:space="preserve">2023 · Oulhaj A ·</w:t>
      </w:r>
      <w:r>
        <w:t xml:space="preserve"> </w:t>
      </w:r>
      <w:r>
        <w:rPr>
          <w:iCs/>
          <w:i/>
        </w:rPr>
        <w:t xml:space="preserve">Diabetes Obes Metab</w:t>
      </w:r>
      <w:r>
        <w:t xml:space="preserve"> </w:t>
      </w:r>
      <w:r>
        <w:t xml:space="preserve">· Joint longitudinal and time-to-event modelling compared with standard Cox modelling in patients with type 2 diabetes with and without established cardiovascular disease: An analysis of the EXSCEL trial. PMID 36635232</w:t>
      </w:r>
    </w:p>
    <w:p>
      <w:pPr>
        <w:numPr>
          <w:ilvl w:val="0"/>
          <w:numId w:val="1375"/>
        </w:numPr>
        <w:pStyle w:val="Compact"/>
      </w:pPr>
      <w:r>
        <w:t xml:space="preserve">2022 · Zhang J ·</w:t>
      </w:r>
      <w:r>
        <w:t xml:space="preserve"> </w:t>
      </w:r>
      <w:r>
        <w:rPr>
          <w:iCs/>
          <w:i/>
        </w:rPr>
        <w:t xml:space="preserve">Int J Clin Pract</w:t>
      </w:r>
      <w:r>
        <w:t xml:space="preserve"> </w:t>
      </w:r>
      <w:r>
        <w:t xml:space="preserve">· Efficacy of Exenatide Administered Twice Daily in Body Mass Index Reduction in Patients with Type 2 Diabetes Mellitus. PMID 37214201</w:t>
      </w:r>
    </w:p>
    <w:p>
      <w:pPr>
        <w:numPr>
          <w:ilvl w:val="0"/>
          <w:numId w:val="1375"/>
        </w:numPr>
        <w:pStyle w:val="Compact"/>
      </w:pPr>
      <w:r>
        <w:t xml:space="preserve">2022 · Retnakaran R ·</w:t>
      </w:r>
      <w:r>
        <w:t xml:space="preserve"> </w:t>
      </w:r>
      <w:r>
        <w:rPr>
          <w:iCs/>
          <w:i/>
        </w:rPr>
        <w:t xml:space="preserve">Nat Commun</w:t>
      </w:r>
      <w:r>
        <w:t xml:space="preserve"> </w:t>
      </w:r>
      <w:r>
        <w:t xml:space="preserve">· The metabolic effects of adding exenatide to basal insulin therapy when targeting remission in early type 2 diabetes in a randomized clinical trial. PMID 36244997</w:t>
      </w:r>
    </w:p>
    <w:p>
      <w:pPr>
        <w:numPr>
          <w:ilvl w:val="0"/>
          <w:numId w:val="1375"/>
        </w:numPr>
        <w:pStyle w:val="Compact"/>
      </w:pPr>
      <w:r>
        <w:t xml:space="preserve">2022 · Klausen MK ·</w:t>
      </w:r>
      <w:r>
        <w:t xml:space="preserve"> </w:t>
      </w:r>
      <w:r>
        <w:rPr>
          <w:iCs/>
          <w:i/>
        </w:rPr>
        <w:t xml:space="preserve">JCI Insight</w:t>
      </w:r>
      <w:r>
        <w:t xml:space="preserve"> </w:t>
      </w:r>
      <w:r>
        <w:t xml:space="preserve">· Exenatide once weekly for alcohol use disorder investigated in a randomized, placebo-controlled clinical trial. PMID 36066977</w:t>
      </w:r>
    </w:p>
    <w:p>
      <w:pPr>
        <w:numPr>
          <w:ilvl w:val="0"/>
          <w:numId w:val="1375"/>
        </w:numPr>
        <w:pStyle w:val="Compact"/>
      </w:pPr>
      <w:r>
        <w:t xml:space="preserve">2022 · Akyay OZ ·</w:t>
      </w:r>
      <w:r>
        <w:t xml:space="preserve"> </w:t>
      </w:r>
      <w:r>
        <w:rPr>
          <w:iCs/>
          <w:i/>
        </w:rPr>
        <w:t xml:space="preserve">Niger J Clin Pract</w:t>
      </w:r>
      <w:r>
        <w:t xml:space="preserve"> </w:t>
      </w:r>
      <w:r>
        <w:t xml:space="preserve">· Comparison of the effects of exenatide and insulin glargine on right and left ventricular myocardial deformation as shown by 2D-speckle-tracking echocardiograms. PMID 35859471</w:t>
      </w:r>
    </w:p>
    <w:p>
      <w:pPr>
        <w:numPr>
          <w:ilvl w:val="0"/>
          <w:numId w:val="1375"/>
        </w:numPr>
        <w:pStyle w:val="Compact"/>
      </w:pPr>
      <w:r>
        <w:t xml:space="preserve">2022 · Li R ·</w:t>
      </w:r>
      <w:r>
        <w:t xml:space="preserve"> </w:t>
      </w:r>
      <w:r>
        <w:rPr>
          <w:iCs/>
          <w:i/>
        </w:rPr>
        <w:t xml:space="preserve">Arch Gynecol Obstet</w:t>
      </w:r>
      <w:r>
        <w:t xml:space="preserve"> </w:t>
      </w:r>
      <w:r>
        <w:t xml:space="preserve">· Effect of metformin and exenatide on pregnancy rate and pregnancy outcomes in overweight or obese infertility PCOS women: long-term follow-up of an RCT. PMID 35829765</w:t>
      </w:r>
    </w:p>
    <w:p>
      <w:pPr>
        <w:numPr>
          <w:ilvl w:val="0"/>
          <w:numId w:val="1375"/>
        </w:numPr>
        <w:pStyle w:val="Compact"/>
      </w:pPr>
      <w:r>
        <w:t xml:space="preserve">2022 · Davis TME ·</w:t>
      </w:r>
      <w:r>
        <w:t xml:space="preserve"> </w:t>
      </w:r>
      <w:r>
        <w:rPr>
          <w:iCs/>
          <w:i/>
        </w:rPr>
        <w:t xml:space="preserve">Cardiovasc Diabetol</w:t>
      </w:r>
      <w:r>
        <w:t xml:space="preserve"> </w:t>
      </w:r>
      <w:r>
        <w:t xml:space="preserve">· Effect of race on cardiometabolic responses to once-weekly exenatide: insights from the Exenatide Study of Cardiovascular Event Lowering (EXSCEL). PMID 35761271</w:t>
      </w:r>
    </w:p>
    <w:p>
      <w:pPr>
        <w:numPr>
          <w:ilvl w:val="0"/>
          <w:numId w:val="1375"/>
        </w:numPr>
        <w:pStyle w:val="Compact"/>
      </w:pPr>
      <w:r>
        <w:t xml:space="preserve">2022 · Zhang J ·</w:t>
      </w:r>
      <w:r>
        <w:t xml:space="preserve"> </w:t>
      </w:r>
      <w:r>
        <w:rPr>
          <w:iCs/>
          <w:i/>
        </w:rPr>
        <w:t xml:space="preserve">J Investig Med</w:t>
      </w:r>
      <w:r>
        <w:t xml:space="preserve"> </w:t>
      </w:r>
      <w:r>
        <w:t xml:space="preserve">· Comparing the effects of twice-daily exenatide and insulin on renal function in patients with type 2 diabetes mellitus: secondary analysis of a randomized controlled trial. PMID 35725020</w:t>
      </w:r>
    </w:p>
    <w:p>
      <w:pPr>
        <w:numPr>
          <w:ilvl w:val="0"/>
          <w:numId w:val="1375"/>
        </w:numPr>
        <w:pStyle w:val="Compact"/>
      </w:pPr>
      <w:r>
        <w:t xml:space="preserve">2022 · Samms RJ ·</w:t>
      </w:r>
      <w:r>
        <w:t xml:space="preserve"> </w:t>
      </w:r>
      <w:r>
        <w:rPr>
          <w:iCs/>
          <w:i/>
        </w:rPr>
        <w:t xml:space="preserve">Am J Physiol Endocrinol Metab</w:t>
      </w:r>
      <w:r>
        <w:t xml:space="preserve"> </w:t>
      </w:r>
      <w:r>
        <w:t xml:space="preserve">· FGF21 contributes to metabolic improvements elicited by combination therapy with exenatide and pioglitazone in patients with type 2 diabetes. PMID 35723225</w:t>
      </w:r>
    </w:p>
    <w:p>
      <w:pPr>
        <w:numPr>
          <w:ilvl w:val="0"/>
          <w:numId w:val="1375"/>
        </w:numPr>
        <w:pStyle w:val="Compact"/>
      </w:pPr>
      <w:r>
        <w:t xml:space="preserve">2022 · Tamborlane WV ·</w:t>
      </w:r>
      <w:r>
        <w:t xml:space="preserve"> </w:t>
      </w:r>
      <w:r>
        <w:rPr>
          <w:iCs/>
          <w:i/>
        </w:rPr>
        <w:t xml:space="preserve">Diabetes Care</w:t>
      </w:r>
      <w:r>
        <w:t xml:space="preserve"> </w:t>
      </w:r>
      <w:r>
        <w:t xml:space="preserve">· Once-Weekly Exenatide in Youth With Type 2 Diabetes. PMID 35679098</w:t>
      </w:r>
    </w:p>
    <w:p>
      <w:pPr>
        <w:numPr>
          <w:ilvl w:val="0"/>
          <w:numId w:val="1375"/>
        </w:numPr>
        <w:pStyle w:val="Compact"/>
      </w:pPr>
      <w:r>
        <w:t xml:space="preserve">2022 · van Ruiten CC ·</w:t>
      </w:r>
      <w:r>
        <w:t xml:space="preserve"> </w:t>
      </w:r>
      <w:r>
        <w:rPr>
          <w:iCs/>
          <w:i/>
        </w:rPr>
        <w:t xml:space="preserve">Front Endocrinol (Lausanne)</w:t>
      </w:r>
      <w:r>
        <w:t xml:space="preserve"> </w:t>
      </w:r>
      <w:r>
        <w:t xml:space="preserve">· Brain Activation in Response to Low-Calorie Food Pictures: An Explorative Analysis of a Randomized Trial With Dapagliflozin and Exenatide. PMID 35600575</w:t>
      </w:r>
    </w:p>
    <w:p>
      <w:pPr>
        <w:numPr>
          <w:ilvl w:val="0"/>
          <w:numId w:val="1375"/>
        </w:numPr>
        <w:pStyle w:val="Compact"/>
      </w:pPr>
      <w:r>
        <w:t xml:space="preserve">2022 · Toftgaard Pedersen A ·</w:t>
      </w:r>
      <w:r>
        <w:t xml:space="preserve"> </w:t>
      </w:r>
      <w:r>
        <w:rPr>
          <w:iCs/>
          <w:i/>
        </w:rPr>
        <w:t xml:space="preserve">Scand Cardiovasc J</w:t>
      </w:r>
      <w:r>
        <w:t xml:space="preserve"> </w:t>
      </w:r>
      <w:r>
        <w:t xml:space="preserve">· Association between inflammatory markers and survival in comatose, resuscitated out-of-hospital cardiac arrest patients. PMID 35546563</w:t>
      </w:r>
    </w:p>
    <w:p>
      <w:pPr>
        <w:numPr>
          <w:ilvl w:val="0"/>
          <w:numId w:val="1375"/>
        </w:numPr>
        <w:pStyle w:val="Compact"/>
      </w:pPr>
      <w:r>
        <w:t xml:space="preserve">2022 · van Ruiten CC ·</w:t>
      </w:r>
      <w:r>
        <w:t xml:space="preserve"> </w:t>
      </w:r>
      <w:r>
        <w:rPr>
          <w:iCs/>
          <w:i/>
        </w:rPr>
        <w:t xml:space="preserve">Diabetes Obes Metab</w:t>
      </w:r>
      <w:r>
        <w:t xml:space="preserve"> </w:t>
      </w:r>
      <w:r>
        <w:t xml:space="preserve">· Combination therapy with exenatide decreases the dapagliflozin-induced changes in brain responses to anticipation and consumption of palatable food in patients with type 2 diabetes: A randomized controlled trial. PMID 35491524</w:t>
      </w:r>
    </w:p>
    <w:p>
      <w:pPr>
        <w:numPr>
          <w:ilvl w:val="0"/>
          <w:numId w:val="1375"/>
        </w:numPr>
        <w:pStyle w:val="Compact"/>
      </w:pPr>
      <w:r>
        <w:t xml:space="preserve">2022 · van Ruiten CC ·</w:t>
      </w:r>
      <w:r>
        <w:t xml:space="preserve"> </w:t>
      </w:r>
      <w:r>
        <w:rPr>
          <w:iCs/>
          <w:i/>
        </w:rPr>
        <w:t xml:space="preserve">Cardiovasc Diabetol</w:t>
      </w:r>
      <w:r>
        <w:t xml:space="preserve"> </w:t>
      </w:r>
      <w:r>
        <w:t xml:space="preserve">· Mechanisms underlying the blood pressure lowering effects of dapagliflozin, exenatide, and their combination in people with type 2 diabetes: a secondary analysis of a randomized trial. PMID 35484607</w:t>
      </w:r>
    </w:p>
    <w:p>
      <w:pPr>
        <w:numPr>
          <w:ilvl w:val="0"/>
          <w:numId w:val="1375"/>
        </w:numPr>
        <w:pStyle w:val="Compact"/>
      </w:pPr>
      <w:r>
        <w:t xml:space="preserve">2022 · Fox CK ·</w:t>
      </w:r>
      <w:r>
        <w:t xml:space="preserve"> </w:t>
      </w:r>
      <w:r>
        <w:rPr>
          <w:iCs/>
          <w:i/>
        </w:rPr>
        <w:t xml:space="preserve">Obesity (Silver Spring)</w:t>
      </w:r>
      <w:r>
        <w:t xml:space="preserve"> </w:t>
      </w:r>
      <w:r>
        <w:t xml:space="preserve">· Exenatide for weight-loss maintenance in adolescents with severe obesity: A randomized, placebo-controlled trial. PMID 35403350</w:t>
      </w:r>
    </w:p>
    <w:p>
      <w:pPr>
        <w:numPr>
          <w:ilvl w:val="0"/>
          <w:numId w:val="1375"/>
        </w:numPr>
        <w:pStyle w:val="Compact"/>
      </w:pPr>
      <w:r>
        <w:t xml:space="preserve">2022 · López-Cano C ·</w:t>
      </w:r>
      <w:r>
        <w:t xml:space="preserve"> </w:t>
      </w:r>
      <w:r>
        <w:rPr>
          <w:iCs/>
          <w:i/>
        </w:rPr>
        <w:t xml:space="preserve">Sci Rep</w:t>
      </w:r>
      <w:r>
        <w:t xml:space="preserve"> </w:t>
      </w:r>
      <w:r>
        <w:t xml:space="preserve">· Dapagliflozin plus exenatide on patients with type 2 diabetes awaiting bariatric surgery in the DEXBASU study. PMID 35217772</w:t>
      </w:r>
    </w:p>
    <w:p>
      <w:pPr>
        <w:numPr>
          <w:ilvl w:val="0"/>
          <w:numId w:val="1375"/>
        </w:numPr>
        <w:pStyle w:val="Compact"/>
      </w:pPr>
      <w:r>
        <w:t xml:space="preserve">2022 · van Ruiten CC ·</w:t>
      </w:r>
      <w:r>
        <w:t xml:space="preserve"> </w:t>
      </w:r>
      <w:r>
        <w:rPr>
          <w:iCs/>
          <w:i/>
        </w:rPr>
        <w:t xml:space="preserve">J Clin Endocrinol Metab</w:t>
      </w:r>
      <w:r>
        <w:t xml:space="preserve"> </w:t>
      </w:r>
      <w:r>
        <w:t xml:space="preserve">· Effects of Dapagliflozin and Combination Therapy With Exenatide on Food-Cue Induced Brain Activation in Patients With Type 2 Diabetes. PMID 35134184</w:t>
      </w:r>
    </w:p>
    <w:p>
      <w:pPr>
        <w:numPr>
          <w:ilvl w:val="0"/>
          <w:numId w:val="1375"/>
        </w:numPr>
        <w:pStyle w:val="Compact"/>
      </w:pPr>
      <w:r>
        <w:t xml:space="preserve">2022 · Shoemaker AH ·</w:t>
      </w:r>
      <w:r>
        <w:t xml:space="preserve"> </w:t>
      </w:r>
      <w:r>
        <w:rPr>
          <w:iCs/>
          <w:i/>
        </w:rPr>
        <w:t xml:space="preserve">Int J Obes (Lond)</w:t>
      </w:r>
      <w:r>
        <w:t xml:space="preserve"> </w:t>
      </w:r>
      <w:r>
        <w:t xml:space="preserve">· Energy balance in hypothalamic obesity in response to treatment with a once-weekly GLP-1 receptor agonist. PMID 34975146</w:t>
      </w:r>
    </w:p>
    <w:p>
      <w:pPr>
        <w:numPr>
          <w:ilvl w:val="0"/>
          <w:numId w:val="1375"/>
        </w:numPr>
        <w:pStyle w:val="Compact"/>
      </w:pPr>
      <w:r>
        <w:t xml:space="preserve">2022 · Ruff CT ·</w:t>
      </w:r>
      <w:r>
        <w:t xml:space="preserve"> </w:t>
      </w:r>
      <w:r>
        <w:rPr>
          <w:iCs/>
          <w:i/>
        </w:rPr>
        <w:t xml:space="preserve">Nat Med</w:t>
      </w:r>
      <w:r>
        <w:t xml:space="preserve"> </w:t>
      </w:r>
      <w:r>
        <w:t xml:space="preserve">· Subcutaneous infusion of exenatide and cardiovascular outcomes in type 2 diabetes: a non-inferiority randomized controlled trial. PMID 34873344</w:t>
      </w:r>
    </w:p>
    <w:p>
      <w:pPr>
        <w:numPr>
          <w:ilvl w:val="0"/>
          <w:numId w:val="1375"/>
        </w:numPr>
        <w:pStyle w:val="Compact"/>
      </w:pPr>
      <w:r>
        <w:t xml:space="preserve">2022 · Johansen NJ ·</w:t>
      </w:r>
      <w:r>
        <w:t xml:space="preserve"> </w:t>
      </w:r>
      <w:r>
        <w:rPr>
          <w:iCs/>
          <w:i/>
        </w:rPr>
        <w:t xml:space="preserve">Diabetes Obes Metab</w:t>
      </w:r>
      <w:r>
        <w:t xml:space="preserve"> </w:t>
      </w:r>
      <w:r>
        <w:t xml:space="preserve">· Effects of short-acting exenatide added three times daily to insulin therapy on bone metabolism in type 1 diabetes. PMID 34617375</w:t>
      </w:r>
    </w:p>
    <w:p>
      <w:pPr>
        <w:numPr>
          <w:ilvl w:val="0"/>
          <w:numId w:val="1375"/>
        </w:numPr>
        <w:pStyle w:val="Compact"/>
      </w:pPr>
      <w:r>
        <w:t xml:space="preserve">2021 · Rodgers M ·</w:t>
      </w:r>
      <w:r>
        <w:t xml:space="preserve"> </w:t>
      </w:r>
      <w:r>
        <w:rPr>
          <w:iCs/>
          <w:i/>
        </w:rPr>
        <w:t xml:space="preserve">Front Endocrinol (Lausanne)</w:t>
      </w:r>
      <w:r>
        <w:t xml:space="preserve"> </w:t>
      </w:r>
      <w:r>
        <w:t xml:space="preserve">· Weight Loss Outcomes Among Early High Responders to Exenatide Treatment: A Randomized, Placebo Controlled Study in Overweight and Obese Women. PMID 34867786</w:t>
      </w:r>
    </w:p>
    <w:p>
      <w:pPr>
        <w:numPr>
          <w:ilvl w:val="0"/>
          <w:numId w:val="1375"/>
        </w:numPr>
        <w:pStyle w:val="Compact"/>
      </w:pPr>
      <w:r>
        <w:t xml:space="preserve">2021 · Ma RL ·</w:t>
      </w:r>
      <w:r>
        <w:t xml:space="preserve"> </w:t>
      </w:r>
      <w:r>
        <w:rPr>
          <w:iCs/>
          <w:i/>
        </w:rPr>
        <w:t xml:space="preserve">Chin Med J (Engl)</w:t>
      </w:r>
      <w:r>
        <w:t xml:space="preserve"> </w:t>
      </w:r>
      <w:r>
        <w:t xml:space="preserve">· Short-term combined treatment with exenatide and metformin for overweight/obese women with polycystic ovary syndrome. PMID 34732660</w:t>
      </w:r>
    </w:p>
    <w:p>
      <w:pPr>
        <w:numPr>
          <w:ilvl w:val="0"/>
          <w:numId w:val="1375"/>
        </w:numPr>
        <w:pStyle w:val="Compact"/>
      </w:pPr>
      <w:r>
        <w:t xml:space="preserve">2021 · Kang C ·</w:t>
      </w:r>
      <w:r>
        <w:t xml:space="preserve"> </w:t>
      </w:r>
      <w:r>
        <w:rPr>
          <w:iCs/>
          <w:i/>
        </w:rPr>
        <w:t xml:space="preserve">Sci Rep</w:t>
      </w:r>
      <w:r>
        <w:t xml:space="preserve"> </w:t>
      </w:r>
      <w:r>
        <w:t xml:space="preserve">· Effects of exenatide on urinary albumin in overweight/obese patients with T2DM: a randomized clinical trial. PMID 34625598</w:t>
      </w:r>
    </w:p>
    <w:p>
      <w:pPr>
        <w:numPr>
          <w:ilvl w:val="0"/>
          <w:numId w:val="1375"/>
        </w:numPr>
        <w:pStyle w:val="Compact"/>
      </w:pPr>
      <w:r>
        <w:t xml:space="preserve">2021 · Cai TT ·</w:t>
      </w:r>
      <w:r>
        <w:t xml:space="preserve"> </w:t>
      </w:r>
      <w:r>
        <w:rPr>
          <w:iCs/>
          <w:i/>
        </w:rPr>
        <w:t xml:space="preserve">Biomed Res Int</w:t>
      </w:r>
      <w:r>
        <w:t xml:space="preserve"> </w:t>
      </w:r>
      <w:r>
        <w:t xml:space="preserve">· Effects of GLP-1 Receptor Agonists on Bone Mineral Density in Patients with Type 2 Diabetes Mellitus: A 52-Week Clinical Study. PMID 34580638</w:t>
      </w:r>
    </w:p>
    <w:p>
      <w:pPr>
        <w:numPr>
          <w:ilvl w:val="0"/>
          <w:numId w:val="1375"/>
        </w:numPr>
        <w:pStyle w:val="Compact"/>
      </w:pPr>
      <w:r>
        <w:t xml:space="preserve">2021 · Abdelgani S ·</w:t>
      </w:r>
      <w:r>
        <w:t xml:space="preserve"> </w:t>
      </w:r>
      <w:r>
        <w:rPr>
          <w:iCs/>
          <w:i/>
        </w:rPr>
        <w:t xml:space="preserve">J Clin Endocrinol Metab</w:t>
      </w:r>
      <w:r>
        <w:t xml:space="preserve"> </w:t>
      </w:r>
      <w:r>
        <w:t xml:space="preserve">· Insulin Secretion Predicts the Response to Antidiabetic Therapy in Patients With New-onset Diabetes. PMID 34343296</w:t>
      </w:r>
    </w:p>
    <w:p>
      <w:pPr>
        <w:numPr>
          <w:ilvl w:val="0"/>
          <w:numId w:val="1375"/>
        </w:numPr>
        <w:pStyle w:val="Compact"/>
      </w:pPr>
      <w:r>
        <w:t xml:space="preserve">2021 · Ekinci EI ·</w:t>
      </w:r>
      <w:r>
        <w:t xml:space="preserve"> </w:t>
      </w:r>
      <w:r>
        <w:rPr>
          <w:iCs/>
          <w:i/>
        </w:rPr>
        <w:t xml:space="preserve">Intern Med J</w:t>
      </w:r>
      <w:r>
        <w:t xml:space="preserve"> </w:t>
      </w:r>
      <w:r>
        <w:t xml:space="preserve">· Feasibility of once weekly exenatide-LAR and enhanced diabetes care in Indigenous Australians with type 2 diabetes (Long-acting-Once-Weekly-Exenatide laR-SUGAR,</w:t>
      </w:r>
      <w:r>
        <w:t xml:space="preserve"> </w:t>
      </w:r>
      <w:r>
        <w:t xml:space="preserve">‘</w:t>
      </w:r>
      <w:r>
        <w:t xml:space="preserve">Lower SUGAR</w:t>
      </w:r>
      <w:r>
        <w:t xml:space="preserve">’</w:t>
      </w:r>
      <w:r>
        <w:t xml:space="preserve"> </w:t>
      </w:r>
      <w:r>
        <w:t xml:space="preserve">study). PMID 34142743</w:t>
      </w:r>
    </w:p>
    <w:p>
      <w:pPr>
        <w:numPr>
          <w:ilvl w:val="0"/>
          <w:numId w:val="1375"/>
        </w:numPr>
        <w:pStyle w:val="Compact"/>
      </w:pPr>
      <w:r>
        <w:t xml:space="preserve">2021 · Elkind-Hirsch KE ·</w:t>
      </w:r>
      <w:r>
        <w:t xml:space="preserve"> </w:t>
      </w:r>
      <w:r>
        <w:rPr>
          <w:iCs/>
          <w:i/>
        </w:rPr>
        <w:t xml:space="preserve">J Clin Endocrinol Metab</w:t>
      </w:r>
      <w:r>
        <w:t xml:space="preserve"> </w:t>
      </w:r>
      <w:r>
        <w:t xml:space="preserve">· Exenatide, Dapagliflozin, or Phentermine/Topiramate Differentially Affect Metabolic Profiles in Polycystic Ovary Syndrome. PMID 34097062</w:t>
      </w:r>
    </w:p>
    <w:p>
      <w:pPr>
        <w:numPr>
          <w:ilvl w:val="0"/>
          <w:numId w:val="1375"/>
        </w:numPr>
        <w:pStyle w:val="Compact"/>
      </w:pPr>
      <w:r>
        <w:t xml:space="preserve">2021 · Ponirakis G ·</w:t>
      </w:r>
      <w:r>
        <w:t xml:space="preserve"> </w:t>
      </w:r>
      <w:r>
        <w:rPr>
          <w:iCs/>
          <w:i/>
        </w:rPr>
        <w:t xml:space="preserve">J Diabetes Investig</w:t>
      </w:r>
      <w:r>
        <w:t xml:space="preserve"> </w:t>
      </w:r>
      <w:r>
        <w:t xml:space="preserve">· Insulin resistance limits corneal nerve regeneration in patients with type 2 diabetes undergoing intensive glycemic control. PMID 34002953</w:t>
      </w:r>
    </w:p>
    <w:p>
      <w:pPr>
        <w:numPr>
          <w:ilvl w:val="0"/>
          <w:numId w:val="1375"/>
        </w:numPr>
        <w:pStyle w:val="Compact"/>
      </w:pPr>
      <w:r>
        <w:t xml:space="preserve">2021 · van Ruiten CC ·</w:t>
      </w:r>
      <w:r>
        <w:t xml:space="preserve"> </w:t>
      </w:r>
      <w:r>
        <w:rPr>
          <w:iCs/>
          <w:i/>
        </w:rPr>
        <w:t xml:space="preserve">Diabetes Obes Metab</w:t>
      </w:r>
      <w:r>
        <w:t xml:space="preserve"> </w:t>
      </w:r>
      <w:r>
        <w:t xml:space="preserve">· Effect of exenatide twice daily and dapagliflozin, alone and in combination, on markers of kidney function in obese patients with type 2 diabetes: A prespecified secondary analysis of a randomized controlled clinical trial. PMID 33908691</w:t>
      </w:r>
    </w:p>
    <w:p>
      <w:pPr>
        <w:numPr>
          <w:ilvl w:val="0"/>
          <w:numId w:val="1375"/>
        </w:numPr>
        <w:pStyle w:val="Compact"/>
      </w:pPr>
      <w:r>
        <w:t xml:space="preserve">2021 · Barbery CE ·</w:t>
      </w:r>
      <w:r>
        <w:t xml:space="preserve"> </w:t>
      </w:r>
      <w:r>
        <w:rPr>
          <w:iCs/>
          <w:i/>
        </w:rPr>
        <w:t xml:space="preserve">Am Heart J</w:t>
      </w:r>
      <w:r>
        <w:t xml:space="preserve"> </w:t>
      </w:r>
      <w:r>
        <w:t xml:space="preserve">· Effect of once-weekly exenatide on hospitalization for acute coronary syndrome or coronary revascularization in patients with type 2 diabetes mellitus. PMID 33905751</w:t>
      </w:r>
    </w:p>
    <w:p>
      <w:pPr>
        <w:numPr>
          <w:ilvl w:val="0"/>
          <w:numId w:val="1375"/>
        </w:numPr>
        <w:pStyle w:val="Compact"/>
      </w:pPr>
      <w:r>
        <w:t xml:space="preserve">2021 · Abdelgani S ·</w:t>
      </w:r>
      <w:r>
        <w:t xml:space="preserve"> </w:t>
      </w:r>
      <w:r>
        <w:rPr>
          <w:iCs/>
          <w:i/>
        </w:rPr>
        <w:t xml:space="preserve">Diabetes Obes Metab</w:t>
      </w:r>
      <w:r>
        <w:t xml:space="preserve"> </w:t>
      </w:r>
      <w:r>
        <w:t xml:space="preserve">· Insulin secretion is a strong predictor for need of insulin therapy in patients with new-onset diabetes and HbA1c of more than 10%: A post hoc analysis of the EDICT study. PMID 33852204</w:t>
      </w:r>
    </w:p>
    <w:p>
      <w:pPr>
        <w:numPr>
          <w:ilvl w:val="0"/>
          <w:numId w:val="1375"/>
        </w:numPr>
        <w:pStyle w:val="Compact"/>
      </w:pPr>
      <w:r>
        <w:t xml:space="preserve">2021 · Chen X ·</w:t>
      </w:r>
      <w:r>
        <w:t xml:space="preserve"> </w:t>
      </w:r>
      <w:r>
        <w:rPr>
          <w:iCs/>
          <w:i/>
        </w:rPr>
        <w:t xml:space="preserve">Endocr Pract</w:t>
      </w:r>
      <w:r>
        <w:t xml:space="preserve"> </w:t>
      </w:r>
      <w:r>
        <w:t xml:space="preserve">· Exenatide Twice Daily Plus Glargine Versus Aspart 70/30 Twice Daily in Patients With Type 2 Diabetes With Inadequate Glycemic Control on Premixed Human Insulin and Metformin. PMID 33831552</w:t>
      </w:r>
    </w:p>
    <w:p>
      <w:pPr>
        <w:numPr>
          <w:ilvl w:val="0"/>
          <w:numId w:val="1375"/>
        </w:numPr>
        <w:pStyle w:val="Compact"/>
      </w:pPr>
      <w:r>
        <w:t xml:space="preserve">2021 · Yammine L ·</w:t>
      </w:r>
      <w:r>
        <w:t xml:space="preserve"> </w:t>
      </w:r>
      <w:r>
        <w:rPr>
          <w:iCs/>
          <w:i/>
        </w:rPr>
        <w:t xml:space="preserve">Nicotine Tob Res</w:t>
      </w:r>
      <w:r>
        <w:t xml:space="preserve"> </w:t>
      </w:r>
      <w:r>
        <w:t xml:space="preserve">· Exenatide Adjunct to Nicotine Patch Facilitates Smoking Cessation and May Reduce Post-Cessation Weight Gain: A Pilot Randomized Controlled Trial. PMID 33831213</w:t>
      </w:r>
    </w:p>
    <w:p>
      <w:pPr>
        <w:numPr>
          <w:ilvl w:val="0"/>
          <w:numId w:val="1375"/>
        </w:numPr>
        <w:pStyle w:val="Compact"/>
      </w:pPr>
      <w:r>
        <w:t xml:space="preserve">2021 · Ponirakis G ·</w:t>
      </w:r>
      <w:r>
        <w:t xml:space="preserve"> </w:t>
      </w:r>
      <w:r>
        <w:rPr>
          <w:iCs/>
          <w:i/>
        </w:rPr>
        <w:t xml:space="preserve">J Diabetes Investig</w:t>
      </w:r>
      <w:r>
        <w:t xml:space="preserve"> </w:t>
      </w:r>
      <w:r>
        <w:t xml:space="preserve">· Painful diabetic neuropathy is associated with increased nerve regeneration in patients with type 2 diabetes undergoing intensive glycemic control. PMID 33714226</w:t>
      </w:r>
    </w:p>
    <w:p>
      <w:pPr>
        <w:numPr>
          <w:ilvl w:val="0"/>
          <w:numId w:val="1375"/>
        </w:numPr>
        <w:pStyle w:val="Compact"/>
      </w:pPr>
      <w:r>
        <w:t xml:space="preserve">2021 · Ji L ·</w:t>
      </w:r>
      <w:r>
        <w:t xml:space="preserve"> </w:t>
      </w:r>
      <w:r>
        <w:rPr>
          <w:iCs/>
          <w:i/>
        </w:rPr>
        <w:t xml:space="preserve">Diabetologia</w:t>
      </w:r>
      <w:r>
        <w:t xml:space="preserve"> </w:t>
      </w:r>
      <w:r>
        <w:t xml:space="preserve">· Efficacy and safety of PEGylated exenatide injection (PB-119) in treatment-naive type 2 diabetes mellitus patients: a Phase II randomised, double-blind, parallel, placebo-controlled study. PMID 33687487</w:t>
      </w:r>
    </w:p>
    <w:p>
      <w:pPr>
        <w:numPr>
          <w:ilvl w:val="0"/>
          <w:numId w:val="1375"/>
        </w:numPr>
        <w:pStyle w:val="Compact"/>
      </w:pPr>
      <w:r>
        <w:t xml:space="preserve">2021 · Perez FA ·</w:t>
      </w:r>
      <w:r>
        <w:t xml:space="preserve"> </w:t>
      </w:r>
      <w:r>
        <w:rPr>
          <w:iCs/>
          <w:i/>
        </w:rPr>
        <w:t xml:space="preserve">Diabetes Obes Metab</w:t>
      </w:r>
      <w:r>
        <w:t xml:space="preserve"> </w:t>
      </w:r>
      <w:r>
        <w:t xml:space="preserve">· MRI measures of hypothalamic injury are associated with glucagon-like peptide-1 receptor agonist treatment response in people with hypothalamic obesity. PMID 33651438</w:t>
      </w:r>
    </w:p>
    <w:p>
      <w:pPr>
        <w:numPr>
          <w:ilvl w:val="0"/>
          <w:numId w:val="1375"/>
        </w:numPr>
        <w:pStyle w:val="Compact"/>
      </w:pPr>
      <w:r>
        <w:t xml:space="preserve">2021 · Angarita GA ·</w:t>
      </w:r>
      <w:r>
        <w:t xml:space="preserve"> </w:t>
      </w:r>
      <w:r>
        <w:rPr>
          <w:iCs/>
          <w:i/>
        </w:rPr>
        <w:t xml:space="preserve">Drug Alcohol Depend</w:t>
      </w:r>
      <w:r>
        <w:t xml:space="preserve"> </w:t>
      </w:r>
      <w:r>
        <w:t xml:space="preserve">· Testing the effects of the GLP-1 receptor agonist exenatide on cocaine self-administration and subjective responses in humans with cocaine use disorder. PMID 33621809</w:t>
      </w:r>
    </w:p>
    <w:p>
      <w:pPr>
        <w:numPr>
          <w:ilvl w:val="0"/>
          <w:numId w:val="1375"/>
        </w:numPr>
        <w:pStyle w:val="Compact"/>
      </w:pPr>
      <w:r>
        <w:t xml:space="preserve">2021 · Cui H ·</w:t>
      </w:r>
      <w:r>
        <w:t xml:space="preserve"> </w:t>
      </w:r>
      <w:r>
        <w:rPr>
          <w:iCs/>
          <w:i/>
        </w:rPr>
        <w:t xml:space="preserve">Eur J Drug Metab Pharmacokinet</w:t>
      </w:r>
      <w:r>
        <w:t xml:space="preserve"> </w:t>
      </w:r>
      <w:r>
        <w:t xml:space="preserve">· Safety, Pharmacokinetics and Pharmacodynamics of Multiple Escalating Doses of PEGylated Exenatide (PB-119) in Healthy Volunteers. PMID 33576936</w:t>
      </w:r>
    </w:p>
    <w:p>
      <w:pPr>
        <w:numPr>
          <w:ilvl w:val="0"/>
          <w:numId w:val="1375"/>
        </w:numPr>
        <w:pStyle w:val="Compact"/>
      </w:pPr>
      <w:r>
        <w:t xml:space="preserve">2021 · García Del Blanco B ·</w:t>
      </w:r>
      <w:r>
        <w:t xml:space="preserve"> </w:t>
      </w:r>
      <w:r>
        <w:rPr>
          <w:iCs/>
          <w:i/>
        </w:rPr>
        <w:t xml:space="preserve">Basic Res Cardiol</w:t>
      </w:r>
      <w:r>
        <w:t xml:space="preserve"> </w:t>
      </w:r>
      <w:r>
        <w:t xml:space="preserve">· Effect of COMBinAtion therapy with remote ischemic conditioning and exenatide on the Myocardial Infarct size: a two-by-two factorial randomized trial (COMBAT-MI). PMID 33495853</w:t>
      </w:r>
    </w:p>
    <w:p>
      <w:pPr>
        <w:numPr>
          <w:ilvl w:val="0"/>
          <w:numId w:val="1375"/>
        </w:numPr>
        <w:pStyle w:val="Compact"/>
      </w:pPr>
      <w:r>
        <w:t xml:space="preserve">2021 · Koska J ·</w:t>
      </w:r>
      <w:r>
        <w:t xml:space="preserve"> </w:t>
      </w:r>
      <w:r>
        <w:rPr>
          <w:iCs/>
          <w:i/>
        </w:rPr>
        <w:t xml:space="preserve">Diabetes Care</w:t>
      </w:r>
      <w:r>
        <w:t xml:space="preserve"> </w:t>
      </w:r>
      <w:r>
        <w:t xml:space="preserve">· The Effect of Exenatide Once Weekly on Carotid Atherosclerosis in Individuals With Type 2 Diabetes: An 18-Month Randomized Placebo-Controlled Study. PMID 33495294</w:t>
      </w:r>
    </w:p>
    <w:p>
      <w:pPr>
        <w:numPr>
          <w:ilvl w:val="0"/>
          <w:numId w:val="1375"/>
        </w:numPr>
        <w:pStyle w:val="Compact"/>
      </w:pPr>
      <w:r>
        <w:t xml:space="preserve">2021 · Harreiter J ·</w:t>
      </w:r>
      <w:r>
        <w:t xml:space="preserve"> </w:t>
      </w:r>
      <w:r>
        <w:rPr>
          <w:iCs/>
          <w:i/>
        </w:rPr>
        <w:t xml:space="preserve">Diabetes Obes Metab</w:t>
      </w:r>
      <w:r>
        <w:t xml:space="preserve"> </w:t>
      </w:r>
      <w:r>
        <w:t xml:space="preserve">· Combined exenatide and dapagliflozin has no additive effects on reduction of hepatocellular lipids despite better glycaemic control in patients with type 2 diabetes mellitus treated with metformin: EXENDA, a 24-week, prospective, randomized, placebo-controlled pilot trial. PMID 33464703</w:t>
      </w:r>
    </w:p>
    <w:p>
      <w:pPr>
        <w:numPr>
          <w:ilvl w:val="0"/>
          <w:numId w:val="1375"/>
        </w:numPr>
        <w:pStyle w:val="Compact"/>
      </w:pPr>
      <w:r>
        <w:t xml:space="preserve">2021 · Yang K ·</w:t>
      </w:r>
      <w:r>
        <w:t xml:space="preserve"> </w:t>
      </w:r>
      <w:r>
        <w:rPr>
          <w:iCs/>
          <w:i/>
        </w:rPr>
        <w:t xml:space="preserve">Acta Diabetol</w:t>
      </w:r>
      <w:r>
        <w:t xml:space="preserve"> </w:t>
      </w:r>
      <w:r>
        <w:t xml:space="preserve">· High baseline FGF21 levels are associated with poor glucose-lowering efficacy of exenatide in patients with type 2 diabetes. PMID 33452595</w:t>
      </w:r>
    </w:p>
    <w:p>
      <w:pPr>
        <w:numPr>
          <w:ilvl w:val="0"/>
          <w:numId w:val="1375"/>
        </w:numPr>
        <w:pStyle w:val="Compact"/>
      </w:pPr>
      <w:r>
        <w:t xml:space="preserve">2021 · Abdul-Ghani M ·</w:t>
      </w:r>
      <w:r>
        <w:t xml:space="preserve"> </w:t>
      </w:r>
      <w:r>
        <w:rPr>
          <w:iCs/>
          <w:i/>
        </w:rPr>
        <w:t xml:space="preserve">Diabetes Care</w:t>
      </w:r>
      <w:r>
        <w:t xml:space="preserve"> </w:t>
      </w:r>
      <w:r>
        <w:t xml:space="preserve">· Durability of Triple Combination Therapy Versus Stepwise Addition Therapy in Patients With New-Onset T2DM: 3-Year Follow-up of EDICT. PMID 33273042</w:t>
      </w:r>
    </w:p>
    <w:p>
      <w:pPr>
        <w:numPr>
          <w:ilvl w:val="0"/>
          <w:numId w:val="1375"/>
        </w:numPr>
        <w:pStyle w:val="Compact"/>
      </w:pPr>
      <w:r>
        <w:t xml:space="preserve">2021 · Östlund Papadogeorgos N ·</w:t>
      </w:r>
      <w:r>
        <w:t xml:space="preserve"> </w:t>
      </w:r>
      <w:r>
        <w:rPr>
          <w:iCs/>
          <w:i/>
        </w:rPr>
        <w:t xml:space="preserve">Microcirculation</w:t>
      </w:r>
      <w:r>
        <w:t xml:space="preserve"> </w:t>
      </w:r>
      <w:r>
        <w:t xml:space="preserve">· Effects of exenatide on microvascular reactivity in patients with type 2 diabetes and coronary artery disease: A randomized controlled study. PMID 33151597</w:t>
      </w:r>
    </w:p>
    <w:p>
      <w:pPr>
        <w:numPr>
          <w:ilvl w:val="0"/>
          <w:numId w:val="1375"/>
        </w:numPr>
        <w:pStyle w:val="Compact"/>
      </w:pPr>
      <w:r>
        <w:t xml:space="preserve">2021 · Joubert M ·</w:t>
      </w:r>
      <w:r>
        <w:t xml:space="preserve"> </w:t>
      </w:r>
      <w:r>
        <w:rPr>
          <w:iCs/>
          <w:i/>
        </w:rPr>
        <w:t xml:space="preserve">Diabetes Obes Metab</w:t>
      </w:r>
      <w:r>
        <w:t xml:space="preserve"> </w:t>
      </w:r>
      <w:r>
        <w:t xml:space="preserve">· Efficacy and safety of exenatide as add-on therapy for patients with type 2 diabetes with an intensive insulin regimen: A randomized double-blind trial. PMID 33043591</w:t>
      </w:r>
    </w:p>
    <w:p>
      <w:pPr>
        <w:numPr>
          <w:ilvl w:val="0"/>
          <w:numId w:val="1375"/>
        </w:numPr>
        <w:pStyle w:val="Compact"/>
      </w:pPr>
      <w:r>
        <w:t xml:space="preserve">2021 · Roth CL ·</w:t>
      </w:r>
      <w:r>
        <w:t xml:space="preserve"> </w:t>
      </w:r>
      <w:r>
        <w:rPr>
          <w:iCs/>
          <w:i/>
        </w:rPr>
        <w:t xml:space="preserve">Diabetes Obes Metab</w:t>
      </w:r>
      <w:r>
        <w:t xml:space="preserve"> </w:t>
      </w:r>
      <w:r>
        <w:t xml:space="preserve">· A phase 3 randomized clinical trial using a once-weekly glucagon-like peptide-1 receptor agonist in adolescents and young adults with hypothalamic obesity. PMID 33026160</w:t>
      </w:r>
    </w:p>
    <w:p>
      <w:pPr>
        <w:numPr>
          <w:ilvl w:val="0"/>
          <w:numId w:val="1375"/>
        </w:numPr>
        <w:pStyle w:val="Compact"/>
      </w:pPr>
      <w:r>
        <w:t xml:space="preserve">2021 · Tao T ·</w:t>
      </w:r>
      <w:r>
        <w:t xml:space="preserve"> </w:t>
      </w:r>
      <w:r>
        <w:rPr>
          <w:iCs/>
          <w:i/>
        </w:rPr>
        <w:t xml:space="preserve">J Clin Endocrinol Metab</w:t>
      </w:r>
      <w:r>
        <w:t xml:space="preserve"> </w:t>
      </w:r>
      <w:r>
        <w:t xml:space="preserve">· Exenatide, Metformin, or Both for Prediabetes in PCOS: A Randomized, Open-label, Parallel-group Controlled Study. PMID 32995892</w:t>
      </w:r>
    </w:p>
    <w:p>
      <w:pPr>
        <w:numPr>
          <w:ilvl w:val="0"/>
          <w:numId w:val="1375"/>
        </w:numPr>
        <w:pStyle w:val="Compact"/>
      </w:pPr>
      <w:r>
        <w:t xml:space="preserve">2020 · Wysham CH ·</w:t>
      </w:r>
      <w:r>
        <w:t xml:space="preserve"> </w:t>
      </w:r>
      <w:r>
        <w:rPr>
          <w:iCs/>
          <w:i/>
        </w:rPr>
        <w:t xml:space="preserve">BMJ Open Diabetes Res Care</w:t>
      </w:r>
      <w:r>
        <w:t xml:space="preserve"> </w:t>
      </w:r>
      <w:r>
        <w:t xml:space="preserve">· Further improvement in glycemic control after switching from exenatide two times per day to exenatide once-weekly autoinjected suspension in patients with type 2 diabetes: 52-week results from the DURATION-NEO-1 study. PMID 33037036</w:t>
      </w:r>
    </w:p>
    <w:p>
      <w:pPr>
        <w:numPr>
          <w:ilvl w:val="0"/>
          <w:numId w:val="1375"/>
        </w:numPr>
        <w:pStyle w:val="Compact"/>
      </w:pPr>
      <w:r>
        <w:t xml:space="preserve">2020 · Wang X ·</w:t>
      </w:r>
      <w:r>
        <w:t xml:space="preserve"> </w:t>
      </w:r>
      <w:r>
        <w:rPr>
          <w:iCs/>
          <w:i/>
        </w:rPr>
        <w:t xml:space="preserve">Am J Nephrol</w:t>
      </w:r>
      <w:r>
        <w:t xml:space="preserve"> </w:t>
      </w:r>
      <w:r>
        <w:t xml:space="preserve">· Exenatide and Renal Outcomes in Patients with Type 2 Diabetes and Diabetic Kidney Disease. PMID 32966971</w:t>
      </w:r>
    </w:p>
    <w:p>
      <w:pPr>
        <w:numPr>
          <w:ilvl w:val="0"/>
          <w:numId w:val="1375"/>
        </w:numPr>
        <w:pStyle w:val="Compact"/>
      </w:pPr>
      <w:r>
        <w:t xml:space="preserve">2020 · Jabbour SA ·</w:t>
      </w:r>
      <w:r>
        <w:t xml:space="preserve"> </w:t>
      </w:r>
      <w:r>
        <w:rPr>
          <w:iCs/>
          <w:i/>
        </w:rPr>
        <w:t xml:space="preserve">Diabetes Care</w:t>
      </w:r>
      <w:r>
        <w:t xml:space="preserve"> </w:t>
      </w:r>
      <w:r>
        <w:t xml:space="preserve">· Efficacy and Safety Over 2 Years of Exenatide Plus Dapagliflozin in the DURATION-8 Study: A Multicenter, Double-Blind, Phase 3, Randomized Controlled Trial. PMID 32816874</w:t>
      </w:r>
    </w:p>
    <w:p>
      <w:pPr>
        <w:numPr>
          <w:ilvl w:val="0"/>
          <w:numId w:val="1375"/>
        </w:numPr>
        <w:pStyle w:val="Compact"/>
      </w:pPr>
      <w:r>
        <w:t xml:space="preserve">2020 · Abdul-Ghani M ·</w:t>
      </w:r>
      <w:r>
        <w:t xml:space="preserve"> </w:t>
      </w:r>
      <w:r>
        <w:rPr>
          <w:iCs/>
          <w:i/>
        </w:rPr>
        <w:t xml:space="preserve">Diabetes Obes Metab</w:t>
      </w:r>
      <w:r>
        <w:t xml:space="preserve"> </w:t>
      </w:r>
      <w:r>
        <w:t xml:space="preserve">· Combination therapy with pioglitazone/exenatide improves beta-cell function and produces superior glycaemic control compared with basal/bolus insulin in poorly controlled type 2 diabetes: A 3-year follow-up of the Qatar study. PMID 32729222</w:t>
      </w:r>
    </w:p>
    <w:p>
      <w:pPr>
        <w:numPr>
          <w:ilvl w:val="0"/>
          <w:numId w:val="1375"/>
        </w:numPr>
        <w:pStyle w:val="Compact"/>
      </w:pPr>
      <w:r>
        <w:t xml:space="preserve">2020 · Ponirakis G ·</w:t>
      </w:r>
      <w:r>
        <w:t xml:space="preserve"> </w:t>
      </w:r>
      <w:r>
        <w:rPr>
          <w:iCs/>
          <w:i/>
        </w:rPr>
        <w:t xml:space="preserve">BMJ Open Diabetes Res Care</w:t>
      </w:r>
      <w:r>
        <w:t xml:space="preserve"> </w:t>
      </w:r>
      <w:r>
        <w:t xml:space="preserve">· Effect of treatment with exenatide and pioglitazone or basal-bolus insulin on diabetic neuropathy: a substudy of the Qatar Study. PMID 32576561</w:t>
      </w:r>
    </w:p>
    <w:p>
      <w:pPr>
        <w:numPr>
          <w:ilvl w:val="0"/>
          <w:numId w:val="1375"/>
        </w:numPr>
        <w:pStyle w:val="Compact"/>
      </w:pPr>
      <w:r>
        <w:t xml:space="preserve">2020 · Herold KC ·</w:t>
      </w:r>
      <w:r>
        <w:t xml:space="preserve"> </w:t>
      </w:r>
      <w:r>
        <w:rPr>
          <w:iCs/>
          <w:i/>
        </w:rPr>
        <w:t xml:space="preserve">Diabetes Obes Metab</w:t>
      </w:r>
      <w:r>
        <w:t xml:space="preserve"> </w:t>
      </w:r>
      <w:r>
        <w:t xml:space="preserve">· Exenatide extended release in patients with type 1 diabetes with and without residual insulin production. PMID 32573927</w:t>
      </w:r>
    </w:p>
    <w:p>
      <w:pPr>
        <w:numPr>
          <w:ilvl w:val="0"/>
          <w:numId w:val="1375"/>
        </w:numPr>
        <w:pStyle w:val="Compact"/>
      </w:pPr>
      <w:r>
        <w:t xml:space="preserve">2020 · Wang X ·</w:t>
      </w:r>
      <w:r>
        <w:t xml:space="preserve"> </w:t>
      </w:r>
      <w:r>
        <w:rPr>
          <w:iCs/>
          <w:i/>
        </w:rPr>
        <w:t xml:space="preserve">J Diabetes Res</w:t>
      </w:r>
      <w:r>
        <w:t xml:space="preserve"> </w:t>
      </w:r>
      <w:r>
        <w:t xml:space="preserve">· Effects of Exenatide and Humalog Mix25 on Fat Distribution, Insulin Sensitivity, and β-Cell Function in Normal BMI Patients with Type 2 Diabetes and Visceral Adiposity. PMID 32566685</w:t>
      </w:r>
    </w:p>
    <w:p>
      <w:pPr>
        <w:numPr>
          <w:ilvl w:val="0"/>
          <w:numId w:val="1375"/>
        </w:numPr>
        <w:pStyle w:val="Compact"/>
      </w:pPr>
      <w:r>
        <w:t xml:space="preserve">2020 · Johansen NJ ·</w:t>
      </w:r>
      <w:r>
        <w:t xml:space="preserve"> </w:t>
      </w:r>
      <w:r>
        <w:rPr>
          <w:iCs/>
          <w:i/>
        </w:rPr>
        <w:t xml:space="preserve">Diabetes Obes Metab</w:t>
      </w:r>
      <w:r>
        <w:t xml:space="preserve"> </w:t>
      </w:r>
      <w:r>
        <w:t xml:space="preserve">· Effect of short-acting exenatide administered three times daily on markers of cardiovascular disease in type 1 diabetes: A randomized double-blind placebo-controlled trial. PMID 32543021</w:t>
      </w:r>
    </w:p>
    <w:p>
      <w:pPr>
        <w:numPr>
          <w:ilvl w:val="0"/>
          <w:numId w:val="1375"/>
        </w:numPr>
        <w:pStyle w:val="Compact"/>
      </w:pPr>
      <w:r>
        <w:t xml:space="preserve">2020 · Li B ·</w:t>
      </w:r>
      <w:r>
        <w:t xml:space="preserve"> </w:t>
      </w:r>
      <w:r>
        <w:rPr>
          <w:iCs/>
          <w:i/>
        </w:rPr>
        <w:t xml:space="preserve">BMC Pharmacol Toxicol</w:t>
      </w:r>
      <w:r>
        <w:t xml:space="preserve"> </w:t>
      </w:r>
      <w:r>
        <w:t xml:space="preserve">· The effect of exenatide on fasting bile acids in newly diagnosed type 2 diabetes mellitus patients, a pilot study. PMID 32539783</w:t>
      </w:r>
    </w:p>
    <w:p>
      <w:pPr>
        <w:numPr>
          <w:ilvl w:val="0"/>
          <w:numId w:val="1375"/>
        </w:numPr>
        <w:pStyle w:val="Compact"/>
      </w:pPr>
      <w:r>
        <w:t xml:space="preserve">2020 · Zhang J ·</w:t>
      </w:r>
      <w:r>
        <w:t xml:space="preserve"> </w:t>
      </w:r>
      <w:r>
        <w:rPr>
          <w:iCs/>
          <w:i/>
        </w:rPr>
        <w:t xml:space="preserve">Cardiovasc Diabetol</w:t>
      </w:r>
      <w:r>
        <w:t xml:space="preserve"> </w:t>
      </w:r>
      <w:r>
        <w:t xml:space="preserve">· Comparison of the effects of twice-daily exenatide and insulin on carotid intima-media thickness in type 2 diabetes mellitus patients: a 52-week randomized, open-label, controlled trial. PMID 32334592</w:t>
      </w:r>
    </w:p>
    <w:p>
      <w:pPr>
        <w:numPr>
          <w:ilvl w:val="0"/>
          <w:numId w:val="1375"/>
        </w:numPr>
        <w:pStyle w:val="Compact"/>
      </w:pPr>
      <w:r>
        <w:t xml:space="preserve">2020 · van der Aart-van der Beek AB ·</w:t>
      </w:r>
      <w:r>
        <w:t xml:space="preserve"> </w:t>
      </w:r>
      <w:r>
        <w:rPr>
          <w:iCs/>
          <w:i/>
        </w:rPr>
        <w:t xml:space="preserve">Diabetes Obes Metab</w:t>
      </w:r>
      <w:r>
        <w:t xml:space="preserve"> </w:t>
      </w:r>
      <w:r>
        <w:t xml:space="preserve">· Exenatide once weekly decreases urinary albumin excretion in patients with type 2 diabetes and elevated albuminuria: Pooled analysis of randomized active controlled clinical trials. PMID 32329160</w:t>
      </w:r>
    </w:p>
    <w:p>
      <w:pPr>
        <w:numPr>
          <w:ilvl w:val="0"/>
          <w:numId w:val="1375"/>
        </w:numPr>
        <w:pStyle w:val="Compact"/>
      </w:pPr>
      <w:r>
        <w:t xml:space="preserve">2020 · Hamidi V ·</w:t>
      </w:r>
      <w:r>
        <w:t xml:space="preserve"> </w:t>
      </w:r>
      <w:r>
        <w:rPr>
          <w:iCs/>
          <w:i/>
        </w:rPr>
        <w:t xml:space="preserve">Metab Syndr Relat Disord</w:t>
      </w:r>
      <w:r>
        <w:t xml:space="preserve"> </w:t>
      </w:r>
      <w:r>
        <w:t xml:space="preserve">· Acute Exenatide Therapy Attenuates Postprandial Vasodilation in Humans with Prediabetes: A Randomized Controlled Trial. PMID 32228379</w:t>
      </w:r>
    </w:p>
    <w:p>
      <w:pPr>
        <w:numPr>
          <w:ilvl w:val="0"/>
          <w:numId w:val="1375"/>
        </w:numPr>
        <w:pStyle w:val="Compact"/>
      </w:pPr>
      <w:r>
        <w:t xml:space="preserve">2020 · Yang J ·</w:t>
      </w:r>
      <w:r>
        <w:t xml:space="preserve"> </w:t>
      </w:r>
      <w:r>
        <w:rPr>
          <w:iCs/>
          <w:i/>
        </w:rPr>
        <w:t xml:space="preserve">Acta Diabetol</w:t>
      </w:r>
      <w:r>
        <w:t xml:space="preserve"> </w:t>
      </w:r>
      <w:r>
        <w:t xml:space="preserve">· Efficacy and safety of generic exenatide injection in Chinese patients with type 2 diabetes: a multicenter, randomized, controlled, non-inferiority trial. PMID 32206903</w:t>
      </w:r>
    </w:p>
    <w:p>
      <w:pPr>
        <w:numPr>
          <w:ilvl w:val="0"/>
          <w:numId w:val="1375"/>
        </w:numPr>
        <w:pStyle w:val="Compact"/>
      </w:pPr>
      <w:r>
        <w:t xml:space="preserve">2020 · Johansen NJ ·</w:t>
      </w:r>
      <w:r>
        <w:t xml:space="preserve"> </w:t>
      </w:r>
      <w:r>
        <w:rPr>
          <w:iCs/>
          <w:i/>
        </w:rPr>
        <w:t xml:space="preserve">Lancet Diabetes Endocrinol</w:t>
      </w:r>
      <w:r>
        <w:t xml:space="preserve"> </w:t>
      </w:r>
      <w:r>
        <w:t xml:space="preserve">· Efficacy and safety of meal-time administration of short-acting exenatide for glycaemic control in type 1 diabetes (MAG1C): a randomised, double-blind, placebo-controlled trial. PMID 32135138</w:t>
      </w:r>
    </w:p>
    <w:p>
      <w:pPr>
        <w:numPr>
          <w:ilvl w:val="0"/>
          <w:numId w:val="1375"/>
        </w:numPr>
        <w:pStyle w:val="Compact"/>
      </w:pPr>
      <w:r>
        <w:t xml:space="preserve">2020 · Bethel MA ·</w:t>
      </w:r>
      <w:r>
        <w:t xml:space="preserve"> </w:t>
      </w:r>
      <w:r>
        <w:rPr>
          <w:iCs/>
          <w:i/>
        </w:rPr>
        <w:t xml:space="preserve">Circulation</w:t>
      </w:r>
      <w:r>
        <w:t xml:space="preserve"> </w:t>
      </w:r>
      <w:r>
        <w:t xml:space="preserve">· Exploring the Possible Impact of Unbalanced Open-Label Drop-In of Glucose-Lowering Medications on EXSCEL Outcomes. PMID 32098501</w:t>
      </w:r>
    </w:p>
    <w:p>
      <w:pPr>
        <w:numPr>
          <w:ilvl w:val="0"/>
          <w:numId w:val="1375"/>
        </w:numPr>
        <w:pStyle w:val="Compact"/>
      </w:pPr>
      <w:r>
        <w:t xml:space="preserve">2020 · Siskind D ·</w:t>
      </w:r>
      <w:r>
        <w:t xml:space="preserve"> </w:t>
      </w:r>
      <w:r>
        <w:rPr>
          <w:iCs/>
          <w:i/>
        </w:rPr>
        <w:t xml:space="preserve">J Psychiatr Res</w:t>
      </w:r>
      <w:r>
        <w:t xml:space="preserve"> </w:t>
      </w:r>
      <w:r>
        <w:t xml:space="preserve">· Metabolic measures 12 months after a randomised controlled trial of treatment of clozapine associated obesity and diabetes with exenatide (CODEX). PMID 32087425</w:t>
      </w:r>
    </w:p>
    <w:p>
      <w:pPr>
        <w:numPr>
          <w:ilvl w:val="0"/>
          <w:numId w:val="1375"/>
        </w:numPr>
        <w:pStyle w:val="Compact"/>
      </w:pPr>
      <w:r>
        <w:t xml:space="preserve">2020 · Weghuber D ·</w:t>
      </w:r>
      <w:r>
        <w:t xml:space="preserve"> </w:t>
      </w:r>
      <w:r>
        <w:rPr>
          <w:iCs/>
          <w:i/>
        </w:rPr>
        <w:t xml:space="preserve">Pediatr Obes</w:t>
      </w:r>
      <w:r>
        <w:t xml:space="preserve"> </w:t>
      </w:r>
      <w:r>
        <w:t xml:space="preserve">· A 6-month randomized, double-blind, placebo-controlled trial of weekly exenatide in adolescents with obesity. PMID 32062862</w:t>
      </w:r>
    </w:p>
    <w:p>
      <w:pPr>
        <w:numPr>
          <w:ilvl w:val="0"/>
          <w:numId w:val="1375"/>
        </w:numPr>
        <w:pStyle w:val="Compact"/>
      </w:pPr>
      <w:r>
        <w:t xml:space="preserve">2020 · Cui H ·</w:t>
      </w:r>
      <w:r>
        <w:t xml:space="preserve"> </w:t>
      </w:r>
      <w:r>
        <w:rPr>
          <w:iCs/>
          <w:i/>
        </w:rPr>
        <w:t xml:space="preserve">Eur J Drug Metab Pharmacokinet</w:t>
      </w:r>
      <w:r>
        <w:t xml:space="preserve"> </w:t>
      </w:r>
      <w:r>
        <w:t xml:space="preserve">· Safety, Tolerability and Pharmacokinetics of Single Dose Polyethylene Glycolated Exenatide Injection (PB-119) in Healthy Volunteers. PMID 32006325</w:t>
      </w:r>
    </w:p>
    <w:p>
      <w:pPr>
        <w:numPr>
          <w:ilvl w:val="0"/>
          <w:numId w:val="1375"/>
        </w:numPr>
        <w:pStyle w:val="Compact"/>
      </w:pPr>
      <w:r>
        <w:t xml:space="preserve">2020 · Janssen LGM ·</w:t>
      </w:r>
      <w:r>
        <w:t xml:space="preserve"> </w:t>
      </w:r>
      <w:r>
        <w:rPr>
          <w:iCs/>
          <w:i/>
        </w:rPr>
        <w:t xml:space="preserve">Metabolism</w:t>
      </w:r>
      <w:r>
        <w:t xml:space="preserve"> </w:t>
      </w:r>
      <w:r>
        <w:t xml:space="preserve">· Twelve weeks of exenatide treatment increases [(18)F]fluorodeoxyglucose uptake by brown adipose tissue without affecting oxidative resting energy expenditure in nondiabetic males. PMID 31982480</w:t>
      </w:r>
    </w:p>
    <w:p>
      <w:pPr>
        <w:numPr>
          <w:ilvl w:val="0"/>
          <w:numId w:val="1375"/>
        </w:numPr>
        <w:pStyle w:val="Compact"/>
      </w:pPr>
      <w:r>
        <w:t xml:space="preserve">2020 · Liu L ·</w:t>
      </w:r>
      <w:r>
        <w:t xml:space="preserve"> </w:t>
      </w:r>
      <w:r>
        <w:rPr>
          <w:iCs/>
          <w:i/>
        </w:rPr>
        <w:t xml:space="preserve">Diabetes Metab Res Rev</w:t>
      </w:r>
      <w:r>
        <w:t xml:space="preserve"> </w:t>
      </w:r>
      <w:r>
        <w:t xml:space="preserve">· Efficacy of exenatide and insulin glargine on nonalcoholic fatty liver disease in patients with type 2 diabetes. PMID 31955491</w:t>
      </w:r>
    </w:p>
    <w:p>
      <w:pPr>
        <w:numPr>
          <w:ilvl w:val="0"/>
          <w:numId w:val="1375"/>
        </w:numPr>
        <w:pStyle w:val="Compact"/>
      </w:pPr>
      <w:r>
        <w:t xml:space="preserve">2020 · Idzerda NMA ·</w:t>
      </w:r>
      <w:r>
        <w:t xml:space="preserve"> </w:t>
      </w:r>
      <w:r>
        <w:rPr>
          <w:iCs/>
          <w:i/>
        </w:rPr>
        <w:t xml:space="preserve">Diabetes Obes Metab</w:t>
      </w:r>
      <w:r>
        <w:t xml:space="preserve"> </w:t>
      </w:r>
      <w:r>
        <w:t xml:space="preserve">· Prediction and validation of exenatide risk marker effects on progression of renal disease: Insights from EXSCEL. PMID 31912603</w:t>
      </w:r>
    </w:p>
    <w:p>
      <w:pPr>
        <w:numPr>
          <w:ilvl w:val="0"/>
          <w:numId w:val="1375"/>
        </w:numPr>
        <w:pStyle w:val="Compact"/>
      </w:pPr>
      <w:r>
        <w:t xml:space="preserve">2020 · Jones KL ·</w:t>
      </w:r>
      <w:r>
        <w:t xml:space="preserve"> </w:t>
      </w:r>
      <w:r>
        <w:rPr>
          <w:iCs/>
          <w:i/>
        </w:rPr>
        <w:t xml:space="preserve">Diabetes Obes Metab</w:t>
      </w:r>
      <w:r>
        <w:t xml:space="preserve"> </w:t>
      </w:r>
      <w:r>
        <w:t xml:space="preserve">· Exenatide once weekly slows gastric emptying of solids and liquids in healthy, overweight people at steady-state concentrations. PMID 31903712</w:t>
      </w:r>
    </w:p>
    <w:p>
      <w:pPr>
        <w:numPr>
          <w:ilvl w:val="0"/>
          <w:numId w:val="1375"/>
        </w:numPr>
        <w:pStyle w:val="Compact"/>
      </w:pPr>
      <w:r>
        <w:t xml:space="preserve">2020 · Standl E ·</w:t>
      </w:r>
      <w:r>
        <w:t xml:space="preserve"> </w:t>
      </w:r>
      <w:r>
        <w:rPr>
          <w:iCs/>
          <w:i/>
        </w:rPr>
        <w:t xml:space="preserve">Diabetes Care</w:t>
      </w:r>
      <w:r>
        <w:t xml:space="preserve"> </w:t>
      </w:r>
      <w:r>
        <w:t xml:space="preserve">· Confirming the Bidirectional Nature of the Association Between Severe Hypoglycemic and Cardiovascular Events in Type 2 Diabetes: Insights From EXSCEL. PMID 31882409</w:t>
      </w:r>
    </w:p>
    <w:p>
      <w:pPr>
        <w:numPr>
          <w:ilvl w:val="0"/>
          <w:numId w:val="1375"/>
        </w:numPr>
        <w:pStyle w:val="Compact"/>
      </w:pPr>
      <w:r>
        <w:t xml:space="preserve">2020 · Reed SD ·</w:t>
      </w:r>
      <w:r>
        <w:t xml:space="preserve"> </w:t>
      </w:r>
      <w:r>
        <w:rPr>
          <w:iCs/>
          <w:i/>
        </w:rPr>
        <w:t xml:space="preserve">Diabetes Care</w:t>
      </w:r>
      <w:r>
        <w:t xml:space="preserve"> </w:t>
      </w:r>
      <w:r>
        <w:t xml:space="preserve">· Within-Trial Evaluation of Medical Resources, Costs, and Quality of Life Among Patients With Type 2 Diabetes Participating in the Exenatide Study of Cardiovascular Event Lowering (EXSCEL). PMID 31806653</w:t>
      </w:r>
    </w:p>
    <w:p>
      <w:pPr>
        <w:numPr>
          <w:ilvl w:val="0"/>
          <w:numId w:val="1375"/>
        </w:numPr>
        <w:pStyle w:val="Compact"/>
      </w:pPr>
      <w:r>
        <w:t xml:space="preserve">2020 · DeSouza C ·</w:t>
      </w:r>
      <w:r>
        <w:t xml:space="preserve"> </w:t>
      </w:r>
      <w:r>
        <w:rPr>
          <w:iCs/>
          <w:i/>
        </w:rPr>
        <w:t xml:space="preserve">J Clin Endocrinol Metab</w:t>
      </w:r>
      <w:r>
        <w:t xml:space="preserve"> </w:t>
      </w:r>
      <w:r>
        <w:t xml:space="preserve">· Efficacy and Safety of Semaglutide for Type 2 Diabetes by Race and Ethnicity: A Post Hoc Analysis of the SUSTAIN Trials. PMID 31769496</w:t>
      </w:r>
    </w:p>
    <w:p>
      <w:pPr>
        <w:numPr>
          <w:ilvl w:val="0"/>
          <w:numId w:val="1375"/>
        </w:numPr>
        <w:pStyle w:val="Compact"/>
      </w:pPr>
      <w:r>
        <w:t xml:space="preserve">2020 · Bethel MA ·</w:t>
      </w:r>
      <w:r>
        <w:t xml:space="preserve"> </w:t>
      </w:r>
      <w:r>
        <w:rPr>
          <w:iCs/>
          <w:i/>
        </w:rPr>
        <w:t xml:space="preserve">Diabetes Care</w:t>
      </w:r>
      <w:r>
        <w:t xml:space="preserve"> </w:t>
      </w:r>
      <w:r>
        <w:t xml:space="preserve">· Microvascular and Cardiovascular Outcomes According to Renal Function in Patients Treated With Once-Weekly Exenatide: Insights From the EXSCEL Trial. PMID 31757838</w:t>
      </w:r>
    </w:p>
    <w:p>
      <w:pPr>
        <w:numPr>
          <w:ilvl w:val="0"/>
          <w:numId w:val="1375"/>
        </w:numPr>
        <w:pStyle w:val="Compact"/>
      </w:pPr>
      <w:r>
        <w:t xml:space="preserve">2020 · Gastaldelli A ·</w:t>
      </w:r>
      <w:r>
        <w:t xml:space="preserve"> </w:t>
      </w:r>
      <w:r>
        <w:rPr>
          <w:iCs/>
          <w:i/>
        </w:rPr>
        <w:t xml:space="preserve">Diabetes Obes Metab</w:t>
      </w:r>
      <w:r>
        <w:t xml:space="preserve"> </w:t>
      </w:r>
      <w:r>
        <w:t xml:space="preserve">· Exenatide and dapagliflozin combination improves markers of liver steatosis and fibrosis in patients with type 2 diabetes. PMID 31692226</w:t>
      </w:r>
    </w:p>
    <w:p>
      <w:pPr>
        <w:numPr>
          <w:ilvl w:val="0"/>
          <w:numId w:val="1375"/>
        </w:numPr>
        <w:pStyle w:val="Compact"/>
      </w:pPr>
      <w:r>
        <w:t xml:space="preserve">2020 · Watanabe Y ·</w:t>
      </w:r>
      <w:r>
        <w:t xml:space="preserve"> </w:t>
      </w:r>
      <w:r>
        <w:rPr>
          <w:iCs/>
          <w:i/>
        </w:rPr>
        <w:t xml:space="preserve">J Diabetes Investig</w:t>
      </w:r>
      <w:r>
        <w:t xml:space="preserve"> </w:t>
      </w:r>
      <w:r>
        <w:t xml:space="preserve">· Efficacy and safety of once-weekly exenatide after switching from twice-daily exenatide in patients with type 2 diabetes. PMID 31518492</w:t>
      </w:r>
    </w:p>
    <w:p>
      <w:pPr>
        <w:numPr>
          <w:ilvl w:val="0"/>
          <w:numId w:val="1375"/>
        </w:numPr>
        <w:pStyle w:val="Compact"/>
      </w:pPr>
      <w:r>
        <w:t xml:space="preserve">2020 · Ferrannini E ·</w:t>
      </w:r>
      <w:r>
        <w:t xml:space="preserve"> </w:t>
      </w:r>
      <w:r>
        <w:rPr>
          <w:iCs/>
          <w:i/>
        </w:rPr>
        <w:t xml:space="preserve">Diabetes Obes Metab</w:t>
      </w:r>
      <w:r>
        <w:t xml:space="preserve"> </w:t>
      </w:r>
      <w:r>
        <w:t xml:space="preserve">· Hormone-substrate changes with exenatide plus dapagliflozin versus each drug alone: The randomized, active-controlled DURATION-8 study. PMID 31469220</w:t>
      </w:r>
    </w:p>
    <w:p>
      <w:pPr>
        <w:numPr>
          <w:ilvl w:val="0"/>
          <w:numId w:val="1375"/>
        </w:numPr>
        <w:pStyle w:val="Compact"/>
      </w:pPr>
      <w:r>
        <w:t xml:space="preserve">2019 · Badjatiya A ·</w:t>
      </w:r>
      <w:r>
        <w:t xml:space="preserve"> </w:t>
      </w:r>
      <w:r>
        <w:rPr>
          <w:iCs/>
          <w:i/>
        </w:rPr>
        <w:t xml:space="preserve">Circ Cardiovasc Interv</w:t>
      </w:r>
      <w:r>
        <w:t xml:space="preserve"> </w:t>
      </w:r>
      <w:r>
        <w:t xml:space="preserve">· Clinical Outcomes in Patients With Type 2 Diabetes Mellitus and Peripheral Artery Disease: Results From the EXSCEL Trial. PMID 31752517</w:t>
      </w:r>
    </w:p>
    <w:p>
      <w:pPr>
        <w:numPr>
          <w:ilvl w:val="0"/>
          <w:numId w:val="1375"/>
        </w:numPr>
        <w:pStyle w:val="Compact"/>
      </w:pPr>
      <w:r>
        <w:t xml:space="preserve">2019 · Blonde L ·</w:t>
      </w:r>
      <w:r>
        <w:t xml:space="preserve"> </w:t>
      </w:r>
      <w:r>
        <w:rPr>
          <w:iCs/>
          <w:i/>
        </w:rPr>
        <w:t xml:space="preserve">Diabetes Care</w:t>
      </w:r>
      <w:r>
        <w:t xml:space="preserve"> </w:t>
      </w:r>
      <w:r>
        <w:t xml:space="preserve">· Switching to iGlarLixi Versus Continuing Daily or Weekly GLP-1 RA in Type 2 Diabetes Inadequately Controlled by GLP-1 RA and Oral Antihyperglycemic Therapy: The LixiLan-G Randomized Clinical Trial. PMID 31530665</w:t>
      </w:r>
    </w:p>
    <w:p>
      <w:pPr>
        <w:numPr>
          <w:ilvl w:val="0"/>
          <w:numId w:val="1375"/>
        </w:numPr>
        <w:pStyle w:val="Compact"/>
      </w:pPr>
      <w:r>
        <w:t xml:space="preserve">2019 · Larsson M ·</w:t>
      </w:r>
      <w:r>
        <w:t xml:space="preserve"> </w:t>
      </w:r>
      <w:r>
        <w:rPr>
          <w:iCs/>
          <w:i/>
        </w:rPr>
        <w:t xml:space="preserve">Acta Neurol Scand</w:t>
      </w:r>
      <w:r>
        <w:t xml:space="preserve"> </w:t>
      </w:r>
      <w:r>
        <w:t xml:space="preserve">· Prehospital exenatide in hyperglycemic stroke-A randomized trial. PMID 31518433</w:t>
      </w:r>
    </w:p>
    <w:p>
      <w:pPr>
        <w:numPr>
          <w:ilvl w:val="0"/>
          <w:numId w:val="1375"/>
        </w:numPr>
        <w:pStyle w:val="Compact"/>
      </w:pPr>
      <w:r>
        <w:t xml:space="preserve">2019 · Mullins RJ ·</w:t>
      </w:r>
      <w:r>
        <w:t xml:space="preserve"> </w:t>
      </w:r>
      <w:r>
        <w:rPr>
          <w:iCs/>
          <w:i/>
        </w:rPr>
        <w:t xml:space="preserve">Curr Alzheimer Res</w:t>
      </w:r>
      <w:r>
        <w:t xml:space="preserve"> </w:t>
      </w:r>
      <w:r>
        <w:t xml:space="preserve">· A Pilot Study of Exenatide Actions in Alzheimer’s Disease. PMID 31518224</w:t>
      </w:r>
    </w:p>
    <w:p>
      <w:pPr>
        <w:numPr>
          <w:ilvl w:val="0"/>
          <w:numId w:val="1375"/>
        </w:numPr>
        <w:pStyle w:val="Compact"/>
      </w:pPr>
      <w:r>
        <w:t xml:space="preserve">2019 · Muskiet MHA ·</w:t>
      </w:r>
      <w:r>
        <w:t xml:space="preserve"> </w:t>
      </w:r>
      <w:r>
        <w:rPr>
          <w:iCs/>
          <w:i/>
        </w:rPr>
        <w:t xml:space="preserve">Microcirculation</w:t>
      </w:r>
      <w:r>
        <w:t xml:space="preserve"> </w:t>
      </w:r>
      <w:r>
        <w:t xml:space="preserve">· Assessment of real-time and quantitative changes in renal hemodynamics in healthy overweight males: Contrast-enhanced ultrasonography vs para-aminohippuric acid clearance. PMID 31313410</w:t>
      </w:r>
    </w:p>
    <w:p>
      <w:pPr>
        <w:numPr>
          <w:ilvl w:val="0"/>
          <w:numId w:val="1375"/>
        </w:numPr>
        <w:pStyle w:val="Compact"/>
      </w:pPr>
      <w:r>
        <w:t xml:space="preserve">2019 · Aung MM ·</w:t>
      </w:r>
      <w:r>
        <w:t xml:space="preserve"> </w:t>
      </w:r>
      <w:r>
        <w:rPr>
          <w:iCs/>
          <w:i/>
        </w:rPr>
        <w:t xml:space="preserve">Diabetologia</w:t>
      </w:r>
      <w:r>
        <w:t xml:space="preserve"> </w:t>
      </w:r>
      <w:r>
        <w:t xml:space="preserve">· Locally delivered GLP-1 analogues liraglutide and exenatide enhance microvascular perfusion in individuals with and without type 2 diabetes. PMID 31203378</w:t>
      </w:r>
    </w:p>
    <w:p>
      <w:pPr>
        <w:numPr>
          <w:ilvl w:val="0"/>
          <w:numId w:val="1375"/>
        </w:numPr>
        <w:pStyle w:val="Compact"/>
      </w:pPr>
      <w:r>
        <w:t xml:space="preserve">2019 · Almby KE ·</w:t>
      </w:r>
      <w:r>
        <w:t xml:space="preserve"> </w:t>
      </w:r>
      <w:r>
        <w:rPr>
          <w:iCs/>
          <w:i/>
        </w:rPr>
        <w:t xml:space="preserve">Eur J Endocrinol</w:t>
      </w:r>
      <w:r>
        <w:t xml:space="preserve"> </w:t>
      </w:r>
      <w:r>
        <w:t xml:space="preserve">· Effects of GLP-1 on counter-regulatory responses during hypoglycemia after GBP surgery. PMID 31176298</w:t>
      </w:r>
    </w:p>
    <w:p>
      <w:pPr>
        <w:numPr>
          <w:ilvl w:val="0"/>
          <w:numId w:val="1375"/>
        </w:numPr>
        <w:pStyle w:val="Compact"/>
      </w:pPr>
      <w:r>
        <w:t xml:space="preserve">2019 · Muskiet MHA ·</w:t>
      </w:r>
      <w:r>
        <w:t xml:space="preserve"> </w:t>
      </w:r>
      <w:r>
        <w:rPr>
          <w:iCs/>
          <w:i/>
        </w:rPr>
        <w:t xml:space="preserve">Diabetes Res Clin Pract</w:t>
      </w:r>
      <w:r>
        <w:t xml:space="preserve"> </w:t>
      </w:r>
      <w:r>
        <w:t xml:space="preserve">· Exenatide twice-daily does not affect renal function or albuminuria compared to titrated insulin glargine in patients with type 2 diabetes mellitus: A post-hoc analysis of a 52-week randomised trial. PMID 31078666</w:t>
      </w:r>
    </w:p>
    <w:p>
      <w:pPr>
        <w:numPr>
          <w:ilvl w:val="0"/>
          <w:numId w:val="1375"/>
        </w:numPr>
        <w:pStyle w:val="Compact"/>
      </w:pPr>
      <w:r>
        <w:t xml:space="preserve">2019 · Bethel MA ·</w:t>
      </w:r>
      <w:r>
        <w:t xml:space="preserve"> </w:t>
      </w:r>
      <w:r>
        <w:rPr>
          <w:iCs/>
          <w:i/>
        </w:rPr>
        <w:t xml:space="preserve">Diabetes Care</w:t>
      </w:r>
      <w:r>
        <w:t xml:space="preserve"> </w:t>
      </w:r>
      <w:r>
        <w:t xml:space="preserve">· Changes in Serum Calcitonin Concentrations, Incidence of Medullary Thyroid Carcinoma, and Impact of Routine Calcitonin Concentration Monitoring in the EXenatide Study of Cardiovascular Event Lowering (EXSCEL). PMID 31010875</w:t>
      </w:r>
    </w:p>
    <w:p>
      <w:pPr>
        <w:numPr>
          <w:ilvl w:val="0"/>
          <w:numId w:val="1375"/>
        </w:numPr>
        <w:pStyle w:val="Compact"/>
      </w:pPr>
      <w:r>
        <w:t xml:space="preserve">2019 · Carlson AL ·</w:t>
      </w:r>
      <w:r>
        <w:t xml:space="preserve"> </w:t>
      </w:r>
      <w:r>
        <w:rPr>
          <w:iCs/>
          <w:i/>
        </w:rPr>
        <w:t xml:space="preserve">Endocr Pract</w:t>
      </w:r>
      <w:r>
        <w:t xml:space="preserve"> </w:t>
      </w:r>
      <w:r>
        <w:t xml:space="preserve">· EVALUATION OF INSULIN GLARGINE AND EXENATIDE ALONE AND IN COMBINATION: A RANDOMIZED CLINICAL TRIAL WITH CONTINUOUS GLUCOSE MONITORING AND AMBULATORY GLUCOSE PROFILE ANALYSIS. PMID 30995433</w:t>
      </w:r>
    </w:p>
    <w:p>
      <w:pPr>
        <w:numPr>
          <w:ilvl w:val="0"/>
          <w:numId w:val="1375"/>
        </w:numPr>
        <w:pStyle w:val="Compact"/>
      </w:pPr>
      <w:r>
        <w:t xml:space="preserve">2019 · Zheng S ·</w:t>
      </w:r>
      <w:r>
        <w:t xml:space="preserve"> </w:t>
      </w:r>
      <w:r>
        <w:rPr>
          <w:iCs/>
          <w:i/>
        </w:rPr>
        <w:t xml:space="preserve">Endocr J</w:t>
      </w:r>
      <w:r>
        <w:t xml:space="preserve"> </w:t>
      </w:r>
      <w:r>
        <w:t xml:space="preserve">· Circulating zinc-α2-glycoprotein is reduced in women with polycystic ovary syndrome, but can be increased by exenatide or metformin treatment. PMID 30918134</w:t>
      </w:r>
    </w:p>
    <w:p>
      <w:pPr>
        <w:numPr>
          <w:ilvl w:val="0"/>
          <w:numId w:val="1375"/>
        </w:numPr>
        <w:pStyle w:val="Compact"/>
      </w:pPr>
      <w:r>
        <w:t xml:space="preserve">2019 · Liu J ·</w:t>
      </w:r>
      <w:r>
        <w:t xml:space="preserve"> </w:t>
      </w:r>
      <w:r>
        <w:rPr>
          <w:iCs/>
          <w:i/>
        </w:rPr>
        <w:t xml:space="preserve">EBioMedicine</w:t>
      </w:r>
      <w:r>
        <w:t xml:space="preserve"> </w:t>
      </w:r>
      <w:r>
        <w:t xml:space="preserve">· Liver-derived fibroblast growth factor 21 mediates effects of glucagon-like peptide-1 in attenuating hepatic glucose output. PMID 30827929</w:t>
      </w:r>
    </w:p>
    <w:p>
      <w:pPr>
        <w:numPr>
          <w:ilvl w:val="0"/>
          <w:numId w:val="1375"/>
        </w:numPr>
        <w:pStyle w:val="Compact"/>
      </w:pPr>
      <w:r>
        <w:t xml:space="preserve">2019 · Fayfman M ·</w:t>
      </w:r>
      <w:r>
        <w:t xml:space="preserve"> </w:t>
      </w:r>
      <w:r>
        <w:rPr>
          <w:iCs/>
          <w:i/>
        </w:rPr>
        <w:t xml:space="preserve">Diabetes Care</w:t>
      </w:r>
      <w:r>
        <w:t xml:space="preserve"> </w:t>
      </w:r>
      <w:r>
        <w:t xml:space="preserve">· A Randomized Controlled Trial on the Safety and Efficacy of Exenatide Therapy for the Inpatient Management of General Medicine and Surgery Patients With Type 2 Diabetes. PMID 30679302</w:t>
      </w:r>
    </w:p>
    <w:p>
      <w:pPr>
        <w:numPr>
          <w:ilvl w:val="0"/>
          <w:numId w:val="1375"/>
        </w:numPr>
        <w:pStyle w:val="Compact"/>
      </w:pPr>
      <w:r>
        <w:t xml:space="preserve">2019 · Athauda D ·</w:t>
      </w:r>
      <w:r>
        <w:t xml:space="preserve"> </w:t>
      </w:r>
      <w:r>
        <w:rPr>
          <w:iCs/>
          <w:i/>
        </w:rPr>
        <w:t xml:space="preserve">JAMA Neurol</w:t>
      </w:r>
      <w:r>
        <w:t xml:space="preserve"> </w:t>
      </w:r>
      <w:r>
        <w:t xml:space="preserve">· Utility of Neuronal-Derived Exosomes to Examine Molecular Mechanisms That Affect Motor Function in Patients With Parkinson Disease: A Secondary Analysis of the Exenatide-PD Trial. PMID 30640362</w:t>
      </w:r>
    </w:p>
    <w:p>
      <w:pPr>
        <w:numPr>
          <w:ilvl w:val="0"/>
          <w:numId w:val="1375"/>
        </w:numPr>
        <w:pStyle w:val="Compact"/>
      </w:pPr>
      <w:r>
        <w:t xml:space="preserve">2019 · Philis-Tsimikas A ·</w:t>
      </w:r>
      <w:r>
        <w:t xml:space="preserve"> </w:t>
      </w:r>
      <w:r>
        <w:rPr>
          <w:iCs/>
          <w:i/>
        </w:rPr>
        <w:t xml:space="preserve">J Diabetes Complications</w:t>
      </w:r>
      <w:r>
        <w:t xml:space="preserve"> </w:t>
      </w:r>
      <w:r>
        <w:t xml:space="preserve">· Efficacy and tolerability of exenatide once weekly over 7 years in patients with type 2 diabetes: An open-label extension of the DURATION-1 study. PMID 30600137</w:t>
      </w:r>
    </w:p>
    <w:p>
      <w:pPr>
        <w:numPr>
          <w:ilvl w:val="0"/>
          <w:numId w:val="1375"/>
        </w:numPr>
        <w:pStyle w:val="Compact"/>
      </w:pPr>
      <w:r>
        <w:t xml:space="preserve">2019 · Clegg LE ·</w:t>
      </w:r>
      <w:r>
        <w:t xml:space="preserve"> </w:t>
      </w:r>
      <w:r>
        <w:rPr>
          <w:iCs/>
          <w:i/>
        </w:rPr>
        <w:t xml:space="preserve">Diabetes Care</w:t>
      </w:r>
      <w:r>
        <w:t xml:space="preserve"> </w:t>
      </w:r>
      <w:r>
        <w:t xml:space="preserve">· Reduction of Cardiovascular Risk and Improved Estimated Glomerular Filtration Rate by SGLT2 Inhibitors, Including Dapagliflozin, Is Consistent Across the Class: An Analysis of the Placebo Arm of EXSCEL. PMID 30523029</w:t>
      </w:r>
    </w:p>
    <w:p>
      <w:pPr>
        <w:numPr>
          <w:ilvl w:val="0"/>
          <w:numId w:val="1375"/>
        </w:numPr>
        <w:pStyle w:val="Compact"/>
      </w:pPr>
      <w:r>
        <w:t xml:space="preserve">2019 · Guerci B ·</w:t>
      </w:r>
      <w:r>
        <w:t xml:space="preserve"> </w:t>
      </w:r>
      <w:r>
        <w:rPr>
          <w:iCs/>
          <w:i/>
        </w:rPr>
        <w:t xml:space="preserve">Diabetes Obes Metab</w:t>
      </w:r>
      <w:r>
        <w:t xml:space="preserve"> </w:t>
      </w:r>
      <w:r>
        <w:t xml:space="preserve">· Predictive factors associated with three years of response to HbA1c goals with exenatide QW or insulin glargine: Post-hoc analysis of the DURATION-3 study. PMID 30520252</w:t>
      </w:r>
    </w:p>
    <w:p>
      <w:pPr>
        <w:numPr>
          <w:ilvl w:val="0"/>
          <w:numId w:val="1375"/>
        </w:numPr>
        <w:pStyle w:val="Compact"/>
      </w:pPr>
      <w:r>
        <w:t xml:space="preserve">2019 · Deng H ·</w:t>
      </w:r>
      <w:r>
        <w:t xml:space="preserve"> </w:t>
      </w:r>
      <w:r>
        <w:rPr>
          <w:iCs/>
          <w:i/>
        </w:rPr>
        <w:t xml:space="preserve">J Diabetes</w:t>
      </w:r>
      <w:r>
        <w:t xml:space="preserve"> </w:t>
      </w:r>
      <w:r>
        <w:t xml:space="preserve">· Effect of baseline body mass index on glycemic control and weight change with exenatide monotherapy in Chinese drug-naïve type 2 diabetic patients. PMID 30520243</w:t>
      </w:r>
    </w:p>
    <w:p>
      <w:pPr>
        <w:numPr>
          <w:ilvl w:val="0"/>
          <w:numId w:val="1375"/>
        </w:numPr>
        <w:pStyle w:val="Compact"/>
      </w:pPr>
      <w:r>
        <w:t xml:space="preserve">2019 · Geyer MC ·</w:t>
      </w:r>
      <w:r>
        <w:t xml:space="preserve"> </w:t>
      </w:r>
      <w:r>
        <w:rPr>
          <w:iCs/>
          <w:i/>
        </w:rPr>
        <w:t xml:space="preserve">Diabetes Obes Metab</w:t>
      </w:r>
      <w:r>
        <w:t xml:space="preserve"> </w:t>
      </w:r>
      <w:r>
        <w:t xml:space="preserve">· Exenatide corrects postprandial hyperglycaemia in young people with cystic fibrosis and impaired glucose tolerance: A randomized crossover trial. PMID 30259623</w:t>
      </w:r>
    </w:p>
    <w:p>
      <w:pPr>
        <w:numPr>
          <w:ilvl w:val="0"/>
          <w:numId w:val="1375"/>
        </w:numPr>
        <w:pStyle w:val="Compact"/>
      </w:pPr>
      <w:r>
        <w:t xml:space="preserve">2019 · Overgaard RV ·</w:t>
      </w:r>
      <w:r>
        <w:t xml:space="preserve"> </w:t>
      </w:r>
      <w:r>
        <w:rPr>
          <w:iCs/>
          <w:i/>
        </w:rPr>
        <w:t xml:space="preserve">Diabetes Obes Metab</w:t>
      </w:r>
      <w:r>
        <w:t xml:space="preserve"> </w:t>
      </w:r>
      <w:r>
        <w:t xml:space="preserve">· Impact on HbA1c and body weight of switching from other GLP-1 receptor agonists to semaglutide: A model-based approach. PMID 30047216</w:t>
      </w:r>
    </w:p>
    <w:p>
      <w:pPr>
        <w:numPr>
          <w:ilvl w:val="0"/>
          <w:numId w:val="1375"/>
        </w:numPr>
        <w:pStyle w:val="Compact"/>
      </w:pPr>
      <w:r>
        <w:t xml:space="preserve">2018 · Besch G ·</w:t>
      </w:r>
      <w:r>
        <w:t xml:space="preserve"> </w:t>
      </w:r>
      <w:r>
        <w:rPr>
          <w:iCs/>
          <w:i/>
        </w:rPr>
        <w:t xml:space="preserve">Cardiovasc Diabetol</w:t>
      </w:r>
      <w:r>
        <w:t xml:space="preserve"> </w:t>
      </w:r>
      <w:r>
        <w:t xml:space="preserve">· Impact of intravenous exenatide infusion for perioperative blood glucose control on myocardial ischemia-reperfusion injuries after coronary artery bypass graft surgery: sub study of the phase II/III ExSTRESS randomized trial. PMID 30384842</w:t>
      </w:r>
    </w:p>
    <w:p>
      <w:pPr>
        <w:numPr>
          <w:ilvl w:val="0"/>
          <w:numId w:val="1375"/>
        </w:numPr>
        <w:pStyle w:val="Compact"/>
      </w:pPr>
      <w:r>
        <w:t xml:space="preserve">2018 · Mentz RJ ·</w:t>
      </w:r>
      <w:r>
        <w:t xml:space="preserve"> </w:t>
      </w:r>
      <w:r>
        <w:rPr>
          <w:iCs/>
          <w:i/>
        </w:rPr>
        <w:t xml:space="preserve">J Am Heart Assoc</w:t>
      </w:r>
      <w:r>
        <w:t xml:space="preserve"> </w:t>
      </w:r>
      <w:r>
        <w:t xml:space="preserve">· Effect of Once-Weekly Exenatide on Clinical Outcomes According to Baseline Risk in Patients With Type 2 Diabetes Mellitus: Insights From the EXSCEL Trial. PMID 30371301</w:t>
      </w:r>
    </w:p>
    <w:p>
      <w:pPr>
        <w:numPr>
          <w:ilvl w:val="0"/>
          <w:numId w:val="1375"/>
        </w:numPr>
        <w:pStyle w:val="Compact"/>
      </w:pPr>
      <w:r>
        <w:t xml:space="preserve">2018 · Fifer S ·</w:t>
      </w:r>
      <w:r>
        <w:t xml:space="preserve"> </w:t>
      </w:r>
      <w:r>
        <w:rPr>
          <w:iCs/>
          <w:i/>
        </w:rPr>
        <w:t xml:space="preserve">BMC Health Serv Res</w:t>
      </w:r>
      <w:r>
        <w:t xml:space="preserve"> </w:t>
      </w:r>
      <w:r>
        <w:t xml:space="preserve">· Valuing injection frequency and other attributes of type 2 diabetes treatments in Australia: a discrete choice experiment. PMID 30165844</w:t>
      </w:r>
    </w:p>
    <w:p>
      <w:pPr>
        <w:numPr>
          <w:ilvl w:val="0"/>
          <w:numId w:val="1375"/>
        </w:numPr>
        <w:pStyle w:val="Compact"/>
      </w:pPr>
      <w:r>
        <w:t xml:space="preserve">2018 · Jabbour SA ·</w:t>
      </w:r>
      <w:r>
        <w:t xml:space="preserve"> </w:t>
      </w:r>
      <w:r>
        <w:rPr>
          <w:iCs/>
          <w:i/>
        </w:rPr>
        <w:t xml:space="preserve">Diabetes Care</w:t>
      </w:r>
      <w:r>
        <w:t xml:space="preserve"> </w:t>
      </w:r>
      <w:r>
        <w:t xml:space="preserve">· Safety and Efficacy of Exenatide Once Weekly Plus Dapagliflozin Once Daily Versus Exenatide or Dapagliflozin Alone in Patients With Type 2 Diabetes Inadequately Controlled With Metformin Monotherapy: 52-Week Results of the DURATION-8 Randomized Controlled Trial. PMID 30082326</w:t>
      </w:r>
    </w:p>
    <w:p>
      <w:pPr>
        <w:numPr>
          <w:ilvl w:val="0"/>
          <w:numId w:val="1375"/>
        </w:numPr>
        <w:pStyle w:val="Compact"/>
      </w:pPr>
      <w:r>
        <w:t xml:space="preserve">2018 · Muller C ·</w:t>
      </w:r>
      <w:r>
        <w:t xml:space="preserve"> </w:t>
      </w:r>
      <w:r>
        <w:rPr>
          <w:iCs/>
          <w:i/>
        </w:rPr>
        <w:t xml:space="preserve">Int J Stroke</w:t>
      </w:r>
      <w:r>
        <w:t xml:space="preserve"> </w:t>
      </w:r>
      <w:r>
        <w:t xml:space="preserve">· Treatment with exenatide in acute ischemic stroke trial protocol: A prospective, randomized, open label, blinded end-point study of exenatide vs. standard care in post stroke hyperglycemia. PMID 30019627</w:t>
      </w:r>
    </w:p>
    <w:p>
      <w:pPr>
        <w:numPr>
          <w:ilvl w:val="0"/>
          <w:numId w:val="1375"/>
        </w:numPr>
        <w:pStyle w:val="Compact"/>
      </w:pPr>
      <w:r>
        <w:t xml:space="preserve">2018 · Liu J ·</w:t>
      </w:r>
      <w:r>
        <w:t xml:space="preserve"> </w:t>
      </w:r>
      <w:r>
        <w:rPr>
          <w:iCs/>
          <w:i/>
        </w:rPr>
        <w:t xml:space="preserve">Peptides</w:t>
      </w:r>
      <w:r>
        <w:t xml:space="preserve"> </w:t>
      </w:r>
      <w:r>
        <w:t xml:space="preserve">· GLP-1 receptor agonists stimulate ANGPTL8 production through the PI3K/Akt pathway in a GLP-1 receptor-dependent manner. PMID 30003931</w:t>
      </w:r>
    </w:p>
    <w:p>
      <w:pPr>
        <w:numPr>
          <w:ilvl w:val="0"/>
          <w:numId w:val="1375"/>
        </w:numPr>
        <w:pStyle w:val="Compact"/>
      </w:pPr>
      <w:r>
        <w:t xml:space="preserve">2018 · Athauda D ·</w:t>
      </w:r>
      <w:r>
        <w:t xml:space="preserve"> </w:t>
      </w:r>
      <w:r>
        <w:rPr>
          <w:iCs/>
          <w:i/>
        </w:rPr>
        <w:t xml:space="preserve">J Parkinsons Dis</w:t>
      </w:r>
      <w:r>
        <w:t xml:space="preserve"> </w:t>
      </w:r>
      <w:r>
        <w:t xml:space="preserve">· What Effects Might Exenatide have on Non-Motor Symptoms in Parkinson’s Disease: A Post Hoc Analysis. PMID 29843254</w:t>
      </w:r>
    </w:p>
    <w:p>
      <w:pPr>
        <w:numPr>
          <w:ilvl w:val="0"/>
          <w:numId w:val="1375"/>
        </w:numPr>
        <w:pStyle w:val="Compact"/>
      </w:pPr>
      <w:r>
        <w:t xml:space="preserve">2018 · Ahrén B ·</w:t>
      </w:r>
      <w:r>
        <w:t xml:space="preserve"> </w:t>
      </w:r>
      <w:r>
        <w:rPr>
          <w:iCs/>
          <w:i/>
        </w:rPr>
        <w:t xml:space="preserve">Diabetes Obes Metab</w:t>
      </w:r>
      <w:r>
        <w:t xml:space="preserve"> </w:t>
      </w:r>
      <w:r>
        <w:t xml:space="preserve">· Semaglutide induces weight loss in subjects with type 2 diabetes regardless of baseline BMI or gastrointestinal adverse events in the SUSTAIN 1 to 5 trials. PMID 29766634</w:t>
      </w:r>
    </w:p>
    <w:p>
      <w:pPr>
        <w:numPr>
          <w:ilvl w:val="0"/>
          <w:numId w:val="1375"/>
        </w:numPr>
        <w:pStyle w:val="Compact"/>
      </w:pPr>
      <w:r>
        <w:t xml:space="preserve">2018 · Warren M ·</w:t>
      </w:r>
      <w:r>
        <w:t xml:space="preserve"> </w:t>
      </w:r>
      <w:r>
        <w:rPr>
          <w:iCs/>
          <w:i/>
        </w:rPr>
        <w:t xml:space="preserve">Diabetes Obes Metab</w:t>
      </w:r>
      <w:r>
        <w:t xml:space="preserve"> </w:t>
      </w:r>
      <w:r>
        <w:t xml:space="preserve">· Semaglutide as a therapeutic option for elderly patients with type 2 diabetes: Pooled analysis of the SUSTAIN 1-5 trials. PMID 29687620</w:t>
      </w:r>
    </w:p>
    <w:p>
      <w:pPr>
        <w:numPr>
          <w:ilvl w:val="0"/>
          <w:numId w:val="1375"/>
        </w:numPr>
        <w:pStyle w:val="Compact"/>
      </w:pPr>
      <w:r>
        <w:t xml:space="preserve">2018 · Basolo A ·</w:t>
      </w:r>
      <w:r>
        <w:t xml:space="preserve"> </w:t>
      </w:r>
      <w:r>
        <w:rPr>
          <w:iCs/>
          <w:i/>
        </w:rPr>
        <w:t xml:space="preserve">Metabolism</w:t>
      </w:r>
      <w:r>
        <w:t xml:space="preserve"> </w:t>
      </w:r>
      <w:r>
        <w:t xml:space="preserve">· Exenatide has a pronounced effect on energy intake but not energy expenditure in non-diabetic subjects with obesity: A randomized, double-blind, placebo-controlled trial. PMID 29596853</w:t>
      </w:r>
    </w:p>
    <w:p>
      <w:pPr>
        <w:numPr>
          <w:ilvl w:val="0"/>
          <w:numId w:val="1375"/>
        </w:numPr>
        <w:pStyle w:val="Compact"/>
      </w:pPr>
      <w:r>
        <w:t xml:space="preserve">2018 · Frías JP ·</w:t>
      </w:r>
      <w:r>
        <w:t xml:space="preserve"> </w:t>
      </w:r>
      <w:r>
        <w:rPr>
          <w:iCs/>
          <w:i/>
        </w:rPr>
        <w:t xml:space="preserve">Diabetes Obes Metab</w:t>
      </w:r>
      <w:r>
        <w:t xml:space="preserve"> </w:t>
      </w:r>
      <w:r>
        <w:t xml:space="preserve">· Effects of exenatide once weekly plus dapagliflozin, exenatide once weekly alone, or dapagliflozin alone added to metformin monotherapy in subgroups of patients with type 2 diabetes in the DURATION-8 randomized controlled trial. PMID 29573139</w:t>
      </w:r>
    </w:p>
    <w:p>
      <w:pPr>
        <w:numPr>
          <w:ilvl w:val="0"/>
          <w:numId w:val="1375"/>
        </w:numPr>
        <w:pStyle w:val="Compact"/>
      </w:pPr>
      <w:r>
        <w:t xml:space="preserve">2018 · Du X ·</w:t>
      </w:r>
      <w:r>
        <w:t xml:space="preserve"> </w:t>
      </w:r>
      <w:r>
        <w:rPr>
          <w:iCs/>
          <w:i/>
        </w:rPr>
        <w:t xml:space="preserve">J Diabetes Res</w:t>
      </w:r>
      <w:r>
        <w:t xml:space="preserve"> </w:t>
      </w:r>
      <w:r>
        <w:t xml:space="preserve">· Exenatide with Metformin Ameliorated Visceral Adiposity and Insulin Resistance. PMID 29541641</w:t>
      </w:r>
    </w:p>
    <w:p>
      <w:pPr>
        <w:numPr>
          <w:ilvl w:val="0"/>
          <w:numId w:val="1375"/>
        </w:numPr>
        <w:pStyle w:val="Compact"/>
      </w:pPr>
      <w:r>
        <w:t xml:space="preserve">2018 · Chedid V ·</w:t>
      </w:r>
      <w:r>
        <w:t xml:space="preserve"> </w:t>
      </w:r>
      <w:r>
        <w:rPr>
          <w:iCs/>
          <w:i/>
        </w:rPr>
        <w:t xml:space="preserve">Neurogastroenterol Motil</w:t>
      </w:r>
      <w:r>
        <w:t xml:space="preserve"> </w:t>
      </w:r>
      <w:r>
        <w:t xml:space="preserve">· Allelic variant in the glucagon-like peptide 1 receptor gene associated with greater effect of liraglutide and exenatide on gastric emptying: A pilot pharmacogenetics study. PMID 29488276</w:t>
      </w:r>
    </w:p>
    <w:p>
      <w:pPr>
        <w:numPr>
          <w:ilvl w:val="0"/>
          <w:numId w:val="1375"/>
        </w:numPr>
        <w:pStyle w:val="Compact"/>
      </w:pPr>
      <w:r>
        <w:t xml:space="preserve">2018 · Yammine L ·</w:t>
      </w:r>
      <w:r>
        <w:t xml:space="preserve"> </w:t>
      </w:r>
      <w:r>
        <w:rPr>
          <w:iCs/>
          <w:i/>
        </w:rPr>
        <w:t xml:space="preserve">Medicine (Baltimore)</w:t>
      </w:r>
      <w:r>
        <w:t xml:space="preserve"> </w:t>
      </w:r>
      <w:r>
        <w:t xml:space="preserve">· Exenatide once weekly for smoking cessation: study protocol for a randomized clinical trial. PMID 29480848</w:t>
      </w:r>
    </w:p>
    <w:p>
      <w:pPr>
        <w:numPr>
          <w:ilvl w:val="0"/>
          <w:numId w:val="1375"/>
        </w:numPr>
        <w:pStyle w:val="Compact"/>
      </w:pPr>
      <w:r>
        <w:t xml:space="preserve">2018 · Guja C ·</w:t>
      </w:r>
      <w:r>
        <w:t xml:space="preserve"> </w:t>
      </w:r>
      <w:r>
        <w:rPr>
          <w:iCs/>
          <w:i/>
        </w:rPr>
        <w:t xml:space="preserve">Diabetes Obes Metab</w:t>
      </w:r>
      <w:r>
        <w:t xml:space="preserve"> </w:t>
      </w:r>
      <w:r>
        <w:t xml:space="preserve">· Effect of exenatide QW or placebo, both added to titrated insulin glargine, in uncontrolled type 2 diabetes: The DURATION-7 randomized study. PMID 29473704</w:t>
      </w:r>
    </w:p>
    <w:p>
      <w:pPr>
        <w:numPr>
          <w:ilvl w:val="0"/>
          <w:numId w:val="1375"/>
        </w:numPr>
        <w:pStyle w:val="Compact"/>
      </w:pPr>
      <w:r>
        <w:t xml:space="preserve">2018 · Kaneko M ·</w:t>
      </w:r>
      <w:r>
        <w:t xml:space="preserve"> </w:t>
      </w:r>
      <w:r>
        <w:rPr>
          <w:iCs/>
          <w:i/>
        </w:rPr>
        <w:t xml:space="preserve">Ann Pharmacother</w:t>
      </w:r>
      <w:r>
        <w:t xml:space="preserve"> </w:t>
      </w:r>
      <w:r>
        <w:t xml:space="preserve">· Assessment of Cardiovascular Risk With Glucagon-Like Peptide 1 Receptor Agonists in Patients With Type 2 Diabetes Using an Alternative Measure to the Hazard Ratio. PMID 29424239</w:t>
      </w:r>
    </w:p>
    <w:p>
      <w:pPr>
        <w:numPr>
          <w:ilvl w:val="0"/>
          <w:numId w:val="1375"/>
        </w:numPr>
        <w:pStyle w:val="Compact"/>
      </w:pPr>
      <w:r>
        <w:t xml:space="preserve">2018 · Dandona P ·</w:t>
      </w:r>
      <w:r>
        <w:t xml:space="preserve"> </w:t>
      </w:r>
      <w:r>
        <w:rPr>
          <w:iCs/>
          <w:i/>
        </w:rPr>
        <w:t xml:space="preserve">J Clin Endocrinol Metab</w:t>
      </w:r>
      <w:r>
        <w:t xml:space="preserve"> </w:t>
      </w:r>
      <w:r>
        <w:t xml:space="preserve">· Exenatide Increases IL-1RA Concentration and Induces Nrf-2‒Keap-1‒Regulated Antioxidant Enzymes: Relevance to β-Cell Function. PMID 29346597</w:t>
      </w:r>
    </w:p>
    <w:p>
      <w:pPr>
        <w:numPr>
          <w:ilvl w:val="0"/>
          <w:numId w:val="1375"/>
        </w:numPr>
        <w:pStyle w:val="Compact"/>
      </w:pPr>
      <w:r>
        <w:t xml:space="preserve">2018 · Tonneijck L ·</w:t>
      </w:r>
      <w:r>
        <w:t xml:space="preserve"> </w:t>
      </w:r>
      <w:r>
        <w:rPr>
          <w:iCs/>
          <w:i/>
        </w:rPr>
        <w:t xml:space="preserve">Diabetes Obes Metab</w:t>
      </w:r>
      <w:r>
        <w:t xml:space="preserve"> </w:t>
      </w:r>
      <w:r>
        <w:t xml:space="preserve">· Effect of immediate and prolonged GLP-1 receptor agonist administration on uric acid and kidney clearance: Post-hoc analyses of four clinical trials. PMID 29341461</w:t>
      </w:r>
    </w:p>
    <w:p>
      <w:pPr>
        <w:numPr>
          <w:ilvl w:val="0"/>
          <w:numId w:val="1375"/>
        </w:numPr>
        <w:pStyle w:val="Compact"/>
      </w:pPr>
      <w:r>
        <w:t xml:space="preserve">2018 · Jabbour SA ·</w:t>
      </w:r>
      <w:r>
        <w:t xml:space="preserve"> </w:t>
      </w:r>
      <w:r>
        <w:rPr>
          <w:iCs/>
          <w:i/>
        </w:rPr>
        <w:t xml:space="preserve">Diabetes Obes Metab</w:t>
      </w:r>
      <w:r>
        <w:t xml:space="preserve"> </w:t>
      </w:r>
      <w:r>
        <w:t xml:space="preserve">· Effects of exenatide once weekly plus dapagliflozin, exenatide once weekly, or dapagliflozin, added to metformin monotherapy, on body weight, systolic blood pressure, and triglycerides in patients with type 2 diabetes in the DURATION-8 study. PMID 29316164</w:t>
      </w:r>
    </w:p>
    <w:p>
      <w:pPr>
        <w:numPr>
          <w:ilvl w:val="0"/>
          <w:numId w:val="1375"/>
        </w:numPr>
        <w:pStyle w:val="Compact"/>
      </w:pPr>
      <w:r>
        <w:t xml:space="preserve">2018 · Henry RR ·</w:t>
      </w:r>
      <w:r>
        <w:t xml:space="preserve"> </w:t>
      </w:r>
      <w:r>
        <w:rPr>
          <w:iCs/>
          <w:i/>
        </w:rPr>
        <w:t xml:space="preserve">Diabetes Care</w:t>
      </w:r>
      <w:r>
        <w:t xml:space="preserve"> </w:t>
      </w:r>
      <w:r>
        <w:t xml:space="preserve">· Clinical Impact of ITCA 650, a Novel Drug-Device GLP-1 Receptor Agonist, in Uncontrolled Type 2 Diabetes and Very High Baseline HbA(1c): The FREEDOM-1 HBL (High Baseline) Study. PMID 29301824</w:t>
      </w:r>
    </w:p>
    <w:p>
      <w:pPr>
        <w:numPr>
          <w:ilvl w:val="0"/>
          <w:numId w:val="1375"/>
        </w:numPr>
        <w:pStyle w:val="Compact"/>
      </w:pPr>
      <w:r>
        <w:t xml:space="preserve">2018 · Ahmann AJ ·</w:t>
      </w:r>
      <w:r>
        <w:t xml:space="preserve"> </w:t>
      </w:r>
      <w:r>
        <w:rPr>
          <w:iCs/>
          <w:i/>
        </w:rPr>
        <w:t xml:space="preserve">Diabetes Care</w:t>
      </w:r>
      <w:r>
        <w:t xml:space="preserve"> </w:t>
      </w:r>
      <w:r>
        <w:t xml:space="preserve">· Efficacy and Safety of Once-Weekly Semaglutide Versus Exenatide ER in Subjects With Type 2 Diabetes (SUSTAIN 3): A 56-Week, Open-Label, Randomized Clinical Trial. PMID 29246950</w:t>
      </w:r>
    </w:p>
    <w:p>
      <w:pPr>
        <w:numPr>
          <w:ilvl w:val="0"/>
          <w:numId w:val="1375"/>
        </w:numPr>
        <w:pStyle w:val="Compact"/>
      </w:pPr>
      <w:r>
        <w:t xml:space="preserve">2018 · Rosenstock J ·</w:t>
      </w:r>
      <w:r>
        <w:t xml:space="preserve"> </w:t>
      </w:r>
      <w:r>
        <w:rPr>
          <w:iCs/>
          <w:i/>
        </w:rPr>
        <w:t xml:space="preserve">Diabetes Care</w:t>
      </w:r>
      <w:r>
        <w:t xml:space="preserve"> </w:t>
      </w:r>
      <w:r>
        <w:t xml:space="preserve">· Efficacy and Safety of ITCA 650, a Novel Drug-Device GLP-1 Receptor Agonist, in Type 2 Diabetes Uncontrolled With Oral Antidiabetes Drugs: The FREEDOM-1 Trial. PMID 29242349</w:t>
      </w:r>
    </w:p>
    <w:p>
      <w:pPr>
        <w:numPr>
          <w:ilvl w:val="0"/>
          <w:numId w:val="1375"/>
        </w:numPr>
        <w:pStyle w:val="Compact"/>
      </w:pPr>
      <w:r>
        <w:t xml:space="preserve">2018 · Abdul-Ghani M ·</w:t>
      </w:r>
      <w:r>
        <w:t xml:space="preserve"> </w:t>
      </w:r>
      <w:r>
        <w:rPr>
          <w:iCs/>
          <w:i/>
        </w:rPr>
        <w:t xml:space="preserve">Diabetes Obes Metab</w:t>
      </w:r>
      <w:r>
        <w:t xml:space="preserve"> </w:t>
      </w:r>
      <w:r>
        <w:t xml:space="preserve">· Insulin secretion predicts the response to therapy with exenatide plus pioglitazone, but not to basal/bolus insulin in poorly controlled T2DM patients: Results from the Qatar study. PMID 29227578</w:t>
      </w:r>
    </w:p>
    <w:p>
      <w:pPr>
        <w:numPr>
          <w:ilvl w:val="0"/>
          <w:numId w:val="1375"/>
        </w:numPr>
        <w:pStyle w:val="Compact"/>
      </w:pPr>
      <w:r>
        <w:t xml:space="preserve">2018 · Siskind DJ ·</w:t>
      </w:r>
      <w:r>
        <w:t xml:space="preserve"> </w:t>
      </w:r>
      <w:r>
        <w:rPr>
          <w:iCs/>
          <w:i/>
        </w:rPr>
        <w:t xml:space="preserve">Diabetes Obes Metab</w:t>
      </w:r>
      <w:r>
        <w:t xml:space="preserve"> </w:t>
      </w:r>
      <w:r>
        <w:t xml:space="preserve">· Treatment of clozapine-associated obesity and diabetes with exenatide in adults with schizophrenia: A randomized controlled trial (CODEX). PMID 29194917</w:t>
      </w:r>
    </w:p>
    <w:p>
      <w:pPr>
        <w:numPr>
          <w:ilvl w:val="0"/>
          <w:numId w:val="1375"/>
        </w:numPr>
        <w:pStyle w:val="Compact"/>
      </w:pPr>
      <w:r>
        <w:t xml:space="preserve">2018 · Wiberg S ·</w:t>
      </w:r>
      <w:r>
        <w:t xml:space="preserve"> </w:t>
      </w:r>
      <w:r>
        <w:rPr>
          <w:iCs/>
          <w:i/>
        </w:rPr>
        <w:t xml:space="preserve">Crit Care Med</w:t>
      </w:r>
      <w:r>
        <w:t xml:space="preserve"> </w:t>
      </w:r>
      <w:r>
        <w:t xml:space="preserve">· The Glucagon-Like Peptide-1 Analog Exenatide Increases Blood Glucose Clearance, Lactate Clearance, and Heart Rate in Comatose Patients After Out-of-Hospital Cardiac Arrest. PMID 29189347</w:t>
      </w:r>
    </w:p>
    <w:p>
      <w:pPr>
        <w:numPr>
          <w:ilvl w:val="0"/>
          <w:numId w:val="1375"/>
        </w:numPr>
        <w:pStyle w:val="Compact"/>
      </w:pPr>
      <w:r>
        <w:t xml:space="preserve">2018 · Tzanetakos C ·</w:t>
      </w:r>
      <w:r>
        <w:t xml:space="preserve"> </w:t>
      </w:r>
      <w:r>
        <w:rPr>
          <w:iCs/>
          <w:i/>
        </w:rPr>
        <w:t xml:space="preserve">Clin Drug Investig</w:t>
      </w:r>
      <w:r>
        <w:t xml:space="preserve"> </w:t>
      </w:r>
      <w:r>
        <w:t xml:space="preserve">· Cost Effectiveness of Exenatide Once Weekly Versus Insulin Glargine and Liraglutide for the Treatment of Type 2 Diabetes Mellitus in Greece. PMID 29080210</w:t>
      </w:r>
    </w:p>
    <w:p>
      <w:pPr>
        <w:numPr>
          <w:ilvl w:val="0"/>
          <w:numId w:val="1375"/>
        </w:numPr>
        <w:pStyle w:val="Compact"/>
      </w:pPr>
      <w:r>
        <w:t xml:space="preserve">2018 · Henry R ·</w:t>
      </w:r>
      <w:r>
        <w:t xml:space="preserve"> </w:t>
      </w:r>
      <w:r>
        <w:rPr>
          <w:iCs/>
          <w:i/>
        </w:rPr>
        <w:t xml:space="preserve">Diabetes Obes Metab</w:t>
      </w:r>
      <w:r>
        <w:t xml:space="preserve"> </w:t>
      </w:r>
      <w:r>
        <w:t xml:space="preserve">· Treatment satisfaction with ITCA 650, a novel drug-device delivering continuous exenatide, versus twice-daily injections of exenatide in type 2 diabetics using metformin. PMID 29053202</w:t>
      </w:r>
    </w:p>
    <w:p>
      <w:pPr>
        <w:numPr>
          <w:ilvl w:val="0"/>
          <w:numId w:val="1375"/>
        </w:numPr>
        <w:pStyle w:val="Compact"/>
      </w:pPr>
      <w:r>
        <w:t xml:space="preserve">2018 · Jiang LL ·</w:t>
      </w:r>
      <w:r>
        <w:t xml:space="preserve"> </w:t>
      </w:r>
      <w:r>
        <w:rPr>
          <w:iCs/>
          <w:i/>
        </w:rPr>
        <w:t xml:space="preserve">J Endocrinol Invest</w:t>
      </w:r>
      <w:r>
        <w:t xml:space="preserve"> </w:t>
      </w:r>
      <w:r>
        <w:t xml:space="preserve">· The effects of add-on exenatide to insulin on glycemic variability and hypoglycemia in patients with type 1 diabetes mellitus. PMID 29032494</w:t>
      </w:r>
    </w:p>
    <w:p>
      <w:pPr>
        <w:numPr>
          <w:ilvl w:val="0"/>
          <w:numId w:val="1375"/>
        </w:numPr>
        <w:pStyle w:val="Compact"/>
      </w:pPr>
      <w:r>
        <w:t xml:space="preserve">2018 · Wysham CH ·</w:t>
      </w:r>
      <w:r>
        <w:t xml:space="preserve"> </w:t>
      </w:r>
      <w:r>
        <w:rPr>
          <w:iCs/>
          <w:i/>
        </w:rPr>
        <w:t xml:space="preserve">Diabetes Obes Metab</w:t>
      </w:r>
      <w:r>
        <w:t xml:space="preserve"> </w:t>
      </w:r>
      <w:r>
        <w:t xml:space="preserve">· Efficacy and tolerability of the new autoinjected suspension of exenatide once weekly versus exenatide twice daily in patients with type 2 diabetes. PMID 28685973</w:t>
      </w:r>
    </w:p>
    <w:p>
      <w:pPr>
        <w:numPr>
          <w:ilvl w:val="0"/>
          <w:numId w:val="1375"/>
        </w:numPr>
        <w:pStyle w:val="Compact"/>
      </w:pPr>
      <w:r>
        <w:t xml:space="preserve">2018 · Su K ·</w:t>
      </w:r>
      <w:r>
        <w:t xml:space="preserve"> </w:t>
      </w:r>
      <w:r>
        <w:rPr>
          <w:iCs/>
          <w:i/>
        </w:rPr>
        <w:t xml:space="preserve">Am J Ther</w:t>
      </w:r>
      <w:r>
        <w:t xml:space="preserve"> </w:t>
      </w:r>
      <w:r>
        <w:t xml:space="preserve">· Phase III Study on Efficacy and Safety of Triple Combination (Exenatide/Metformin/Biphasic Insulin Aspart) Therapy for Type 2 Diabetes Mellitus. PMID 26844723</w:t>
      </w:r>
    </w:p>
    <w:p>
      <w:pPr>
        <w:numPr>
          <w:ilvl w:val="0"/>
          <w:numId w:val="1375"/>
        </w:numPr>
        <w:pStyle w:val="Compact"/>
      </w:pPr>
      <w:r>
        <w:t xml:space="preserve">2017 · Wang Y ·</w:t>
      </w:r>
      <w:r>
        <w:t xml:space="preserve"> </w:t>
      </w:r>
      <w:r>
        <w:rPr>
          <w:iCs/>
          <w:i/>
        </w:rPr>
        <w:t xml:space="preserve">Clin Drug Investig</w:t>
      </w:r>
      <w:r>
        <w:t xml:space="preserve"> </w:t>
      </w:r>
      <w:r>
        <w:t xml:space="preserve">· Pharmacokinetics and Preliminary Pharmacodynamics of Single- and Multiple-dose Lyophilized Recombinant Glucagon-like Peptide-1 Receptor Agonist (rE-4) in Chinese Patients with Type 2 Diabetes Mellitus. PMID 28932995</w:t>
      </w:r>
    </w:p>
    <w:p>
      <w:pPr>
        <w:numPr>
          <w:ilvl w:val="0"/>
          <w:numId w:val="1375"/>
        </w:numPr>
        <w:pStyle w:val="Compact"/>
      </w:pPr>
      <w:r>
        <w:t xml:space="preserve">2017 · Holman RR ·</w:t>
      </w:r>
      <w:r>
        <w:t xml:space="preserve"> </w:t>
      </w:r>
      <w:r>
        <w:rPr>
          <w:iCs/>
          <w:i/>
        </w:rPr>
        <w:t xml:space="preserve">N Engl J Med</w:t>
      </w:r>
      <w:r>
        <w:t xml:space="preserve"> </w:t>
      </w:r>
      <w:r>
        <w:t xml:space="preserve">· Effects of Once-Weekly Exenatide on Cardiovascular Outcomes in Type 2 Diabetes. PMID 28910237</w:t>
      </w:r>
    </w:p>
    <w:p>
      <w:pPr>
        <w:numPr>
          <w:ilvl w:val="0"/>
          <w:numId w:val="1375"/>
        </w:numPr>
        <w:pStyle w:val="Compact"/>
      </w:pPr>
      <w:r>
        <w:t xml:space="preserve">2017 · Liu X ·</w:t>
      </w:r>
      <w:r>
        <w:t xml:space="preserve"> </w:t>
      </w:r>
      <w:r>
        <w:rPr>
          <w:iCs/>
          <w:i/>
        </w:rPr>
        <w:t xml:space="preserve">Clin Endocrinol (Oxf)</w:t>
      </w:r>
      <w:r>
        <w:t xml:space="preserve"> </w:t>
      </w:r>
      <w:r>
        <w:t xml:space="preserve">· Efficacy of exenatide on weight loss, metabolic parameters and pregnancy in overweight/obese polycystic ovary syndrome. PMID 28834553</w:t>
      </w:r>
    </w:p>
    <w:p>
      <w:pPr>
        <w:numPr>
          <w:ilvl w:val="0"/>
          <w:numId w:val="1375"/>
        </w:numPr>
        <w:pStyle w:val="Compact"/>
      </w:pPr>
      <w:r>
        <w:t xml:space="preserve">2017 · Besch G ·</w:t>
      </w:r>
      <w:r>
        <w:t xml:space="preserve"> </w:t>
      </w:r>
      <w:r>
        <w:rPr>
          <w:iCs/>
          <w:i/>
        </w:rPr>
        <w:t xml:space="preserve">Anesthesiology</w:t>
      </w:r>
      <w:r>
        <w:t xml:space="preserve"> </w:t>
      </w:r>
      <w:r>
        <w:t xml:space="preserve">· Clinical Effectiveness of Intravenous Exenatide Infusion in Perioperative Glycemic Control after Coronary Artery Bypass Graft Surgery: A Phase II/III Randomized Trial. PMID 28820780</w:t>
      </w:r>
    </w:p>
    <w:p>
      <w:pPr>
        <w:numPr>
          <w:ilvl w:val="0"/>
          <w:numId w:val="1375"/>
        </w:numPr>
        <w:pStyle w:val="Compact"/>
      </w:pPr>
      <w:r>
        <w:t xml:space="preserve">2017 · Athauda D ·</w:t>
      </w:r>
      <w:r>
        <w:t xml:space="preserve"> </w:t>
      </w:r>
      <w:r>
        <w:rPr>
          <w:iCs/>
          <w:i/>
        </w:rPr>
        <w:t xml:space="preserve">Lancet</w:t>
      </w:r>
      <w:r>
        <w:t xml:space="preserve"> </w:t>
      </w:r>
      <w:r>
        <w:t xml:space="preserve">· Exenatide once weekly versus placebo in Parkinson’s disease: a randomised, double-blind, placebo-controlled trial. PMID 28781108</w:t>
      </w:r>
    </w:p>
    <w:p>
      <w:pPr>
        <w:numPr>
          <w:ilvl w:val="0"/>
          <w:numId w:val="1375"/>
        </w:numPr>
        <w:pStyle w:val="Compact"/>
      </w:pPr>
      <w:r>
        <w:t xml:space="preserve">2017 · Lipš M ·</w:t>
      </w:r>
      <w:r>
        <w:t xml:space="preserve"> </w:t>
      </w:r>
      <w:r>
        <w:rPr>
          <w:iCs/>
          <w:i/>
        </w:rPr>
        <w:t xml:space="preserve">Diabetes Obes Metab</w:t>
      </w:r>
      <w:r>
        <w:t xml:space="preserve"> </w:t>
      </w:r>
      <w:r>
        <w:t xml:space="preserve">· Effect of continuous exenatide infusion on cardiac function and peri-operative glucose control in patients undergoing cardiac surgery: A single-blind, randomized controlled trial. PMID 28581209</w:t>
      </w:r>
    </w:p>
    <w:p>
      <w:pPr>
        <w:numPr>
          <w:ilvl w:val="0"/>
          <w:numId w:val="1375"/>
        </w:numPr>
        <w:pStyle w:val="Compact"/>
      </w:pPr>
      <w:r>
        <w:t xml:space="preserve">2017 · Cirincione B ·</w:t>
      </w:r>
      <w:r>
        <w:t xml:space="preserve"> </w:t>
      </w:r>
      <w:r>
        <w:rPr>
          <w:iCs/>
          <w:i/>
        </w:rPr>
        <w:t xml:space="preserve">J Clin Pharmacol</w:t>
      </w:r>
      <w:r>
        <w:t xml:space="preserve"> </w:t>
      </w:r>
      <w:r>
        <w:t xml:space="preserve">· Model-Based Evaluation of Exenatide Effects on the QT Interval in Healthy Subjects Following Continuous IV Infusion. PMID 28543393</w:t>
      </w:r>
    </w:p>
    <w:p>
      <w:pPr>
        <w:numPr>
          <w:ilvl w:val="0"/>
          <w:numId w:val="1375"/>
        </w:numPr>
        <w:pStyle w:val="Compact"/>
      </w:pPr>
      <w:r>
        <w:t xml:space="preserve">2017 · Shaddinger BC ·</w:t>
      </w:r>
      <w:r>
        <w:t xml:space="preserve"> </w:t>
      </w:r>
      <w:r>
        <w:rPr>
          <w:iCs/>
          <w:i/>
        </w:rPr>
        <w:t xml:space="preserve">J Clin Pharmacol</w:t>
      </w:r>
      <w:r>
        <w:t xml:space="preserve"> </w:t>
      </w:r>
      <w:r>
        <w:t xml:space="preserve">· Effect of Albiglutide on Cholecystokinin-Induced Gallbladder Emptying in Healthy Individuals: A Randomized Crossover Study. PMID 28543352</w:t>
      </w:r>
    </w:p>
    <w:p>
      <w:pPr>
        <w:numPr>
          <w:ilvl w:val="0"/>
          <w:numId w:val="1375"/>
        </w:numPr>
        <w:pStyle w:val="Compact"/>
      </w:pPr>
      <w:r>
        <w:t xml:space="preserve">2017 · Shi X ·</w:t>
      </w:r>
      <w:r>
        <w:t xml:space="preserve"> </w:t>
      </w:r>
      <w:r>
        <w:rPr>
          <w:iCs/>
          <w:i/>
        </w:rPr>
        <w:t xml:space="preserve">Sci Rep</w:t>
      </w:r>
      <w:r>
        <w:t xml:space="preserve"> </w:t>
      </w:r>
      <w:r>
        <w:t xml:space="preserve">· Effect of exenatide after short-time intensive insulin therapy on glycaemic remission maintenance in type 2 diabetes patients: a randomized controlled trial. PMID 28539618</w:t>
      </w:r>
    </w:p>
    <w:p>
      <w:pPr>
        <w:numPr>
          <w:ilvl w:val="0"/>
          <w:numId w:val="1375"/>
        </w:numPr>
        <w:pStyle w:val="Compact"/>
      </w:pPr>
      <w:r>
        <w:t xml:space="preserve">2017 · Chen WJY ·</w:t>
      </w:r>
      <w:r>
        <w:t xml:space="preserve"> </w:t>
      </w:r>
      <w:r>
        <w:rPr>
          <w:iCs/>
          <w:i/>
        </w:rPr>
        <w:t xml:space="preserve">Cardiovasc Diabetol</w:t>
      </w:r>
      <w:r>
        <w:t xml:space="preserve"> </w:t>
      </w:r>
      <w:r>
        <w:t xml:space="preserve">· Effects of exenatide on cardiac function, perfusion, and energetics in type 2 diabetic patients with cardiomyopathy: a randomized controlled trial against insulin glargine. PMID 28526033</w:t>
      </w:r>
    </w:p>
    <w:p>
      <w:pPr>
        <w:numPr>
          <w:ilvl w:val="0"/>
          <w:numId w:val="1375"/>
        </w:numPr>
        <w:pStyle w:val="Compact"/>
      </w:pPr>
      <w:r>
        <w:t xml:space="preserve">2017 · Mentz RJ ·</w:t>
      </w:r>
      <w:r>
        <w:t xml:space="preserve"> </w:t>
      </w:r>
      <w:r>
        <w:rPr>
          <w:iCs/>
          <w:i/>
        </w:rPr>
        <w:t xml:space="preserve">Am Heart J</w:t>
      </w:r>
      <w:r>
        <w:t xml:space="preserve"> </w:t>
      </w:r>
      <w:r>
        <w:t xml:space="preserve">· Baseline characteristics of patients enrolled in the Exenatide Study of Cardiovascular Event Lowering (EXSCEL). PMID 28454792</w:t>
      </w:r>
    </w:p>
    <w:p>
      <w:pPr>
        <w:numPr>
          <w:ilvl w:val="0"/>
          <w:numId w:val="1375"/>
        </w:numPr>
        <w:pStyle w:val="Compact"/>
      </w:pPr>
      <w:r>
        <w:t xml:space="preserve">2017 · Wang X ·</w:t>
      </w:r>
      <w:r>
        <w:t xml:space="preserve"> </w:t>
      </w:r>
      <w:r>
        <w:rPr>
          <w:iCs/>
          <w:i/>
        </w:rPr>
        <w:t xml:space="preserve">Lipids Health Dis</w:t>
      </w:r>
      <w:r>
        <w:t xml:space="preserve"> </w:t>
      </w:r>
      <w:r>
        <w:t xml:space="preserve">· New association of bone morphogenetic protein 4 concentrations with fat distribution in obesity and Exenatide intervention on it. PMID 28376799</w:t>
      </w:r>
    </w:p>
    <w:p>
      <w:pPr>
        <w:numPr>
          <w:ilvl w:val="0"/>
          <w:numId w:val="1375"/>
        </w:numPr>
        <w:pStyle w:val="Compact"/>
      </w:pPr>
      <w:r>
        <w:t xml:space="preserve">2017 · Lundkvist P ·</w:t>
      </w:r>
      <w:r>
        <w:t xml:space="preserve"> </w:t>
      </w:r>
      <w:r>
        <w:rPr>
          <w:iCs/>
          <w:i/>
        </w:rPr>
        <w:t xml:space="preserve">Diabetes Obes Metab</w:t>
      </w:r>
      <w:r>
        <w:t xml:space="preserve"> </w:t>
      </w:r>
      <w:r>
        <w:t xml:space="preserve">· Dapagliflozin once daily plus exenatide once weekly in obese adults without diabetes: Sustained reductions in body weight, glycaemia and blood pressure over 1 year. PMID 28345814</w:t>
      </w:r>
    </w:p>
    <w:p>
      <w:pPr>
        <w:numPr>
          <w:ilvl w:val="0"/>
          <w:numId w:val="1375"/>
        </w:numPr>
        <w:pStyle w:val="Compact"/>
      </w:pPr>
      <w:r>
        <w:t xml:space="preserve">2017 · Abdul-Ghani M ·</w:t>
      </w:r>
      <w:r>
        <w:t xml:space="preserve"> </w:t>
      </w:r>
      <w:r>
        <w:rPr>
          <w:iCs/>
          <w:i/>
        </w:rPr>
        <w:t xml:space="preserve">J Clin Endocrinol Metab</w:t>
      </w:r>
      <w:r>
        <w:t xml:space="preserve"> </w:t>
      </w:r>
      <w:r>
        <w:t xml:space="preserve">· Efficacy of Exenatide Plus Pioglitazone Vs Basal/Bolus Insulin in T2DM Patients With Very High HbA1c. PMID 28324038</w:t>
      </w:r>
    </w:p>
    <w:p>
      <w:pPr>
        <w:numPr>
          <w:ilvl w:val="0"/>
          <w:numId w:val="1375"/>
        </w:numPr>
        <w:pStyle w:val="Compact"/>
      </w:pPr>
      <w:r>
        <w:t xml:space="preserve">2017 · Ishøy PL ·</w:t>
      </w:r>
      <w:r>
        <w:t xml:space="preserve"> </w:t>
      </w:r>
      <w:r>
        <w:rPr>
          <w:iCs/>
          <w:i/>
        </w:rPr>
        <w:t xml:space="preserve">Acta Psychiatr Scand</w:t>
      </w:r>
      <w:r>
        <w:t xml:space="preserve"> </w:t>
      </w:r>
      <w:r>
        <w:t xml:space="preserve">· No cognitive-enhancing effect of GLP-1 receptor agonism in antipsychotic-treated, obese patients with schizophrenia. PMID 28260235</w:t>
      </w:r>
    </w:p>
    <w:p>
      <w:pPr>
        <w:numPr>
          <w:ilvl w:val="0"/>
          <w:numId w:val="1375"/>
        </w:numPr>
        <w:pStyle w:val="Compact"/>
      </w:pPr>
      <w:r>
        <w:t xml:space="preserve">2017 · Bremholm L ·</w:t>
      </w:r>
      <w:r>
        <w:t xml:space="preserve"> </w:t>
      </w:r>
      <w:r>
        <w:rPr>
          <w:iCs/>
          <w:i/>
        </w:rPr>
        <w:t xml:space="preserve">Physiol Rep</w:t>
      </w:r>
      <w:r>
        <w:t xml:space="preserve"> </w:t>
      </w:r>
      <w:r>
        <w:t xml:space="preserve">· Acute effects of glucagon-like peptide-1, GLP-1(9-36 amide), and exenatide on mesenteric blood flow, cardiovascular parameters, and biomarkers in healthy volunteers. PMID 28235974</w:t>
      </w:r>
    </w:p>
    <w:p>
      <w:pPr>
        <w:numPr>
          <w:ilvl w:val="0"/>
          <w:numId w:val="1375"/>
        </w:numPr>
        <w:pStyle w:val="Compact"/>
      </w:pPr>
      <w:r>
        <w:t xml:space="preserve">2017 · Gadde KM ·</w:t>
      </w:r>
      <w:r>
        <w:t xml:space="preserve"> </w:t>
      </w:r>
      <w:r>
        <w:rPr>
          <w:iCs/>
          <w:i/>
        </w:rPr>
        <w:t xml:space="preserve">Diabetes Obes Metab</w:t>
      </w:r>
      <w:r>
        <w:t xml:space="preserve"> </w:t>
      </w:r>
      <w:r>
        <w:t xml:space="preserve">· Efficacy and safety of autoinjected exenatide once-weekly suspension versus sitagliptin or placebo with metformin in patients with type 2 diabetes: The DURATION-NEO-2 randomized clinical study. PMID 28205322</w:t>
      </w:r>
    </w:p>
    <w:p>
      <w:pPr>
        <w:numPr>
          <w:ilvl w:val="0"/>
          <w:numId w:val="1375"/>
        </w:numPr>
        <w:pStyle w:val="Compact"/>
      </w:pPr>
      <w:r>
        <w:t xml:space="preserve">2017 · Shi L ·</w:t>
      </w:r>
      <w:r>
        <w:t xml:space="preserve"> </w:t>
      </w:r>
      <w:r>
        <w:rPr>
          <w:iCs/>
          <w:i/>
        </w:rPr>
        <w:t xml:space="preserve">Obes Res Clin Pract</w:t>
      </w:r>
      <w:r>
        <w:t xml:space="preserve"> </w:t>
      </w:r>
      <w:r>
        <w:t xml:space="preserve">· Comparison of exenatide and acarbose on intra-abdominal fat content in patients with obesity and type-2 diabetes: A randomized controlled trial. PMID 28161303</w:t>
      </w:r>
    </w:p>
    <w:p>
      <w:pPr>
        <w:numPr>
          <w:ilvl w:val="0"/>
          <w:numId w:val="1375"/>
        </w:numPr>
        <w:pStyle w:val="Compact"/>
      </w:pPr>
      <w:r>
        <w:t xml:space="preserve">2017 · Abdul-Ghani M ·</w:t>
      </w:r>
      <w:r>
        <w:t xml:space="preserve"> </w:t>
      </w:r>
      <w:r>
        <w:rPr>
          <w:iCs/>
          <w:i/>
        </w:rPr>
        <w:t xml:space="preserve">Diabetes Care</w:t>
      </w:r>
      <w:r>
        <w:t xml:space="preserve"> </w:t>
      </w:r>
      <w:r>
        <w:t xml:space="preserve">· Combination Therapy With Exenatide Plus Pioglitazone Versus Basal/Bolus Insulin in Patients With Poorly Controlled Type 2 Diabetes on Sulfonylurea Plus Metformin: The Qatar Study. PMID 28096223</w:t>
      </w:r>
    </w:p>
    <w:p>
      <w:pPr>
        <w:numPr>
          <w:ilvl w:val="0"/>
          <w:numId w:val="1375"/>
        </w:numPr>
        <w:pStyle w:val="Compact"/>
      </w:pPr>
      <w:r>
        <w:t xml:space="preserve">2017 · Smits MM ·</w:t>
      </w:r>
      <w:r>
        <w:t xml:space="preserve"> </w:t>
      </w:r>
      <w:r>
        <w:rPr>
          <w:iCs/>
          <w:i/>
        </w:rPr>
        <w:t xml:space="preserve">Diabetes Res Clin Pract</w:t>
      </w:r>
      <w:r>
        <w:t xml:space="preserve"> </w:t>
      </w:r>
      <w:r>
        <w:t xml:space="preserve">· The effects of GLP-1 based therapies on postprandial haemodynamics: Two randomised, placebo-controlled trials in overweight type 2 diabetes patients. PMID 28086201</w:t>
      </w:r>
    </w:p>
    <w:p>
      <w:pPr>
        <w:numPr>
          <w:ilvl w:val="0"/>
          <w:numId w:val="1375"/>
        </w:numPr>
        <w:pStyle w:val="Compact"/>
      </w:pPr>
      <w:r>
        <w:t xml:space="preserve">2017 · Horowitz M ·</w:t>
      </w:r>
      <w:r>
        <w:t xml:space="preserve"> </w:t>
      </w:r>
      <w:r>
        <w:rPr>
          <w:iCs/>
          <w:i/>
        </w:rPr>
        <w:t xml:space="preserve">Diabetes Obes Metab</w:t>
      </w:r>
      <w:r>
        <w:t xml:space="preserve"> </w:t>
      </w:r>
      <w:r>
        <w:t xml:space="preserve">· Upper and/or lower gastrointestinal adverse events with glucagon-like peptide-1 receptor agonists: Incidence and consequences. PMID 28058769</w:t>
      </w:r>
    </w:p>
    <w:p>
      <w:pPr>
        <w:numPr>
          <w:ilvl w:val="0"/>
          <w:numId w:val="1375"/>
        </w:numPr>
        <w:pStyle w:val="Compact"/>
      </w:pPr>
      <w:r>
        <w:t xml:space="preserve">2017 · Thazhath SS ·</w:t>
      </w:r>
      <w:r>
        <w:t xml:space="preserve"> </w:t>
      </w:r>
      <w:r>
        <w:rPr>
          <w:iCs/>
          <w:i/>
        </w:rPr>
        <w:t xml:space="preserve">Diab Vasc Dis Res</w:t>
      </w:r>
      <w:r>
        <w:t xml:space="preserve"> </w:t>
      </w:r>
      <w:r>
        <w:t xml:space="preserve">· Acute effects of the glucagon-like peptide-1 receptor agonist, exenatide, on blood pressure and heart rate responses to intraduodenal glucose infusion in type 2 diabetes. PMID 27941058</w:t>
      </w:r>
    </w:p>
    <w:p>
      <w:pPr>
        <w:numPr>
          <w:ilvl w:val="0"/>
          <w:numId w:val="1375"/>
        </w:numPr>
        <w:pStyle w:val="Compact"/>
      </w:pPr>
      <w:r>
        <w:t xml:space="preserve">2017 · Camastra S ·</w:t>
      </w:r>
      <w:r>
        <w:t xml:space="preserve"> </w:t>
      </w:r>
      <w:r>
        <w:rPr>
          <w:iCs/>
          <w:i/>
        </w:rPr>
        <w:t xml:space="preserve">Diabetes Obes Metab</w:t>
      </w:r>
      <w:r>
        <w:t xml:space="preserve"> </w:t>
      </w:r>
      <w:r>
        <w:t xml:space="preserve">· Effect of exenatide on postprandial glucose fluxes, lipolysis, and ß-cell function in non-diabetic, morbidly obese patients. PMID 27898183</w:t>
      </w:r>
    </w:p>
    <w:p>
      <w:pPr>
        <w:numPr>
          <w:ilvl w:val="0"/>
          <w:numId w:val="1375"/>
        </w:numPr>
        <w:pStyle w:val="Compact"/>
      </w:pPr>
      <w:r>
        <w:t xml:space="preserve">2017 · Chaudhuri A ·</w:t>
      </w:r>
      <w:r>
        <w:t xml:space="preserve"> </w:t>
      </w:r>
      <w:r>
        <w:rPr>
          <w:iCs/>
          <w:i/>
        </w:rPr>
        <w:t xml:space="preserve">Diabetes Obes Metab</w:t>
      </w:r>
      <w:r>
        <w:t xml:space="preserve"> </w:t>
      </w:r>
      <w:r>
        <w:t xml:space="preserve">· Exenatide induces an increase in vasodilatory and a decrease in vasoconstrictive mediators. PMID 27891769</w:t>
      </w:r>
    </w:p>
    <w:p>
      <w:pPr>
        <w:numPr>
          <w:ilvl w:val="0"/>
          <w:numId w:val="1375"/>
        </w:numPr>
        <w:pStyle w:val="Compact"/>
      </w:pPr>
      <w:r>
        <w:t xml:space="preserve">2017 · Scalzo RL ·</w:t>
      </w:r>
      <w:r>
        <w:t xml:space="preserve"> </w:t>
      </w:r>
      <w:r>
        <w:rPr>
          <w:iCs/>
          <w:i/>
        </w:rPr>
        <w:t xml:space="preserve">J Diabetes Complications</w:t>
      </w:r>
      <w:r>
        <w:t xml:space="preserve"> </w:t>
      </w:r>
      <w:r>
        <w:t xml:space="preserve">· Exenatide improves diastolic function and attenuates arterial stiffness but does not alter exercise capacity in individuals with type 2 diabetes. PMID 27884660</w:t>
      </w:r>
    </w:p>
    <w:p>
      <w:pPr>
        <w:numPr>
          <w:ilvl w:val="0"/>
          <w:numId w:val="1375"/>
        </w:numPr>
        <w:pStyle w:val="Compact"/>
      </w:pPr>
      <w:r>
        <w:t xml:space="preserve">2017 · Smits MM ·</w:t>
      </w:r>
      <w:r>
        <w:t xml:space="preserve"> </w:t>
      </w:r>
      <w:r>
        <w:rPr>
          <w:iCs/>
          <w:i/>
        </w:rPr>
        <w:t xml:space="preserve">Eur J Endocrinol</w:t>
      </w:r>
      <w:r>
        <w:t xml:space="preserve"> </w:t>
      </w:r>
      <w:r>
        <w:t xml:space="preserve">· Heart rate acceleration with GLP-1 receptor agonists in type 2 diabetes patients: an acute and 12-week randomised, double-blind, placebo-controlled trial. PMID 27777261</w:t>
      </w:r>
    </w:p>
    <w:p>
      <w:pPr>
        <w:numPr>
          <w:ilvl w:val="0"/>
          <w:numId w:val="1375"/>
        </w:numPr>
        <w:pStyle w:val="Compact"/>
      </w:pPr>
      <w:r>
        <w:t xml:space="preserve">2017 · Ishøy PL ·</w:t>
      </w:r>
      <w:r>
        <w:t xml:space="preserve"> </w:t>
      </w:r>
      <w:r>
        <w:rPr>
          <w:iCs/>
          <w:i/>
        </w:rPr>
        <w:t xml:space="preserve">Diabetes Obes Metab</w:t>
      </w:r>
      <w:r>
        <w:t xml:space="preserve"> </w:t>
      </w:r>
      <w:r>
        <w:t xml:space="preserve">· Effect of GLP-1 receptor agonist treatment on body weight in obese antipsychotic-treated patients with schizophrenia: a randomized, placebo-controlled trial. PMID 27717222</w:t>
      </w:r>
    </w:p>
    <w:p>
      <w:pPr>
        <w:numPr>
          <w:ilvl w:val="0"/>
          <w:numId w:val="1375"/>
        </w:numPr>
        <w:pStyle w:val="Compact"/>
      </w:pPr>
      <w:r>
        <w:t xml:space="preserve">2017 · Lundkvist P ·</w:t>
      </w:r>
      <w:r>
        <w:t xml:space="preserve"> </w:t>
      </w:r>
      <w:r>
        <w:rPr>
          <w:iCs/>
          <w:i/>
        </w:rPr>
        <w:t xml:space="preserve">Diabetes Obes Metab</w:t>
      </w:r>
      <w:r>
        <w:t xml:space="preserve"> </w:t>
      </w:r>
      <w:r>
        <w:t xml:space="preserve">· Dapagliflozin once-daily and exenatide once-weekly dual therapy: A 24-week randomized, placebo-controlled, phase II study examining effects on body weight and prediabetes in obese adults without diabetes. PMID 27550386</w:t>
      </w:r>
    </w:p>
    <w:p>
      <w:pPr>
        <w:numPr>
          <w:ilvl w:val="0"/>
          <w:numId w:val="1375"/>
        </w:numPr>
        <w:pStyle w:val="Compact"/>
      </w:pPr>
      <w:r>
        <w:t xml:space="preserve">2017 · Salehi P ·</w:t>
      </w:r>
      <w:r>
        <w:t xml:space="preserve"> </w:t>
      </w:r>
      <w:r>
        <w:rPr>
          <w:iCs/>
          <w:i/>
        </w:rPr>
        <w:t xml:space="preserve">Pediatr Obes</w:t>
      </w:r>
      <w:r>
        <w:t xml:space="preserve"> </w:t>
      </w:r>
      <w:r>
        <w:t xml:space="preserve">· Effects of exenatide on weight and appetite in overweight adolescents and young adults with Prader-Willi syndrome. PMID 27071367</w:t>
      </w:r>
    </w:p>
    <w:p>
      <w:pPr>
        <w:numPr>
          <w:ilvl w:val="0"/>
          <w:numId w:val="1375"/>
        </w:numPr>
        <w:pStyle w:val="Compact"/>
      </w:pPr>
      <w:r>
        <w:t xml:space="preserve">2016 · Wiberg S ·</w:t>
      </w:r>
      <w:r>
        <w:t xml:space="preserve"> </w:t>
      </w:r>
      <w:r>
        <w:rPr>
          <w:iCs/>
          <w:i/>
        </w:rPr>
        <w:t xml:space="preserve">Circulation</w:t>
      </w:r>
      <w:r>
        <w:t xml:space="preserve"> </w:t>
      </w:r>
      <w:r>
        <w:t xml:space="preserve">· Neuroprotective Effects of the Glucagon-Like Peptide-1 Analog Exenatide After Out-of-Hospital Cardiac Arrest: A Randomized Controlled Trial. PMID 27838646</w:t>
      </w:r>
    </w:p>
    <w:p>
      <w:pPr>
        <w:numPr>
          <w:ilvl w:val="0"/>
          <w:numId w:val="1375"/>
        </w:numPr>
        <w:pStyle w:val="Compact"/>
      </w:pPr>
      <w:r>
        <w:t xml:space="preserve">2016 · de Lapertosa SB ·</w:t>
      </w:r>
      <w:r>
        <w:t xml:space="preserve"> </w:t>
      </w:r>
      <w:r>
        <w:rPr>
          <w:iCs/>
          <w:i/>
        </w:rPr>
        <w:t xml:space="preserve">Diabetes Res Clin Pract</w:t>
      </w:r>
      <w:r>
        <w:t xml:space="preserve"> </w:t>
      </w:r>
      <w:r>
        <w:t xml:space="preserve">· The effects of exenatide twice daily compared to insulin lispro added to basal insulin in Latin American patients with type 2 diabetes: A retrospective analysis of the 4B trial. PMID 27776251</w:t>
      </w:r>
    </w:p>
    <w:p>
      <w:pPr>
        <w:numPr>
          <w:ilvl w:val="0"/>
          <w:numId w:val="1375"/>
        </w:numPr>
        <w:pStyle w:val="Compact"/>
      </w:pPr>
      <w:r>
        <w:t xml:space="preserve">2016 · Frías JP ·</w:t>
      </w:r>
      <w:r>
        <w:t xml:space="preserve"> </w:t>
      </w:r>
      <w:r>
        <w:rPr>
          <w:iCs/>
          <w:i/>
        </w:rPr>
        <w:t xml:space="preserve">Lancet Diabetes Endocrinol</w:t>
      </w:r>
      <w:r>
        <w:t xml:space="preserve"> </w:t>
      </w:r>
      <w:r>
        <w:t xml:space="preserve">· Exenatide once weekly plus dapagliflozin once daily versus exenatide or dapagliflozin alone in patients with type 2 diabetes inadequately controlled with metformin monotherapy (DURATION-8): a 28 week, multicentre, double-blind, phase 3, randomised controlled trial. PMID 27651331</w:t>
      </w:r>
    </w:p>
    <w:p>
      <w:pPr>
        <w:numPr>
          <w:ilvl w:val="0"/>
          <w:numId w:val="1375"/>
        </w:numPr>
        <w:pStyle w:val="Compact"/>
      </w:pPr>
      <w:r>
        <w:t xml:space="preserve">2016 · Gastaldelli A ·</w:t>
      </w:r>
      <w:r>
        <w:t xml:space="preserve"> </w:t>
      </w:r>
      <w:r>
        <w:rPr>
          <w:iCs/>
          <w:i/>
        </w:rPr>
        <w:t xml:space="preserve">Hepatology</w:t>
      </w:r>
      <w:r>
        <w:t xml:space="preserve"> </w:t>
      </w:r>
      <w:r>
        <w:t xml:space="preserve">· Exenatide improves both hepatic and adipose tissue insulin resistance: A dynamic positron emission tomography study. PMID 27639082</w:t>
      </w:r>
    </w:p>
    <w:p>
      <w:pPr>
        <w:numPr>
          <w:ilvl w:val="0"/>
          <w:numId w:val="1375"/>
        </w:numPr>
        <w:pStyle w:val="Compact"/>
      </w:pPr>
      <w:r>
        <w:t xml:space="preserve">2016 · Smits MM ·</w:t>
      </w:r>
      <w:r>
        <w:t xml:space="preserve"> </w:t>
      </w:r>
      <w:r>
        <w:rPr>
          <w:iCs/>
          <w:i/>
        </w:rPr>
        <w:t xml:space="preserve">Arterioscler Thromb Vasc Biol</w:t>
      </w:r>
      <w:r>
        <w:t xml:space="preserve"> </w:t>
      </w:r>
      <w:r>
        <w:t xml:space="preserve">· GLP-1-Based Therapies Have No Microvascular Effects in Type 2 Diabetes Mellitus: An Acute and 12-Week Randomized, Double-Blind, Placebo-Controlled Trial. PMID 27562916</w:t>
      </w:r>
    </w:p>
    <w:p>
      <w:pPr>
        <w:numPr>
          <w:ilvl w:val="0"/>
          <w:numId w:val="1375"/>
        </w:numPr>
        <w:pStyle w:val="Compact"/>
      </w:pPr>
      <w:r>
        <w:t xml:space="preserve">2016 · Henry RR ·</w:t>
      </w:r>
      <w:r>
        <w:t xml:space="preserve"> </w:t>
      </w:r>
      <w:r>
        <w:rPr>
          <w:iCs/>
          <w:i/>
        </w:rPr>
        <w:t xml:space="preserve">Diabetes Technol Ther</w:t>
      </w:r>
      <w:r>
        <w:t xml:space="preserve"> </w:t>
      </w:r>
      <w:r>
        <w:t xml:space="preserve">· Efficacy and Tolerability of Exenatide Once Weekly Over 6 Years in Patients with Type 2 Diabetes: An Uncontrolled Open-Label Extension of the DURATION-1 Study. PMID 27525540</w:t>
      </w:r>
    </w:p>
    <w:p>
      <w:pPr>
        <w:numPr>
          <w:ilvl w:val="0"/>
          <w:numId w:val="1375"/>
        </w:numPr>
        <w:pStyle w:val="Compact"/>
      </w:pPr>
      <w:r>
        <w:t xml:space="preserve">2016 · van Raalte DH ·</w:t>
      </w:r>
      <w:r>
        <w:t xml:space="preserve"> </w:t>
      </w:r>
      <w:r>
        <w:rPr>
          <w:iCs/>
          <w:i/>
        </w:rPr>
        <w:t xml:space="preserve">Eur J Endocrinol</w:t>
      </w:r>
      <w:r>
        <w:t xml:space="preserve"> </w:t>
      </w:r>
      <w:r>
        <w:t xml:space="preserve">· Exenatide improves β-cell function up to 3 years of treatment in patients with type 2 diabetes: a randomised controlled trial. PMID 27466218</w:t>
      </w:r>
    </w:p>
    <w:p>
      <w:pPr>
        <w:numPr>
          <w:ilvl w:val="0"/>
          <w:numId w:val="1375"/>
        </w:numPr>
        <w:pStyle w:val="Compact"/>
      </w:pPr>
      <w:r>
        <w:t xml:space="preserve">2016 · Wysham CH ·</w:t>
      </w:r>
      <w:r>
        <w:t xml:space="preserve"> </w:t>
      </w:r>
      <w:r>
        <w:rPr>
          <w:iCs/>
          <w:i/>
        </w:rPr>
        <w:t xml:space="preserve">Diabetes Care</w:t>
      </w:r>
      <w:r>
        <w:t xml:space="preserve"> </w:t>
      </w:r>
      <w:r>
        <w:t xml:space="preserve">· Efficacy and Safety of Multiple Doses of Exenatide Once-Monthly Suspension in Patients With Type 2 Diabetes: A Phase II Randomized Clinical Trial. PMID 27436275</w:t>
      </w:r>
    </w:p>
    <w:p>
      <w:pPr>
        <w:numPr>
          <w:ilvl w:val="0"/>
          <w:numId w:val="1375"/>
        </w:numPr>
        <w:pStyle w:val="Compact"/>
      </w:pPr>
      <w:r>
        <w:t xml:space="preserve">2016 · Roos ST ·</w:t>
      </w:r>
      <w:r>
        <w:t xml:space="preserve"> </w:t>
      </w:r>
      <w:r>
        <w:rPr>
          <w:iCs/>
          <w:i/>
        </w:rPr>
        <w:t xml:space="preserve">Int J Cardiol</w:t>
      </w:r>
      <w:r>
        <w:t xml:space="preserve"> </w:t>
      </w:r>
      <w:r>
        <w:t xml:space="preserve">· No benefit of additional treatment with exenatide in patients with an acute myocardial infarction. PMID 27394978</w:t>
      </w:r>
    </w:p>
    <w:p>
      <w:pPr>
        <w:numPr>
          <w:ilvl w:val="0"/>
          <w:numId w:val="1375"/>
        </w:numPr>
        <w:pStyle w:val="Compact"/>
      </w:pPr>
      <w:r>
        <w:t xml:space="preserve">2016 · Wiberg S ·</w:t>
      </w:r>
      <w:r>
        <w:t xml:space="preserve"> </w:t>
      </w:r>
      <w:r>
        <w:rPr>
          <w:iCs/>
          <w:i/>
        </w:rPr>
        <w:t xml:space="preserve">Trials</w:t>
      </w:r>
      <w:r>
        <w:t xml:space="preserve"> </w:t>
      </w:r>
      <w:r>
        <w:t xml:space="preserve">· GLP-1 analogues for neuroprotection after out-of-hospital cardiac arrest: study protocol for a randomized controlled trial. PMID 27363489</w:t>
      </w:r>
    </w:p>
    <w:p>
      <w:pPr>
        <w:numPr>
          <w:ilvl w:val="0"/>
          <w:numId w:val="1375"/>
        </w:numPr>
        <w:pStyle w:val="Compact"/>
      </w:pPr>
      <w:r>
        <w:t xml:space="preserve">2016 · Zoso A ·</w:t>
      </w:r>
      <w:r>
        <w:t xml:space="preserve"> </w:t>
      </w:r>
      <w:r>
        <w:rPr>
          <w:iCs/>
          <w:i/>
        </w:rPr>
        <w:t xml:space="preserve">PLoS One</w:t>
      </w:r>
      <w:r>
        <w:t xml:space="preserve"> </w:t>
      </w:r>
      <w:r>
        <w:t xml:space="preserve">· G-CSF and Exenatide Might Be Associated with Increased Long-Term Survival of Allogeneic Pancreatic Islet Grafts. PMID 27285580</w:t>
      </w:r>
    </w:p>
    <w:p>
      <w:pPr>
        <w:numPr>
          <w:ilvl w:val="0"/>
          <w:numId w:val="1375"/>
        </w:numPr>
        <w:pStyle w:val="Compact"/>
      </w:pPr>
      <w:r>
        <w:t xml:space="preserve">2016 · FLAT-SUGAR Trial Investigators ·</w:t>
      </w:r>
      <w:r>
        <w:t xml:space="preserve"> </w:t>
      </w:r>
      <w:r>
        <w:rPr>
          <w:iCs/>
          <w:i/>
        </w:rPr>
        <w:t xml:space="preserve">Diabetes Care</w:t>
      </w:r>
      <w:r>
        <w:t xml:space="preserve"> </w:t>
      </w:r>
      <w:r>
        <w:t xml:space="preserve">· Glucose Variability in a 26-Week Randomized Comparison of Mealtime Treatment With Rapid-Acting Insulin Versus GLP-1 Agonist in Participants With Type 2 Diabetes at High Cardiovascular Risk. PMID 27208320</w:t>
      </w:r>
    </w:p>
    <w:p>
      <w:pPr>
        <w:numPr>
          <w:ilvl w:val="0"/>
          <w:numId w:val="1375"/>
        </w:numPr>
        <w:pStyle w:val="Compact"/>
      </w:pPr>
      <w:r>
        <w:t xml:space="preserve">2016 · Dutour A ·</w:t>
      </w:r>
      <w:r>
        <w:t xml:space="preserve"> </w:t>
      </w:r>
      <w:r>
        <w:rPr>
          <w:iCs/>
          <w:i/>
        </w:rPr>
        <w:t xml:space="preserve">Diabetes Obes Metab</w:t>
      </w:r>
      <w:r>
        <w:t xml:space="preserve"> </w:t>
      </w:r>
      <w:r>
        <w:t xml:space="preserve">· Exenatide decreases liver fat content and epicardial adipose tissue in patients with obesity and type 2 diabetes: a prospective randomized clinical trial using magnetic resonance imaging and spectroscopy. PMID 27106272</w:t>
      </w:r>
    </w:p>
    <w:p>
      <w:pPr>
        <w:numPr>
          <w:ilvl w:val="0"/>
          <w:numId w:val="1375"/>
        </w:numPr>
        <w:pStyle w:val="Compact"/>
      </w:pPr>
      <w:r>
        <w:t xml:space="preserve">2016 · Shankar SS ·</w:t>
      </w:r>
      <w:r>
        <w:t xml:space="preserve"> </w:t>
      </w:r>
      <w:r>
        <w:rPr>
          <w:iCs/>
          <w:i/>
        </w:rPr>
        <w:t xml:space="preserve">Am J Physiol Endocrinol Metab</w:t>
      </w:r>
      <w:r>
        <w:t xml:space="preserve"> </w:t>
      </w:r>
      <w:r>
        <w:t xml:space="preserve">· Linearity of β-cell response across the metabolic spectrum and to pharmacology: insights from a graded glucose infusion-based investigation series. PMID 27072496</w:t>
      </w:r>
    </w:p>
    <w:p>
      <w:pPr>
        <w:numPr>
          <w:ilvl w:val="0"/>
          <w:numId w:val="1375"/>
        </w:numPr>
        <w:pStyle w:val="Compact"/>
      </w:pPr>
      <w:r>
        <w:t xml:space="preserve">2016 · Wei R ·</w:t>
      </w:r>
      <w:r>
        <w:t xml:space="preserve"> </w:t>
      </w:r>
      <w:r>
        <w:rPr>
          <w:iCs/>
          <w:i/>
        </w:rPr>
        <w:t xml:space="preserve">Am J Physiol Endocrinol Metab</w:t>
      </w:r>
      <w:r>
        <w:t xml:space="preserve"> </w:t>
      </w:r>
      <w:r>
        <w:t xml:space="preserve">· Exenatide exerts direct protective effects on endothelial cells through the AMPK/Akt/eNOS pathway in a GLP-1 receptor-dependent manner. PMID 27072494</w:t>
      </w:r>
    </w:p>
    <w:p>
      <w:pPr>
        <w:numPr>
          <w:ilvl w:val="0"/>
          <w:numId w:val="1375"/>
        </w:numPr>
        <w:pStyle w:val="Compact"/>
      </w:pPr>
      <w:r>
        <w:t xml:space="preserve">2016 · Tonneijck L ·</w:t>
      </w:r>
      <w:r>
        <w:t xml:space="preserve"> </w:t>
      </w:r>
      <w:r>
        <w:rPr>
          <w:iCs/>
          <w:i/>
        </w:rPr>
        <w:t xml:space="preserve">Diabetologia</w:t>
      </w:r>
      <w:r>
        <w:t xml:space="preserve"> </w:t>
      </w:r>
      <w:r>
        <w:t xml:space="preserve">· Acute renal effects of the GLP-1 receptor agonist exenatide in overweight type 2 diabetes patients: a randomised, double-blind, placebo-controlled trial. PMID 27038451</w:t>
      </w:r>
    </w:p>
    <w:p>
      <w:pPr>
        <w:numPr>
          <w:ilvl w:val="0"/>
          <w:numId w:val="1375"/>
        </w:numPr>
        <w:pStyle w:val="Compact"/>
      </w:pPr>
      <w:r>
        <w:t xml:space="preserve">2016 · Xu S ·</w:t>
      </w:r>
      <w:r>
        <w:t xml:space="preserve"> </w:t>
      </w:r>
      <w:r>
        <w:rPr>
          <w:iCs/>
          <w:i/>
        </w:rPr>
        <w:t xml:space="preserve">Trials</w:t>
      </w:r>
      <w:r>
        <w:t xml:space="preserve"> </w:t>
      </w:r>
      <w:r>
        <w:t xml:space="preserve">· Comparison of exenatide with biphasic insulin aspart 30 on glucose variability in type 2 diabetes: study protocol for a randomized controlled trial. PMID 27009108</w:t>
      </w:r>
    </w:p>
    <w:p>
      <w:pPr>
        <w:numPr>
          <w:ilvl w:val="0"/>
          <w:numId w:val="1375"/>
        </w:numPr>
        <w:pStyle w:val="Compact"/>
      </w:pPr>
      <w:r>
        <w:t xml:space="preserve">2016 · Topyildiz F ·</w:t>
      </w:r>
      <w:r>
        <w:t xml:space="preserve"> </w:t>
      </w:r>
      <w:r>
        <w:rPr>
          <w:iCs/>
          <w:i/>
        </w:rPr>
        <w:t xml:space="preserve">J Diabetes Res</w:t>
      </w:r>
      <w:r>
        <w:t xml:space="preserve"> </w:t>
      </w:r>
      <w:r>
        <w:t xml:space="preserve">· Exenatide Treatment Causes Suppression of Serum Ghrelin Levels following Mixed Meal Test in Obese Diabetic Women. PMID 26998491</w:t>
      </w:r>
    </w:p>
    <w:p>
      <w:pPr>
        <w:numPr>
          <w:ilvl w:val="0"/>
          <w:numId w:val="1375"/>
        </w:numPr>
        <w:pStyle w:val="Compact"/>
      </w:pPr>
      <w:r>
        <w:t xml:space="preserve">2016 · Holman RR ·</w:t>
      </w:r>
      <w:r>
        <w:t xml:space="preserve"> </w:t>
      </w:r>
      <w:r>
        <w:rPr>
          <w:iCs/>
          <w:i/>
        </w:rPr>
        <w:t xml:space="preserve">Am Heart J</w:t>
      </w:r>
      <w:r>
        <w:t xml:space="preserve"> </w:t>
      </w:r>
      <w:r>
        <w:t xml:space="preserve">· Rationale and design of the EXenatide Study of Cardiovascular Event Lowering (EXSCEL) trial. PMID 26995376</w:t>
      </w:r>
    </w:p>
    <w:p>
      <w:pPr>
        <w:numPr>
          <w:ilvl w:val="0"/>
          <w:numId w:val="1375"/>
        </w:numPr>
        <w:pStyle w:val="Compact"/>
      </w:pPr>
      <w:r>
        <w:t xml:space="preserve">2016 · McGrath RT ·</w:t>
      </w:r>
      <w:r>
        <w:t xml:space="preserve"> </w:t>
      </w:r>
      <w:r>
        <w:rPr>
          <w:iCs/>
          <w:i/>
        </w:rPr>
        <w:t xml:space="preserve">BMJ Open</w:t>
      </w:r>
      <w:r>
        <w:t xml:space="preserve"> </w:t>
      </w:r>
      <w:r>
        <w:t xml:space="preserve">· Rationale and design of Short-Term EXenatide therapy in Acute ischaemic Stroke (STEXAS): a randomised, open-label, parallel-group study. PMID 26911582</w:t>
      </w:r>
    </w:p>
    <w:p>
      <w:pPr>
        <w:numPr>
          <w:ilvl w:val="0"/>
          <w:numId w:val="1375"/>
        </w:numPr>
        <w:pStyle w:val="Compact"/>
      </w:pPr>
      <w:r>
        <w:t xml:space="preserve">2016 · Quan H ·</w:t>
      </w:r>
      <w:r>
        <w:t xml:space="preserve"> </w:t>
      </w:r>
      <w:r>
        <w:rPr>
          <w:iCs/>
          <w:i/>
        </w:rPr>
        <w:t xml:space="preserve">J Diabetes Complications</w:t>
      </w:r>
      <w:r>
        <w:t xml:space="preserve"> </w:t>
      </w:r>
      <w:r>
        <w:t xml:space="preserve">· Gender-related different effects of a combined therapy of Exenatide and Metformin on overweight or obesity patients with type 2 diabetes mellitus. PMID 26873871</w:t>
      </w:r>
    </w:p>
    <w:p>
      <w:pPr>
        <w:numPr>
          <w:ilvl w:val="0"/>
          <w:numId w:val="1375"/>
        </w:numPr>
        <w:pStyle w:val="Compact"/>
      </w:pPr>
      <w:r>
        <w:t xml:space="preserve">2016 · Milicevic Z ·</w:t>
      </w:r>
      <w:r>
        <w:t xml:space="preserve"> </w:t>
      </w:r>
      <w:r>
        <w:rPr>
          <w:iCs/>
          <w:i/>
        </w:rPr>
        <w:t xml:space="preserve">Diabetes Obes Metab</w:t>
      </w:r>
      <w:r>
        <w:t xml:space="preserve"> </w:t>
      </w:r>
      <w:r>
        <w:t xml:space="preserve">· Low incidence of anti-drug antibodies in patients with type 2 diabetes treated with once-weekly glucagon-like peptide-1 receptor agonist dulaglutide. PMID 26847401</w:t>
      </w:r>
    </w:p>
    <w:p>
      <w:pPr>
        <w:numPr>
          <w:ilvl w:val="0"/>
          <w:numId w:val="1375"/>
        </w:numPr>
        <w:pStyle w:val="Compact"/>
      </w:pPr>
      <w:r>
        <w:t xml:space="preserve">2016 · Sheu WH ·</w:t>
      </w:r>
      <w:r>
        <w:t xml:space="preserve"> </w:t>
      </w:r>
      <w:r>
        <w:rPr>
          <w:iCs/>
          <w:i/>
        </w:rPr>
        <w:t xml:space="preserve">Diabetes Res Clin Pract</w:t>
      </w:r>
      <w:r>
        <w:t xml:space="preserve"> </w:t>
      </w:r>
      <w:r>
        <w:t xml:space="preserve">· Efficacy and tolerability of exenatide twice daily and exenatide once weekly in Asian versus White patients with type 2 diabetes mellitus: A pooled analysis. PMID 26827116</w:t>
      </w:r>
    </w:p>
    <w:p>
      <w:pPr>
        <w:numPr>
          <w:ilvl w:val="0"/>
          <w:numId w:val="1375"/>
        </w:numPr>
        <w:pStyle w:val="Compact"/>
      </w:pPr>
      <w:r>
        <w:t xml:space="preserve">2016 · Savvidou S ·</w:t>
      </w:r>
      <w:r>
        <w:t xml:space="preserve"> </w:t>
      </w:r>
      <w:r>
        <w:rPr>
          <w:iCs/>
          <w:i/>
        </w:rPr>
        <w:t xml:space="preserve">Diabetes Res Clin Pract</w:t>
      </w:r>
      <w:r>
        <w:t xml:space="preserve"> </w:t>
      </w:r>
      <w:r>
        <w:t xml:space="preserve">· Circulating adiponectin levels in type 2 diabetes mellitus patients with or without non-alcoholic fatty liver disease: Results of a small, open-label, randomized controlled intervention trial in a subgroup receiving short-term exenatide. PMID 26803355</w:t>
      </w:r>
    </w:p>
    <w:p>
      <w:pPr>
        <w:numPr>
          <w:ilvl w:val="0"/>
          <w:numId w:val="1375"/>
        </w:numPr>
        <w:pStyle w:val="Compact"/>
      </w:pPr>
      <w:r>
        <w:t xml:space="preserve">2016 · Nagakura J ·</w:t>
      </w:r>
      <w:r>
        <w:t xml:space="preserve"> </w:t>
      </w:r>
      <w:r>
        <w:rPr>
          <w:iCs/>
          <w:i/>
        </w:rPr>
        <w:t xml:space="preserve">Endocr J</w:t>
      </w:r>
      <w:r>
        <w:t xml:space="preserve"> </w:t>
      </w:r>
      <w:r>
        <w:t xml:space="preserve">· Effects of exenatide and liraglutide on 24-hour glucose fluctuations in type 2 diabetes. PMID 26743240</w:t>
      </w:r>
    </w:p>
    <w:p>
      <w:pPr>
        <w:numPr>
          <w:ilvl w:val="0"/>
          <w:numId w:val="1375"/>
        </w:numPr>
        <w:pStyle w:val="Compact"/>
      </w:pPr>
      <w:r>
        <w:t xml:space="preserve">2016 · Yu M ·</w:t>
      </w:r>
      <w:r>
        <w:t xml:space="preserve"> </w:t>
      </w:r>
      <w:r>
        <w:rPr>
          <w:iCs/>
          <w:i/>
        </w:rPr>
        <w:t xml:space="preserve">Diabetes Obes Metab</w:t>
      </w:r>
      <w:r>
        <w:t xml:space="preserve"> </w:t>
      </w:r>
      <w:r>
        <w:t xml:space="preserve">· Patient-reported outcome results in patients with type 2 diabetes treated with once-weekly dulaglutide: data from the AWARD phase III clinical trial programme. PMID 26691396</w:t>
      </w:r>
    </w:p>
    <w:p>
      <w:pPr>
        <w:numPr>
          <w:ilvl w:val="0"/>
          <w:numId w:val="1375"/>
        </w:numPr>
        <w:pStyle w:val="Compact"/>
      </w:pPr>
      <w:r>
        <w:t xml:space="preserve">2016 · Nathan BM ·</w:t>
      </w:r>
      <w:r>
        <w:t xml:space="preserve"> </w:t>
      </w:r>
      <w:r>
        <w:rPr>
          <w:iCs/>
          <w:i/>
        </w:rPr>
        <w:t xml:space="preserve">Clin Obes</w:t>
      </w:r>
      <w:r>
        <w:t xml:space="preserve"> </w:t>
      </w:r>
      <w:r>
        <w:t xml:space="preserve">· Predictors of weight-loss response with glucagon-like peptide-1 receptor agonist treatment among adolescents with severe obesity. PMID 26683756</w:t>
      </w:r>
    </w:p>
    <w:p>
      <w:pPr>
        <w:numPr>
          <w:ilvl w:val="0"/>
          <w:numId w:val="1375"/>
        </w:numPr>
        <w:pStyle w:val="Compact"/>
      </w:pPr>
      <w:r>
        <w:t xml:space="preserve">2016 · Smits MM ·</w:t>
      </w:r>
      <w:r>
        <w:t xml:space="preserve"> </w:t>
      </w:r>
      <w:r>
        <w:rPr>
          <w:iCs/>
          <w:i/>
        </w:rPr>
        <w:t xml:space="preserve">Diabetes Obes Metab</w:t>
      </w:r>
      <w:r>
        <w:t xml:space="preserve"> </w:t>
      </w:r>
      <w:r>
        <w:t xml:space="preserve">· Glucagon-like peptide-1 receptor agonist exenatide has no acute effect on MRI-measured exocrine pancreatic function in patients with type 2 diabetes: a randomized trial. PMID 26640129</w:t>
      </w:r>
    </w:p>
    <w:p>
      <w:pPr>
        <w:numPr>
          <w:ilvl w:val="0"/>
          <w:numId w:val="1375"/>
        </w:numPr>
        <w:pStyle w:val="Compact"/>
      </w:pPr>
      <w:r>
        <w:t xml:space="preserve">2016 · Muskiet MH ·</w:t>
      </w:r>
      <w:r>
        <w:t xml:space="preserve"> </w:t>
      </w:r>
      <w:r>
        <w:rPr>
          <w:iCs/>
          <w:i/>
        </w:rPr>
        <w:t xml:space="preserve">Diabetes Obes Metab</w:t>
      </w:r>
      <w:r>
        <w:t xml:space="preserve"> </w:t>
      </w:r>
      <w:r>
        <w:t xml:space="preserve">· Acute renal haemodynamic effects of glucagon-like peptide-1 receptor agonist exenatide in healthy overweight men. PMID 26636423</w:t>
      </w:r>
    </w:p>
    <w:p>
      <w:pPr>
        <w:numPr>
          <w:ilvl w:val="0"/>
          <w:numId w:val="1375"/>
        </w:numPr>
        <w:pStyle w:val="Compact"/>
      </w:pPr>
      <w:r>
        <w:t xml:space="preserve">2016 · Smits MM ·</w:t>
      </w:r>
      <w:r>
        <w:t xml:space="preserve"> </w:t>
      </w:r>
      <w:r>
        <w:rPr>
          <w:iCs/>
          <w:i/>
        </w:rPr>
        <w:t xml:space="preserve">Br J Clin Pharmacol</w:t>
      </w:r>
      <w:r>
        <w:t xml:space="preserve"> </w:t>
      </w:r>
      <w:r>
        <w:t xml:space="preserve">· Exenatide acutely increases heart rate in parallel with augmented sympathetic nervous system activation in healthy overweight males. PMID 26609792</w:t>
      </w:r>
    </w:p>
    <w:p>
      <w:pPr>
        <w:numPr>
          <w:ilvl w:val="0"/>
          <w:numId w:val="1375"/>
        </w:numPr>
        <w:pStyle w:val="Compact"/>
      </w:pPr>
      <w:r>
        <w:t xml:space="preserve">2016 · Thazhath SS ·</w:t>
      </w:r>
      <w:r>
        <w:t xml:space="preserve"> </w:t>
      </w:r>
      <w:r>
        <w:rPr>
          <w:iCs/>
          <w:i/>
        </w:rPr>
        <w:t xml:space="preserve">Diabetes</w:t>
      </w:r>
      <w:r>
        <w:t xml:space="preserve"> </w:t>
      </w:r>
      <w:r>
        <w:t xml:space="preserve">· The Glucagon-Like Peptide 1 Receptor Agonist Exenatide Inhibits Small Intestinal Motility, Flow, Transit, and Absorption of Glucose in Healthy Subjects and Patients With Type 2 Diabetes: A Randomized Controlled Trial. PMID 26470783</w:t>
      </w:r>
    </w:p>
    <w:p>
      <w:pPr>
        <w:numPr>
          <w:ilvl w:val="0"/>
          <w:numId w:val="1375"/>
        </w:numPr>
        <w:pStyle w:val="Compact"/>
      </w:pPr>
      <w:r>
        <w:t xml:space="preserve">2015 · Lin CH ·</w:t>
      </w:r>
      <w:r>
        <w:t xml:space="preserve"> </w:t>
      </w:r>
      <w:r>
        <w:rPr>
          <w:iCs/>
          <w:i/>
        </w:rPr>
        <w:t xml:space="preserve">Sci Rep</w:t>
      </w:r>
      <w:r>
        <w:t xml:space="preserve"> </w:t>
      </w:r>
      <w:r>
        <w:t xml:space="preserve">· Glucose Variability and β- Cell Response by GLP-1 Analogue added-on CSII for Patients with Poorly Controlled Type 2 Diabetes. PMID 26607841</w:t>
      </w:r>
    </w:p>
    <w:p>
      <w:pPr>
        <w:numPr>
          <w:ilvl w:val="0"/>
          <w:numId w:val="1375"/>
        </w:numPr>
        <w:pStyle w:val="Compact"/>
      </w:pPr>
      <w:r>
        <w:t xml:space="preserve">2015 · Smits MM ·</w:t>
      </w:r>
      <w:r>
        <w:t xml:space="preserve"> </w:t>
      </w:r>
      <w:r>
        <w:rPr>
          <w:iCs/>
          <w:i/>
        </w:rPr>
        <w:t xml:space="preserve">BMJ Open</w:t>
      </w:r>
      <w:r>
        <w:t xml:space="preserve"> </w:t>
      </w:r>
      <w:r>
        <w:t xml:space="preserve">· Cardiovascular, renal and gastrointestinal effects of incretin-based therapies: an acute and 12-week randomised, double-blind, placebo-controlled, mechanistic intervention trial in type 2 diabetes. PMID 26586327</w:t>
      </w:r>
    </w:p>
    <w:p>
      <w:pPr>
        <w:numPr>
          <w:ilvl w:val="0"/>
          <w:numId w:val="1375"/>
        </w:numPr>
        <w:pStyle w:val="Compact"/>
      </w:pPr>
      <w:r>
        <w:t xml:space="preserve">2015 · Chen WR ·</w:t>
      </w:r>
      <w:r>
        <w:t xml:space="preserve"> </w:t>
      </w:r>
      <w:r>
        <w:rPr>
          <w:iCs/>
          <w:i/>
        </w:rPr>
        <w:t xml:space="preserve">Am Heart J</w:t>
      </w:r>
      <w:r>
        <w:t xml:space="preserve"> </w:t>
      </w:r>
      <w:r>
        <w:t xml:space="preserve">· Effects of liraglutide on left ventricular function in patients with ST-segment elevation myocardial infarction undergoing primary percutaneous coronary intervention. PMID 26542491</w:t>
      </w:r>
    </w:p>
    <w:p>
      <w:pPr>
        <w:numPr>
          <w:ilvl w:val="0"/>
          <w:numId w:val="1375"/>
        </w:numPr>
        <w:pStyle w:val="Compact"/>
      </w:pPr>
      <w:r>
        <w:t xml:space="preserve">2015 · Wang XH ·</w:t>
      </w:r>
      <w:r>
        <w:t xml:space="preserve"> </w:t>
      </w:r>
      <w:r>
        <w:rPr>
          <w:iCs/>
          <w:i/>
        </w:rPr>
        <w:t xml:space="preserve">Sichuan Da Xue Xue Bao Yi Xue Ban</w:t>
      </w:r>
      <w:r>
        <w:t xml:space="preserve"> </w:t>
      </w:r>
      <w:r>
        <w:t xml:space="preserve">· [Effects of GLP-1 Agonist Exenatide on Cardiac Diastolic Function and Vascular Endothelial Function in Diabetic Patients]. PMID 26480664</w:t>
      </w:r>
    </w:p>
    <w:p>
      <w:pPr>
        <w:numPr>
          <w:ilvl w:val="0"/>
          <w:numId w:val="1375"/>
        </w:numPr>
        <w:pStyle w:val="Compact"/>
      </w:pPr>
      <w:r>
        <w:t xml:space="preserve">2015 · Simó R ·</w:t>
      </w:r>
      <w:r>
        <w:t xml:space="preserve"> </w:t>
      </w:r>
      <w:r>
        <w:rPr>
          <w:iCs/>
          <w:i/>
        </w:rPr>
        <w:t xml:space="preserve">Cardiovasc Diabetol</w:t>
      </w:r>
      <w:r>
        <w:t xml:space="preserve"> </w:t>
      </w:r>
      <w:r>
        <w:t xml:space="preserve">· Long-term changes in cardiovascular risk markers during administration of exenatide twice daily or glimepiride: results from the European exenatide study. PMID 26338040</w:t>
      </w:r>
    </w:p>
    <w:p>
      <w:pPr>
        <w:numPr>
          <w:ilvl w:val="0"/>
          <w:numId w:val="1375"/>
        </w:numPr>
        <w:pStyle w:val="Compact"/>
      </w:pPr>
      <w:r>
        <w:t xml:space="preserve">2015 · van Bloemendaal L ·</w:t>
      </w:r>
      <w:r>
        <w:t xml:space="preserve"> </w:t>
      </w:r>
      <w:r>
        <w:rPr>
          <w:iCs/>
          <w:i/>
        </w:rPr>
        <w:t xml:space="preserve">Obesity (Silver Spring)</w:t>
      </w:r>
      <w:r>
        <w:t xml:space="preserve"> </w:t>
      </w:r>
      <w:r>
        <w:t xml:space="preserve">· Emotional eating is associated with increased brain responses to food-cues and reduced sensitivity to GLP-1 receptor activation. PMID 26331843</w:t>
      </w:r>
    </w:p>
    <w:p>
      <w:pPr>
        <w:numPr>
          <w:ilvl w:val="0"/>
          <w:numId w:val="1375"/>
        </w:numPr>
        <w:pStyle w:val="Compact"/>
      </w:pPr>
      <w:r>
        <w:t xml:space="preserve">2015 · Jaiswal M ·</w:t>
      </w:r>
      <w:r>
        <w:t xml:space="preserve"> </w:t>
      </w:r>
      <w:r>
        <w:rPr>
          <w:iCs/>
          <w:i/>
        </w:rPr>
        <w:t xml:space="preserve">J Diabetes Complications</w:t>
      </w:r>
      <w:r>
        <w:t xml:space="preserve"> </w:t>
      </w:r>
      <w:r>
        <w:t xml:space="preserve">· Effects of exenatide on measures of diabetic neuropathy in subjects with type 2 diabetes: results from an 18-month proof-of-concept open-label randomized study. PMID 26264399</w:t>
      </w:r>
    </w:p>
    <w:p>
      <w:pPr>
        <w:numPr>
          <w:ilvl w:val="0"/>
          <w:numId w:val="1375"/>
        </w:numPr>
        <w:pStyle w:val="Compact"/>
      </w:pPr>
      <w:r>
        <w:t xml:space="preserve">2015 · Li R ·</w:t>
      </w:r>
      <w:r>
        <w:t xml:space="preserve"> </w:t>
      </w:r>
      <w:r>
        <w:rPr>
          <w:iCs/>
          <w:i/>
        </w:rPr>
        <w:t xml:space="preserve">Acta Diabetol</w:t>
      </w:r>
      <w:r>
        <w:t xml:space="preserve"> </w:t>
      </w:r>
      <w:r>
        <w:t xml:space="preserve">· Effect of exenatide, insulin and pioglitazone on bone metabolism in patients with newly diagnosed type 2 diabetes. PMID 26249206</w:t>
      </w:r>
    </w:p>
    <w:p>
      <w:pPr>
        <w:numPr>
          <w:ilvl w:val="0"/>
          <w:numId w:val="1375"/>
        </w:numPr>
        <w:pStyle w:val="Compact"/>
      </w:pPr>
      <w:r>
        <w:t xml:space="preserve">2015 · Vlasakakis G ·</w:t>
      </w:r>
      <w:r>
        <w:t xml:space="preserve"> </w:t>
      </w:r>
      <w:r>
        <w:rPr>
          <w:iCs/>
          <w:i/>
        </w:rPr>
        <w:t xml:space="preserve">Adv Ther</w:t>
      </w:r>
      <w:r>
        <w:t xml:space="preserve"> </w:t>
      </w:r>
      <w:r>
        <w:t xml:space="preserve">· Pharmacokinetics and Tolerability of Exenatide Delivered by 7-Day Continuous Subcutaneous Infusion in Healthy Volunteers. PMID 26160357</w:t>
      </w:r>
    </w:p>
    <w:p>
      <w:pPr>
        <w:numPr>
          <w:ilvl w:val="0"/>
          <w:numId w:val="1375"/>
        </w:numPr>
        <w:pStyle w:val="Compact"/>
      </w:pPr>
      <w:r>
        <w:t xml:space="preserve">2015 · Daniele G ·</w:t>
      </w:r>
      <w:r>
        <w:t xml:space="preserve"> </w:t>
      </w:r>
      <w:r>
        <w:rPr>
          <w:iCs/>
          <w:i/>
        </w:rPr>
        <w:t xml:space="preserve">Diabetes</w:t>
      </w:r>
      <w:r>
        <w:t xml:space="preserve"> </w:t>
      </w:r>
      <w:r>
        <w:t xml:space="preserve">· Exenatide Regulates Cerebral Glucose Metabolism in Brain Areas Associated With Glucose Homeostasis and Reward System. PMID 26116695</w:t>
      </w:r>
    </w:p>
    <w:p>
      <w:pPr>
        <w:numPr>
          <w:ilvl w:val="0"/>
          <w:numId w:val="1375"/>
        </w:numPr>
        <w:pStyle w:val="Compact"/>
      </w:pPr>
      <w:r>
        <w:t xml:space="preserve">2015 · Reaney M ·</w:t>
      </w:r>
      <w:r>
        <w:t xml:space="preserve"> </w:t>
      </w:r>
      <w:r>
        <w:rPr>
          <w:iCs/>
          <w:i/>
        </w:rPr>
        <w:t xml:space="preserve">Diabetes Obes Metab</w:t>
      </w:r>
      <w:r>
        <w:t xml:space="preserve"> </w:t>
      </w:r>
      <w:r>
        <w:t xml:space="preserve">· Treatment satisfaction in people with type 2 diabetes mellitus treated with once-weekly dulaglutide: data from the AWARD-1 and AWARD-3 clinical trials. PMID 26095190</w:t>
      </w:r>
    </w:p>
    <w:p>
      <w:pPr>
        <w:numPr>
          <w:ilvl w:val="0"/>
          <w:numId w:val="1375"/>
        </w:numPr>
        <w:pStyle w:val="Compact"/>
      </w:pPr>
      <w:r>
        <w:t xml:space="preserve">2015 · van Bloemendaal L ·</w:t>
      </w:r>
      <w:r>
        <w:t xml:space="preserve"> </w:t>
      </w:r>
      <w:r>
        <w:rPr>
          <w:iCs/>
          <w:i/>
        </w:rPr>
        <w:t xml:space="preserve">Diabetes Obes Metab</w:t>
      </w:r>
      <w:r>
        <w:t xml:space="preserve"> </w:t>
      </w:r>
      <w:r>
        <w:t xml:space="preserve">· Brain reward-system activation in response to anticipation and consumption of palatable food is altered by glucagon-like peptide-1 receptor activation in humans. PMID 26094857</w:t>
      </w:r>
    </w:p>
    <w:p>
      <w:pPr>
        <w:numPr>
          <w:ilvl w:val="0"/>
          <w:numId w:val="1375"/>
        </w:numPr>
        <w:pStyle w:val="Compact"/>
      </w:pPr>
      <w:r>
        <w:t xml:space="preserve">2015 · Schernthaner G ·</w:t>
      </w:r>
      <w:r>
        <w:t xml:space="preserve"> </w:t>
      </w:r>
      <w:r>
        <w:rPr>
          <w:iCs/>
          <w:i/>
        </w:rPr>
        <w:t xml:space="preserve">Diabetes Obes Metab</w:t>
      </w:r>
      <w:r>
        <w:t xml:space="preserve"> </w:t>
      </w:r>
      <w:r>
        <w:t xml:space="preserve">· Treatment escalation options for patients with type 2 diabetes after failure of exenatide twice daily or glimepiride added to metformin: results from the prospective European Exenatide (EUREXA) study. PMID 25846577</w:t>
      </w:r>
    </w:p>
    <w:p>
      <w:pPr>
        <w:numPr>
          <w:ilvl w:val="0"/>
          <w:numId w:val="1375"/>
        </w:numPr>
        <w:pStyle w:val="Compact"/>
      </w:pPr>
      <w:r>
        <w:t xml:space="preserve">2015 · Wysham CH ·</w:t>
      </w:r>
      <w:r>
        <w:t xml:space="preserve"> </w:t>
      </w:r>
      <w:r>
        <w:rPr>
          <w:iCs/>
          <w:i/>
        </w:rPr>
        <w:t xml:space="preserve">Mayo Clin Proc</w:t>
      </w:r>
      <w:r>
        <w:t xml:space="preserve"> </w:t>
      </w:r>
      <w:r>
        <w:t xml:space="preserve">· Five-year efficacy and safety data of exenatide once weekly: long-term results from the DURATION-1 randomized clinical trial. PMID 25744115</w:t>
      </w:r>
    </w:p>
    <w:p>
      <w:pPr>
        <w:numPr>
          <w:ilvl w:val="0"/>
          <w:numId w:val="1375"/>
        </w:numPr>
        <w:pStyle w:val="Compact"/>
      </w:pPr>
      <w:r>
        <w:t xml:space="preserve">2015 · Koska J ·</w:t>
      </w:r>
      <w:r>
        <w:t xml:space="preserve"> </w:t>
      </w:r>
      <w:r>
        <w:rPr>
          <w:iCs/>
          <w:i/>
        </w:rPr>
        <w:t xml:space="preserve">Diabetes</w:t>
      </w:r>
      <w:r>
        <w:t xml:space="preserve"> </w:t>
      </w:r>
      <w:r>
        <w:t xml:space="preserve">· Exenatide Protects Against Glucose- and Lipid-Induced Endothelial Dysfunction: Evidence for Direct Vasodilation Effect of GLP-1 Receptor Agonists in Humans. PMID 25720388</w:t>
      </w:r>
    </w:p>
    <w:p>
      <w:pPr>
        <w:numPr>
          <w:ilvl w:val="0"/>
          <w:numId w:val="1375"/>
        </w:numPr>
        <w:pStyle w:val="Compact"/>
      </w:pPr>
      <w:r>
        <w:t xml:space="preserve">2015 · Blonde L ·</w:t>
      </w:r>
      <w:r>
        <w:t xml:space="preserve"> </w:t>
      </w:r>
      <w:r>
        <w:rPr>
          <w:iCs/>
          <w:i/>
        </w:rPr>
        <w:t xml:space="preserve">Cardiovasc Diabetol</w:t>
      </w:r>
      <w:r>
        <w:t xml:space="preserve"> </w:t>
      </w:r>
      <w:r>
        <w:t xml:space="preserve">· Association among weight change, glycemic control, and markers of cardiovascular risk with exenatide once weekly: a pooled analysis of patients with type 2 diabetes. PMID 25645567</w:t>
      </w:r>
    </w:p>
    <w:p>
      <w:pPr>
        <w:numPr>
          <w:ilvl w:val="0"/>
          <w:numId w:val="1375"/>
        </w:numPr>
        <w:pStyle w:val="Compact"/>
      </w:pPr>
      <w:r>
        <w:t xml:space="preserve">2015 · Iglesias P ·</w:t>
      </w:r>
      <w:r>
        <w:t xml:space="preserve"> </w:t>
      </w:r>
      <w:r>
        <w:rPr>
          <w:iCs/>
          <w:i/>
        </w:rPr>
        <w:t xml:space="preserve">Obes Surg</w:t>
      </w:r>
      <w:r>
        <w:t xml:space="preserve"> </w:t>
      </w:r>
      <w:r>
        <w:t xml:space="preserve">· Clinical effectiveness of exenatide in diabetic patients waiting for bariatric surgery. PMID 25589020</w:t>
      </w:r>
    </w:p>
    <w:p>
      <w:pPr>
        <w:numPr>
          <w:ilvl w:val="0"/>
          <w:numId w:val="1375"/>
        </w:numPr>
        <w:pStyle w:val="Compact"/>
      </w:pPr>
      <w:r>
        <w:t xml:space="preserve">2015 · Abdul-Ghani MA ·</w:t>
      </w:r>
      <w:r>
        <w:t xml:space="preserve"> </w:t>
      </w:r>
      <w:r>
        <w:rPr>
          <w:iCs/>
          <w:i/>
        </w:rPr>
        <w:t xml:space="preserve">Diabetes Obes Metab</w:t>
      </w:r>
      <w:r>
        <w:t xml:space="preserve"> </w:t>
      </w:r>
      <w:r>
        <w:t xml:space="preserve">· Initial combination therapy with metformin, pioglitazone and exenatide is more effective than sequential add-on therapy in subjects with new-onset diabetes. Results from the Efficacy and Durability of Initial Combination Therapy for Type 2 Diabetes (EDICT): a randomized trial. PMID 25425451</w:t>
      </w:r>
    </w:p>
    <w:p>
      <w:pPr>
        <w:numPr>
          <w:ilvl w:val="0"/>
          <w:numId w:val="1375"/>
        </w:numPr>
        <w:pStyle w:val="Compact"/>
      </w:pPr>
      <w:r>
        <w:t xml:space="preserve">2015 · Xu W ·</w:t>
      </w:r>
      <w:r>
        <w:t xml:space="preserve"> </w:t>
      </w:r>
      <w:r>
        <w:rPr>
          <w:iCs/>
          <w:i/>
        </w:rPr>
        <w:t xml:space="preserve">J Intern Med</w:t>
      </w:r>
      <w:r>
        <w:t xml:space="preserve"> </w:t>
      </w:r>
      <w:r>
        <w:t xml:space="preserve">· Comparison of the effects on glycaemic control and β-cell function in newly diagnosed type 2 diabetes patients of treatment with exenatide, insulin or pioglitazone: a multicentre randomized parallel-group trial (the CONFIDENCE study). PMID 25039675</w:t>
      </w:r>
    </w:p>
    <w:p>
      <w:pPr>
        <w:numPr>
          <w:ilvl w:val="0"/>
          <w:numId w:val="1375"/>
        </w:numPr>
        <w:pStyle w:val="Compact"/>
      </w:pPr>
      <w:r>
        <w:t xml:space="preserve">2014 · Gurkan E ·</w:t>
      </w:r>
      <w:r>
        <w:t xml:space="preserve"> </w:t>
      </w:r>
      <w:r>
        <w:rPr>
          <w:iCs/>
          <w:i/>
        </w:rPr>
        <w:t xml:space="preserve">Diabetes Res Clin Pract</w:t>
      </w:r>
      <w:r>
        <w:t xml:space="preserve"> </w:t>
      </w:r>
      <w:r>
        <w:t xml:space="preserve">· Evaluation of exenatide versus insulin glargine for the impact on endothelial functions and cardiovascular risk markers. PMID 25458329</w:t>
      </w:r>
    </w:p>
    <w:p>
      <w:pPr>
        <w:numPr>
          <w:ilvl w:val="0"/>
          <w:numId w:val="1375"/>
        </w:numPr>
        <w:pStyle w:val="Compact"/>
      </w:pPr>
      <w:r>
        <w:t xml:space="preserve">2014 · Voukali M ·</w:t>
      </w:r>
      <w:r>
        <w:t xml:space="preserve"> </w:t>
      </w:r>
      <w:r>
        <w:rPr>
          <w:iCs/>
          <w:i/>
        </w:rPr>
        <w:t xml:space="preserve">J Diabetes Res</w:t>
      </w:r>
      <w:r>
        <w:t xml:space="preserve"> </w:t>
      </w:r>
      <w:r>
        <w:t xml:space="preserve">· Study of postprandial lipaemia in type 2 diabetes mellitus: exenatide versus liraglutide. PMID 25165723</w:t>
      </w:r>
    </w:p>
    <w:p>
      <w:pPr>
        <w:numPr>
          <w:ilvl w:val="0"/>
          <w:numId w:val="1375"/>
        </w:numPr>
        <w:pStyle w:val="Compact"/>
      </w:pPr>
      <w:r>
        <w:t xml:space="preserve">2014 · Bi Y ·</w:t>
      </w:r>
      <w:r>
        <w:t xml:space="preserve"> </w:t>
      </w:r>
      <w:r>
        <w:rPr>
          <w:iCs/>
          <w:i/>
        </w:rPr>
        <w:t xml:space="preserve">Acta Diabetol</w:t>
      </w:r>
      <w:r>
        <w:t xml:space="preserve"> </w:t>
      </w:r>
      <w:r>
        <w:t xml:space="preserve">· Effects of exenatide, insulin, and pioglitazone on liver fat content and body fat distributions in drug-naive subjects with type 2 diabetes. PMID 25118999</w:t>
      </w:r>
    </w:p>
    <w:p>
      <w:pPr>
        <w:numPr>
          <w:ilvl w:val="0"/>
          <w:numId w:val="1375"/>
        </w:numPr>
        <w:pStyle w:val="Compact"/>
      </w:pPr>
      <w:r>
        <w:t xml:space="preserve">2014 · van Bloemendaal L ·</w:t>
      </w:r>
      <w:r>
        <w:t xml:space="preserve"> </w:t>
      </w:r>
      <w:r>
        <w:rPr>
          <w:iCs/>
          <w:i/>
        </w:rPr>
        <w:t xml:space="preserve">Diabetes</w:t>
      </w:r>
      <w:r>
        <w:t xml:space="preserve"> </w:t>
      </w:r>
      <w:r>
        <w:t xml:space="preserve">· GLP-1 receptor activation modulates appetite- and reward-related brain areas in humans. PMID 25071023</w:t>
      </w:r>
    </w:p>
    <w:p>
      <w:pPr>
        <w:numPr>
          <w:ilvl w:val="0"/>
          <w:numId w:val="1375"/>
        </w:numPr>
        <w:pStyle w:val="Compact"/>
      </w:pPr>
      <w:r>
        <w:t xml:space="preserve">2014 · Qi M ·</w:t>
      </w:r>
      <w:r>
        <w:t xml:space="preserve"> </w:t>
      </w:r>
      <w:r>
        <w:rPr>
          <w:iCs/>
          <w:i/>
        </w:rPr>
        <w:t xml:space="preserve">Acta Diabetol</w:t>
      </w:r>
      <w:r>
        <w:t xml:space="preserve"> </w:t>
      </w:r>
      <w:r>
        <w:t xml:space="preserve">· Five-year follow-up of patients with type 1 diabetes transplanted with allogeneic islets: the UIC experience. PMID 25034311</w:t>
      </w:r>
    </w:p>
    <w:p>
      <w:pPr>
        <w:numPr>
          <w:ilvl w:val="0"/>
          <w:numId w:val="1375"/>
        </w:numPr>
        <w:pStyle w:val="Compact"/>
      </w:pPr>
      <w:r>
        <w:t xml:space="preserve">2014 · Renukuntla VS ·</w:t>
      </w:r>
      <w:r>
        <w:t xml:space="preserve"> </w:t>
      </w:r>
      <w:r>
        <w:rPr>
          <w:iCs/>
          <w:i/>
        </w:rPr>
        <w:t xml:space="preserve">J Diabetes Sci Technol</w:t>
      </w:r>
      <w:r>
        <w:t xml:space="preserve"> </w:t>
      </w:r>
      <w:r>
        <w:t xml:space="preserve">· Role of glucagon-like peptide-1 analogue versus amylin as an adjuvant therapy in type 1 diabetes in a closed loop setting with ePID algorithm. PMID 25030181</w:t>
      </w:r>
    </w:p>
    <w:p>
      <w:pPr>
        <w:numPr>
          <w:ilvl w:val="0"/>
          <w:numId w:val="1375"/>
        </w:numPr>
        <w:pStyle w:val="Compact"/>
      </w:pPr>
      <w:r>
        <w:t xml:space="preserve">2014 · Diamant M ·</w:t>
      </w:r>
      <w:r>
        <w:t xml:space="preserve"> </w:t>
      </w:r>
      <w:r>
        <w:rPr>
          <w:iCs/>
          <w:i/>
        </w:rPr>
        <w:t xml:space="preserve">Diabetes Care</w:t>
      </w:r>
      <w:r>
        <w:t xml:space="preserve"> </w:t>
      </w:r>
      <w:r>
        <w:t xml:space="preserve">· Glucagon-like peptide 1 receptor agonist or bolus insulin with optimized basal insulin in type 2 diabetes. PMID 25011946</w:t>
      </w:r>
    </w:p>
    <w:p>
      <w:pPr>
        <w:numPr>
          <w:ilvl w:val="0"/>
          <w:numId w:val="1375"/>
        </w:numPr>
        <w:pStyle w:val="Compact"/>
      </w:pPr>
      <w:r>
        <w:t xml:space="preserve">2014 · Gudipaty L ·</w:t>
      </w:r>
      <w:r>
        <w:t xml:space="preserve"> </w:t>
      </w:r>
      <w:r>
        <w:rPr>
          <w:iCs/>
          <w:i/>
        </w:rPr>
        <w:t xml:space="preserve">Diabetes Care</w:t>
      </w:r>
      <w:r>
        <w:t xml:space="preserve"> </w:t>
      </w:r>
      <w:r>
        <w:t xml:space="preserve">· Effect of exenatide, sitagliptin, or glimepiride on β-cell secretory capacity in early type 2 diabetes. PMID 24969577</w:t>
      </w:r>
    </w:p>
    <w:p>
      <w:pPr>
        <w:numPr>
          <w:ilvl w:val="0"/>
          <w:numId w:val="1375"/>
        </w:numPr>
        <w:pStyle w:val="Compact"/>
      </w:pPr>
      <w:r>
        <w:t xml:space="preserve">2014 · Wysham C ·</w:t>
      </w:r>
      <w:r>
        <w:t xml:space="preserve"> </w:t>
      </w:r>
      <w:r>
        <w:rPr>
          <w:iCs/>
          <w:i/>
        </w:rPr>
        <w:t xml:space="preserve">Diabetes Care</w:t>
      </w:r>
      <w:r>
        <w:t xml:space="preserve"> </w:t>
      </w:r>
      <w:r>
        <w:t xml:space="preserve">· Efficacy and safety of dulaglutide added onto pioglitazone and metformin versus exenatide in type 2 diabetes in a randomized controlled trial (AWARD-1). PMID 24879836</w:t>
      </w:r>
    </w:p>
    <w:p>
      <w:pPr>
        <w:numPr>
          <w:ilvl w:val="0"/>
          <w:numId w:val="1375"/>
        </w:numPr>
        <w:pStyle w:val="Compact"/>
      </w:pPr>
      <w:r>
        <w:t xml:space="preserve">2014 · Holmberg FE ·</w:t>
      </w:r>
      <w:r>
        <w:t xml:space="preserve"> </w:t>
      </w:r>
      <w:r>
        <w:rPr>
          <w:iCs/>
          <w:i/>
        </w:rPr>
        <w:t xml:space="preserve">Scand Cardiovasc J</w:t>
      </w:r>
      <w:r>
        <w:t xml:space="preserve"> </w:t>
      </w:r>
      <w:r>
        <w:t xml:space="preserve">· Conditioning techniques and ischemic reperfusion injury in relation to on-pump cardiac surgery. PMID 24852515</w:t>
      </w:r>
    </w:p>
    <w:p>
      <w:pPr>
        <w:numPr>
          <w:ilvl w:val="0"/>
          <w:numId w:val="1375"/>
        </w:numPr>
        <w:pStyle w:val="Compact"/>
      </w:pPr>
      <w:r>
        <w:t xml:space="preserve">2014 · Shao N ·</w:t>
      </w:r>
      <w:r>
        <w:t xml:space="preserve"> </w:t>
      </w:r>
      <w:r>
        <w:rPr>
          <w:iCs/>
          <w:i/>
        </w:rPr>
        <w:t xml:space="preserve">Diabetes Metab Res Rev</w:t>
      </w:r>
      <w:r>
        <w:t xml:space="preserve"> </w:t>
      </w:r>
      <w:r>
        <w:t xml:space="preserve">· Benefits of exenatide on obesity and non-alcoholic fatty liver disease with elevated liver enzymes in patients with type 2 diabetes. PMID 24823873</w:t>
      </w:r>
    </w:p>
    <w:p>
      <w:pPr>
        <w:numPr>
          <w:ilvl w:val="0"/>
          <w:numId w:val="1375"/>
        </w:numPr>
        <w:pStyle w:val="Compact"/>
      </w:pPr>
      <w:r>
        <w:t xml:space="preserve">2014 · Diamant M ·</w:t>
      </w:r>
      <w:r>
        <w:t xml:space="preserve"> </w:t>
      </w:r>
      <w:r>
        <w:rPr>
          <w:iCs/>
          <w:i/>
        </w:rPr>
        <w:t xml:space="preserve">Lancet Diabetes Endocrinol</w:t>
      </w:r>
      <w:r>
        <w:t xml:space="preserve"> </w:t>
      </w:r>
      <w:r>
        <w:t xml:space="preserve">· Exenatide once weekly versus insulin glargine for type 2 diabetes (DURATION-3): 3-year results of an open-label randomised trial. PMID 24731672</w:t>
      </w:r>
    </w:p>
    <w:p>
      <w:pPr>
        <w:numPr>
          <w:ilvl w:val="0"/>
          <w:numId w:val="1375"/>
        </w:numPr>
        <w:pStyle w:val="Compact"/>
      </w:pPr>
      <w:r>
        <w:t xml:space="preserve">2014 · Aviles-Olmos I ·</w:t>
      </w:r>
      <w:r>
        <w:t xml:space="preserve"> </w:t>
      </w:r>
      <w:r>
        <w:rPr>
          <w:iCs/>
          <w:i/>
        </w:rPr>
        <w:t xml:space="preserve">J Parkinsons Dis</w:t>
      </w:r>
      <w:r>
        <w:t xml:space="preserve"> </w:t>
      </w:r>
      <w:r>
        <w:t xml:space="preserve">· Motor and cognitive advantages persist 12 months after exenatide exposure in Parkinson’s disease. PMID 24662192</w:t>
      </w:r>
    </w:p>
    <w:p>
      <w:pPr>
        <w:numPr>
          <w:ilvl w:val="0"/>
          <w:numId w:val="1375"/>
        </w:numPr>
        <w:pStyle w:val="Compact"/>
      </w:pPr>
      <w:r>
        <w:t xml:space="preserve">2014 · Henry RR ·</w:t>
      </w:r>
      <w:r>
        <w:t xml:space="preserve"> </w:t>
      </w:r>
      <w:r>
        <w:rPr>
          <w:iCs/>
          <w:i/>
        </w:rPr>
        <w:t xml:space="preserve">J Diabetes Complications</w:t>
      </w:r>
      <w:r>
        <w:t xml:space="preserve"> </w:t>
      </w:r>
      <w:r>
        <w:t xml:space="preserve">· Continuous subcutaneous delivery of exenatide via ITCA 650 leads to sustained glycemic control and weight loss for 48 weeks in metformin-treated subjects with type 2 diabetes. PMID 24631129</w:t>
      </w:r>
    </w:p>
    <w:p>
      <w:pPr>
        <w:numPr>
          <w:ilvl w:val="0"/>
          <w:numId w:val="1375"/>
        </w:numPr>
        <w:pStyle w:val="Compact"/>
      </w:pPr>
      <w:r>
        <w:t xml:space="preserve">2014 · Buse JB ·</w:t>
      </w:r>
      <w:r>
        <w:t xml:space="preserve"> </w:t>
      </w:r>
      <w:r>
        <w:rPr>
          <w:iCs/>
          <w:i/>
        </w:rPr>
        <w:t xml:space="preserve">Curr Med Res Opin</w:t>
      </w:r>
      <w:r>
        <w:t xml:space="preserve"> </w:t>
      </w:r>
      <w:r>
        <w:t xml:space="preserve">· Addition of exenatide BID to insulin glargine: a post-hoc analysis of the effect on glycemia and weight across a range of insulin titration. PMID 24621255</w:t>
      </w:r>
    </w:p>
    <w:p>
      <w:pPr>
        <w:numPr>
          <w:ilvl w:val="0"/>
          <w:numId w:val="1375"/>
        </w:numPr>
        <w:pStyle w:val="Compact"/>
      </w:pPr>
      <w:r>
        <w:t xml:space="preserve">2014 · Lønborg J ·</w:t>
      </w:r>
      <w:r>
        <w:t xml:space="preserve"> </w:t>
      </w:r>
      <w:r>
        <w:rPr>
          <w:iCs/>
          <w:i/>
        </w:rPr>
        <w:t xml:space="preserve">Diabetes</w:t>
      </w:r>
      <w:r>
        <w:t xml:space="preserve"> </w:t>
      </w:r>
      <w:r>
        <w:t xml:space="preserve">· Impact of acute hyperglycemia on myocardial infarct size, area at risk, and salvage in patients with STEMI and the association with exenatide treatment: results from a randomized study. PMID 24584550</w:t>
      </w:r>
    </w:p>
    <w:p>
      <w:pPr>
        <w:numPr>
          <w:ilvl w:val="0"/>
          <w:numId w:val="1375"/>
        </w:numPr>
        <w:pStyle w:val="Compact"/>
      </w:pPr>
      <w:r>
        <w:t xml:space="preserve">2014 · Ishøy PL ·</w:t>
      </w:r>
      <w:r>
        <w:t xml:space="preserve"> </w:t>
      </w:r>
      <w:r>
        <w:rPr>
          <w:iCs/>
          <w:i/>
        </w:rPr>
        <w:t xml:space="preserve">BMJ Open</w:t>
      </w:r>
      <w:r>
        <w:t xml:space="preserve"> </w:t>
      </w:r>
      <w:r>
        <w:t xml:space="preserve">· Treatment of antipsychotic-associated obesity with a GLP-1 receptor agonist–protocol for an investigator-initiated prospective, randomised, placebo-controlled, double-blinded intervention study: the TAO study protocol. PMID 24401727</w:t>
      </w:r>
    </w:p>
    <w:p>
      <w:pPr>
        <w:numPr>
          <w:ilvl w:val="0"/>
          <w:numId w:val="1375"/>
        </w:numPr>
        <w:pStyle w:val="Compact"/>
      </w:pPr>
      <w:r>
        <w:t xml:space="preserve">2014 · Gu N ·</w:t>
      </w:r>
      <w:r>
        <w:t xml:space="preserve"> </w:t>
      </w:r>
      <w:r>
        <w:rPr>
          <w:iCs/>
          <w:i/>
        </w:rPr>
        <w:t xml:space="preserve">Clin Ther</w:t>
      </w:r>
      <w:r>
        <w:t xml:space="preserve"> </w:t>
      </w:r>
      <w:r>
        <w:t xml:space="preserve">· Pharmacokinetic properties and effects of PT302 after repeated oral glucose loading tests in a dose-escalating study. PMID 24373998</w:t>
      </w:r>
    </w:p>
    <w:p>
      <w:pPr>
        <w:numPr>
          <w:ilvl w:val="0"/>
          <w:numId w:val="1375"/>
        </w:numPr>
        <w:pStyle w:val="Compact"/>
      </w:pPr>
      <w:r>
        <w:t xml:space="preserve">2014 · Arakaki RF ·</w:t>
      </w:r>
      <w:r>
        <w:t xml:space="preserve"> </w:t>
      </w:r>
      <w:r>
        <w:rPr>
          <w:iCs/>
          <w:i/>
        </w:rPr>
        <w:t xml:space="preserve">Diabetes Obes Metab</w:t>
      </w:r>
      <w:r>
        <w:t xml:space="preserve"> </w:t>
      </w:r>
      <w:r>
        <w:t xml:space="preserve">· Comparison of insulin lispro protamine suspension versus insulin glargine once daily added to oral antihyperglycaemic medications and exenatide in type 2 diabetes: a prospective randomized open-label trial. PMID 24298995</w:t>
      </w:r>
    </w:p>
    <w:p>
      <w:pPr>
        <w:numPr>
          <w:ilvl w:val="0"/>
          <w:numId w:val="1375"/>
        </w:numPr>
        <w:pStyle w:val="Compact"/>
      </w:pPr>
      <w:r>
        <w:t xml:space="preserve">2014 · Sarkar G ·</w:t>
      </w:r>
      <w:r>
        <w:t xml:space="preserve"> </w:t>
      </w:r>
      <w:r>
        <w:rPr>
          <w:iCs/>
          <w:i/>
        </w:rPr>
        <w:t xml:space="preserve">Diabetes Care</w:t>
      </w:r>
      <w:r>
        <w:t xml:space="preserve"> </w:t>
      </w:r>
      <w:r>
        <w:t xml:space="preserve">· Exenatide treatment for 6 months improves insulin sensitivity in adults with type 1 diabetes. PMID 24194508</w:t>
      </w:r>
    </w:p>
    <w:p>
      <w:pPr>
        <w:numPr>
          <w:ilvl w:val="0"/>
          <w:numId w:val="1375"/>
        </w:numPr>
        <w:pStyle w:val="Compact"/>
      </w:pPr>
      <w:r>
        <w:t xml:space="preserve">2014 · Ghazi T ·</w:t>
      </w:r>
      <w:r>
        <w:t xml:space="preserve"> </w:t>
      </w:r>
      <w:r>
        <w:rPr>
          <w:iCs/>
          <w:i/>
        </w:rPr>
        <w:t xml:space="preserve">Diabetes Care</w:t>
      </w:r>
      <w:r>
        <w:t xml:space="preserve"> </w:t>
      </w:r>
      <w:r>
        <w:t xml:space="preserve">· Acute metabolic effects of exenatide in patients with type 1 diabetes with and without residual insulin to oral and intravenous glucose challenges. PMID 23939544</w:t>
      </w:r>
    </w:p>
    <w:p>
      <w:pPr>
        <w:numPr>
          <w:ilvl w:val="0"/>
          <w:numId w:val="1375"/>
        </w:numPr>
        <w:pStyle w:val="Compact"/>
      </w:pPr>
      <w:r>
        <w:t xml:space="preserve">2014 · Gastaldelli A ·</w:t>
      </w:r>
      <w:r>
        <w:t xml:space="preserve"> </w:t>
      </w:r>
      <w:r>
        <w:rPr>
          <w:iCs/>
          <w:i/>
        </w:rPr>
        <w:t xml:space="preserve">Diabetes Obes Metab</w:t>
      </w:r>
      <w:r>
        <w:t xml:space="preserve"> </w:t>
      </w:r>
      <w:r>
        <w:t xml:space="preserve">· A direct comparison of long- and short-acting GLP-1 receptor agonists (taspoglutide once weekly and exenatide twice daily) on postprandial metabolism after 24 weeks of treatment. PMID 23911196</w:t>
      </w:r>
    </w:p>
    <w:p>
      <w:pPr>
        <w:numPr>
          <w:ilvl w:val="0"/>
          <w:numId w:val="1375"/>
        </w:numPr>
        <w:pStyle w:val="Compact"/>
      </w:pPr>
      <w:r>
        <w:t xml:space="preserve">2014 · Gastaldelli A ·</w:t>
      </w:r>
      <w:r>
        <w:t xml:space="preserve"> </w:t>
      </w:r>
      <w:r>
        <w:rPr>
          <w:iCs/>
          <w:i/>
        </w:rPr>
        <w:t xml:space="preserve">Clin Endocrinol (Oxf)</w:t>
      </w:r>
      <w:r>
        <w:t xml:space="preserve"> </w:t>
      </w:r>
      <w:r>
        <w:t xml:space="preserve">· The effect of chronic twice daily exenatide treatment on β-cell function in new onset type 2 diabetes. PMID 23574529</w:t>
      </w:r>
    </w:p>
    <w:p>
      <w:pPr>
        <w:numPr>
          <w:ilvl w:val="0"/>
          <w:numId w:val="1375"/>
        </w:numPr>
        <w:pStyle w:val="Compact"/>
      </w:pPr>
      <w:r>
        <w:t xml:space="preserve">2013 · Fan H ·</w:t>
      </w:r>
      <w:r>
        <w:t xml:space="preserve"> </w:t>
      </w:r>
      <w:r>
        <w:rPr>
          <w:iCs/>
          <w:i/>
        </w:rPr>
        <w:t xml:space="preserve">Arq Bras Endocrinol Metabol</w:t>
      </w:r>
      <w:r>
        <w:t xml:space="preserve"> </w:t>
      </w:r>
      <w:r>
        <w:t xml:space="preserve">· Exenatide improves type 2 diabetes concomitant with non-alcoholic fatty liver disease. PMID 24402015</w:t>
      </w:r>
    </w:p>
    <w:p>
      <w:pPr>
        <w:numPr>
          <w:ilvl w:val="0"/>
          <w:numId w:val="1375"/>
        </w:numPr>
        <w:pStyle w:val="Compact"/>
      </w:pPr>
      <w:r>
        <w:t xml:space="preserve">2013 · Matyjaszek-Matuszek B ·</w:t>
      </w:r>
      <w:r>
        <w:t xml:space="preserve"> </w:t>
      </w:r>
      <w:r>
        <w:rPr>
          <w:iCs/>
          <w:i/>
        </w:rPr>
        <w:t xml:space="preserve">Endokrynol Pol</w:t>
      </w:r>
      <w:r>
        <w:t xml:space="preserve"> </w:t>
      </w:r>
      <w:r>
        <w:t xml:space="preserve">· Exenatide twice daily versus insulin glargine for the treatment of type 2 diabetes in Poland - subgroup data from a randomised multinational trial GWAA. PMID 24186595</w:t>
      </w:r>
    </w:p>
    <w:p>
      <w:pPr>
        <w:numPr>
          <w:ilvl w:val="0"/>
          <w:numId w:val="1375"/>
        </w:numPr>
        <w:pStyle w:val="Compact"/>
      </w:pPr>
      <w:r>
        <w:t xml:space="preserve">2013 · Grimm M ·</w:t>
      </w:r>
      <w:r>
        <w:t xml:space="preserve"> </w:t>
      </w:r>
      <w:r>
        <w:rPr>
          <w:iCs/>
          <w:i/>
        </w:rPr>
        <w:t xml:space="preserve">Postgrad Med</w:t>
      </w:r>
      <w:r>
        <w:t xml:space="preserve"> </w:t>
      </w:r>
      <w:r>
        <w:t xml:space="preserve">· Exenatide once weekly versus daily basal insulin as add-on treatment to metformin with or without a sulfonylurea: a retrospective pooled analysis in patients with poor glycemic control. PMID 24113668</w:t>
      </w:r>
    </w:p>
    <w:p>
      <w:pPr>
        <w:numPr>
          <w:ilvl w:val="0"/>
          <w:numId w:val="1375"/>
        </w:numPr>
        <w:pStyle w:val="Compact"/>
      </w:pPr>
      <w:r>
        <w:t xml:space="preserve">2013 · Daly SC ·</w:t>
      </w:r>
      <w:r>
        <w:t xml:space="preserve"> </w:t>
      </w:r>
      <w:r>
        <w:rPr>
          <w:iCs/>
          <w:i/>
        </w:rPr>
        <w:t xml:space="preserve">Int J Stroke</w:t>
      </w:r>
      <w:r>
        <w:t xml:space="preserve"> </w:t>
      </w:r>
      <w:r>
        <w:t xml:space="preserve">· Exenatide in acute ischemic stroke. PMID 24024920</w:t>
      </w:r>
    </w:p>
    <w:p>
      <w:pPr>
        <w:numPr>
          <w:ilvl w:val="0"/>
          <w:numId w:val="1375"/>
        </w:numPr>
        <w:pStyle w:val="Compact"/>
      </w:pPr>
      <w:r>
        <w:t xml:space="preserve">2013 · Derosa G ·</w:t>
      </w:r>
      <w:r>
        <w:t xml:space="preserve"> </w:t>
      </w:r>
      <w:r>
        <w:rPr>
          <w:iCs/>
          <w:i/>
        </w:rPr>
        <w:t xml:space="preserve">Can J Physiol Pharmacol</w:t>
      </w:r>
      <w:r>
        <w:t xml:space="preserve"> </w:t>
      </w:r>
      <w:r>
        <w:t xml:space="preserve">· Effects of exenatide and metformin in combination on some adipocytokine levels: a comparison with metformin monotherapy. PMID 23984793</w:t>
      </w:r>
    </w:p>
    <w:p>
      <w:pPr>
        <w:numPr>
          <w:ilvl w:val="0"/>
          <w:numId w:val="1375"/>
        </w:numPr>
        <w:pStyle w:val="Compact"/>
      </w:pPr>
      <w:r>
        <w:t xml:space="preserve">2013 · Woo JS ·</w:t>
      </w:r>
      <w:r>
        <w:t xml:space="preserve"> </w:t>
      </w:r>
      <w:r>
        <w:rPr>
          <w:iCs/>
          <w:i/>
        </w:rPr>
        <w:t xml:space="preserve">Arterioscler Thromb Vasc Biol</w:t>
      </w:r>
      <w:r>
        <w:t xml:space="preserve"> </w:t>
      </w:r>
      <w:r>
        <w:t xml:space="preserve">· Cardioprotective effects of exenatide in patients with ST-segment-elevation myocardial infarction undergoing primary percutaneous coronary intervention: results of exenatide myocardial protection in revascularization study. PMID 23868944</w:t>
      </w:r>
    </w:p>
    <w:p>
      <w:pPr>
        <w:numPr>
          <w:ilvl w:val="0"/>
          <w:numId w:val="1375"/>
        </w:numPr>
        <w:pStyle w:val="Compact"/>
      </w:pPr>
      <w:r>
        <w:t xml:space="preserve">2013 · Malloy J ·</w:t>
      </w:r>
      <w:r>
        <w:t xml:space="preserve"> </w:t>
      </w:r>
      <w:r>
        <w:rPr>
          <w:iCs/>
          <w:i/>
        </w:rPr>
        <w:t xml:space="preserve">Postgrad Med</w:t>
      </w:r>
      <w:r>
        <w:t xml:space="preserve"> </w:t>
      </w:r>
      <w:r>
        <w:t xml:space="preserve">· Efficacy and tolerability of exenatide once weekly versus sitagliptin in patients with type 2 diabetes mellitus: a retrospective analysis of pooled clinical trial data. PMID 23748507</w:t>
      </w:r>
    </w:p>
    <w:p>
      <w:pPr>
        <w:numPr>
          <w:ilvl w:val="0"/>
          <w:numId w:val="1375"/>
        </w:numPr>
        <w:pStyle w:val="Compact"/>
      </w:pPr>
      <w:r>
        <w:t xml:space="preserve">2013 · Grimm M ·</w:t>
      </w:r>
      <w:r>
        <w:t xml:space="preserve"> </w:t>
      </w:r>
      <w:r>
        <w:rPr>
          <w:iCs/>
          <w:i/>
        </w:rPr>
        <w:t xml:space="preserve">Postgrad Med</w:t>
      </w:r>
      <w:r>
        <w:t xml:space="preserve"> </w:t>
      </w:r>
      <w:r>
        <w:t xml:space="preserve">· Efficacy, safety, and tolerability of exenatide once weekly in patients with type 2 diabetes mellitus: an integrated analysis of the DURATION trials. PMID 23748506</w:t>
      </w:r>
    </w:p>
    <w:p>
      <w:pPr>
        <w:numPr>
          <w:ilvl w:val="0"/>
          <w:numId w:val="1375"/>
        </w:numPr>
        <w:pStyle w:val="Compact"/>
      </w:pPr>
      <w:r>
        <w:t xml:space="preserve">2013 · Derosa G ·</w:t>
      </w:r>
      <w:r>
        <w:t xml:space="preserve"> </w:t>
      </w:r>
      <w:r>
        <w:rPr>
          <w:iCs/>
          <w:i/>
        </w:rPr>
        <w:t xml:space="preserve">Pharmacotherapy</w:t>
      </w:r>
      <w:r>
        <w:t xml:space="preserve"> </w:t>
      </w:r>
      <w:r>
        <w:t xml:space="preserve">· Variation in inflammatory markers and glycemic parameters after 12 months of exenatide plus metformin treatment compared with metformin alone: a randomized placebo-controlled trial. PMID 23744726</w:t>
      </w:r>
    </w:p>
    <w:p>
      <w:pPr>
        <w:numPr>
          <w:ilvl w:val="0"/>
          <w:numId w:val="1375"/>
        </w:numPr>
        <w:pStyle w:val="Compact"/>
      </w:pPr>
      <w:r>
        <w:t xml:space="preserve">2013 · Aviles-Olmos I ·</w:t>
      </w:r>
      <w:r>
        <w:t xml:space="preserve"> </w:t>
      </w:r>
      <w:r>
        <w:rPr>
          <w:iCs/>
          <w:i/>
        </w:rPr>
        <w:t xml:space="preserve">J Clin Invest</w:t>
      </w:r>
      <w:r>
        <w:t xml:space="preserve"> </w:t>
      </w:r>
      <w:r>
        <w:t xml:space="preserve">· Exenatide and the treatment of patients with Parkinson’s disease. PMID 23728174</w:t>
      </w:r>
    </w:p>
    <w:p>
      <w:pPr>
        <w:numPr>
          <w:ilvl w:val="0"/>
          <w:numId w:val="1375"/>
        </w:numPr>
        <w:pStyle w:val="Compact"/>
      </w:pPr>
      <w:r>
        <w:t xml:space="preserve">2013 · Liang Z ·</w:t>
      </w:r>
      <w:r>
        <w:t xml:space="preserve"> </w:t>
      </w:r>
      <w:r>
        <w:rPr>
          <w:iCs/>
          <w:i/>
        </w:rPr>
        <w:t xml:space="preserve">Diabetes Res Clin Pract</w:t>
      </w:r>
      <w:r>
        <w:t xml:space="preserve"> </w:t>
      </w:r>
      <w:r>
        <w:t xml:space="preserve">· Effect of laparoscopic Roux-en-Y gastric bypass surgery on type 2 diabetes mellitus with hypertension: a randomized controlled trial. PMID 23706413</w:t>
      </w:r>
    </w:p>
    <w:p>
      <w:pPr>
        <w:numPr>
          <w:ilvl w:val="0"/>
          <w:numId w:val="1375"/>
        </w:numPr>
        <w:pStyle w:val="Compact"/>
      </w:pPr>
      <w:r>
        <w:t xml:space="preserve">2013 · Rosenstock J ·</w:t>
      </w:r>
      <w:r>
        <w:t xml:space="preserve"> </w:t>
      </w:r>
      <w:r>
        <w:rPr>
          <w:iCs/>
          <w:i/>
        </w:rPr>
        <w:t xml:space="preserve">Diabetes Care</w:t>
      </w:r>
      <w:r>
        <w:t xml:space="preserve"> </w:t>
      </w:r>
      <w:r>
        <w:t xml:space="preserve">· Efficacy and safety of lixisenatide once daily versus exenatide twice daily in type 2 diabetes inadequately controlled on metformin: a 24-week, randomized, open-label, active-controlled study (GetGoal-X). PMID 23698396</w:t>
      </w:r>
    </w:p>
    <w:p>
      <w:pPr>
        <w:numPr>
          <w:ilvl w:val="0"/>
          <w:numId w:val="1375"/>
        </w:numPr>
        <w:pStyle w:val="Compact"/>
      </w:pPr>
      <w:r>
        <w:t xml:space="preserve">2013 · Henry RR ·</w:t>
      </w:r>
      <w:r>
        <w:t xml:space="preserve"> </w:t>
      </w:r>
      <w:r>
        <w:rPr>
          <w:iCs/>
          <w:i/>
        </w:rPr>
        <w:t xml:space="preserve">Diabetes Care</w:t>
      </w:r>
      <w:r>
        <w:t xml:space="preserve"> </w:t>
      </w:r>
      <w:r>
        <w:t xml:space="preserve">· Randomized trial of continuous subcutaneous delivery of exenatide by ITCA 650 versus twice-daily exenatide injections in metformin-treated type 2 diabetes. PMID 23645886</w:t>
      </w:r>
    </w:p>
    <w:p>
      <w:pPr>
        <w:numPr>
          <w:ilvl w:val="0"/>
          <w:numId w:val="1375"/>
        </w:numPr>
        <w:pStyle w:val="Compact"/>
      </w:pPr>
      <w:r>
        <w:t xml:space="preserve">2013 · Karagianni P ·</w:t>
      </w:r>
      <w:r>
        <w:t xml:space="preserve"> </w:t>
      </w:r>
      <w:r>
        <w:rPr>
          <w:iCs/>
          <w:i/>
        </w:rPr>
        <w:t xml:space="preserve">Adv Med Sci</w:t>
      </w:r>
      <w:r>
        <w:t xml:space="preserve"> </w:t>
      </w:r>
      <w:r>
        <w:t xml:space="preserve">· Comparative efficacy of exenatide versus insulin glargine on glycemic control in type 2 diabetes mellitus patients inadequately treated with metformin monotherapy. PMID 23640946</w:t>
      </w:r>
    </w:p>
    <w:p>
      <w:pPr>
        <w:numPr>
          <w:ilvl w:val="0"/>
          <w:numId w:val="1375"/>
        </w:numPr>
        <w:pStyle w:val="Compact"/>
      </w:pPr>
      <w:r>
        <w:t xml:space="preserve">2013 · Henry RR ·</w:t>
      </w:r>
      <w:r>
        <w:t xml:space="preserve"> </w:t>
      </w:r>
      <w:r>
        <w:rPr>
          <w:iCs/>
          <w:i/>
        </w:rPr>
        <w:t xml:space="preserve">Clin Ther</w:t>
      </w:r>
      <w:r>
        <w:t xml:space="preserve"> </w:t>
      </w:r>
      <w:r>
        <w:t xml:space="preserve">· A randomized, open-label, multicenter, 4-week study to evaluate the tolerability and pharmacokinetics of ITCA 650 in patients with type 2 diabetes. PMID 23578605</w:t>
      </w:r>
    </w:p>
    <w:p>
      <w:pPr>
        <w:numPr>
          <w:ilvl w:val="0"/>
          <w:numId w:val="1375"/>
        </w:numPr>
        <w:pStyle w:val="Compact"/>
      </w:pPr>
      <w:r>
        <w:t xml:space="preserve">2013 · Meloni AR ·</w:t>
      </w:r>
      <w:r>
        <w:t xml:space="preserve"> </w:t>
      </w:r>
      <w:r>
        <w:rPr>
          <w:iCs/>
          <w:i/>
        </w:rPr>
        <w:t xml:space="preserve">Cardiovasc Diabetol</w:t>
      </w:r>
      <w:r>
        <w:t xml:space="preserve"> </w:t>
      </w:r>
      <w:r>
        <w:t xml:space="preserve">· Treatment of patients with type 2 diabetes with exenatide once weekly versus oral glucose-lowering medications or insulin glargine: achievement of glycemic and cardiovascular goals. PMID 23522121</w:t>
      </w:r>
    </w:p>
    <w:p>
      <w:pPr>
        <w:numPr>
          <w:ilvl w:val="0"/>
          <w:numId w:val="1375"/>
        </w:numPr>
        <w:pStyle w:val="Compact"/>
      </w:pPr>
      <w:r>
        <w:t xml:space="preserve">2013 · Hari Kumar KV ·</w:t>
      </w:r>
      <w:r>
        <w:t xml:space="preserve"> </w:t>
      </w:r>
      <w:r>
        <w:rPr>
          <w:iCs/>
          <w:i/>
        </w:rPr>
        <w:t xml:space="preserve">Diabetes Res Clin Pract</w:t>
      </w:r>
      <w:r>
        <w:t xml:space="preserve"> </w:t>
      </w:r>
      <w:r>
        <w:t xml:space="preserve">· Addition of exenatide or sitagliptin to insulin in new onset type 1 diabetes: a randomized, open label study. PMID 23490599</w:t>
      </w:r>
    </w:p>
    <w:p>
      <w:pPr>
        <w:numPr>
          <w:ilvl w:val="0"/>
          <w:numId w:val="1375"/>
        </w:numPr>
        <w:pStyle w:val="Compact"/>
      </w:pPr>
      <w:r>
        <w:t xml:space="preserve">2013 · Lu CH ·</w:t>
      </w:r>
      <w:r>
        <w:t xml:space="preserve"> </w:t>
      </w:r>
      <w:r>
        <w:rPr>
          <w:iCs/>
          <w:i/>
        </w:rPr>
        <w:t xml:space="preserve">J Formos Med Assoc</w:t>
      </w:r>
      <w:r>
        <w:t xml:space="preserve"> </w:t>
      </w:r>
      <w:r>
        <w:t xml:space="preserve">· Safety and efficacy of twice-daily exenatide in Taiwanese patients with inadequately controlled type 2 diabetes mellitus. PMID 23473527</w:t>
      </w:r>
    </w:p>
    <w:p>
      <w:pPr>
        <w:numPr>
          <w:ilvl w:val="0"/>
          <w:numId w:val="1375"/>
        </w:numPr>
        <w:pStyle w:val="Compact"/>
      </w:pPr>
      <w:r>
        <w:t xml:space="preserve">2013 · Schlögl H ·</w:t>
      </w:r>
      <w:r>
        <w:t xml:space="preserve"> </w:t>
      </w:r>
      <w:r>
        <w:rPr>
          <w:iCs/>
          <w:i/>
        </w:rPr>
        <w:t xml:space="preserve">Diabetes Care</w:t>
      </w:r>
      <w:r>
        <w:t xml:space="preserve"> </w:t>
      </w:r>
      <w:r>
        <w:t xml:space="preserve">· Exenatide-induced reduction in energy intake is associated with increase in hypothalamic connectivity. PMID 23462665</w:t>
      </w:r>
    </w:p>
    <w:p>
      <w:pPr>
        <w:numPr>
          <w:ilvl w:val="0"/>
          <w:numId w:val="1375"/>
        </w:numPr>
        <w:pStyle w:val="Compact"/>
      </w:pPr>
      <w:r>
        <w:t xml:space="preserve">2013 · Kelly AS ·</w:t>
      </w:r>
      <w:r>
        <w:t xml:space="preserve"> </w:t>
      </w:r>
      <w:r>
        <w:rPr>
          <w:iCs/>
          <w:i/>
        </w:rPr>
        <w:t xml:space="preserve">JAMA Pediatr</w:t>
      </w:r>
      <w:r>
        <w:t xml:space="preserve"> </w:t>
      </w:r>
      <w:r>
        <w:t xml:space="preserve">· The effect of glucagon-like peptide-1 receptor agonist therapy on body mass index in adolescents with severe obesity: a randomized, placebo-controlled, clinical trial. PMID 23380890</w:t>
      </w:r>
    </w:p>
    <w:p>
      <w:pPr>
        <w:numPr>
          <w:ilvl w:val="0"/>
          <w:numId w:val="1375"/>
        </w:numPr>
        <w:pStyle w:val="Compact"/>
      </w:pPr>
      <w:r>
        <w:t xml:space="preserve">2013 · Davies M ·</w:t>
      </w:r>
      <w:r>
        <w:t xml:space="preserve"> </w:t>
      </w:r>
      <w:r>
        <w:rPr>
          <w:iCs/>
          <w:i/>
        </w:rPr>
        <w:t xml:space="preserve">Diabetes Care</w:t>
      </w:r>
      <w:r>
        <w:t xml:space="preserve"> </w:t>
      </w:r>
      <w:r>
        <w:t xml:space="preserve">· Once-weekly exenatide versus once- or twice-daily insulin detemir: randomized, open-label, clinical trial of efficacy and safety in patients with type 2 diabetes treated with metformin alone or in combination with sulfonylureas. PMID 23275363</w:t>
      </w:r>
    </w:p>
    <w:p>
      <w:pPr>
        <w:numPr>
          <w:ilvl w:val="0"/>
          <w:numId w:val="1375"/>
        </w:numPr>
        <w:pStyle w:val="Compact"/>
      </w:pPr>
      <w:r>
        <w:t xml:space="preserve">2013 · Buse JB ·</w:t>
      </w:r>
      <w:r>
        <w:t xml:space="preserve"> </w:t>
      </w:r>
      <w:r>
        <w:rPr>
          <w:iCs/>
          <w:i/>
        </w:rPr>
        <w:t xml:space="preserve">Lancet</w:t>
      </w:r>
      <w:r>
        <w:t xml:space="preserve"> </w:t>
      </w:r>
      <w:r>
        <w:t xml:space="preserve">· Exenatide once weekly versus liraglutide once daily in patients with type 2 diabetes (DURATION-6): a randomised, open-label study. PMID 23141817</w:t>
      </w:r>
    </w:p>
    <w:p>
      <w:pPr>
        <w:numPr>
          <w:ilvl w:val="0"/>
          <w:numId w:val="1375"/>
        </w:numPr>
        <w:pStyle w:val="Compact"/>
      </w:pPr>
      <w:r>
        <w:t xml:space="preserve">2013 · Rosenstock J ·</w:t>
      </w:r>
      <w:r>
        <w:t xml:space="preserve"> </w:t>
      </w:r>
      <w:r>
        <w:rPr>
          <w:iCs/>
          <w:i/>
        </w:rPr>
        <w:t xml:space="preserve">Diabetes Care</w:t>
      </w:r>
      <w:r>
        <w:t xml:space="preserve"> </w:t>
      </w:r>
      <w:r>
        <w:t xml:space="preserve">· The fate of taspoglutide, a weekly GLP-1 receptor agonist, versus twice-daily exenatide for type 2 diabetes: the T-emerge 2 trial. PMID 23139373</w:t>
      </w:r>
    </w:p>
    <w:p>
      <w:pPr>
        <w:numPr>
          <w:ilvl w:val="0"/>
          <w:numId w:val="1375"/>
        </w:numPr>
        <w:pStyle w:val="Compact"/>
      </w:pPr>
      <w:r>
        <w:t xml:space="preserve">2013 · Bernink FJ ·</w:t>
      </w:r>
      <w:r>
        <w:t xml:space="preserve"> </w:t>
      </w:r>
      <w:r>
        <w:rPr>
          <w:iCs/>
          <w:i/>
        </w:rPr>
        <w:t xml:space="preserve">Int J Cardiol</w:t>
      </w:r>
      <w:r>
        <w:t xml:space="preserve"> </w:t>
      </w:r>
      <w:r>
        <w:t xml:space="preserve">· Effect of additional treatment with EXenatide in patients with an Acute Myocardial Infarction: the EXAMI study. PMID 23084550</w:t>
      </w:r>
    </w:p>
    <w:p>
      <w:pPr>
        <w:numPr>
          <w:ilvl w:val="0"/>
          <w:numId w:val="1375"/>
        </w:numPr>
        <w:pStyle w:val="Compact"/>
      </w:pPr>
      <w:r>
        <w:t xml:space="preserve">2013 · Darpö B ·</w:t>
      </w:r>
      <w:r>
        <w:t xml:space="preserve"> </w:t>
      </w:r>
      <w:r>
        <w:rPr>
          <w:iCs/>
          <w:i/>
        </w:rPr>
        <w:t xml:space="preserve">Br J Clin Pharmacol</w:t>
      </w:r>
      <w:r>
        <w:t xml:space="preserve"> </w:t>
      </w:r>
      <w:r>
        <w:t xml:space="preserve">· Exenatide at therapeutic and supratherapeutic concentrations does not prolong the QTc interval in healthy subjects. PMID 22882281</w:t>
      </w:r>
    </w:p>
    <w:p>
      <w:pPr>
        <w:numPr>
          <w:ilvl w:val="0"/>
          <w:numId w:val="1375"/>
        </w:numPr>
        <w:pStyle w:val="Compact"/>
      </w:pPr>
      <w:r>
        <w:t xml:space="preserve">2013 · Niswender K ·</w:t>
      </w:r>
      <w:r>
        <w:t xml:space="preserve"> </w:t>
      </w:r>
      <w:r>
        <w:rPr>
          <w:iCs/>
          <w:i/>
        </w:rPr>
        <w:t xml:space="preserve">Diabetes Obes Metab</w:t>
      </w:r>
      <w:r>
        <w:t xml:space="preserve"> </w:t>
      </w:r>
      <w:r>
        <w:t xml:space="preserve">· Weight change with liraglutide and comparator therapies: an analysis of seven phase 3 trials from the liraglutide diabetes development programme. PMID 22862847</w:t>
      </w:r>
    </w:p>
    <w:p>
      <w:pPr>
        <w:numPr>
          <w:ilvl w:val="0"/>
          <w:numId w:val="1375"/>
        </w:numPr>
        <w:pStyle w:val="Compact"/>
      </w:pPr>
      <w:r>
        <w:t xml:space="preserve">2013 · Irace C ·</w:t>
      </w:r>
      <w:r>
        <w:t xml:space="preserve"> </w:t>
      </w:r>
      <w:r>
        <w:rPr>
          <w:iCs/>
          <w:i/>
        </w:rPr>
        <w:t xml:space="preserve">Diab Vasc Dis Res</w:t>
      </w:r>
      <w:r>
        <w:t xml:space="preserve"> </w:t>
      </w:r>
      <w:r>
        <w:t xml:space="preserve">· Exenatide improves endothelial function assessed by flow mediated dilation technique in subjects with type 2 diabetes: results from an observational research. PMID 22732108</w:t>
      </w:r>
    </w:p>
    <w:p>
      <w:pPr>
        <w:numPr>
          <w:ilvl w:val="0"/>
          <w:numId w:val="1375"/>
        </w:numPr>
        <w:pStyle w:val="Compact"/>
      </w:pPr>
      <w:r>
        <w:t xml:space="preserve">2013 · Idris I ·</w:t>
      </w:r>
      <w:r>
        <w:t xml:space="preserve"> </w:t>
      </w:r>
      <w:r>
        <w:rPr>
          <w:iCs/>
          <w:i/>
        </w:rPr>
        <w:t xml:space="preserve">J Sleep Res</w:t>
      </w:r>
      <w:r>
        <w:t xml:space="preserve"> </w:t>
      </w:r>
      <w:r>
        <w:t xml:space="preserve">· Exenatide improves excessive daytime sleepiness and wakefulness in obese patients with type 2 diabetes without obstructive sleep apnoea. PMID 22716195</w:t>
      </w:r>
    </w:p>
    <w:p>
      <w:pPr>
        <w:numPr>
          <w:ilvl w:val="0"/>
          <w:numId w:val="1375"/>
        </w:numPr>
        <w:pStyle w:val="Compact"/>
      </w:pPr>
      <w:r>
        <w:t xml:space="preserve">2012 · Chiquette E ·</w:t>
      </w:r>
      <w:r>
        <w:t xml:space="preserve"> </w:t>
      </w:r>
      <w:r>
        <w:rPr>
          <w:iCs/>
          <w:i/>
        </w:rPr>
        <w:t xml:space="preserve">Vasc Health Risk Manag</w:t>
      </w:r>
      <w:r>
        <w:t xml:space="preserve"> </w:t>
      </w:r>
      <w:r>
        <w:t xml:space="preserve">· Treatment with exenatide once weekly or twice daily for 30 weeks is associated with changes in several cardiovascular risk markers. PMID 23166441</w:t>
      </w:r>
    </w:p>
    <w:p>
      <w:pPr>
        <w:numPr>
          <w:ilvl w:val="0"/>
          <w:numId w:val="1375"/>
        </w:numPr>
        <w:pStyle w:val="Compact"/>
      </w:pPr>
      <w:r>
        <w:t xml:space="preserve">2012 · Shakhmatova EI ·</w:t>
      </w:r>
      <w:r>
        <w:t xml:space="preserve"> </w:t>
      </w:r>
      <w:r>
        <w:rPr>
          <w:iCs/>
          <w:i/>
        </w:rPr>
        <w:t xml:space="preserve">Ross Fiziol Zh Im I M Sechenova</w:t>
      </w:r>
      <w:r>
        <w:t xml:space="preserve"> </w:t>
      </w:r>
      <w:r>
        <w:t xml:space="preserve">· [Exenatide stimulated solute-free water excretion by human kidney]. PMID 23155627</w:t>
      </w:r>
    </w:p>
    <w:p>
      <w:pPr>
        <w:numPr>
          <w:ilvl w:val="0"/>
          <w:numId w:val="1375"/>
        </w:numPr>
        <w:pStyle w:val="Compact"/>
      </w:pPr>
      <w:r>
        <w:t xml:space="preserve">2012 · Norwood P ·</w:t>
      </w:r>
      <w:r>
        <w:t xml:space="preserve"> </w:t>
      </w:r>
      <w:r>
        <w:rPr>
          <w:iCs/>
          <w:i/>
        </w:rPr>
        <w:t xml:space="preserve">Clin Ther</w:t>
      </w:r>
      <w:r>
        <w:t xml:space="preserve"> </w:t>
      </w:r>
      <w:r>
        <w:t xml:space="preserve">· Safety of exenatide once weekly in patients with type 2 diabetes mellitus treated with a thiazolidinedione alone or in combination with metformin for 2 years. PMID 23031623</w:t>
      </w:r>
    </w:p>
    <w:p>
      <w:pPr>
        <w:numPr>
          <w:ilvl w:val="0"/>
          <w:numId w:val="1375"/>
        </w:numPr>
        <w:pStyle w:val="Compact"/>
      </w:pPr>
      <w:r>
        <w:t xml:space="preserve">2012 · Keller J ·</w:t>
      </w:r>
      <w:r>
        <w:t xml:space="preserve"> </w:t>
      </w:r>
      <w:r>
        <w:rPr>
          <w:iCs/>
          <w:i/>
        </w:rPr>
        <w:t xml:space="preserve">Regul Pept</w:t>
      </w:r>
      <w:r>
        <w:t xml:space="preserve"> </w:t>
      </w:r>
      <w:r>
        <w:t xml:space="preserve">· Effect of exenatide on cholecystokinin-induced gallbladder emptying in fasting healthy subjects. PMID 22960288</w:t>
      </w:r>
    </w:p>
    <w:p>
      <w:pPr>
        <w:numPr>
          <w:ilvl w:val="0"/>
          <w:numId w:val="1375"/>
        </w:numPr>
        <w:pStyle w:val="Compact"/>
      </w:pPr>
      <w:r>
        <w:t xml:space="preserve">2012 · Yuan GH ·</w:t>
      </w:r>
      <w:r>
        <w:t xml:space="preserve"> </w:t>
      </w:r>
      <w:r>
        <w:rPr>
          <w:iCs/>
          <w:i/>
        </w:rPr>
        <w:t xml:space="preserve">Chin Med J (Engl)</w:t>
      </w:r>
      <w:r>
        <w:t xml:space="preserve"> </w:t>
      </w:r>
      <w:r>
        <w:t xml:space="preserve">· Efficacy and tolerability of exenatide monotherapy in obese patients with newly diagnosed type 2 diabetes: a randomized, 26 weeks metformin-controlled, parallel-group study. PMID 22931974</w:t>
      </w:r>
    </w:p>
    <w:p>
      <w:pPr>
        <w:numPr>
          <w:ilvl w:val="0"/>
          <w:numId w:val="1375"/>
        </w:numPr>
        <w:pStyle w:val="Compact"/>
      </w:pPr>
      <w:r>
        <w:t xml:space="preserve">2012 · Inagaki N ·</w:t>
      </w:r>
      <w:r>
        <w:t xml:space="preserve"> </w:t>
      </w:r>
      <w:r>
        <w:rPr>
          <w:iCs/>
          <w:i/>
        </w:rPr>
        <w:t xml:space="preserve">Clin Ther</w:t>
      </w:r>
      <w:r>
        <w:t xml:space="preserve"> </w:t>
      </w:r>
      <w:r>
        <w:t xml:space="preserve">· Efficacy and safety profile of exenatide once weekly compared with insulin once daily in Japanese patients with type 2 diabetes treated with oral antidiabetes drug(s): results from a 26-week, randomized, open-label, parallel-group, multicenter, noninferiority study. PMID 22884767</w:t>
      </w:r>
    </w:p>
    <w:p>
      <w:pPr>
        <w:numPr>
          <w:ilvl w:val="0"/>
          <w:numId w:val="1375"/>
        </w:numPr>
        <w:pStyle w:val="Compact"/>
      </w:pPr>
      <w:r>
        <w:t xml:space="preserve">2012 · Bradley DP ·</w:t>
      </w:r>
      <w:r>
        <w:t xml:space="preserve"> </w:t>
      </w:r>
      <w:r>
        <w:rPr>
          <w:iCs/>
          <w:i/>
        </w:rPr>
        <w:t xml:space="preserve">Appl Physiol Nutr Metab</w:t>
      </w:r>
      <w:r>
        <w:t xml:space="preserve"> </w:t>
      </w:r>
      <w:r>
        <w:t xml:space="preserve">· Alterations in energy balance following exenatide administration. PMID 22735035</w:t>
      </w:r>
    </w:p>
    <w:p>
      <w:pPr>
        <w:numPr>
          <w:ilvl w:val="0"/>
          <w:numId w:val="1375"/>
        </w:numPr>
        <w:pStyle w:val="Compact"/>
      </w:pPr>
      <w:r>
        <w:t xml:space="preserve">2012 · Zhang H ·</w:t>
      </w:r>
      <w:r>
        <w:t xml:space="preserve"> </w:t>
      </w:r>
      <w:r>
        <w:rPr>
          <w:iCs/>
          <w:i/>
        </w:rPr>
        <w:t xml:space="preserve">Kidney Blood Press Res</w:t>
      </w:r>
      <w:r>
        <w:t xml:space="preserve"> </w:t>
      </w:r>
      <w:r>
        <w:t xml:space="preserve">· Exenatide reduces urinary transforming growth factor-β1 and type IV collagen excretion in patients with type 2 diabetes and microalbuminuria. PMID 22687869</w:t>
      </w:r>
    </w:p>
    <w:p>
      <w:pPr>
        <w:numPr>
          <w:ilvl w:val="0"/>
          <w:numId w:val="1375"/>
        </w:numPr>
        <w:pStyle w:val="Compact"/>
      </w:pPr>
      <w:r>
        <w:t xml:space="preserve">2012 · Gallwitz B ·</w:t>
      </w:r>
      <w:r>
        <w:t xml:space="preserve"> </w:t>
      </w:r>
      <w:r>
        <w:rPr>
          <w:iCs/>
          <w:i/>
        </w:rPr>
        <w:t xml:space="preserve">Lancet</w:t>
      </w:r>
      <w:r>
        <w:t xml:space="preserve"> </w:t>
      </w:r>
      <w:r>
        <w:t xml:space="preserve">· Exenatide twice daily versus glimepiride for prevention of glycaemic deterioration in patients with type 2 diabetes with metformin failure (EUREXA): an open-label, randomised controlled trial. PMID 22683137</w:t>
      </w:r>
    </w:p>
    <w:p>
      <w:pPr>
        <w:numPr>
          <w:ilvl w:val="0"/>
          <w:numId w:val="1375"/>
        </w:numPr>
        <w:pStyle w:val="Compact"/>
      </w:pPr>
      <w:r>
        <w:t xml:space="preserve">2012 · Kelly AS ·</w:t>
      </w:r>
      <w:r>
        <w:t xml:space="preserve"> </w:t>
      </w:r>
      <w:r>
        <w:rPr>
          <w:iCs/>
          <w:i/>
        </w:rPr>
        <w:t xml:space="preserve">Cardiovasc Diabetol</w:t>
      </w:r>
      <w:r>
        <w:t xml:space="preserve"> </w:t>
      </w:r>
      <w:r>
        <w:t xml:space="preserve">· Effects of exenatide vs. metformin on endothelial function in obese patients with pre-diabetes: a randomized trial. PMID 22681705</w:t>
      </w:r>
    </w:p>
    <w:p>
      <w:pPr>
        <w:numPr>
          <w:ilvl w:val="0"/>
          <w:numId w:val="1375"/>
        </w:numPr>
        <w:pStyle w:val="Compact"/>
      </w:pPr>
      <w:r>
        <w:t xml:space="preserve">2012 · Iványi T ·</w:t>
      </w:r>
      <w:r>
        <w:t xml:space="preserve"> </w:t>
      </w:r>
      <w:r>
        <w:rPr>
          <w:iCs/>
          <w:i/>
        </w:rPr>
        <w:t xml:space="preserve">Clin Ther</w:t>
      </w:r>
      <w:r>
        <w:t xml:space="preserve"> </w:t>
      </w:r>
      <w:r>
        <w:t xml:space="preserve">· Long-term effects of adding exenatide to a regimen of metformin and/or sulfonylurea in type 2 diabetes: an uncontrolled, open-label trial in Hungary. PMID 22608106</w:t>
      </w:r>
    </w:p>
    <w:p>
      <w:pPr>
        <w:numPr>
          <w:ilvl w:val="0"/>
          <w:numId w:val="1375"/>
        </w:numPr>
        <w:pStyle w:val="Compact"/>
      </w:pPr>
      <w:r>
        <w:t xml:space="preserve">2012 · Gejl M ·</w:t>
      </w:r>
      <w:r>
        <w:t xml:space="preserve"> </w:t>
      </w:r>
      <w:r>
        <w:rPr>
          <w:iCs/>
          <w:i/>
        </w:rPr>
        <w:t xml:space="preserve">J Clin Endocrinol Metab</w:t>
      </w:r>
      <w:r>
        <w:t xml:space="preserve"> </w:t>
      </w:r>
      <w:r>
        <w:t xml:space="preserve">· Exenatide alters myocardial glucose transport and uptake depending on insulin resistance and increases myocardial blood flow in patients with type 2 diabetes. PMID 22544917</w:t>
      </w:r>
    </w:p>
    <w:p>
      <w:pPr>
        <w:numPr>
          <w:ilvl w:val="0"/>
          <w:numId w:val="1375"/>
        </w:numPr>
        <w:pStyle w:val="Compact"/>
      </w:pPr>
      <w:r>
        <w:t xml:space="preserve">2012 · Derosa G ·</w:t>
      </w:r>
      <w:r>
        <w:t xml:space="preserve"> </w:t>
      </w:r>
      <w:r>
        <w:rPr>
          <w:iCs/>
          <w:i/>
        </w:rPr>
        <w:t xml:space="preserve">Diabet Med</w:t>
      </w:r>
      <w:r>
        <w:t xml:space="preserve"> </w:t>
      </w:r>
      <w:r>
        <w:t xml:space="preserve">· Exenatide plus metformin compared with metformin alone on β-cell function in patients with Type 2 diabetes. PMID 22540883</w:t>
      </w:r>
    </w:p>
    <w:p>
      <w:pPr>
        <w:numPr>
          <w:ilvl w:val="0"/>
          <w:numId w:val="1375"/>
        </w:numPr>
        <w:pStyle w:val="Compact"/>
      </w:pPr>
      <w:r>
        <w:t xml:space="preserve">2012 · Paul S ·</w:t>
      </w:r>
      <w:r>
        <w:t xml:space="preserve"> </w:t>
      </w:r>
      <w:r>
        <w:rPr>
          <w:iCs/>
          <w:i/>
        </w:rPr>
        <w:t xml:space="preserve">Diabetes Obes Metab</w:t>
      </w:r>
      <w:r>
        <w:t xml:space="preserve"> </w:t>
      </w:r>
      <w:r>
        <w:t xml:space="preserve">· Effects of HbA1c and weight reduction on blood pressure in patients with type 2 diabetes mellitus treated with exenatide*. PMID 22510305</w:t>
      </w:r>
    </w:p>
    <w:p>
      <w:pPr>
        <w:numPr>
          <w:ilvl w:val="0"/>
          <w:numId w:val="1375"/>
        </w:numPr>
        <w:pStyle w:val="Compact"/>
      </w:pPr>
      <w:r>
        <w:t xml:space="preserve">2012 · Lønborg J ·</w:t>
      </w:r>
      <w:r>
        <w:t xml:space="preserve"> </w:t>
      </w:r>
      <w:r>
        <w:rPr>
          <w:iCs/>
          <w:i/>
        </w:rPr>
        <w:t xml:space="preserve">Circ Cardiovasc Interv</w:t>
      </w:r>
      <w:r>
        <w:t xml:space="preserve"> </w:t>
      </w:r>
      <w:r>
        <w:t xml:space="preserve">· Exenatide reduces final infarct size in patients with ST-segment-elevation myocardial infarction and short-duration of ischemia. PMID 22496084</w:t>
      </w:r>
    </w:p>
    <w:p>
      <w:pPr>
        <w:numPr>
          <w:ilvl w:val="0"/>
          <w:numId w:val="1375"/>
        </w:numPr>
        <w:pStyle w:val="Compact"/>
      </w:pPr>
      <w:r>
        <w:t xml:space="preserve">2012 · Xiao C ·</w:t>
      </w:r>
      <w:r>
        <w:t xml:space="preserve"> </w:t>
      </w:r>
      <w:r>
        <w:rPr>
          <w:iCs/>
          <w:i/>
        </w:rPr>
        <w:t xml:space="preserve">Arterioscler Thromb Vasc Biol</w:t>
      </w:r>
      <w:r>
        <w:t xml:space="preserve"> </w:t>
      </w:r>
      <w:r>
        <w:t xml:space="preserve">· Exenatide, a glucagon-like peptide-1 receptor agonist, acutely inhibits intestinal lipoprotein production in healthy humans. PMID 22492091</w:t>
      </w:r>
    </w:p>
    <w:p>
      <w:pPr>
        <w:numPr>
          <w:ilvl w:val="0"/>
          <w:numId w:val="1375"/>
        </w:numPr>
        <w:pStyle w:val="Compact"/>
      </w:pPr>
      <w:r>
        <w:t xml:space="preserve">2012 · Rosenstock J ·</w:t>
      </w:r>
      <w:r>
        <w:t xml:space="preserve"> </w:t>
      </w:r>
      <w:r>
        <w:rPr>
          <w:iCs/>
          <w:i/>
        </w:rPr>
        <w:t xml:space="preserve">Diabetes Care</w:t>
      </w:r>
      <w:r>
        <w:t xml:space="preserve"> </w:t>
      </w:r>
      <w:r>
        <w:t xml:space="preserve">· Baseline factors associated with glycemic control and weight loss when exenatide twice daily is added to optimized insulin glargine in patients with type 2 diabetes. PMID 22432107</w:t>
      </w:r>
    </w:p>
    <w:p>
      <w:pPr>
        <w:numPr>
          <w:ilvl w:val="0"/>
          <w:numId w:val="1375"/>
        </w:numPr>
        <w:pStyle w:val="Compact"/>
      </w:pPr>
      <w:r>
        <w:t xml:space="preserve">2012 · Kothare PA ·</w:t>
      </w:r>
      <w:r>
        <w:t xml:space="preserve"> </w:t>
      </w:r>
      <w:r>
        <w:rPr>
          <w:iCs/>
          <w:i/>
        </w:rPr>
        <w:t xml:space="preserve">BMC Clin Pharmacol</w:t>
      </w:r>
      <w:r>
        <w:t xml:space="preserve"> </w:t>
      </w:r>
      <w:r>
        <w:t xml:space="preserve">· Effect of exenatide on the pharmacokinetics of a combination oral contraceptive in healthy women: an open-label, randomised, crossover trial. PMID 22429273</w:t>
      </w:r>
    </w:p>
    <w:p>
      <w:pPr>
        <w:numPr>
          <w:ilvl w:val="0"/>
          <w:numId w:val="1375"/>
        </w:numPr>
        <w:pStyle w:val="Compact"/>
      </w:pPr>
      <w:r>
        <w:t xml:space="preserve">2012 · Violante R ·</w:t>
      </w:r>
      <w:r>
        <w:t xml:space="preserve"> </w:t>
      </w:r>
      <w:r>
        <w:rPr>
          <w:iCs/>
          <w:i/>
        </w:rPr>
        <w:t xml:space="preserve">Diabet Med</w:t>
      </w:r>
      <w:r>
        <w:t xml:space="preserve"> </w:t>
      </w:r>
      <w:r>
        <w:t xml:space="preserve">· A randomized non-inferiority study comparing the addition of exenatide twice daily to sitagliptin or switching from sitagliptin to exenatide twice daily in patients with type 2 diabetes experiencing inadequate glycaemic control on metformin and sitagliptin. PMID 22375612</w:t>
      </w:r>
    </w:p>
    <w:p>
      <w:pPr>
        <w:numPr>
          <w:ilvl w:val="0"/>
          <w:numId w:val="1375"/>
        </w:numPr>
        <w:pStyle w:val="Compact"/>
      </w:pPr>
      <w:r>
        <w:t xml:space="preserve">2012 · Diamant M ·</w:t>
      </w:r>
      <w:r>
        <w:t xml:space="preserve"> </w:t>
      </w:r>
      <w:r>
        <w:rPr>
          <w:iCs/>
          <w:i/>
        </w:rPr>
        <w:t xml:space="preserve">Diabetes Care</w:t>
      </w:r>
      <w:r>
        <w:t xml:space="preserve"> </w:t>
      </w:r>
      <w:r>
        <w:t xml:space="preserve">· Safety and efficacy of once-weekly exenatide compared with insulin glargine titrated to target in patients with type 2 diabetes over 84 weeks. PMID 22357185</w:t>
      </w:r>
    </w:p>
    <w:p>
      <w:pPr>
        <w:numPr>
          <w:ilvl w:val="0"/>
          <w:numId w:val="1375"/>
        </w:numPr>
        <w:pStyle w:val="Compact"/>
      </w:pPr>
      <w:r>
        <w:t xml:space="preserve">2012 · Yoon SB ·</w:t>
      </w:r>
      <w:r>
        <w:t xml:space="preserve"> </w:t>
      </w:r>
      <w:r>
        <w:rPr>
          <w:iCs/>
          <w:i/>
        </w:rPr>
        <w:t xml:space="preserve">Digestion</w:t>
      </w:r>
      <w:r>
        <w:t xml:space="preserve"> </w:t>
      </w:r>
      <w:r>
        <w:t xml:space="preserve">· The effect of exenatide and erythromycin on postprandial symptoms and their relation to gastric functions. PMID 22354133</w:t>
      </w:r>
    </w:p>
    <w:p>
      <w:pPr>
        <w:numPr>
          <w:ilvl w:val="0"/>
          <w:numId w:val="1375"/>
        </w:numPr>
        <w:pStyle w:val="Compact"/>
      </w:pPr>
      <w:r>
        <w:t xml:space="preserve">2012 · Shi S ·</w:t>
      </w:r>
      <w:r>
        <w:t xml:space="preserve"> </w:t>
      </w:r>
      <w:r>
        <w:rPr>
          <w:iCs/>
          <w:i/>
        </w:rPr>
        <w:t xml:space="preserve">Arzneimittelforschung</w:t>
      </w:r>
      <w:r>
        <w:t xml:space="preserve"> </w:t>
      </w:r>
      <w:r>
        <w:t xml:space="preserve">· Pharmacokinetics, pharmacodynamics, and tolerability of a generic formulation of exenatide: a randomized, open-label, single- and multiple-dose study in healthy Chinese volunteers. PMID 22344551</w:t>
      </w:r>
    </w:p>
    <w:p>
      <w:pPr>
        <w:numPr>
          <w:ilvl w:val="0"/>
          <w:numId w:val="1375"/>
        </w:numPr>
        <w:pStyle w:val="Compact"/>
      </w:pPr>
      <w:r>
        <w:t xml:space="preserve">2012 · Mendis B ·</w:t>
      </w:r>
      <w:r>
        <w:t xml:space="preserve"> </w:t>
      </w:r>
      <w:r>
        <w:rPr>
          <w:iCs/>
          <w:i/>
        </w:rPr>
        <w:t xml:space="preserve">Br J Clin Pharmacol</w:t>
      </w:r>
      <w:r>
        <w:t xml:space="preserve"> </w:t>
      </w:r>
      <w:r>
        <w:t xml:space="preserve">· Investigation of the haemodynamic effects of exenatide in healthy male subjects. PMID 22320349</w:t>
      </w:r>
    </w:p>
    <w:p>
      <w:pPr>
        <w:numPr>
          <w:ilvl w:val="0"/>
          <w:numId w:val="1375"/>
        </w:numPr>
        <w:pStyle w:val="Compact"/>
      </w:pPr>
      <w:r>
        <w:t xml:space="preserve">2012 · Nathanson D ·</w:t>
      </w:r>
      <w:r>
        <w:t xml:space="preserve"> </w:t>
      </w:r>
      <w:r>
        <w:rPr>
          <w:iCs/>
          <w:i/>
        </w:rPr>
        <w:t xml:space="preserve">Diabetologia</w:t>
      </w:r>
      <w:r>
        <w:t xml:space="preserve"> </w:t>
      </w:r>
      <w:r>
        <w:t xml:space="preserve">· Effects of intravenous exenatide in type 2 diabetic patients with congestive heart failure: a double-blind, randomised controlled clinical trial of efficacy and safety. PMID 22246377</w:t>
      </w:r>
    </w:p>
    <w:p>
      <w:pPr>
        <w:numPr>
          <w:ilvl w:val="0"/>
          <w:numId w:val="1375"/>
        </w:numPr>
        <w:pStyle w:val="Compact"/>
      </w:pPr>
      <w:r>
        <w:t xml:space="preserve">2012 · Levin P ·</w:t>
      </w:r>
      <w:r>
        <w:t xml:space="preserve"> </w:t>
      </w:r>
      <w:r>
        <w:rPr>
          <w:iCs/>
          <w:i/>
        </w:rPr>
        <w:t xml:space="preserve">Curr Med Res Opin</w:t>
      </w:r>
      <w:r>
        <w:t xml:space="preserve"> </w:t>
      </w:r>
      <w:r>
        <w:t xml:space="preserve">· Combination therapy with insulin glargine and exenatide: real-world outcomes in patients with type 2 diabetes. PMID 22216894</w:t>
      </w:r>
    </w:p>
    <w:p>
      <w:pPr>
        <w:numPr>
          <w:ilvl w:val="0"/>
          <w:numId w:val="1375"/>
        </w:numPr>
        <w:pStyle w:val="Compact"/>
      </w:pPr>
      <w:r>
        <w:t xml:space="preserve">2012 · Russell-Jones D ·</w:t>
      </w:r>
      <w:r>
        <w:t xml:space="preserve"> </w:t>
      </w:r>
      <w:r>
        <w:rPr>
          <w:iCs/>
          <w:i/>
        </w:rPr>
        <w:t xml:space="preserve">Diabetes Care</w:t>
      </w:r>
      <w:r>
        <w:t xml:space="preserve"> </w:t>
      </w:r>
      <w:r>
        <w:t xml:space="preserve">· Efficacy and safety of exenatide once weekly versus metformin, pioglitazone, and sitagliptin used as monotherapy in drug-naive patients with type 2 diabetes (DURATION-4): a 26-week double-blind study. PMID 22210563</w:t>
      </w:r>
    </w:p>
    <w:p>
      <w:pPr>
        <w:numPr>
          <w:ilvl w:val="0"/>
          <w:numId w:val="1375"/>
        </w:numPr>
        <w:pStyle w:val="Compact"/>
      </w:pPr>
      <w:r>
        <w:t xml:space="preserve">2012 · Pujante Alarcón P ·</w:t>
      </w:r>
      <w:r>
        <w:t xml:space="preserve"> </w:t>
      </w:r>
      <w:r>
        <w:rPr>
          <w:iCs/>
          <w:i/>
        </w:rPr>
        <w:t xml:space="preserve">Med Clin (Barc)</w:t>
      </w:r>
      <w:r>
        <w:t xml:space="preserve"> </w:t>
      </w:r>
      <w:r>
        <w:t xml:space="preserve">· [Metabolic control and weight loss in patients with obesity and type 2 diabetes mellitus, treated with exenatide]. PMID 22209597</w:t>
      </w:r>
    </w:p>
    <w:p>
      <w:pPr>
        <w:numPr>
          <w:ilvl w:val="0"/>
          <w:numId w:val="1375"/>
        </w:numPr>
        <w:pStyle w:val="Compact"/>
      </w:pPr>
      <w:r>
        <w:t xml:space="preserve">2012 · Ha SJ ·</w:t>
      </w:r>
      <w:r>
        <w:t xml:space="preserve"> </w:t>
      </w:r>
      <w:r>
        <w:rPr>
          <w:iCs/>
          <w:i/>
        </w:rPr>
        <w:t xml:space="preserve">Arterioscler Thromb Vasc Biol</w:t>
      </w:r>
      <w:r>
        <w:t xml:space="preserve"> </w:t>
      </w:r>
      <w:r>
        <w:t xml:space="preserve">· Preventive effects of exenatide on endothelial dysfunction induced by ischemia-reperfusion injury via KATP channels. PMID 22155457</w:t>
      </w:r>
    </w:p>
    <w:p>
      <w:pPr>
        <w:numPr>
          <w:ilvl w:val="0"/>
          <w:numId w:val="1375"/>
        </w:numPr>
        <w:pStyle w:val="Compact"/>
      </w:pPr>
      <w:r>
        <w:t xml:space="preserve">2012 · Kelly AS ·</w:t>
      </w:r>
      <w:r>
        <w:t xml:space="preserve"> </w:t>
      </w:r>
      <w:r>
        <w:rPr>
          <w:iCs/>
          <w:i/>
        </w:rPr>
        <w:t xml:space="preserve">Obesity (Silver Spring)</w:t>
      </w:r>
      <w:r>
        <w:t xml:space="preserve"> </w:t>
      </w:r>
      <w:r>
        <w:t xml:space="preserve">· Exenatide as a weight-loss therapy in extreme pediatric obesity: a randomized, controlled pilot study. PMID 22076596</w:t>
      </w:r>
    </w:p>
    <w:p>
      <w:pPr>
        <w:numPr>
          <w:ilvl w:val="0"/>
          <w:numId w:val="1375"/>
        </w:numPr>
        <w:pStyle w:val="Compact"/>
      </w:pPr>
      <w:r>
        <w:t xml:space="preserve">2012 · Dushay J ·</w:t>
      </w:r>
      <w:r>
        <w:t xml:space="preserve"> </w:t>
      </w:r>
      <w:r>
        <w:rPr>
          <w:iCs/>
          <w:i/>
        </w:rPr>
        <w:t xml:space="preserve">Diabetes Care</w:t>
      </w:r>
      <w:r>
        <w:t xml:space="preserve"> </w:t>
      </w:r>
      <w:r>
        <w:t xml:space="preserve">· Short-term exenatide treatment leads to significant weight loss in a subset of obese women without diabetes. PMID 22040840</w:t>
      </w:r>
    </w:p>
    <w:p>
      <w:pPr>
        <w:numPr>
          <w:ilvl w:val="0"/>
          <w:numId w:val="1375"/>
        </w:numPr>
        <w:pStyle w:val="Compact"/>
      </w:pPr>
      <w:r>
        <w:t xml:space="preserve">2012 · Chaudhuri A ·</w:t>
      </w:r>
      <w:r>
        <w:t xml:space="preserve"> </w:t>
      </w:r>
      <w:r>
        <w:rPr>
          <w:iCs/>
          <w:i/>
        </w:rPr>
        <w:t xml:space="preserve">J Clin Endocrinol Metab</w:t>
      </w:r>
      <w:r>
        <w:t xml:space="preserve"> </w:t>
      </w:r>
      <w:r>
        <w:t xml:space="preserve">· Exenatide exerts a potent antiinflammatory effect. PMID 22013105</w:t>
      </w:r>
    </w:p>
    <w:p>
      <w:pPr>
        <w:numPr>
          <w:ilvl w:val="0"/>
          <w:numId w:val="1375"/>
        </w:numPr>
        <w:pStyle w:val="Compact"/>
      </w:pPr>
      <w:r>
        <w:t xml:space="preserve">2012 · Lønborg J ·</w:t>
      </w:r>
      <w:r>
        <w:t xml:space="preserve"> </w:t>
      </w:r>
      <w:r>
        <w:rPr>
          <w:iCs/>
          <w:i/>
        </w:rPr>
        <w:t xml:space="preserve">Eur Heart J</w:t>
      </w:r>
      <w:r>
        <w:t xml:space="preserve"> </w:t>
      </w:r>
      <w:r>
        <w:t xml:space="preserve">· Exenatide reduces reperfusion injury in patients with ST-segment elevation myocardial infarction. PMID 21920963</w:t>
      </w:r>
    </w:p>
    <w:p>
      <w:pPr>
        <w:numPr>
          <w:ilvl w:val="0"/>
          <w:numId w:val="1375"/>
        </w:numPr>
        <w:pStyle w:val="Compact"/>
      </w:pPr>
      <w:r>
        <w:t xml:space="preserve">2011 · Bergenstal RM ·</w:t>
      </w:r>
      <w:r>
        <w:t xml:space="preserve"> </w:t>
      </w:r>
      <w:r>
        <w:rPr>
          <w:iCs/>
          <w:i/>
        </w:rPr>
        <w:t xml:space="preserve">Curr Med Res Opin</w:t>
      </w:r>
      <w:r>
        <w:t xml:space="preserve"> </w:t>
      </w:r>
      <w:r>
        <w:t xml:space="preserve">· Exenatide BID Observational Study (ExOS): results for primary and secondary endpoints of a prospective research study to evaluate the clinical effectiveness of exenatide BID use in patients with type 2 diabetes in a real-world setting. PMID 22085180</w:t>
      </w:r>
    </w:p>
    <w:p>
      <w:pPr>
        <w:numPr>
          <w:ilvl w:val="0"/>
          <w:numId w:val="1375"/>
        </w:numPr>
        <w:pStyle w:val="Compact"/>
      </w:pPr>
      <w:r>
        <w:t xml:space="preserve">2011 · Scholte M ·</w:t>
      </w:r>
      <w:r>
        <w:t xml:space="preserve"> </w:t>
      </w:r>
      <w:r>
        <w:rPr>
          <w:iCs/>
          <w:i/>
        </w:rPr>
        <w:t xml:space="preserve">Trials</w:t>
      </w:r>
      <w:r>
        <w:t xml:space="preserve"> </w:t>
      </w:r>
      <w:r>
        <w:t xml:space="preserve">· Effect of additional treatment with EXenatide in patients with an Acute Myocardial Infarction (EXAMI): study protocol for a randomized controlled trial. PMID 22067476</w:t>
      </w:r>
    </w:p>
    <w:p>
      <w:pPr>
        <w:numPr>
          <w:ilvl w:val="0"/>
          <w:numId w:val="1375"/>
        </w:numPr>
        <w:pStyle w:val="Compact"/>
      </w:pPr>
      <w:r>
        <w:t xml:space="preserve">2011 · Linnebjerg H ·</w:t>
      </w:r>
      <w:r>
        <w:t xml:space="preserve"> </w:t>
      </w:r>
      <w:r>
        <w:rPr>
          <w:iCs/>
          <w:i/>
        </w:rPr>
        <w:t xml:space="preserve">Int J Clin Pharmacol Ther</w:t>
      </w:r>
      <w:r>
        <w:t xml:space="preserve"> </w:t>
      </w:r>
      <w:r>
        <w:t xml:space="preserve">· A thorough QT study to evaluate the effects of singledose exenatide 10 μg on cardiac repolarization in healthy subjects. PMID 21961484</w:t>
      </w:r>
    </w:p>
    <w:p>
      <w:pPr>
        <w:numPr>
          <w:ilvl w:val="0"/>
          <w:numId w:val="1375"/>
        </w:numPr>
        <w:pStyle w:val="Compact"/>
      </w:pPr>
      <w:r>
        <w:t xml:space="preserve">2011 · Samson SL ·</w:t>
      </w:r>
      <w:r>
        <w:t xml:space="preserve"> </w:t>
      </w:r>
      <w:r>
        <w:rPr>
          <w:iCs/>
          <w:i/>
        </w:rPr>
        <w:t xml:space="preserve">Diabetologia</w:t>
      </w:r>
      <w:r>
        <w:t xml:space="preserve"> </w:t>
      </w:r>
      <w:r>
        <w:t xml:space="preserve">· Exenatide decreases hepatic fibroblast growth factor 21 resistance in non-alcoholic fatty liver disease in a mouse model of obesity and in a randomised controlled trial. PMID 21956711</w:t>
      </w:r>
    </w:p>
    <w:p>
      <w:pPr>
        <w:numPr>
          <w:ilvl w:val="0"/>
          <w:numId w:val="1375"/>
        </w:numPr>
        <w:pStyle w:val="Compact"/>
      </w:pPr>
      <w:r>
        <w:t xml:space="preserve">2011 · Bunck MC ·</w:t>
      </w:r>
      <w:r>
        <w:t xml:space="preserve"> </w:t>
      </w:r>
      <w:r>
        <w:rPr>
          <w:iCs/>
          <w:i/>
        </w:rPr>
        <w:t xml:space="preserve">Diabetes Care</w:t>
      </w:r>
      <w:r>
        <w:t xml:space="preserve"> </w:t>
      </w:r>
      <w:r>
        <w:t xml:space="preserve">· Effects of exenatide on measures of β-cell function after 3 years in metformin-treated patients with type 2 diabetes. PMID 21868779</w:t>
      </w:r>
    </w:p>
    <w:p>
      <w:pPr>
        <w:numPr>
          <w:ilvl w:val="0"/>
          <w:numId w:val="1375"/>
        </w:numPr>
        <w:pStyle w:val="Compact"/>
      </w:pPr>
      <w:r>
        <w:t xml:space="preserve">2011 · Irace C ·</w:t>
      </w:r>
      <w:r>
        <w:t xml:space="preserve"> </w:t>
      </w:r>
      <w:r>
        <w:rPr>
          <w:iCs/>
          <w:i/>
        </w:rPr>
        <w:t xml:space="preserve">Diabetes Technol Ther</w:t>
      </w:r>
      <w:r>
        <w:t xml:space="preserve"> </w:t>
      </w:r>
      <w:r>
        <w:t xml:space="preserve">· Exenatide improves glycemic variability assessed by continuous glucose monitoring in subjects with type 2 diabetes. PMID 21751893</w:t>
      </w:r>
    </w:p>
    <w:p>
      <w:pPr>
        <w:numPr>
          <w:ilvl w:val="0"/>
          <w:numId w:val="1375"/>
        </w:numPr>
        <w:pStyle w:val="Compact"/>
      </w:pPr>
      <w:r>
        <w:t xml:space="preserve">2011 · Sathyanarayana P ·</w:t>
      </w:r>
      <w:r>
        <w:t xml:space="preserve"> </w:t>
      </w:r>
      <w:r>
        <w:rPr>
          <w:iCs/>
          <w:i/>
        </w:rPr>
        <w:t xml:space="preserve">Obesity (Silver Spring)</w:t>
      </w:r>
      <w:r>
        <w:t xml:space="preserve"> </w:t>
      </w:r>
      <w:r>
        <w:t xml:space="preserve">· Effects of combined exenatide and pioglitazone therapy on hepatic fat content in type 2 diabetes. PMID 21660077</w:t>
      </w:r>
    </w:p>
    <w:p>
      <w:pPr>
        <w:numPr>
          <w:ilvl w:val="0"/>
          <w:numId w:val="1375"/>
        </w:numPr>
        <w:pStyle w:val="Compact"/>
      </w:pPr>
      <w:r>
        <w:t xml:space="preserve">2011 · Derosa G ·</w:t>
      </w:r>
      <w:r>
        <w:t xml:space="preserve"> </w:t>
      </w:r>
      <w:r>
        <w:rPr>
          <w:iCs/>
          <w:i/>
        </w:rPr>
        <w:t xml:space="preserve">Eur J Pharmacol</w:t>
      </w:r>
      <w:r>
        <w:t xml:space="preserve"> </w:t>
      </w:r>
      <w:r>
        <w:t xml:space="preserve">· Exenatide or glimepiride added to metformin on metabolic control and on insulin resistance in type 2 diabetic patients. PMID 21645507</w:t>
      </w:r>
    </w:p>
    <w:p>
      <w:pPr>
        <w:numPr>
          <w:ilvl w:val="0"/>
          <w:numId w:val="1375"/>
        </w:numPr>
        <w:pStyle w:val="Compact"/>
      </w:pPr>
      <w:r>
        <w:t xml:space="preserve">2011 · Sze L ·</w:t>
      </w:r>
      <w:r>
        <w:t xml:space="preserve"> </w:t>
      </w:r>
      <w:r>
        <w:rPr>
          <w:iCs/>
          <w:i/>
        </w:rPr>
        <w:t xml:space="preserve">J Clin Endocrinol Metab</w:t>
      </w:r>
      <w:r>
        <w:t xml:space="preserve"> </w:t>
      </w:r>
      <w:r>
        <w:t xml:space="preserve">· Effects of a single dose of exenatide on appetite, gut hormones, and glucose homeostasis in adults with Prader-Willi syndrome. PMID 21632815</w:t>
      </w:r>
    </w:p>
    <w:p>
      <w:pPr>
        <w:numPr>
          <w:ilvl w:val="0"/>
          <w:numId w:val="1375"/>
        </w:numPr>
        <w:pStyle w:val="Compact"/>
      </w:pPr>
      <w:r>
        <w:t xml:space="preserve">2011 · Berg JK ·</w:t>
      </w:r>
      <w:r>
        <w:t xml:space="preserve"> </w:t>
      </w:r>
      <w:r>
        <w:rPr>
          <w:iCs/>
          <w:i/>
        </w:rPr>
        <w:t xml:space="preserve">Diabetes Obes Metab</w:t>
      </w:r>
      <w:r>
        <w:t xml:space="preserve"> </w:t>
      </w:r>
      <w:r>
        <w:t xml:space="preserve">· Effects of exenatide twice daily versus sitagliptin on 24-h glucose, glucoregulatory and hormonal measures: a randomized, double-blind, crossover study. PMID 21615670</w:t>
      </w:r>
    </w:p>
    <w:p>
      <w:pPr>
        <w:numPr>
          <w:ilvl w:val="0"/>
          <w:numId w:val="1375"/>
        </w:numPr>
        <w:pStyle w:val="Compact"/>
      </w:pPr>
      <w:r>
        <w:t xml:space="preserve">2011 · Grant P ·</w:t>
      </w:r>
      <w:r>
        <w:t xml:space="preserve"> </w:t>
      </w:r>
      <w:r>
        <w:rPr>
          <w:iCs/>
          <w:i/>
        </w:rPr>
        <w:t xml:space="preserve">J Diabetes Complications</w:t>
      </w:r>
      <w:r>
        <w:t xml:space="preserve"> </w:t>
      </w:r>
      <w:r>
        <w:t xml:space="preserve">· Psychological and quality of life changes in patients using GLP-1 analogues. PMID 21601480</w:t>
      </w:r>
    </w:p>
    <w:p>
      <w:pPr>
        <w:numPr>
          <w:ilvl w:val="0"/>
          <w:numId w:val="1375"/>
        </w:numPr>
        <w:pStyle w:val="Compact"/>
      </w:pPr>
      <w:r>
        <w:t xml:space="preserve">2011 · Fadini GP ·</w:t>
      </w:r>
      <w:r>
        <w:t xml:space="preserve"> </w:t>
      </w:r>
      <w:r>
        <w:rPr>
          <w:iCs/>
          <w:i/>
        </w:rPr>
        <w:t xml:space="preserve">Acta Diabetol</w:t>
      </w:r>
      <w:r>
        <w:t xml:space="preserve"> </w:t>
      </w:r>
      <w:r>
        <w:t xml:space="preserve">· The metabolic syndrome influences the response to incretin-based therapies. PMID 21574000</w:t>
      </w:r>
    </w:p>
    <w:p>
      <w:pPr>
        <w:numPr>
          <w:ilvl w:val="0"/>
          <w:numId w:val="1375"/>
        </w:numPr>
        <w:pStyle w:val="Compact"/>
      </w:pPr>
      <w:r>
        <w:t xml:space="preserve">2011 · Buse JB ·</w:t>
      </w:r>
      <w:r>
        <w:t xml:space="preserve"> </w:t>
      </w:r>
      <w:r>
        <w:rPr>
          <w:iCs/>
          <w:i/>
        </w:rPr>
        <w:t xml:space="preserve">J Clin Endocrinol Metab</w:t>
      </w:r>
      <w:r>
        <w:t xml:space="preserve"> </w:t>
      </w:r>
      <w:r>
        <w:t xml:space="preserve">· Liraglutide treatment is associated with a low frequency and magnitude of antibody formation with no apparent impact on glycemic response or increased frequency of adverse events: results from the Liraglutide Effect and Action in Diabetes (LEAD) trials. PMID 21450987</w:t>
      </w:r>
    </w:p>
    <w:p>
      <w:pPr>
        <w:numPr>
          <w:ilvl w:val="0"/>
          <w:numId w:val="1375"/>
        </w:numPr>
        <w:pStyle w:val="Compact"/>
      </w:pPr>
      <w:r>
        <w:t xml:space="preserve">2011 · Wysham C ·</w:t>
      </w:r>
      <w:r>
        <w:t xml:space="preserve"> </w:t>
      </w:r>
      <w:r>
        <w:rPr>
          <w:iCs/>
          <w:i/>
        </w:rPr>
        <w:t xml:space="preserve">Diabet Med</w:t>
      </w:r>
      <w:r>
        <w:t xml:space="preserve"> </w:t>
      </w:r>
      <w:r>
        <w:t xml:space="preserve">· DURATION-2: efficacy and safety of switching from maximum daily sitagliptin or pioglitazone to once-weekly exenatide. PMID 21434995</w:t>
      </w:r>
    </w:p>
    <w:p>
      <w:pPr>
        <w:numPr>
          <w:ilvl w:val="0"/>
          <w:numId w:val="1375"/>
        </w:numPr>
        <w:pStyle w:val="Compact"/>
      </w:pPr>
      <w:r>
        <w:t xml:space="preserve">2011 · Schmidt WE ·</w:t>
      </w:r>
      <w:r>
        <w:t xml:space="preserve"> </w:t>
      </w:r>
      <w:r>
        <w:rPr>
          <w:iCs/>
          <w:i/>
        </w:rPr>
        <w:t xml:space="preserve">Diabet Med</w:t>
      </w:r>
      <w:r>
        <w:t xml:space="preserve"> </w:t>
      </w:r>
      <w:r>
        <w:t xml:space="preserve">· Patient-reported outcomes are superior in patients with Type 2 diabetes treated with liraglutide as compared with exenatide, when added to metformin, sulphonylurea or both: results from a randomized, open-label study. PMID 21388442</w:t>
      </w:r>
    </w:p>
    <w:p>
      <w:pPr>
        <w:numPr>
          <w:ilvl w:val="0"/>
          <w:numId w:val="1375"/>
        </w:numPr>
        <w:pStyle w:val="Compact"/>
      </w:pPr>
      <w:r>
        <w:t xml:space="preserve">2011 · Blevins T ·</w:t>
      </w:r>
      <w:r>
        <w:t xml:space="preserve"> </w:t>
      </w:r>
      <w:r>
        <w:rPr>
          <w:iCs/>
          <w:i/>
        </w:rPr>
        <w:t xml:space="preserve">J Clin Endocrinol Metab</w:t>
      </w:r>
      <w:r>
        <w:t xml:space="preserve"> </w:t>
      </w:r>
      <w:r>
        <w:t xml:space="preserve">· DURATION-5: exenatide once weekly resulted in greater improvements in glycemic control compared with exenatide twice daily in patients with type 2 diabetes. PMID 21307137</w:t>
      </w:r>
    </w:p>
    <w:p>
      <w:pPr>
        <w:numPr>
          <w:ilvl w:val="0"/>
          <w:numId w:val="1375"/>
        </w:numPr>
        <w:pStyle w:val="Compact"/>
      </w:pPr>
      <w:r>
        <w:t xml:space="preserve">2011 · Gallwitz B ·</w:t>
      </w:r>
      <w:r>
        <w:t xml:space="preserve"> </w:t>
      </w:r>
      <w:r>
        <w:rPr>
          <w:iCs/>
          <w:i/>
        </w:rPr>
        <w:t xml:space="preserve">Diabetes Care</w:t>
      </w:r>
      <w:r>
        <w:t xml:space="preserve"> </w:t>
      </w:r>
      <w:r>
        <w:t xml:space="preserve">· Exenatide twice daily versus premixed insulin aspart 70/30 in metformin-treated patients with type 2 diabetes: a randomized 26-week study on glycemic control and hypoglycemia. PMID 21285388</w:t>
      </w:r>
    </w:p>
    <w:p>
      <w:pPr>
        <w:numPr>
          <w:ilvl w:val="0"/>
          <w:numId w:val="1375"/>
        </w:numPr>
        <w:pStyle w:val="Compact"/>
      </w:pPr>
      <w:r>
        <w:t xml:space="preserve">2011 · Wu JD ·</w:t>
      </w:r>
      <w:r>
        <w:t xml:space="preserve"> </w:t>
      </w:r>
      <w:r>
        <w:rPr>
          <w:iCs/>
          <w:i/>
        </w:rPr>
        <w:t xml:space="preserve">Diabetes Technol Ther</w:t>
      </w:r>
      <w:r>
        <w:t xml:space="preserve"> </w:t>
      </w:r>
      <w:r>
        <w:t xml:space="preserve">· Effect of exenatide on inflammatory and oxidative stress markers in patients with type 2 diabetes mellitus. PMID 21284481</w:t>
      </w:r>
    </w:p>
    <w:p>
      <w:pPr>
        <w:numPr>
          <w:ilvl w:val="0"/>
          <w:numId w:val="1375"/>
        </w:numPr>
        <w:pStyle w:val="Compact"/>
      </w:pPr>
      <w:r>
        <w:t xml:space="preserve">2011 · Best JH ·</w:t>
      </w:r>
      <w:r>
        <w:t xml:space="preserve"> </w:t>
      </w:r>
      <w:r>
        <w:rPr>
          <w:iCs/>
          <w:i/>
        </w:rPr>
        <w:t xml:space="preserve">Diabetes Care</w:t>
      </w:r>
      <w:r>
        <w:t xml:space="preserve"> </w:t>
      </w:r>
      <w:r>
        <w:t xml:space="preserve">· Weight-related quality of life, health utility, psychological well-being, and satisfaction with exenatide once weekly compared with sitagliptin or pioglitazone after 26 weeks of treatment. PMID 21270189</w:t>
      </w:r>
    </w:p>
    <w:p>
      <w:pPr>
        <w:numPr>
          <w:ilvl w:val="0"/>
          <w:numId w:val="1375"/>
        </w:numPr>
        <w:pStyle w:val="Compact"/>
      </w:pPr>
      <w:r>
        <w:t xml:space="preserve">2011 · Linnebjerg H ·</w:t>
      </w:r>
      <w:r>
        <w:t xml:space="preserve"> </w:t>
      </w:r>
      <w:r>
        <w:rPr>
          <w:iCs/>
          <w:i/>
        </w:rPr>
        <w:t xml:space="preserve">Int J Clin Pharmacol Ther</w:t>
      </w:r>
      <w:r>
        <w:t xml:space="preserve"> </w:t>
      </w:r>
      <w:r>
        <w:t xml:space="preserve">· Exenatide - pharmacokinetics, pharmacodynamics, safety and tolerability in patients ≥ 75 years of age with Type 2 diabetes. PMID 21255526</w:t>
      </w:r>
    </w:p>
    <w:p>
      <w:pPr>
        <w:numPr>
          <w:ilvl w:val="0"/>
          <w:numId w:val="1375"/>
        </w:numPr>
        <w:pStyle w:val="Compact"/>
      </w:pPr>
      <w:r>
        <w:t xml:space="preserve">2011 · van Raalte DH ·</w:t>
      </w:r>
      <w:r>
        <w:t xml:space="preserve"> </w:t>
      </w:r>
      <w:r>
        <w:rPr>
          <w:iCs/>
          <w:i/>
        </w:rPr>
        <w:t xml:space="preserve">Diabetes Care</w:t>
      </w:r>
      <w:r>
        <w:t xml:space="preserve"> </w:t>
      </w:r>
      <w:r>
        <w:t xml:space="preserve">· Glucagon-like peptide-1 receptor agonist treatment prevents glucocorticoid-induced glucose intolerance and islet-cell dysfunction in humans. PMID 21216851</w:t>
      </w:r>
    </w:p>
    <w:p>
      <w:pPr>
        <w:numPr>
          <w:ilvl w:val="0"/>
          <w:numId w:val="1375"/>
        </w:numPr>
        <w:pStyle w:val="Compact"/>
      </w:pPr>
      <w:r>
        <w:t xml:space="preserve">2011 · Buse JB ·</w:t>
      </w:r>
      <w:r>
        <w:t xml:space="preserve"> </w:t>
      </w:r>
      <w:r>
        <w:rPr>
          <w:iCs/>
          <w:i/>
        </w:rPr>
        <w:t xml:space="preserve">Ann Intern Med</w:t>
      </w:r>
      <w:r>
        <w:t xml:space="preserve"> </w:t>
      </w:r>
      <w:r>
        <w:t xml:space="preserve">· Use of twice-daily exenatide in Basal insulin-treated patients with type 2 diabetes: a randomized, controlled trial. PMID 21138825</w:t>
      </w:r>
    </w:p>
    <w:p>
      <w:pPr>
        <w:numPr>
          <w:ilvl w:val="0"/>
          <w:numId w:val="1375"/>
        </w:numPr>
        <w:pStyle w:val="Compact"/>
      </w:pPr>
      <w:r>
        <w:t xml:space="preserve">2011 · González-Ortiz M ·</w:t>
      </w:r>
      <w:r>
        <w:t xml:space="preserve"> </w:t>
      </w:r>
      <w:r>
        <w:rPr>
          <w:iCs/>
          <w:i/>
        </w:rPr>
        <w:t xml:space="preserve">Metab Syndr Relat Disord</w:t>
      </w:r>
      <w:r>
        <w:t xml:space="preserve"> </w:t>
      </w:r>
      <w:r>
        <w:t xml:space="preserve">· Effect of exenatide on fat deposition and a metabolic profile in patients with metabolic syndrome. PMID 20874425</w:t>
      </w:r>
    </w:p>
    <w:p>
      <w:pPr>
        <w:numPr>
          <w:ilvl w:val="0"/>
          <w:numId w:val="1375"/>
        </w:numPr>
        <w:pStyle w:val="Compact"/>
      </w:pPr>
      <w:r>
        <w:t xml:space="preserve">2011 · Pinelli NR ·</w:t>
      </w:r>
      <w:r>
        <w:t xml:space="preserve"> </w:t>
      </w:r>
      <w:r>
        <w:rPr>
          <w:iCs/>
          <w:i/>
        </w:rPr>
        <w:t xml:space="preserve">J Clin Pharmacol</w:t>
      </w:r>
      <w:r>
        <w:t xml:space="preserve"> </w:t>
      </w:r>
      <w:r>
        <w:t xml:space="preserve">· Effect of administration time of exenatide on satiety responses, blood glucose, and adverse events in healthy volunteers. PMID 20484613</w:t>
      </w:r>
    </w:p>
    <w:p>
      <w:pPr>
        <w:numPr>
          <w:ilvl w:val="0"/>
          <w:numId w:val="1375"/>
        </w:numPr>
        <w:pStyle w:val="Compact"/>
      </w:pPr>
      <w:r>
        <w:t xml:space="preserve">2010 · Liutkus J ·</w:t>
      </w:r>
      <w:r>
        <w:t xml:space="preserve"> </w:t>
      </w:r>
      <w:r>
        <w:rPr>
          <w:iCs/>
          <w:i/>
        </w:rPr>
        <w:t xml:space="preserve">Diabetes Obes Metab</w:t>
      </w:r>
      <w:r>
        <w:t xml:space="preserve"> </w:t>
      </w:r>
      <w:r>
        <w:t xml:space="preserve">· A placebo-controlled trial of exenatide twice-daily added to thiazolidinediones alone or in combination with metformin. PMID 20977576</w:t>
      </w:r>
    </w:p>
    <w:p>
      <w:pPr>
        <w:numPr>
          <w:ilvl w:val="0"/>
          <w:numId w:val="1375"/>
        </w:numPr>
        <w:pStyle w:val="Compact"/>
      </w:pPr>
      <w:r>
        <w:t xml:space="preserve">2010 · Ellero C ·</w:t>
      </w:r>
      <w:r>
        <w:t xml:space="preserve"> </w:t>
      </w:r>
      <w:r>
        <w:rPr>
          <w:iCs/>
          <w:i/>
        </w:rPr>
        <w:t xml:space="preserve">Diabet Med</w:t>
      </w:r>
      <w:r>
        <w:t xml:space="preserve"> </w:t>
      </w:r>
      <w:r>
        <w:t xml:space="preserve">· Prophylactic use of anti-emetic medications reduced nausea and vomiting associated with exenatide treatment: a retrospective analysis of an open-label, parallel-group, single-dose study in healthy subjects. PMID 20854385</w:t>
      </w:r>
    </w:p>
    <w:p>
      <w:pPr>
        <w:numPr>
          <w:ilvl w:val="0"/>
          <w:numId w:val="1375"/>
        </w:numPr>
        <w:pStyle w:val="Compact"/>
      </w:pPr>
      <w:r>
        <w:t xml:space="preserve">2010 · Mecott GA ·</w:t>
      </w:r>
      <w:r>
        <w:t xml:space="preserve"> </w:t>
      </w:r>
      <w:r>
        <w:rPr>
          <w:iCs/>
          <w:i/>
        </w:rPr>
        <w:t xml:space="preserve">Crit Care</w:t>
      </w:r>
      <w:r>
        <w:t xml:space="preserve"> </w:t>
      </w:r>
      <w:r>
        <w:t xml:space="preserve">· The use of exenatide in severely burned pediatric patients. PMID 20701787</w:t>
      </w:r>
    </w:p>
    <w:p>
      <w:pPr>
        <w:numPr>
          <w:ilvl w:val="0"/>
          <w:numId w:val="1375"/>
        </w:numPr>
        <w:pStyle w:val="Compact"/>
      </w:pPr>
      <w:r>
        <w:t xml:space="preserve">2010 · Diamant M ·</w:t>
      </w:r>
      <w:r>
        <w:t xml:space="preserve"> </w:t>
      </w:r>
      <w:r>
        <w:rPr>
          <w:iCs/>
          <w:i/>
        </w:rPr>
        <w:t xml:space="preserve">Lancet</w:t>
      </w:r>
      <w:r>
        <w:t xml:space="preserve"> </w:t>
      </w:r>
      <w:r>
        <w:t xml:space="preserve">· Once weekly exenatide compared with insulin glargine titrated to target in patients with type 2 diabetes (DURATION-3): an open-label randomised trial. PMID 20609969</w:t>
      </w:r>
    </w:p>
    <w:p>
      <w:pPr>
        <w:numPr>
          <w:ilvl w:val="0"/>
          <w:numId w:val="1375"/>
        </w:numPr>
        <w:pStyle w:val="Compact"/>
      </w:pPr>
      <w:r>
        <w:t xml:space="preserve">2010 · Schernthaner G ·</w:t>
      </w:r>
      <w:r>
        <w:t xml:space="preserve"> </w:t>
      </w:r>
      <w:r>
        <w:rPr>
          <w:iCs/>
          <w:i/>
        </w:rPr>
        <w:t xml:space="preserve">Diabetes Metab</w:t>
      </w:r>
      <w:r>
        <w:t xml:space="preserve"> </w:t>
      </w:r>
      <w:r>
        <w:t xml:space="preserve">· Impact of postprandial and fasting glucose concentrations on HbA1c in patients with type 2 diabetes. PMID 20598608</w:t>
      </w:r>
    </w:p>
    <w:p>
      <w:pPr>
        <w:numPr>
          <w:ilvl w:val="0"/>
          <w:numId w:val="1375"/>
        </w:numPr>
        <w:pStyle w:val="Compact"/>
      </w:pPr>
      <w:r>
        <w:t xml:space="preserve">2010 · Bergenstal RM ·</w:t>
      </w:r>
      <w:r>
        <w:t xml:space="preserve"> </w:t>
      </w:r>
      <w:r>
        <w:rPr>
          <w:iCs/>
          <w:i/>
        </w:rPr>
        <w:t xml:space="preserve">Lancet</w:t>
      </w:r>
      <w:r>
        <w:t xml:space="preserve"> </w:t>
      </w:r>
      <w:r>
        <w:t xml:space="preserve">· Efficacy and safety of exenatide once weekly versus sitagliptin or pioglitazone as an adjunct to metformin for treatment of type 2 diabetes (DURATION-2): a randomised trial. PMID 20580422</w:t>
      </w:r>
    </w:p>
    <w:p>
      <w:pPr>
        <w:numPr>
          <w:ilvl w:val="0"/>
          <w:numId w:val="1375"/>
        </w:numPr>
        <w:pStyle w:val="Compact"/>
      </w:pPr>
      <w:r>
        <w:t xml:space="preserve">2010 · Schwartz EA ·</w:t>
      </w:r>
      <w:r>
        <w:t xml:space="preserve"> </w:t>
      </w:r>
      <w:r>
        <w:rPr>
          <w:iCs/>
          <w:i/>
        </w:rPr>
        <w:t xml:space="preserve">Atherosclerosis</w:t>
      </w:r>
      <w:r>
        <w:t xml:space="preserve"> </w:t>
      </w:r>
      <w:r>
        <w:t xml:space="preserve">· Exenatide suppresses postprandial elevations in lipids and lipoproteins in individuals with impaired glucose tolerance and recent onset type 2 diabetes mellitus. PMID 20557887</w:t>
      </w:r>
    </w:p>
    <w:p>
      <w:pPr>
        <w:numPr>
          <w:ilvl w:val="0"/>
          <w:numId w:val="1375"/>
        </w:numPr>
        <w:pStyle w:val="Compact"/>
      </w:pPr>
      <w:r>
        <w:t xml:space="preserve">2010 · Bunck MC ·</w:t>
      </w:r>
      <w:r>
        <w:t xml:space="preserve"> </w:t>
      </w:r>
      <w:r>
        <w:rPr>
          <w:iCs/>
          <w:i/>
        </w:rPr>
        <w:t xml:space="preserve">Atherosclerosis</w:t>
      </w:r>
      <w:r>
        <w:t xml:space="preserve"> </w:t>
      </w:r>
      <w:r>
        <w:t xml:space="preserve">· One-year treatment with exenatide vs. insulin glargine: effects on postprandial glycemia, lipid profiles, and oxidative stress. PMID 20494360</w:t>
      </w:r>
    </w:p>
    <w:p>
      <w:pPr>
        <w:numPr>
          <w:ilvl w:val="0"/>
          <w:numId w:val="1375"/>
        </w:numPr>
        <w:pStyle w:val="Compact"/>
      </w:pPr>
      <w:r>
        <w:t xml:space="preserve">2010 · Bunck MC ·</w:t>
      </w:r>
      <w:r>
        <w:t xml:space="preserve"> </w:t>
      </w:r>
      <w:r>
        <w:rPr>
          <w:iCs/>
          <w:i/>
        </w:rPr>
        <w:t xml:space="preserve">Diabetes Care</w:t>
      </w:r>
      <w:r>
        <w:t xml:space="preserve"> </w:t>
      </w:r>
      <w:r>
        <w:t xml:space="preserve">· Exenatide affects circulating cardiovascular risk biomarkers independently of changes in body composition. PMID 20424219</w:t>
      </w:r>
    </w:p>
    <w:p>
      <w:pPr>
        <w:numPr>
          <w:ilvl w:val="0"/>
          <w:numId w:val="1375"/>
        </w:numPr>
        <w:pStyle w:val="Compact"/>
      </w:pPr>
      <w:r>
        <w:t xml:space="preserve">2010 · Apovian CM ·</w:t>
      </w:r>
      <w:r>
        <w:t xml:space="preserve"> </w:t>
      </w:r>
      <w:r>
        <w:rPr>
          <w:iCs/>
          <w:i/>
        </w:rPr>
        <w:t xml:space="preserve">Am J Med</w:t>
      </w:r>
      <w:r>
        <w:t xml:space="preserve"> </w:t>
      </w:r>
      <w:r>
        <w:t xml:space="preserve">· Effects of exenatide combined with lifestyle modification in patients with type 2 diabetes. PMID 20399326</w:t>
      </w:r>
    </w:p>
    <w:p>
      <w:pPr>
        <w:numPr>
          <w:ilvl w:val="0"/>
          <w:numId w:val="1375"/>
        </w:numPr>
        <w:pStyle w:val="Compact"/>
      </w:pPr>
      <w:r>
        <w:t xml:space="preserve">2010 · Arnolds S ·</w:t>
      </w:r>
      <w:r>
        <w:t xml:space="preserve"> </w:t>
      </w:r>
      <w:r>
        <w:rPr>
          <w:iCs/>
          <w:i/>
        </w:rPr>
        <w:t xml:space="preserve">Diabetes Care</w:t>
      </w:r>
      <w:r>
        <w:t xml:space="preserve"> </w:t>
      </w:r>
      <w:r>
        <w:t xml:space="preserve">· Further improvement in postprandial glucose control with addition of exenatide or sitagliptin to combination therapy with insulin glargine and metformin: a proof-of-concept study. PMID 20357372</w:t>
      </w:r>
    </w:p>
    <w:p>
      <w:pPr>
        <w:numPr>
          <w:ilvl w:val="0"/>
          <w:numId w:val="1375"/>
        </w:numPr>
        <w:pStyle w:val="Compact"/>
      </w:pPr>
      <w:r>
        <w:t xml:space="preserve">2010 · Raman VS ·</w:t>
      </w:r>
      <w:r>
        <w:t xml:space="preserve"> </w:t>
      </w:r>
      <w:r>
        <w:rPr>
          <w:iCs/>
          <w:i/>
        </w:rPr>
        <w:t xml:space="preserve">Diabetes Care</w:t>
      </w:r>
      <w:r>
        <w:t xml:space="preserve"> </w:t>
      </w:r>
      <w:r>
        <w:t xml:space="preserve">· The role of adjunctive exenatide therapy in pediatric type 1 diabetes. PMID 20332358</w:t>
      </w:r>
    </w:p>
    <w:p>
      <w:pPr>
        <w:numPr>
          <w:ilvl w:val="0"/>
          <w:numId w:val="1375"/>
        </w:numPr>
        <w:pStyle w:val="Compact"/>
      </w:pPr>
      <w:r>
        <w:t xml:space="preserve">2010 · Rosenstock J ·</w:t>
      </w:r>
      <w:r>
        <w:t xml:space="preserve"> </w:t>
      </w:r>
      <w:r>
        <w:rPr>
          <w:iCs/>
          <w:i/>
        </w:rPr>
        <w:t xml:space="preserve">Diabetes Care</w:t>
      </w:r>
      <w:r>
        <w:t xml:space="preserve"> </w:t>
      </w:r>
      <w:r>
        <w:t xml:space="preserve">· Effects of exenatide and lifestyle modification on body weight and glucose tolerance in obese subjects with and without pre-diabetes. PMID 20332357</w:t>
      </w:r>
    </w:p>
    <w:p>
      <w:pPr>
        <w:numPr>
          <w:ilvl w:val="0"/>
          <w:numId w:val="1375"/>
        </w:numPr>
        <w:pStyle w:val="Compact"/>
      </w:pPr>
      <w:r>
        <w:t xml:space="preserve">2010 · Buse JB ·</w:t>
      </w:r>
      <w:r>
        <w:t xml:space="preserve"> </w:t>
      </w:r>
      <w:r>
        <w:rPr>
          <w:iCs/>
          <w:i/>
        </w:rPr>
        <w:t xml:space="preserve">Diabetes Care</w:t>
      </w:r>
      <w:r>
        <w:t xml:space="preserve"> </w:t>
      </w:r>
      <w:r>
        <w:t xml:space="preserve">· Switching to once-daily liraglutide from twice-daily exenatide further improves glycemic control in patients with type 2 diabetes using oral agents. PMID 20332351</w:t>
      </w:r>
    </w:p>
    <w:p>
      <w:pPr>
        <w:numPr>
          <w:ilvl w:val="0"/>
          <w:numId w:val="1375"/>
        </w:numPr>
        <w:pStyle w:val="Compact"/>
      </w:pPr>
      <w:r>
        <w:t xml:space="preserve">2010 · Buse JB ·</w:t>
      </w:r>
      <w:r>
        <w:t xml:space="preserve"> </w:t>
      </w:r>
      <w:r>
        <w:rPr>
          <w:iCs/>
          <w:i/>
        </w:rPr>
        <w:t xml:space="preserve">Diabetes Care</w:t>
      </w:r>
      <w:r>
        <w:t xml:space="preserve"> </w:t>
      </w:r>
      <w:r>
        <w:t xml:space="preserve">· DURATION-1: exenatide once weekly produces sustained glycemic control and weight loss over 52 weeks. PMID 20215461</w:t>
      </w:r>
    </w:p>
    <w:p>
      <w:pPr>
        <w:numPr>
          <w:ilvl w:val="0"/>
          <w:numId w:val="1375"/>
        </w:numPr>
        <w:pStyle w:val="Compact"/>
      </w:pPr>
      <w:r>
        <w:t xml:space="preserve">2010 · Koska J ·</w:t>
      </w:r>
      <w:r>
        <w:t xml:space="preserve"> </w:t>
      </w:r>
      <w:r>
        <w:rPr>
          <w:iCs/>
          <w:i/>
        </w:rPr>
        <w:t xml:space="preserve">Diabetes Care</w:t>
      </w:r>
      <w:r>
        <w:t xml:space="preserve"> </w:t>
      </w:r>
      <w:r>
        <w:t xml:space="preserve">· Improvement of postprandial endothelial function after a single dose of exenatide in individuals with impaired glucose tolerance and recent-onset type 2 diabetes. PMID 20200309</w:t>
      </w:r>
    </w:p>
    <w:p>
      <w:pPr>
        <w:numPr>
          <w:ilvl w:val="0"/>
          <w:numId w:val="1375"/>
        </w:numPr>
        <w:pStyle w:val="Compact"/>
      </w:pPr>
      <w:r>
        <w:t xml:space="preserve">2010 · Roubícek T ·</w:t>
      </w:r>
      <w:r>
        <w:t xml:space="preserve"> </w:t>
      </w:r>
      <w:r>
        <w:rPr>
          <w:iCs/>
          <w:i/>
        </w:rPr>
        <w:t xml:space="preserve">Vnitr Lek</w:t>
      </w:r>
      <w:r>
        <w:t xml:space="preserve"> </w:t>
      </w:r>
      <w:r>
        <w:t xml:space="preserve">· [The influence of 6-months treatment with exenatide on type 2 diabetes mellitus compensation, anthropometric and biochemical parameters]. PMID 20184107</w:t>
      </w:r>
    </w:p>
    <w:p>
      <w:pPr>
        <w:numPr>
          <w:ilvl w:val="0"/>
          <w:numId w:val="1375"/>
        </w:numPr>
        <w:pStyle w:val="Compact"/>
      </w:pPr>
      <w:r>
        <w:t xml:space="preserve">2010 · Derosa G ·</w:t>
      </w:r>
      <w:r>
        <w:t xml:space="preserve"> </w:t>
      </w:r>
      <w:r>
        <w:rPr>
          <w:iCs/>
          <w:i/>
        </w:rPr>
        <w:t xml:space="preserve">Diabetes Technol Ther</w:t>
      </w:r>
      <w:r>
        <w:t xml:space="preserve"> </w:t>
      </w:r>
      <w:r>
        <w:t xml:space="preserve">· Exenatide versus glibenclamide in patients with diabetes. PMID 20151774</w:t>
      </w:r>
    </w:p>
    <w:p>
      <w:pPr>
        <w:numPr>
          <w:ilvl w:val="0"/>
          <w:numId w:val="1375"/>
        </w:numPr>
        <w:pStyle w:val="Compact"/>
      </w:pPr>
      <w:r>
        <w:t xml:space="preserve">2010 · Gill A ·</w:t>
      </w:r>
      <w:r>
        <w:t xml:space="preserve"> </w:t>
      </w:r>
      <w:r>
        <w:rPr>
          <w:iCs/>
          <w:i/>
        </w:rPr>
        <w:t xml:space="preserve">Cardiovasc Diabetol</w:t>
      </w:r>
      <w:r>
        <w:t xml:space="preserve"> </w:t>
      </w:r>
      <w:r>
        <w:t xml:space="preserve">· Effect of exenatide on heart rate and blood pressure in subjects with type 2 diabetes mellitus: a double-blind, placebo-controlled, randomized pilot study. PMID 20109208</w:t>
      </w:r>
    </w:p>
    <w:p>
      <w:pPr>
        <w:numPr>
          <w:ilvl w:val="0"/>
          <w:numId w:val="1375"/>
        </w:numPr>
        <w:pStyle w:val="Compact"/>
      </w:pPr>
      <w:r>
        <w:t xml:space="preserve">2010 · DeFronzo RA ·</w:t>
      </w:r>
      <w:r>
        <w:t xml:space="preserve"> </w:t>
      </w:r>
      <w:r>
        <w:rPr>
          <w:iCs/>
          <w:i/>
        </w:rPr>
        <w:t xml:space="preserve">Diabetes Care</w:t>
      </w:r>
      <w:r>
        <w:t xml:space="preserve"> </w:t>
      </w:r>
      <w:r>
        <w:t xml:space="preserve">· Effects of exenatide plus rosiglitazone on beta-cell function and insulin sensitivity in subjects with type 2 diabetes on metformin. PMID 20107105</w:t>
      </w:r>
    </w:p>
    <w:p>
      <w:pPr>
        <w:numPr>
          <w:ilvl w:val="0"/>
          <w:numId w:val="1375"/>
        </w:numPr>
        <w:pStyle w:val="Compact"/>
      </w:pPr>
      <w:r>
        <w:t xml:space="preserve">2009 · Faradji RN ·</w:t>
      </w:r>
      <w:r>
        <w:t xml:space="preserve"> </w:t>
      </w:r>
      <w:r>
        <w:rPr>
          <w:iCs/>
          <w:i/>
        </w:rPr>
        <w:t xml:space="preserve">Cell Transplant</w:t>
      </w:r>
      <w:r>
        <w:t xml:space="preserve"> </w:t>
      </w:r>
      <w:r>
        <w:t xml:space="preserve">· Long-term metabolic and hormonal effects of exenatide on islet transplant recipients with allograft dysfunction. PMID 20003758</w:t>
      </w:r>
    </w:p>
    <w:p>
      <w:pPr>
        <w:numPr>
          <w:ilvl w:val="0"/>
          <w:numId w:val="1375"/>
        </w:numPr>
        <w:pStyle w:val="Compact"/>
      </w:pPr>
      <w:r>
        <w:t xml:space="preserve">2009 · Davies MJ ·</w:t>
      </w:r>
      <w:r>
        <w:t xml:space="preserve"> </w:t>
      </w:r>
      <w:r>
        <w:rPr>
          <w:iCs/>
          <w:i/>
        </w:rPr>
        <w:t xml:space="preserve">Diabetes Obes Metab</w:t>
      </w:r>
      <w:r>
        <w:t xml:space="preserve"> </w:t>
      </w:r>
      <w:r>
        <w:t xml:space="preserve">· Exenatide compared with long-acting insulin to achieve glycaemic control with minimal weight gain in patients with type 2 diabetes: results of the Helping Evaluate Exenatide in patients with diabetes compared with Long-Acting insulin (HEELA) study. PMID 19930005</w:t>
      </w:r>
    </w:p>
    <w:p>
      <w:pPr>
        <w:numPr>
          <w:ilvl w:val="0"/>
          <w:numId w:val="1375"/>
        </w:numPr>
        <w:pStyle w:val="Compact"/>
      </w:pPr>
      <w:r>
        <w:t xml:space="preserve">2009 · Linnebjerg H ·</w:t>
      </w:r>
      <w:r>
        <w:t xml:space="preserve"> </w:t>
      </w:r>
      <w:r>
        <w:rPr>
          <w:iCs/>
          <w:i/>
        </w:rPr>
        <w:t xml:space="preserve">Int J Clin Pharmacol Ther</w:t>
      </w:r>
      <w:r>
        <w:t xml:space="preserve"> </w:t>
      </w:r>
      <w:r>
        <w:t xml:space="preserve">· The effect of exenatide on lisinopril pharmacodynamics and pharmacokinetics in patients with hypertension. PMID 19840529</w:t>
      </w:r>
    </w:p>
    <w:p>
      <w:pPr>
        <w:numPr>
          <w:ilvl w:val="0"/>
          <w:numId w:val="1375"/>
        </w:numPr>
        <w:pStyle w:val="Compact"/>
      </w:pPr>
      <w:r>
        <w:t xml:space="preserve">2009 · Rother KI ·</w:t>
      </w:r>
      <w:r>
        <w:t xml:space="preserve"> </w:t>
      </w:r>
      <w:r>
        <w:rPr>
          <w:iCs/>
          <w:i/>
        </w:rPr>
        <w:t xml:space="preserve">Diabetes Care</w:t>
      </w:r>
      <w:r>
        <w:t xml:space="preserve"> </w:t>
      </w:r>
      <w:r>
        <w:t xml:space="preserve">· Effects of exenatide alone and in combination with daclizumab on beta-cell function in long-standing type 1 diabetes. PMID 19808924</w:t>
      </w:r>
    </w:p>
    <w:p>
      <w:pPr>
        <w:numPr>
          <w:ilvl w:val="0"/>
          <w:numId w:val="1375"/>
        </w:numPr>
        <w:pStyle w:val="Compact"/>
      </w:pPr>
      <w:r>
        <w:t xml:space="preserve">2009 · Iwamoto K ·</w:t>
      </w:r>
      <w:r>
        <w:t xml:space="preserve"> </w:t>
      </w:r>
      <w:r>
        <w:rPr>
          <w:iCs/>
          <w:i/>
        </w:rPr>
        <w:t xml:space="preserve">Endocr J</w:t>
      </w:r>
      <w:r>
        <w:t xml:space="preserve"> </w:t>
      </w:r>
      <w:r>
        <w:t xml:space="preserve">· Safety, tolerability, pharmacokinetics, and pharmacodynamics of exenatide once weekly in Japanese patients with type 2 diabetes. PMID 19706990</w:t>
      </w:r>
    </w:p>
    <w:p>
      <w:pPr>
        <w:numPr>
          <w:ilvl w:val="0"/>
          <w:numId w:val="1375"/>
        </w:numPr>
        <w:pStyle w:val="Compact"/>
      </w:pPr>
      <w:r>
        <w:t xml:space="preserve">2009 · Brändle M ·</w:t>
      </w:r>
      <w:r>
        <w:t xml:space="preserve"> </w:t>
      </w:r>
      <w:r>
        <w:rPr>
          <w:iCs/>
          <w:i/>
        </w:rPr>
        <w:t xml:space="preserve">Int J Clin Pharmacol Ther</w:t>
      </w:r>
      <w:r>
        <w:t xml:space="preserve"> </w:t>
      </w:r>
      <w:r>
        <w:t xml:space="preserve">· Exenatide versus insulin glargine: a cost-effectiveness evaluation in patients with Type 2 diabetes in Switzerland. PMID 19640359</w:t>
      </w:r>
    </w:p>
    <w:p>
      <w:pPr>
        <w:numPr>
          <w:ilvl w:val="0"/>
          <w:numId w:val="1375"/>
        </w:numPr>
        <w:pStyle w:val="Compact"/>
      </w:pPr>
      <w:r>
        <w:t xml:space="preserve">2009 · Rosenstock J ·</w:t>
      </w:r>
      <w:r>
        <w:t xml:space="preserve"> </w:t>
      </w:r>
      <w:r>
        <w:rPr>
          <w:iCs/>
          <w:i/>
        </w:rPr>
        <w:t xml:space="preserve">Diabetes Care</w:t>
      </w:r>
      <w:r>
        <w:t xml:space="preserve"> </w:t>
      </w:r>
      <w:r>
        <w:t xml:space="preserve">· Potential of albiglutide, a long-acting GLP-1 receptor agonist, in type 2 diabetes: a randomized controlled trial exploring weekly, biweekly, and monthly dosing. PMID 19592625</w:t>
      </w:r>
    </w:p>
    <w:p>
      <w:pPr>
        <w:numPr>
          <w:ilvl w:val="0"/>
          <w:numId w:val="1375"/>
        </w:numPr>
        <w:pStyle w:val="Compact"/>
      </w:pPr>
      <w:r>
        <w:t xml:space="preserve">2009 · Faludi P ·</w:t>
      </w:r>
      <w:r>
        <w:t xml:space="preserve"> </w:t>
      </w:r>
      <w:r>
        <w:rPr>
          <w:iCs/>
          <w:i/>
        </w:rPr>
        <w:t xml:space="preserve">Peptides</w:t>
      </w:r>
      <w:r>
        <w:t xml:space="preserve"> </w:t>
      </w:r>
      <w:r>
        <w:t xml:space="preserve">· The effect of exenatide re-exposure on safety and efficacy. PMID 19576255</w:t>
      </w:r>
    </w:p>
    <w:p>
      <w:pPr>
        <w:numPr>
          <w:ilvl w:val="0"/>
          <w:numId w:val="1375"/>
        </w:numPr>
        <w:pStyle w:val="Compact"/>
      </w:pPr>
      <w:r>
        <w:t xml:space="preserve">2009 · Best JH ·</w:t>
      </w:r>
      <w:r>
        <w:t xml:space="preserve"> </w:t>
      </w:r>
      <w:r>
        <w:rPr>
          <w:iCs/>
          <w:i/>
        </w:rPr>
        <w:t xml:space="preserve">Diabet Med</w:t>
      </w:r>
      <w:r>
        <w:t xml:space="preserve"> </w:t>
      </w:r>
      <w:r>
        <w:t xml:space="preserve">· Improved treatment satisfaction and weight-related quality of life with exenatide once weekly or twice daily. PMID 19573122</w:t>
      </w:r>
    </w:p>
    <w:p>
      <w:pPr>
        <w:numPr>
          <w:ilvl w:val="0"/>
          <w:numId w:val="1375"/>
        </w:numPr>
        <w:pStyle w:val="Compact"/>
      </w:pPr>
      <w:r>
        <w:t xml:space="preserve">2009 · Buse JB ·</w:t>
      </w:r>
      <w:r>
        <w:t xml:space="preserve"> </w:t>
      </w:r>
      <w:r>
        <w:rPr>
          <w:iCs/>
          <w:i/>
        </w:rPr>
        <w:t xml:space="preserve">Lancet</w:t>
      </w:r>
      <w:r>
        <w:t xml:space="preserve"> </w:t>
      </w:r>
      <w:r>
        <w:t xml:space="preserve">· Liraglutide once a day versus exenatide twice a day for type 2 diabetes: a 26-week randomised, parallel-group, multinational, open-label trial (LEAD-6). PMID 19515413</w:t>
      </w:r>
    </w:p>
    <w:p>
      <w:pPr>
        <w:numPr>
          <w:ilvl w:val="0"/>
          <w:numId w:val="1375"/>
        </w:numPr>
        <w:pStyle w:val="Compact"/>
      </w:pPr>
      <w:r>
        <w:t xml:space="preserve">2009 · Mazze R ·</w:t>
      </w:r>
      <w:r>
        <w:t xml:space="preserve"> </w:t>
      </w:r>
      <w:r>
        <w:rPr>
          <w:iCs/>
          <w:i/>
        </w:rPr>
        <w:t xml:space="preserve">Endocr Pract</w:t>
      </w:r>
      <w:r>
        <w:t xml:space="preserve"> </w:t>
      </w:r>
      <w:r>
        <w:t xml:space="preserve">· Diurnal glucose patterns of exenatide once weekly: a 1-year study using continuous glucose monitoring with ambulatory glucose profile analysis. PMID 19454385</w:t>
      </w:r>
    </w:p>
    <w:p>
      <w:pPr>
        <w:numPr>
          <w:ilvl w:val="0"/>
          <w:numId w:val="1375"/>
        </w:numPr>
        <w:pStyle w:val="Compact"/>
      </w:pPr>
      <w:r>
        <w:t xml:space="preserve">2009 · Malloy J ·</w:t>
      </w:r>
      <w:r>
        <w:t xml:space="preserve"> </w:t>
      </w:r>
      <w:r>
        <w:rPr>
          <w:iCs/>
          <w:i/>
        </w:rPr>
        <w:t xml:space="preserve">Clin Ther</w:t>
      </w:r>
      <w:r>
        <w:t xml:space="preserve"> </w:t>
      </w:r>
      <w:r>
        <w:t xml:space="preserve">· Pharmacology and tolerability of a single dose of exenatide in adolescent patients with type 2 diabetes mellitus being treated with metformin: a randomized, placebo-controlled, single-blind, dose-escalation, crossover study. PMID 19446153</w:t>
      </w:r>
    </w:p>
    <w:p>
      <w:pPr>
        <w:numPr>
          <w:ilvl w:val="0"/>
          <w:numId w:val="1375"/>
        </w:numPr>
        <w:pStyle w:val="Compact"/>
      </w:pPr>
      <w:r>
        <w:t xml:space="preserve">2009 · Bergenstal R ·</w:t>
      </w:r>
      <w:r>
        <w:t xml:space="preserve"> </w:t>
      </w:r>
      <w:r>
        <w:rPr>
          <w:iCs/>
          <w:i/>
        </w:rPr>
        <w:t xml:space="preserve">Curr Med Res Opin</w:t>
      </w:r>
      <w:r>
        <w:t xml:space="preserve"> </w:t>
      </w:r>
      <w:r>
        <w:t xml:space="preserve">· Efficacy and safety of biphasic insulin aspart 70/30 versus exenatide in subjects with type 2 diabetes failing to achieve glycemic control with metformin and a sulfonylurea. PMID 19210140</w:t>
      </w:r>
    </w:p>
    <w:p>
      <w:pPr>
        <w:numPr>
          <w:ilvl w:val="0"/>
          <w:numId w:val="1375"/>
        </w:numPr>
        <w:pStyle w:val="Compact"/>
      </w:pPr>
      <w:r>
        <w:t xml:space="preserve">2009 · Bunck MC ·</w:t>
      </w:r>
      <w:r>
        <w:t xml:space="preserve"> </w:t>
      </w:r>
      <w:r>
        <w:rPr>
          <w:iCs/>
          <w:i/>
        </w:rPr>
        <w:t xml:space="preserve">Diabetes Care</w:t>
      </w:r>
      <w:r>
        <w:t xml:space="preserve"> </w:t>
      </w:r>
      <w:r>
        <w:t xml:space="preserve">· One-year treatment with exenatide improves beta-cell function, compared with insulin glargine, in metformin-treated type 2 diabetic patients: a randomized, controlled trial. PMID 19196887</w:t>
      </w:r>
    </w:p>
    <w:p>
      <w:pPr>
        <w:numPr>
          <w:ilvl w:val="0"/>
          <w:numId w:val="1375"/>
        </w:numPr>
        <w:pStyle w:val="Compact"/>
      </w:pPr>
      <w:r>
        <w:t xml:space="preserve">2009 · Kadowaki T ·</w:t>
      </w:r>
      <w:r>
        <w:t xml:space="preserve"> </w:t>
      </w:r>
      <w:r>
        <w:rPr>
          <w:iCs/>
          <w:i/>
        </w:rPr>
        <w:t xml:space="preserve">Endocr J</w:t>
      </w:r>
      <w:r>
        <w:t xml:space="preserve"> </w:t>
      </w:r>
      <w:r>
        <w:t xml:space="preserve">· Exenatide exhibits dose-dependent effects on glycemic control over 12 weeks in Japanese patients with suboptimally controlled type 2 diabetes. PMID 19194050</w:t>
      </w:r>
    </w:p>
    <w:p>
      <w:pPr>
        <w:numPr>
          <w:ilvl w:val="0"/>
          <w:numId w:val="1375"/>
        </w:numPr>
        <w:pStyle w:val="Compact"/>
      </w:pPr>
      <w:r>
        <w:t xml:space="preserve">2009 · Gao Y ·</w:t>
      </w:r>
      <w:r>
        <w:t xml:space="preserve"> </w:t>
      </w:r>
      <w:r>
        <w:rPr>
          <w:iCs/>
          <w:i/>
        </w:rPr>
        <w:t xml:space="preserve">Diabetes Res Clin Pract</w:t>
      </w:r>
      <w:r>
        <w:t xml:space="preserve"> </w:t>
      </w:r>
      <w:r>
        <w:t xml:space="preserve">· Efficacy and safety of exenatide in patients of Asian descent with type 2 diabetes inadequately controlled with metformin or metformin and a sulphonylurea. PMID 19019476</w:t>
      </w:r>
    </w:p>
    <w:p>
      <w:pPr>
        <w:numPr>
          <w:ilvl w:val="0"/>
          <w:numId w:val="1375"/>
        </w:numPr>
        <w:pStyle w:val="Compact"/>
      </w:pPr>
      <w:r>
        <w:t xml:space="preserve">2008 · Kothare PA ·</w:t>
      </w:r>
      <w:r>
        <w:t xml:space="preserve"> </w:t>
      </w:r>
      <w:r>
        <w:rPr>
          <w:iCs/>
          <w:i/>
        </w:rPr>
        <w:t xml:space="preserve">J Clin Pharmacol</w:t>
      </w:r>
      <w:r>
        <w:t xml:space="preserve"> </w:t>
      </w:r>
      <w:r>
        <w:t xml:space="preserve">· Pharmacokinetics, pharmacodynamics, tolerability, and safety of exenatide in Japanese patients with type 2 diabetes mellitus. PMID 19047364</w:t>
      </w:r>
    </w:p>
    <w:p>
      <w:pPr>
        <w:numPr>
          <w:ilvl w:val="0"/>
          <w:numId w:val="1375"/>
        </w:numPr>
        <w:pStyle w:val="Compact"/>
      </w:pPr>
      <w:r>
        <w:t xml:space="preserve">2008 · Moretto TJ ·</w:t>
      </w:r>
      <w:r>
        <w:t xml:space="preserve"> </w:t>
      </w:r>
      <w:r>
        <w:rPr>
          <w:iCs/>
          <w:i/>
        </w:rPr>
        <w:t xml:space="preserve">Clin Ther</w:t>
      </w:r>
      <w:r>
        <w:t xml:space="preserve"> </w:t>
      </w:r>
      <w:r>
        <w:t xml:space="preserve">· Efficacy and tolerability of exenatide monotherapy over 24 weeks in antidiabetic drug-naive patients with type 2 diabetes: a randomized, double-blind, placebo-controlled, parallel-group study. PMID 18803987</w:t>
      </w:r>
    </w:p>
    <w:p>
      <w:pPr>
        <w:numPr>
          <w:ilvl w:val="0"/>
          <w:numId w:val="1375"/>
        </w:numPr>
        <w:pStyle w:val="Compact"/>
      </w:pPr>
      <w:r>
        <w:t xml:space="preserve">2008 · Zhao X ·</w:t>
      </w:r>
      <w:r>
        <w:t xml:space="preserve"> </w:t>
      </w:r>
      <w:r>
        <w:rPr>
          <w:iCs/>
          <w:i/>
        </w:rPr>
        <w:t xml:space="preserve">Int J Clin Pharmacol Ther</w:t>
      </w:r>
      <w:r>
        <w:t xml:space="preserve"> </w:t>
      </w:r>
      <w:r>
        <w:t xml:space="preserve">· Exenatide pharmacokinetics in healthy Chinese subjects. PMID 18793576</w:t>
      </w:r>
    </w:p>
    <w:p>
      <w:pPr>
        <w:numPr>
          <w:ilvl w:val="0"/>
          <w:numId w:val="1375"/>
        </w:numPr>
        <w:pStyle w:val="Compact"/>
      </w:pPr>
      <w:r>
        <w:t xml:space="preserve">2008 · DeFronzo RA ·</w:t>
      </w:r>
      <w:r>
        <w:t xml:space="preserve"> </w:t>
      </w:r>
      <w:r>
        <w:rPr>
          <w:iCs/>
          <w:i/>
        </w:rPr>
        <w:t xml:space="preserve">Curr Med Res Opin</w:t>
      </w:r>
      <w:r>
        <w:t xml:space="preserve"> </w:t>
      </w:r>
      <w:r>
        <w:t xml:space="preserve">· Effects of exenatide versus sitagliptin on postprandial glucose, insulin and glucagon secretion, gastric emptying, and caloric intake: a randomized, cross-over study. PMID 18786299</w:t>
      </w:r>
    </w:p>
    <w:p>
      <w:pPr>
        <w:numPr>
          <w:ilvl w:val="0"/>
          <w:numId w:val="1375"/>
        </w:numPr>
        <w:pStyle w:val="Compact"/>
      </w:pPr>
      <w:r>
        <w:t xml:space="preserve">2008 · Drucker DJ ·</w:t>
      </w:r>
      <w:r>
        <w:t xml:space="preserve"> </w:t>
      </w:r>
      <w:r>
        <w:rPr>
          <w:iCs/>
          <w:i/>
        </w:rPr>
        <w:t xml:space="preserve">Lancet</w:t>
      </w:r>
      <w:r>
        <w:t xml:space="preserve"> </w:t>
      </w:r>
      <w:r>
        <w:t xml:space="preserve">· Exenatide once weekly versus twice daily for the treatment of type 2 diabetes: a randomised, open-label, non-inferiority study. PMID 18782641</w:t>
      </w:r>
    </w:p>
    <w:p>
      <w:pPr>
        <w:numPr>
          <w:ilvl w:val="0"/>
          <w:numId w:val="1375"/>
        </w:numPr>
        <w:pStyle w:val="Compact"/>
      </w:pPr>
      <w:r>
        <w:t xml:space="preserve">2008 · Linnebjerg H ·</w:t>
      </w:r>
      <w:r>
        <w:t xml:space="preserve"> </w:t>
      </w:r>
      <w:r>
        <w:rPr>
          <w:iCs/>
          <w:i/>
        </w:rPr>
        <w:t xml:space="preserve">Regul Pept</w:t>
      </w:r>
      <w:r>
        <w:t xml:space="preserve"> </w:t>
      </w:r>
      <w:r>
        <w:t xml:space="preserve">· Effect of exenatide on gastric emptying and relationship to postprandial glycemia in type 2 diabetes. PMID 18675854</w:t>
      </w:r>
    </w:p>
    <w:p>
      <w:pPr>
        <w:numPr>
          <w:ilvl w:val="0"/>
          <w:numId w:val="1375"/>
        </w:numPr>
        <w:pStyle w:val="Compact"/>
      </w:pPr>
      <w:r>
        <w:t xml:space="preserve">2008 · Forti A ·</w:t>
      </w:r>
      <w:r>
        <w:t xml:space="preserve"> </w:t>
      </w:r>
      <w:r>
        <w:rPr>
          <w:iCs/>
          <w:i/>
        </w:rPr>
        <w:t xml:space="preserve">Curr Med Res Opin</w:t>
      </w:r>
      <w:r>
        <w:t xml:space="preserve"> </w:t>
      </w:r>
      <w:r>
        <w:t xml:space="preserve">· Efficacy and safety of exenatide administered before the two largest daily meals of Latin American patients with type 2 diabetes. PMID 18662495</w:t>
      </w:r>
    </w:p>
    <w:p>
      <w:pPr>
        <w:numPr>
          <w:ilvl w:val="0"/>
          <w:numId w:val="1375"/>
        </w:numPr>
        <w:pStyle w:val="Compact"/>
      </w:pPr>
      <w:r>
        <w:t xml:space="preserve">2008 · Schwartz SL ·</w:t>
      </w:r>
      <w:r>
        <w:t xml:space="preserve"> </w:t>
      </w:r>
      <w:r>
        <w:rPr>
          <w:iCs/>
          <w:i/>
        </w:rPr>
        <w:t xml:space="preserve">Clin Ther</w:t>
      </w:r>
      <w:r>
        <w:t xml:space="preserve"> </w:t>
      </w:r>
      <w:r>
        <w:t xml:space="preserve">· Effect of exenatide on 24-hour blood glucose profile compared with placebo in patients with type 2 diabetes: a randomized, double-blind, two-arm, parallel-group, placebo-controlled, 2-week study. PMID 18555933</w:t>
      </w:r>
    </w:p>
    <w:p>
      <w:pPr>
        <w:numPr>
          <w:ilvl w:val="0"/>
          <w:numId w:val="1375"/>
        </w:numPr>
        <w:pStyle w:val="Compact"/>
      </w:pPr>
      <w:r>
        <w:t xml:space="preserve">2008 · Elkind-Hirsch K ·</w:t>
      </w:r>
      <w:r>
        <w:t xml:space="preserve"> </w:t>
      </w:r>
      <w:r>
        <w:rPr>
          <w:iCs/>
          <w:i/>
        </w:rPr>
        <w:t xml:space="preserve">J Clin Endocrinol Metab</w:t>
      </w:r>
      <w:r>
        <w:t xml:space="preserve"> </w:t>
      </w:r>
      <w:r>
        <w:t xml:space="preserve">· Comparison of single and combined treatment with exenatide and metformin on menstrual cyclicity in overweight women with polycystic ovary syndrome. PMID 18460557</w:t>
      </w:r>
    </w:p>
    <w:p>
      <w:pPr>
        <w:numPr>
          <w:ilvl w:val="0"/>
          <w:numId w:val="1375"/>
        </w:numPr>
        <w:pStyle w:val="Compact"/>
      </w:pPr>
      <w:r>
        <w:t xml:space="preserve">2008 · Gangemi A ·</w:t>
      </w:r>
      <w:r>
        <w:t xml:space="preserve"> </w:t>
      </w:r>
      <w:r>
        <w:rPr>
          <w:iCs/>
          <w:i/>
        </w:rPr>
        <w:t xml:space="preserve">Am J Transplant</w:t>
      </w:r>
      <w:r>
        <w:t xml:space="preserve"> </w:t>
      </w:r>
      <w:r>
        <w:t xml:space="preserve">· Islet transplantation for brittle type 1 diabetes: the UIC protocol. PMID 18444920</w:t>
      </w:r>
    </w:p>
    <w:p>
      <w:pPr>
        <w:numPr>
          <w:ilvl w:val="0"/>
          <w:numId w:val="1375"/>
        </w:numPr>
        <w:pStyle w:val="Compact"/>
      </w:pPr>
      <w:r>
        <w:t xml:space="preserve">2008 · Brodows RG ·</w:t>
      </w:r>
      <w:r>
        <w:t xml:space="preserve"> </w:t>
      </w:r>
      <w:r>
        <w:rPr>
          <w:iCs/>
          <w:i/>
        </w:rPr>
        <w:t xml:space="preserve">Curr Med Res Opin</w:t>
      </w:r>
      <w:r>
        <w:t xml:space="preserve"> </w:t>
      </w:r>
      <w:r>
        <w:t xml:space="preserve">· Quantifying the effect of exenatide and insulin glargine on postprandial glucose excursions in patients with type 2 diabetes. PMID 18394265</w:t>
      </w:r>
    </w:p>
    <w:p>
      <w:pPr>
        <w:numPr>
          <w:ilvl w:val="0"/>
          <w:numId w:val="1375"/>
        </w:numPr>
        <w:pStyle w:val="Compact"/>
      </w:pPr>
      <w:r>
        <w:t xml:space="preserve">2008 · Minshall ME ·</w:t>
      </w:r>
      <w:r>
        <w:t xml:space="preserve"> </w:t>
      </w:r>
      <w:r>
        <w:rPr>
          <w:iCs/>
          <w:i/>
        </w:rPr>
        <w:t xml:space="preserve">Value Health</w:t>
      </w:r>
      <w:r>
        <w:t xml:space="preserve"> </w:t>
      </w:r>
      <w:r>
        <w:t xml:space="preserve">· Estimating the long-term cost-effectiveness of exenatide in the United States: an adjunctive treatment for type 2 diabetes mellitus. PMID 18237357</w:t>
      </w:r>
    </w:p>
    <w:p>
      <w:pPr>
        <w:numPr>
          <w:ilvl w:val="0"/>
          <w:numId w:val="1375"/>
        </w:numPr>
        <w:pStyle w:val="Compact"/>
      </w:pPr>
      <w:r>
        <w:t xml:space="preserve">2008 · Glass LC ·</w:t>
      </w:r>
      <w:r>
        <w:t xml:space="preserve"> </w:t>
      </w:r>
      <w:r>
        <w:rPr>
          <w:iCs/>
          <w:i/>
        </w:rPr>
        <w:t xml:space="preserve">Curr Med Res Opin</w:t>
      </w:r>
      <w:r>
        <w:t xml:space="preserve"> </w:t>
      </w:r>
      <w:r>
        <w:t xml:space="preserve">· Effects of exenatide versus insulin analogues on weight change in subjects with type 2 diabetes: a pooled post-hoc analysis. PMID 18218179</w:t>
      </w:r>
    </w:p>
    <w:p>
      <w:pPr>
        <w:numPr>
          <w:ilvl w:val="0"/>
          <w:numId w:val="1375"/>
        </w:numPr>
        <w:pStyle w:val="Compact"/>
      </w:pPr>
      <w:r>
        <w:t xml:space="preserve">2008 · Klonoff DC ·</w:t>
      </w:r>
      <w:r>
        <w:t xml:space="preserve"> </w:t>
      </w:r>
      <w:r>
        <w:rPr>
          <w:iCs/>
          <w:i/>
        </w:rPr>
        <w:t xml:space="preserve">Curr Med Res Opin</w:t>
      </w:r>
      <w:r>
        <w:t xml:space="preserve"> </w:t>
      </w:r>
      <w:r>
        <w:t xml:space="preserve">· Exenatide effects on diabetes, obesity, cardiovascular risk factors and hepatic biomarkers in patients with type 2 diabetes treated for at least 3 years. PMID 18053320</w:t>
      </w:r>
    </w:p>
    <w:p>
      <w:pPr>
        <w:numPr>
          <w:ilvl w:val="0"/>
          <w:numId w:val="1375"/>
        </w:numPr>
        <w:pStyle w:val="Compact"/>
      </w:pPr>
      <w:r>
        <w:t xml:space="preserve">2007 · Barnett AH ·</w:t>
      </w:r>
      <w:r>
        <w:t xml:space="preserve"> </w:t>
      </w:r>
      <w:r>
        <w:rPr>
          <w:iCs/>
          <w:i/>
        </w:rPr>
        <w:t xml:space="preserve">Clin Ther</w:t>
      </w:r>
      <w:r>
        <w:t xml:space="preserve"> </w:t>
      </w:r>
      <w:r>
        <w:t xml:space="preserve">· Tolerability and efficacy of exenatide and titrated insulin glargine in adult patients with type 2 diabetes previously uncontrolled with metformin or a sulfonylurea: a multinational, randomized, open-label, two-period, crossover noninferiority trial. PMID 18158075</w:t>
      </w:r>
    </w:p>
    <w:p>
      <w:pPr>
        <w:numPr>
          <w:ilvl w:val="0"/>
          <w:numId w:val="1375"/>
        </w:numPr>
        <w:pStyle w:val="Compact"/>
      </w:pPr>
      <w:r>
        <w:t xml:space="preserve">2007 · Nelson P ·</w:t>
      </w:r>
      <w:r>
        <w:t xml:space="preserve"> </w:t>
      </w:r>
      <w:r>
        <w:rPr>
          <w:iCs/>
          <w:i/>
        </w:rPr>
        <w:t xml:space="preserve">Diabetes Technol Ther</w:t>
      </w:r>
      <w:r>
        <w:t xml:space="preserve"> </w:t>
      </w:r>
      <w:r>
        <w:t xml:space="preserve">· The incretin mimetic exenatide as a monotherapy in patients with type 2 diabetes. PMID 17705687</w:t>
      </w:r>
    </w:p>
    <w:p>
      <w:pPr>
        <w:numPr>
          <w:ilvl w:val="0"/>
          <w:numId w:val="1375"/>
        </w:numPr>
        <w:pStyle w:val="Compact"/>
      </w:pPr>
      <w:r>
        <w:t xml:space="preserve">2007 · Davis SN ·</w:t>
      </w:r>
      <w:r>
        <w:t xml:space="preserve"> </w:t>
      </w:r>
      <w:r>
        <w:rPr>
          <w:iCs/>
          <w:i/>
        </w:rPr>
        <w:t xml:space="preserve">Diabetes Care</w:t>
      </w:r>
      <w:r>
        <w:t xml:space="preserve"> </w:t>
      </w:r>
      <w:r>
        <w:t xml:space="preserve">· Exploring the substitution of exenatide for insulin in patients with type 2 diabetes treated with insulin in combination with oral antidiabetes agents. PMID 17595353</w:t>
      </w:r>
    </w:p>
    <w:p>
      <w:pPr>
        <w:numPr>
          <w:ilvl w:val="0"/>
          <w:numId w:val="1375"/>
        </w:numPr>
        <w:pStyle w:val="Compact"/>
      </w:pPr>
      <w:r>
        <w:t xml:space="preserve">2007 · Linnebjerg H ·</w:t>
      </w:r>
      <w:r>
        <w:t xml:space="preserve"> </w:t>
      </w:r>
      <w:r>
        <w:rPr>
          <w:iCs/>
          <w:i/>
        </w:rPr>
        <w:t xml:space="preserve">Br J Clin Pharmacol</w:t>
      </w:r>
      <w:r>
        <w:t xml:space="preserve"> </w:t>
      </w:r>
      <w:r>
        <w:t xml:space="preserve">· Effect of renal impairment on the pharmacokinetics of exenatide. PMID 17425627</w:t>
      </w:r>
    </w:p>
    <w:p>
      <w:pPr>
        <w:numPr>
          <w:ilvl w:val="0"/>
          <w:numId w:val="1375"/>
        </w:numPr>
        <w:pStyle w:val="Compact"/>
      </w:pPr>
      <w:r>
        <w:t xml:space="preserve">2007 · Zinman B ·</w:t>
      </w:r>
      <w:r>
        <w:t xml:space="preserve"> </w:t>
      </w:r>
      <w:r>
        <w:rPr>
          <w:iCs/>
          <w:i/>
        </w:rPr>
        <w:t xml:space="preserve">Ann Intern Med</w:t>
      </w:r>
      <w:r>
        <w:t xml:space="preserve"> </w:t>
      </w:r>
      <w:r>
        <w:t xml:space="preserve">· The effect of adding exenatide to a thiazolidinedione in suboptimally controlled type 2 diabetes: a randomized trial. PMID 17404349</w:t>
      </w:r>
    </w:p>
    <w:p>
      <w:pPr>
        <w:numPr>
          <w:ilvl w:val="0"/>
          <w:numId w:val="1375"/>
        </w:numPr>
        <w:pStyle w:val="Compact"/>
      </w:pPr>
      <w:r>
        <w:t xml:space="preserve">2007 · Buse JB ·</w:t>
      </w:r>
      <w:r>
        <w:t xml:space="preserve"> </w:t>
      </w:r>
      <w:r>
        <w:rPr>
          <w:iCs/>
          <w:i/>
        </w:rPr>
        <w:t xml:space="preserve">Clin Ther</w:t>
      </w:r>
      <w:r>
        <w:t xml:space="preserve"> </w:t>
      </w:r>
      <w:r>
        <w:t xml:space="preserve">· Metabolic effects of two years of exenatide treatment on diabetes, obesity, and hepatic biomarkers in patients with type 2 diabetes: an interim analysis of data from the open-label, uncontrolled extension of three double-blind, placebo-controlled trials. PMID 17379054</w:t>
      </w:r>
    </w:p>
    <w:p>
      <w:pPr>
        <w:numPr>
          <w:ilvl w:val="0"/>
          <w:numId w:val="1375"/>
        </w:numPr>
        <w:pStyle w:val="Compact"/>
      </w:pPr>
      <w:r>
        <w:t xml:space="preserve">2007 · Ray JA ·</w:t>
      </w:r>
      <w:r>
        <w:t xml:space="preserve"> </w:t>
      </w:r>
      <w:r>
        <w:rPr>
          <w:iCs/>
          <w:i/>
        </w:rPr>
        <w:t xml:space="preserve">Curr Med Res Opin</w:t>
      </w:r>
      <w:r>
        <w:t xml:space="preserve"> </w:t>
      </w:r>
      <w:r>
        <w:t xml:space="preserve">· Exenatide versus insulin glargine in patients with type 2 diabetes in the UK: a model of long-term clinical and cost outcomes. PMID 17355742</w:t>
      </w:r>
    </w:p>
    <w:p>
      <w:pPr>
        <w:numPr>
          <w:ilvl w:val="0"/>
          <w:numId w:val="1375"/>
        </w:numPr>
        <w:pStyle w:val="Compact"/>
      </w:pPr>
      <w:r>
        <w:t xml:space="preserve">2007 · Kim D ·</w:t>
      </w:r>
      <w:r>
        <w:t xml:space="preserve"> </w:t>
      </w:r>
      <w:r>
        <w:rPr>
          <w:iCs/>
          <w:i/>
        </w:rPr>
        <w:t xml:space="preserve">Diabetes Care</w:t>
      </w:r>
      <w:r>
        <w:t xml:space="preserve"> </w:t>
      </w:r>
      <w:r>
        <w:t xml:space="preserve">· Effects of once-weekly dosing of a long-acting release formulation of exenatide on glucose control and body weight in subjects with type 2 diabetes. PMID 17353504</w:t>
      </w:r>
    </w:p>
    <w:p>
      <w:pPr>
        <w:numPr>
          <w:ilvl w:val="0"/>
          <w:numId w:val="1375"/>
        </w:numPr>
        <w:pStyle w:val="Compact"/>
      </w:pPr>
      <w:r>
        <w:t xml:space="preserve">2007 · Kothare PA ·</w:t>
      </w:r>
      <w:r>
        <w:t xml:space="preserve"> </w:t>
      </w:r>
      <w:r>
        <w:rPr>
          <w:iCs/>
          <w:i/>
        </w:rPr>
        <w:t xml:space="preserve">Int J Clin Pharmacol Ther</w:t>
      </w:r>
      <w:r>
        <w:t xml:space="preserve"> </w:t>
      </w:r>
      <w:r>
        <w:t xml:space="preserve">· Exenatide effects on statin pharmacokinetics and lipid response. PMID 17323791</w:t>
      </w:r>
    </w:p>
    <w:p>
      <w:pPr>
        <w:numPr>
          <w:ilvl w:val="0"/>
          <w:numId w:val="1375"/>
        </w:numPr>
        <w:pStyle w:val="Compact"/>
      </w:pPr>
      <w:r>
        <w:t xml:space="preserve">2007 · Ghofaili KA ·</w:t>
      </w:r>
      <w:r>
        <w:t xml:space="preserve"> </w:t>
      </w:r>
      <w:r>
        <w:rPr>
          <w:iCs/>
          <w:i/>
        </w:rPr>
        <w:t xml:space="preserve">Transplantation</w:t>
      </w:r>
      <w:r>
        <w:t xml:space="preserve"> </w:t>
      </w:r>
      <w:r>
        <w:t xml:space="preserve">· Effect of exenatide on beta cell function after islet transplantation in type 1 diabetes. PMID 17220786</w:t>
      </w:r>
    </w:p>
    <w:p>
      <w:pPr>
        <w:numPr>
          <w:ilvl w:val="0"/>
          <w:numId w:val="1375"/>
        </w:numPr>
        <w:pStyle w:val="Compact"/>
      </w:pPr>
      <w:r>
        <w:t xml:space="preserve">2007 · Nauck MA ·</w:t>
      </w:r>
      <w:r>
        <w:t xml:space="preserve"> </w:t>
      </w:r>
      <w:r>
        <w:rPr>
          <w:iCs/>
          <w:i/>
        </w:rPr>
        <w:t xml:space="preserve">Diabetologia</w:t>
      </w:r>
      <w:r>
        <w:t xml:space="preserve"> </w:t>
      </w:r>
      <w:r>
        <w:t xml:space="preserve">· A comparison of twice-daily exenatide and biphasic insulin aspart in patients with type 2 diabetes who were suboptimally controlled with sulfonylurea and metformin: a non-inferiority study. PMID 17160407</w:t>
      </w:r>
    </w:p>
    <w:p>
      <w:pPr>
        <w:numPr>
          <w:ilvl w:val="0"/>
          <w:numId w:val="1375"/>
        </w:numPr>
        <w:pStyle w:val="Compact"/>
      </w:pPr>
      <w:r>
        <w:t xml:space="preserve">2006 · Mari A ·</w:t>
      </w:r>
      <w:r>
        <w:t xml:space="preserve"> </w:t>
      </w:r>
      <w:r>
        <w:rPr>
          <w:iCs/>
          <w:i/>
        </w:rPr>
        <w:t xml:space="preserve">Horm Metab Res</w:t>
      </w:r>
      <w:r>
        <w:t xml:space="preserve"> </w:t>
      </w:r>
      <w:r>
        <w:t xml:space="preserve">· Mathematical modeling shows exenatide improved beta-cell function in patients with type 2 diabetes treated with metformin or metformin and a sulfonylurea. PMID 17163361</w:t>
      </w:r>
    </w:p>
    <w:p>
      <w:pPr>
        <w:numPr>
          <w:ilvl w:val="0"/>
          <w:numId w:val="1375"/>
        </w:numPr>
        <w:pStyle w:val="Compact"/>
      </w:pPr>
      <w:r>
        <w:t xml:space="preserve">2006 · Secnik Boye K ·</w:t>
      </w:r>
      <w:r>
        <w:t xml:space="preserve"> </w:t>
      </w:r>
      <w:r>
        <w:rPr>
          <w:iCs/>
          <w:i/>
        </w:rPr>
        <w:t xml:space="preserve">Health Qual Life Outcomes</w:t>
      </w:r>
      <w:r>
        <w:t xml:space="preserve"> </w:t>
      </w:r>
      <w:r>
        <w:t xml:space="preserve">· Patient-reported outcomes in a trial of exenatide and insulin glargine for the treatment of type 2 diabetes. PMID 17034640</w:t>
      </w:r>
    </w:p>
    <w:p>
      <w:pPr>
        <w:numPr>
          <w:ilvl w:val="0"/>
          <w:numId w:val="1375"/>
        </w:numPr>
        <w:pStyle w:val="Compact"/>
      </w:pPr>
      <w:r>
        <w:t xml:space="preserve">2006 · Soon D ·</w:t>
      </w:r>
      <w:r>
        <w:t xml:space="preserve"> </w:t>
      </w:r>
      <w:r>
        <w:rPr>
          <w:iCs/>
          <w:i/>
        </w:rPr>
        <w:t xml:space="preserve">J Clin Pharmacol</w:t>
      </w:r>
      <w:r>
        <w:t xml:space="preserve"> </w:t>
      </w:r>
      <w:r>
        <w:t xml:space="preserve">· Effect of exenatide on the pharmacokinetics and pharmacodynamics of warfarin in healthy Asian men. PMID 16988207</w:t>
      </w:r>
    </w:p>
    <w:p>
      <w:pPr>
        <w:numPr>
          <w:ilvl w:val="0"/>
          <w:numId w:val="1375"/>
        </w:numPr>
        <w:pStyle w:val="Compact"/>
      </w:pPr>
      <w:r>
        <w:t xml:space="preserve">2006 · Blonde L ·</w:t>
      </w:r>
      <w:r>
        <w:t xml:space="preserve"> </w:t>
      </w:r>
      <w:r>
        <w:rPr>
          <w:iCs/>
          <w:i/>
        </w:rPr>
        <w:t xml:space="preserve">Diabetes Obes Metab</w:t>
      </w:r>
      <w:r>
        <w:t xml:space="preserve"> </w:t>
      </w:r>
      <w:r>
        <w:t xml:space="preserve">· Interim analysis of the effects of exenatide treatment on A1C, weight and cardiovascular risk factors over 82 weeks in 314 overweight patients with type 2 diabetes. PMID 16776751</w:t>
      </w:r>
    </w:p>
    <w:p>
      <w:pPr>
        <w:numPr>
          <w:ilvl w:val="0"/>
          <w:numId w:val="1375"/>
        </w:numPr>
        <w:pStyle w:val="Compact"/>
      </w:pPr>
      <w:r>
        <w:t xml:space="preserve">2006 · Ratner RE ·</w:t>
      </w:r>
      <w:r>
        <w:t xml:space="preserve"> </w:t>
      </w:r>
      <w:r>
        <w:rPr>
          <w:iCs/>
          <w:i/>
        </w:rPr>
        <w:t xml:space="preserve">Diabetes Obes Metab</w:t>
      </w:r>
      <w:r>
        <w:t xml:space="preserve"> </w:t>
      </w:r>
      <w:r>
        <w:t xml:space="preserve">· Long-term effects of exenatide therapy over 82 weeks on glycaemic control and weight in over-weight metformin-treated patients with type 2 diabetes mellitus. PMID 16776749</w:t>
      </w:r>
    </w:p>
    <w:p>
      <w:pPr>
        <w:numPr>
          <w:ilvl w:val="0"/>
          <w:numId w:val="1375"/>
        </w:numPr>
        <w:pStyle w:val="Compact"/>
      </w:pPr>
      <w:r>
        <w:t xml:space="preserve">2006 · Riddle MC ·</w:t>
      </w:r>
      <w:r>
        <w:t xml:space="preserve"> </w:t>
      </w:r>
      <w:r>
        <w:rPr>
          <w:iCs/>
          <w:i/>
        </w:rPr>
        <w:t xml:space="preserve">Diabetes Metab Res Rev</w:t>
      </w:r>
      <w:r>
        <w:t xml:space="preserve"> </w:t>
      </w:r>
      <w:r>
        <w:t xml:space="preserve">· Exenatide elicits sustained glycaemic control and progressive reduction of body weight in patients with type 2 diabetes inadequately controlled by sulphonylureas with or without metformin. PMID 16634116</w:t>
      </w:r>
    </w:p>
    <w:p>
      <w:pPr>
        <w:numPr>
          <w:ilvl w:val="0"/>
          <w:numId w:val="1375"/>
        </w:numPr>
        <w:pStyle w:val="Compact"/>
      </w:pPr>
      <w:r>
        <w:t xml:space="preserve">2006 · Linnebjerg H ·</w:t>
      </w:r>
      <w:r>
        <w:t xml:space="preserve"> </w:t>
      </w:r>
      <w:r>
        <w:rPr>
          <w:iCs/>
          <w:i/>
        </w:rPr>
        <w:t xml:space="preserve">Diabet Med</w:t>
      </w:r>
      <w:r>
        <w:t xml:space="preserve"> </w:t>
      </w:r>
      <w:r>
        <w:t xml:space="preserve">· Exenatide: effect of injection time on postprandial glucose in patients with Type 2 diabetes. PMID 16492205</w:t>
      </w:r>
    </w:p>
    <w:p>
      <w:pPr>
        <w:numPr>
          <w:ilvl w:val="0"/>
          <w:numId w:val="1375"/>
        </w:numPr>
        <w:pStyle w:val="Compact"/>
      </w:pPr>
      <w:r>
        <w:t xml:space="preserve">2005 · Taylor K ·</w:t>
      </w:r>
      <w:r>
        <w:t xml:space="preserve"> </w:t>
      </w:r>
      <w:r>
        <w:rPr>
          <w:iCs/>
          <w:i/>
        </w:rPr>
        <w:t xml:space="preserve">Horm Metab Res</w:t>
      </w:r>
      <w:r>
        <w:t xml:space="preserve"> </w:t>
      </w:r>
      <w:r>
        <w:t xml:space="preserve">· Day-long subcutaneous infusion of exenatide lowers glycemia in patients with type 2 diabetes. PMID 16278786</w:t>
      </w:r>
    </w:p>
    <w:p>
      <w:pPr>
        <w:numPr>
          <w:ilvl w:val="0"/>
          <w:numId w:val="1375"/>
        </w:numPr>
        <w:pStyle w:val="Compact"/>
      </w:pPr>
      <w:r>
        <w:t xml:space="preserve">2005 · Heine RJ ·</w:t>
      </w:r>
      <w:r>
        <w:t xml:space="preserve"> </w:t>
      </w:r>
      <w:r>
        <w:rPr>
          <w:iCs/>
          <w:i/>
        </w:rPr>
        <w:t xml:space="preserve">Ann Intern Med</w:t>
      </w:r>
      <w:r>
        <w:t xml:space="preserve"> </w:t>
      </w:r>
      <w:r>
        <w:t xml:space="preserve">· Exenatide versus insulin glargine in patients with suboptimally controlled type 2 diabetes: a randomized trial. PMID 16230722</w:t>
      </w:r>
    </w:p>
    <w:p>
      <w:pPr>
        <w:numPr>
          <w:ilvl w:val="0"/>
          <w:numId w:val="1375"/>
        </w:numPr>
        <w:pStyle w:val="Compact"/>
      </w:pPr>
      <w:r>
        <w:t xml:space="preserve">2005 · Fehse F ·</w:t>
      </w:r>
      <w:r>
        <w:t xml:space="preserve"> </w:t>
      </w:r>
      <w:r>
        <w:rPr>
          <w:iCs/>
          <w:i/>
        </w:rPr>
        <w:t xml:space="preserve">J Clin Endocrinol Metab</w:t>
      </w:r>
      <w:r>
        <w:t xml:space="preserve"> </w:t>
      </w:r>
      <w:r>
        <w:t xml:space="preserve">· Exenatide augments first- and second-phase insulin secretion in response to intravenous glucose in subjects with type 2 diabetes. PMID 16144950</w:t>
      </w:r>
    </w:p>
    <w:p>
      <w:pPr>
        <w:numPr>
          <w:ilvl w:val="0"/>
          <w:numId w:val="1375"/>
        </w:numPr>
        <w:pStyle w:val="Compact"/>
      </w:pPr>
      <w:r>
        <w:t xml:space="preserve">2005 · Kothare PA ·</w:t>
      </w:r>
      <w:r>
        <w:t xml:space="preserve"> </w:t>
      </w:r>
      <w:r>
        <w:rPr>
          <w:iCs/>
          <w:i/>
        </w:rPr>
        <w:t xml:space="preserve">J Clin Pharmacol</w:t>
      </w:r>
      <w:r>
        <w:t xml:space="preserve"> </w:t>
      </w:r>
      <w:r>
        <w:t xml:space="preserve">· Effect of exenatide on the steady-state pharmacokinetics of digoxin. PMID 16100297</w:t>
      </w:r>
    </w:p>
    <w:p>
      <w:pPr>
        <w:numPr>
          <w:ilvl w:val="0"/>
          <w:numId w:val="1375"/>
        </w:numPr>
        <w:pStyle w:val="Compact"/>
      </w:pPr>
      <w:r>
        <w:t xml:space="preserve">2005 · Poon T ·</w:t>
      </w:r>
      <w:r>
        <w:t xml:space="preserve"> </w:t>
      </w:r>
      <w:r>
        <w:rPr>
          <w:iCs/>
          <w:i/>
        </w:rPr>
        <w:t xml:space="preserve">Diabetes Technol Ther</w:t>
      </w:r>
      <w:r>
        <w:t xml:space="preserve"> </w:t>
      </w:r>
      <w:r>
        <w:t xml:space="preserve">· Exenatide improves glycemic control and reduces body weight in subjects with type 2 diabetes: a dose-ranging study. PMID 15929678</w:t>
      </w:r>
    </w:p>
    <w:p>
      <w:pPr>
        <w:numPr>
          <w:ilvl w:val="0"/>
          <w:numId w:val="1375"/>
        </w:numPr>
        <w:pStyle w:val="Compact"/>
      </w:pPr>
      <w:r>
        <w:t xml:space="preserve">2005 · DeFronzo RA ·</w:t>
      </w:r>
      <w:r>
        <w:t xml:space="preserve"> </w:t>
      </w:r>
      <w:r>
        <w:rPr>
          <w:iCs/>
          <w:i/>
        </w:rPr>
        <w:t xml:space="preserve">Diabetes Care</w:t>
      </w:r>
      <w:r>
        <w:t xml:space="preserve"> </w:t>
      </w:r>
      <w:r>
        <w:t xml:space="preserve">· Effects of exenatide (exendin-4) on glycemic control and weight over 30 weeks in metformin-treated patients with type 2 diabetes. PMID 15855572</w:t>
      </w:r>
    </w:p>
    <w:p>
      <w:pPr>
        <w:numPr>
          <w:ilvl w:val="0"/>
          <w:numId w:val="1375"/>
        </w:numPr>
        <w:pStyle w:val="Compact"/>
      </w:pPr>
      <w:r>
        <w:t xml:space="preserve">2005 · Kendall DM ·</w:t>
      </w:r>
      <w:r>
        <w:t xml:space="preserve"> </w:t>
      </w:r>
      <w:r>
        <w:rPr>
          <w:iCs/>
          <w:i/>
        </w:rPr>
        <w:t xml:space="preserve">Diabetes Care</w:t>
      </w:r>
      <w:r>
        <w:t xml:space="preserve"> </w:t>
      </w:r>
      <w:r>
        <w:t xml:space="preserve">· Effects of exenatide (exendin-4) on glycemic control over 30 weeks in patients with type 2 diabetes treated with metformin and a sulfonylurea. PMID 15855571</w:t>
      </w:r>
    </w:p>
    <w:p>
      <w:pPr>
        <w:numPr>
          <w:ilvl w:val="0"/>
          <w:numId w:val="1375"/>
        </w:numPr>
        <w:pStyle w:val="Compact"/>
      </w:pPr>
      <w:r>
        <w:t xml:space="preserve">2005 · Blase E ·</w:t>
      </w:r>
      <w:r>
        <w:t xml:space="preserve"> </w:t>
      </w:r>
      <w:r>
        <w:rPr>
          <w:iCs/>
          <w:i/>
        </w:rPr>
        <w:t xml:space="preserve">J Clin Pharmacol</w:t>
      </w:r>
      <w:r>
        <w:t xml:space="preserve"> </w:t>
      </w:r>
      <w:r>
        <w:t xml:space="preserve">· Pharmacokinetics of an oral drug (acetaminophen) administered at various times in relation to subcutaneous injection of exenatide (exendin-4) in healthy subjects. PMID 15831781</w:t>
      </w:r>
    </w:p>
    <w:p>
      <w:pPr>
        <w:numPr>
          <w:ilvl w:val="0"/>
          <w:numId w:val="1375"/>
        </w:numPr>
        <w:pStyle w:val="Compact"/>
      </w:pPr>
      <w:r>
        <w:t xml:space="preserve">2005 · Calara F ·</w:t>
      </w:r>
      <w:r>
        <w:t xml:space="preserve"> </w:t>
      </w:r>
      <w:r>
        <w:rPr>
          <w:iCs/>
          <w:i/>
        </w:rPr>
        <w:t xml:space="preserve">Clin Ther</w:t>
      </w:r>
      <w:r>
        <w:t xml:space="preserve"> </w:t>
      </w:r>
      <w:r>
        <w:t xml:space="preserve">· A randomized, open-label, crossover study examining the effect of injection site on bioavailability of exenatide (synthetic exendin-4). PMID 15811484</w:t>
      </w:r>
    </w:p>
    <w:p>
      <w:pPr>
        <w:numPr>
          <w:ilvl w:val="0"/>
          <w:numId w:val="1375"/>
        </w:numPr>
        <w:pStyle w:val="Compact"/>
      </w:pPr>
      <w:r>
        <w:t xml:space="preserve">2005 · Kolterman OG ·</w:t>
      </w:r>
      <w:r>
        <w:t xml:space="preserve"> </w:t>
      </w:r>
      <w:r>
        <w:rPr>
          <w:iCs/>
          <w:i/>
        </w:rPr>
        <w:t xml:space="preserve">Am J Health Syst Pharm</w:t>
      </w:r>
      <w:r>
        <w:t xml:space="preserve"> </w:t>
      </w:r>
      <w:r>
        <w:t xml:space="preserve">· Pharmacokinetics, pharmacodynamics, and safety of exenatide in patients with type 2 diabetes mellitus. PMID 15700891</w:t>
      </w:r>
    </w:p>
    <w:p>
      <w:pPr>
        <w:numPr>
          <w:ilvl w:val="0"/>
          <w:numId w:val="1375"/>
        </w:numPr>
        <w:pStyle w:val="Compact"/>
      </w:pPr>
      <w:r>
        <w:t xml:space="preserve">2004 · Buse JB ·</w:t>
      </w:r>
      <w:r>
        <w:t xml:space="preserve"> </w:t>
      </w:r>
      <w:r>
        <w:rPr>
          <w:iCs/>
          <w:i/>
        </w:rPr>
        <w:t xml:space="preserve">Diabetes Care</w:t>
      </w:r>
      <w:r>
        <w:t xml:space="preserve"> </w:t>
      </w:r>
      <w:r>
        <w:t xml:space="preserve">· Effects of exenatide (exendin-4) on glycemic control over 30 weeks in sulfonylurea-treated patients with type 2 diabetes. PMID 15504997</w:t>
      </w:r>
    </w:p>
    <w:p>
      <w:pPr>
        <w:numPr>
          <w:ilvl w:val="0"/>
          <w:numId w:val="1375"/>
        </w:numPr>
        <w:pStyle w:val="Compact"/>
      </w:pPr>
      <w:r>
        <w:t xml:space="preserve">2004 · Fineman MS ·</w:t>
      </w:r>
      <w:r>
        <w:t xml:space="preserve"> </w:t>
      </w:r>
      <w:r>
        <w:rPr>
          <w:iCs/>
          <w:i/>
        </w:rPr>
        <w:t xml:space="preserve">Diabetes Metab Res Rev</w:t>
      </w:r>
      <w:r>
        <w:t xml:space="preserve"> </w:t>
      </w:r>
      <w:r>
        <w:t xml:space="preserve">· Effectiveness of progressive dose-escalation of exenatide (exendin-4) in reducing dose-limiting side effects in subjects with type 2 diabetes. PMID 15343588</w:t>
      </w:r>
    </w:p>
    <w:p>
      <w:pPr>
        <w:numPr>
          <w:ilvl w:val="0"/>
          <w:numId w:val="1375"/>
        </w:numPr>
        <w:pStyle w:val="Compact"/>
      </w:pPr>
      <w:r>
        <w:t xml:space="preserve">2004 · Degn KB ·</w:t>
      </w:r>
      <w:r>
        <w:t xml:space="preserve"> </w:t>
      </w:r>
      <w:r>
        <w:rPr>
          <w:iCs/>
          <w:i/>
        </w:rPr>
        <w:t xml:space="preserve">Diabetes</w:t>
      </w:r>
      <w:r>
        <w:t xml:space="preserve"> </w:t>
      </w:r>
      <w:r>
        <w:t xml:space="preserve">· Effect of intravenous infusion of exenatide (synthetic exendin-4) on glucose-dependent insulin secretion and counterregulation during hypoglycemia. PMID 15331551</w:t>
      </w:r>
    </w:p>
    <w:p>
      <w:pPr>
        <w:numPr>
          <w:ilvl w:val="0"/>
          <w:numId w:val="1375"/>
        </w:numPr>
        <w:pStyle w:val="Compact"/>
      </w:pPr>
      <w:r>
        <w:t xml:space="preserve">2003 · Fineman MS ·</w:t>
      </w:r>
      <w:r>
        <w:t xml:space="preserve"> </w:t>
      </w:r>
      <w:r>
        <w:rPr>
          <w:iCs/>
          <w:i/>
        </w:rPr>
        <w:t xml:space="preserve">Diabetes Care</w:t>
      </w:r>
      <w:r>
        <w:t xml:space="preserve"> </w:t>
      </w:r>
      <w:r>
        <w:t xml:space="preserve">· Effect on glycemic control of exenatide (synthetic exendin-4) additive to existing metformin and/or sulfonylurea treatment in patients with type 2 diabetes. PMID 12882864</w:t>
      </w:r>
    </w:p>
    <w:p>
      <w:pPr>
        <w:numPr>
          <w:ilvl w:val="0"/>
          <w:numId w:val="1375"/>
        </w:numPr>
        <w:pStyle w:val="Compact"/>
      </w:pPr>
      <w:r>
        <w:t xml:space="preserve">2003 · Kolterman OG ·</w:t>
      </w:r>
      <w:r>
        <w:t xml:space="preserve"> </w:t>
      </w:r>
      <w:r>
        <w:rPr>
          <w:iCs/>
          <w:i/>
        </w:rPr>
        <w:t xml:space="preserve">J Clin Endocrinol Metab</w:t>
      </w:r>
      <w:r>
        <w:t xml:space="preserve"> </w:t>
      </w:r>
      <w:r>
        <w:t xml:space="preserve">· Synthetic exendin-4 (exenatide) significantly reduces postprandial and fasting plasma glucose in subjects with type 2 diabetes. PMID 12843147</w:t>
      </w:r>
    </w:p>
    <w:bookmarkEnd w:id="3014"/>
    <w:bookmarkStart w:id="3015" w:name="liraglutide-613"/>
    <w:p>
      <w:pPr>
        <w:pStyle w:val="Heading2"/>
      </w:pPr>
      <w:r>
        <w:t xml:space="preserve">Liraglutide (613)</w:t>
      </w:r>
    </w:p>
    <w:p>
      <w:pPr>
        <w:numPr>
          <w:ilvl w:val="0"/>
          <w:numId w:val="1376"/>
        </w:numPr>
        <w:pStyle w:val="Compact"/>
      </w:pPr>
      <w:r>
        <w:t xml:space="preserve">2026 · Caballero-Corbalán J ·</w:t>
      </w:r>
      <w:r>
        <w:t xml:space="preserve"> </w:t>
      </w:r>
      <w:r>
        <w:rPr>
          <w:iCs/>
          <w:i/>
        </w:rPr>
        <w:t xml:space="preserve">Diabetes Obes Metab</w:t>
      </w:r>
      <w:r>
        <w:t xml:space="preserve"> </w:t>
      </w:r>
      <w:r>
        <w:t xml:space="preserve">· Liraglutide and Βeta-Cell Function in Young Adults With Long-Standing Type 1 Diabetes and Residual C-Peptide: A Blinded, Randomized Controlled Trial. PMID 42595732</w:t>
      </w:r>
    </w:p>
    <w:p>
      <w:pPr>
        <w:numPr>
          <w:ilvl w:val="0"/>
          <w:numId w:val="1376"/>
        </w:numPr>
        <w:pStyle w:val="Compact"/>
      </w:pPr>
      <w:r>
        <w:t xml:space="preserve">2026 · Sun Y ·</w:t>
      </w:r>
      <w:r>
        <w:t xml:space="preserve"> </w:t>
      </w:r>
      <w:r>
        <w:rPr>
          <w:iCs/>
          <w:i/>
        </w:rPr>
        <w:t xml:space="preserve">Endocrine</w:t>
      </w:r>
      <w:r>
        <w:t xml:space="preserve"> </w:t>
      </w:r>
      <w:r>
        <w:t xml:space="preserve">· Comparative analysis of IDegLira versus insulin glargine in short-term intensive therapy for overweight or obese patients with type 2 diabetes mellitus. PMID 42439957</w:t>
      </w:r>
    </w:p>
    <w:p>
      <w:pPr>
        <w:numPr>
          <w:ilvl w:val="0"/>
          <w:numId w:val="1376"/>
        </w:numPr>
        <w:pStyle w:val="Compact"/>
      </w:pPr>
      <w:r>
        <w:t xml:space="preserve">2026 · Friedman MI ·</w:t>
      </w:r>
      <w:r>
        <w:t xml:space="preserve"> </w:t>
      </w:r>
      <w:r>
        <w:rPr>
          <w:iCs/>
          <w:i/>
        </w:rPr>
        <w:t xml:space="preserve">Obesity (Silver Spring)</w:t>
      </w:r>
      <w:r>
        <w:t xml:space="preserve"> </w:t>
      </w:r>
      <w:r>
        <w:t xml:space="preserve">· Appetite Suppression by GLP-1 Receptor Agonists: Role of Delayed Gastric Emptying. PMID 42392577</w:t>
      </w:r>
    </w:p>
    <w:p>
      <w:pPr>
        <w:numPr>
          <w:ilvl w:val="0"/>
          <w:numId w:val="1376"/>
        </w:numPr>
        <w:pStyle w:val="Compact"/>
      </w:pPr>
      <w:r>
        <w:t xml:space="preserve">2026 · Sandsdal RM ·</w:t>
      </w:r>
      <w:r>
        <w:t xml:space="preserve"> </w:t>
      </w:r>
      <w:r>
        <w:rPr>
          <w:iCs/>
          <w:i/>
        </w:rPr>
        <w:t xml:space="preserve">Nat Metab</w:t>
      </w:r>
      <w:r>
        <w:t xml:space="preserve"> </w:t>
      </w:r>
      <w:r>
        <w:t xml:space="preserve">· Effects of exercise and liraglutide on vascular health and inflammation during weight loss maintenance: a prespecified secondary analysis of the S-LiTE trial. PMID 42342869</w:t>
      </w:r>
    </w:p>
    <w:p>
      <w:pPr>
        <w:numPr>
          <w:ilvl w:val="0"/>
          <w:numId w:val="1376"/>
        </w:numPr>
        <w:pStyle w:val="Compact"/>
      </w:pPr>
      <w:r>
        <w:t xml:space="preserve">2026 · Sørensen KK ·</w:t>
      </w:r>
      <w:r>
        <w:t xml:space="preserve"> </w:t>
      </w:r>
      <w:r>
        <w:rPr>
          <w:iCs/>
          <w:i/>
        </w:rPr>
        <w:t xml:space="preserve">Clin Trials</w:t>
      </w:r>
      <w:r>
        <w:t xml:space="preserve"> </w:t>
      </w:r>
      <w:r>
        <w:t xml:space="preserve">· Accounting for non-adherence: A re-analysis of the Liraglutide Effect and Action in Diabetes: Evaluation of Cardiovascular Outcome Results trial. PMID 42227113</w:t>
      </w:r>
    </w:p>
    <w:p>
      <w:pPr>
        <w:numPr>
          <w:ilvl w:val="0"/>
          <w:numId w:val="1376"/>
        </w:numPr>
        <w:pStyle w:val="Compact"/>
      </w:pPr>
      <w:r>
        <w:t xml:space="preserve">2026 · Goldberger JJ ·</w:t>
      </w:r>
      <w:r>
        <w:t xml:space="preserve"> </w:t>
      </w:r>
      <w:r>
        <w:rPr>
          <w:iCs/>
          <w:i/>
        </w:rPr>
        <w:t xml:space="preserve">JACC Clin Electrophysiol</w:t>
      </w:r>
      <w:r>
        <w:t xml:space="preserve"> </w:t>
      </w:r>
      <w:r>
        <w:t xml:space="preserve">· The Liraglutide Effects in Atrial Fibrillation (LEAF) Study. PMID 42159524</w:t>
      </w:r>
    </w:p>
    <w:p>
      <w:pPr>
        <w:numPr>
          <w:ilvl w:val="0"/>
          <w:numId w:val="1376"/>
        </w:numPr>
        <w:pStyle w:val="Compact"/>
      </w:pPr>
      <w:r>
        <w:t xml:space="preserve">2026 · Lu L ·</w:t>
      </w:r>
      <w:r>
        <w:t xml:space="preserve"> </w:t>
      </w:r>
      <w:r>
        <w:rPr>
          <w:iCs/>
          <w:i/>
        </w:rPr>
        <w:t xml:space="preserve">Stroke</w:t>
      </w:r>
      <w:r>
        <w:t xml:space="preserve"> </w:t>
      </w:r>
      <w:r>
        <w:t xml:space="preserve">· Liraglutide and Recurrent Stroke by Baseline Insulin Resistance: A Post Hoc Analysis of the LAMP Trial. PMID 42145088</w:t>
      </w:r>
    </w:p>
    <w:p>
      <w:pPr>
        <w:numPr>
          <w:ilvl w:val="0"/>
          <w:numId w:val="1376"/>
        </w:numPr>
        <w:pStyle w:val="Compact"/>
      </w:pPr>
      <w:r>
        <w:t xml:space="preserve">2026 · Cherniavskyi V ·</w:t>
      </w:r>
      <w:r>
        <w:t xml:space="preserve"> </w:t>
      </w:r>
      <w:r>
        <w:rPr>
          <w:iCs/>
          <w:i/>
        </w:rPr>
        <w:t xml:space="preserve">Wiad Lek</w:t>
      </w:r>
      <w:r>
        <w:t xml:space="preserve"> </w:t>
      </w:r>
      <w:r>
        <w:t xml:space="preserve">· Six-month effects of liraglutide and dapagliflozin on lipid profile, cardiovascular risk, and NT-proBNP levels in patients with metabolic dysfunction-associated steatotic liver disease. PMID 42139606</w:t>
      </w:r>
    </w:p>
    <w:p>
      <w:pPr>
        <w:numPr>
          <w:ilvl w:val="0"/>
          <w:numId w:val="1376"/>
        </w:numPr>
        <w:pStyle w:val="Compact"/>
      </w:pPr>
      <w:r>
        <w:t xml:space="preserve">2026 · Evers A ·</w:t>
      </w:r>
      <w:r>
        <w:t xml:space="preserve"> </w:t>
      </w:r>
      <w:r>
        <w:rPr>
          <w:iCs/>
          <w:i/>
        </w:rPr>
        <w:t xml:space="preserve">J Clin Endocrinol Metab</w:t>
      </w:r>
      <w:r>
        <w:t xml:space="preserve"> </w:t>
      </w:r>
      <w:r>
        <w:t xml:space="preserve">· Insights from changes in NDEV biomarkers of metabolism: effects of PPARγ and GLP1 receptor agonists on brain metabolism. PMID 41992726</w:t>
      </w:r>
    </w:p>
    <w:p>
      <w:pPr>
        <w:numPr>
          <w:ilvl w:val="0"/>
          <w:numId w:val="1376"/>
        </w:numPr>
        <w:pStyle w:val="Compact"/>
      </w:pPr>
      <w:r>
        <w:t xml:space="preserve">2026 · Bergenstal RM ·</w:t>
      </w:r>
      <w:r>
        <w:t xml:space="preserve"> </w:t>
      </w:r>
      <w:r>
        <w:rPr>
          <w:iCs/>
          <w:i/>
        </w:rPr>
        <w:t xml:space="preserve">Diabetes Care</w:t>
      </w:r>
      <w:r>
        <w:t xml:space="preserve"> </w:t>
      </w:r>
      <w:r>
        <w:t xml:space="preserve">· Comparison of the Continuous Glucose Monitoring Profiles of Four Glucose-Lowering Medications in the GRADE Randomized Trial. PMID 41925680</w:t>
      </w:r>
    </w:p>
    <w:p>
      <w:pPr>
        <w:numPr>
          <w:ilvl w:val="0"/>
          <w:numId w:val="1376"/>
        </w:numPr>
        <w:pStyle w:val="Compact"/>
      </w:pPr>
      <w:r>
        <w:t xml:space="preserve">2026 · Baldassarre MPA ·</w:t>
      </w:r>
      <w:r>
        <w:t xml:space="preserve"> </w:t>
      </w:r>
      <w:r>
        <w:rPr>
          <w:iCs/>
          <w:i/>
        </w:rPr>
        <w:t xml:space="preserve">J Diabetes Complications</w:t>
      </w:r>
      <w:r>
        <w:t xml:space="preserve"> </w:t>
      </w:r>
      <w:r>
        <w:t xml:space="preserve">· Modulation of circulating extracellular vesicles by antihyperglycemic therapies: A pilot randomized controlled trial. PMID 41621217</w:t>
      </w:r>
    </w:p>
    <w:p>
      <w:pPr>
        <w:numPr>
          <w:ilvl w:val="0"/>
          <w:numId w:val="1376"/>
        </w:numPr>
        <w:pStyle w:val="Compact"/>
      </w:pPr>
      <w:r>
        <w:t xml:space="preserve">2026 · Jensen SBK ·</w:t>
      </w:r>
      <w:r>
        <w:t xml:space="preserve"> </w:t>
      </w:r>
      <w:r>
        <w:rPr>
          <w:iCs/>
          <w:i/>
        </w:rPr>
        <w:t xml:space="preserve">Sports Med</w:t>
      </w:r>
      <w:r>
        <w:t xml:space="preserve"> </w:t>
      </w:r>
      <w:r>
        <w:t xml:space="preserve">· Physical Fitness with Exercise and GLP-1 Receptor Agonist Treatment Alone or Combined After Diet-Induced Weight Loss: A Secondary Analysis of a Randomized Controlled Trial in Adults with Obesity. PMID 41579235</w:t>
      </w:r>
    </w:p>
    <w:p>
      <w:pPr>
        <w:numPr>
          <w:ilvl w:val="0"/>
          <w:numId w:val="1376"/>
        </w:numPr>
        <w:pStyle w:val="Compact"/>
      </w:pPr>
      <w:r>
        <w:t xml:space="preserve">2026 · Gutierrez de Piñeres V ·</w:t>
      </w:r>
      <w:r>
        <w:t xml:space="preserve"> </w:t>
      </w:r>
      <w:r>
        <w:rPr>
          <w:iCs/>
          <w:i/>
        </w:rPr>
        <w:t xml:space="preserve">Diabetes Res Clin Pract</w:t>
      </w:r>
      <w:r>
        <w:t xml:space="preserve"> </w:t>
      </w:r>
      <w:r>
        <w:t xml:space="preserve">· Effects of liraglutide treatment for 35-days on total and regional fat free, lean, and bone mass, and on the Myostatin-Activin-Follistatin-IGF-1 axes: a secondary analysis of a randomized placebo-controlled crossover study. PMID 41571048</w:t>
      </w:r>
    </w:p>
    <w:p>
      <w:pPr>
        <w:numPr>
          <w:ilvl w:val="0"/>
          <w:numId w:val="1376"/>
        </w:numPr>
        <w:pStyle w:val="Compact"/>
      </w:pPr>
      <w:r>
        <w:t xml:space="preserve">2026 · Gonzalez JS ·</w:t>
      </w:r>
      <w:r>
        <w:t xml:space="preserve"> </w:t>
      </w:r>
      <w:r>
        <w:rPr>
          <w:iCs/>
          <w:i/>
        </w:rPr>
        <w:t xml:space="preserve">Diabetes Care</w:t>
      </w:r>
      <w:r>
        <w:t xml:space="preserve"> </w:t>
      </w:r>
      <w:r>
        <w:t xml:space="preserve">· Medication Adherence in the Glycemia Reduction Approaches in Diabetes: A Comparative Effectiveness Study (GRADE). PMID 41557987</w:t>
      </w:r>
    </w:p>
    <w:p>
      <w:pPr>
        <w:numPr>
          <w:ilvl w:val="0"/>
          <w:numId w:val="1376"/>
        </w:numPr>
        <w:pStyle w:val="Compact"/>
      </w:pPr>
      <w:r>
        <w:t xml:space="preserve">2026 · Stefanakis K ·</w:t>
      </w:r>
      <w:r>
        <w:t xml:space="preserve"> </w:t>
      </w:r>
      <w:r>
        <w:rPr>
          <w:iCs/>
          <w:i/>
        </w:rPr>
        <w:t xml:space="preserve">Metabolism</w:t>
      </w:r>
      <w:r>
        <w:t xml:space="preserve"> </w:t>
      </w:r>
      <w:r>
        <w:t xml:space="preserve">· Proteomic effects of short-term liraglutide vs. placebo in a blinded crossover RCT: Implications for efficacy, safety, and comparison with semaglutide. PMID 41513169</w:t>
      </w:r>
    </w:p>
    <w:p>
      <w:pPr>
        <w:numPr>
          <w:ilvl w:val="0"/>
          <w:numId w:val="1376"/>
        </w:numPr>
        <w:pStyle w:val="Compact"/>
      </w:pPr>
      <w:r>
        <w:t xml:space="preserve">2026 · Kahn SE ·</w:t>
      </w:r>
      <w:r>
        <w:t xml:space="preserve"> </w:t>
      </w:r>
      <w:r>
        <w:rPr>
          <w:iCs/>
          <w:i/>
        </w:rPr>
        <w:t xml:space="preserve">Diabetes Care</w:t>
      </w:r>
      <w:r>
        <w:t xml:space="preserve"> </w:t>
      </w:r>
      <w:r>
        <w:t xml:space="preserve">· Differential Longitudinal Effects of Glucose-Lowering Medications on Glucagon and C-peptide Responses in the Glycemia Reduction Approaches in Diabetes: A Comparative Effectiveness Study (GRADE). PMID 41432725</w:t>
      </w:r>
    </w:p>
    <w:p>
      <w:pPr>
        <w:numPr>
          <w:ilvl w:val="0"/>
          <w:numId w:val="1376"/>
        </w:numPr>
        <w:pStyle w:val="Compact"/>
      </w:pPr>
      <w:r>
        <w:t xml:space="preserve">2026 · Edison P ·</w:t>
      </w:r>
      <w:r>
        <w:t xml:space="preserve"> </w:t>
      </w:r>
      <w:r>
        <w:rPr>
          <w:iCs/>
          <w:i/>
        </w:rPr>
        <w:t xml:space="preserve">Nat Med</w:t>
      </w:r>
      <w:r>
        <w:t xml:space="preserve"> </w:t>
      </w:r>
      <w:r>
        <w:t xml:space="preserve">· Liraglutide in mild to moderate Alzheimer’s disease: a phase 2b clinical trial. PMID 41326666</w:t>
      </w:r>
    </w:p>
    <w:p>
      <w:pPr>
        <w:numPr>
          <w:ilvl w:val="0"/>
          <w:numId w:val="1376"/>
        </w:numPr>
        <w:pStyle w:val="Compact"/>
      </w:pPr>
      <w:r>
        <w:t xml:space="preserve">2026 · Gutierrez de Piñeres V ·</w:t>
      </w:r>
      <w:r>
        <w:t xml:space="preserve"> </w:t>
      </w:r>
      <w:r>
        <w:rPr>
          <w:iCs/>
          <w:i/>
        </w:rPr>
        <w:t xml:space="preserve">Diabetes Obes Metab</w:t>
      </w:r>
      <w:r>
        <w:t xml:space="preserve"> </w:t>
      </w:r>
      <w:r>
        <w:t xml:space="preserve">· Effects of liraglutide treatment for 18 days on metabolic parameters, regional body composition and the myostatin-activin-follistatin-IGF-1 axis: Results from an exploratory, randomized, placebo-controlled, crossover study. PMID 41287185</w:t>
      </w:r>
    </w:p>
    <w:p>
      <w:pPr>
        <w:numPr>
          <w:ilvl w:val="0"/>
          <w:numId w:val="1376"/>
        </w:numPr>
        <w:pStyle w:val="Compact"/>
      </w:pPr>
      <w:r>
        <w:t xml:space="preserve">2026 · Zhu H ·</w:t>
      </w:r>
      <w:r>
        <w:t xml:space="preserve"> </w:t>
      </w:r>
      <w:r>
        <w:rPr>
          <w:iCs/>
          <w:i/>
        </w:rPr>
        <w:t xml:space="preserve">JAMA Intern Med</w:t>
      </w:r>
      <w:r>
        <w:t xml:space="preserve"> </w:t>
      </w:r>
      <w:r>
        <w:t xml:space="preserve">· Liraglutide in Acute Minor Ischemic Stroke or High-Risk Transient Ischemic Attack With Type 2 Diabetes: The LAMP Randomized Clinical Trial. PMID 41182740</w:t>
      </w:r>
    </w:p>
    <w:p>
      <w:pPr>
        <w:numPr>
          <w:ilvl w:val="0"/>
          <w:numId w:val="1376"/>
        </w:numPr>
        <w:pStyle w:val="Compact"/>
      </w:pPr>
      <w:r>
        <w:t xml:space="preserve">2026 · Holt J ·</w:t>
      </w:r>
      <w:r>
        <w:t xml:space="preserve"> </w:t>
      </w:r>
      <w:r>
        <w:rPr>
          <w:iCs/>
          <w:i/>
        </w:rPr>
        <w:t xml:space="preserve">Obesity (Silver Spring)</w:t>
      </w:r>
      <w:r>
        <w:t xml:space="preserve"> </w:t>
      </w:r>
      <w:r>
        <w:t xml:space="preserve">· One Year of Exercise After Weight Loss Increases Postprandial GLP-1 Secretion in Contrast to Usual Activity or GLP-1 Receptor Agonist Treatment. PMID 40998556</w:t>
      </w:r>
    </w:p>
    <w:p>
      <w:pPr>
        <w:numPr>
          <w:ilvl w:val="0"/>
          <w:numId w:val="1376"/>
        </w:numPr>
        <w:pStyle w:val="Compact"/>
      </w:pPr>
      <w:r>
        <w:t xml:space="preserve">2025 · Long XF ·</w:t>
      </w:r>
      <w:r>
        <w:t xml:space="preserve"> </w:t>
      </w:r>
      <w:r>
        <w:rPr>
          <w:iCs/>
          <w:i/>
        </w:rPr>
        <w:t xml:space="preserve">Front Endocrinol (Lausanne)</w:t>
      </w:r>
      <w:r>
        <w:t xml:space="preserve"> </w:t>
      </w:r>
      <w:r>
        <w:t xml:space="preserve">· Combination metformin and liraglutide in PCOS: clinical efficacy in women and preclinical insights from gut microbiome modulation in rats. PMID 41384017</w:t>
      </w:r>
    </w:p>
    <w:p>
      <w:pPr>
        <w:numPr>
          <w:ilvl w:val="0"/>
          <w:numId w:val="1376"/>
        </w:numPr>
        <w:pStyle w:val="Compact"/>
      </w:pPr>
      <w:r>
        <w:t xml:space="preserve">2025 · Brown WA ·</w:t>
      </w:r>
      <w:r>
        <w:t xml:space="preserve"> </w:t>
      </w:r>
      <w:r>
        <w:rPr>
          <w:iCs/>
          <w:i/>
        </w:rPr>
        <w:t xml:space="preserve">JAMA Netw Open</w:t>
      </w:r>
      <w:r>
        <w:t xml:space="preserve"> </w:t>
      </w:r>
      <w:r>
        <w:t xml:space="preserve">· Liraglutide and Weight Loss Among Suboptimal Responders to Metabolic Bariatric Surgery: A Randomized Clinical Trial. PMID 41160027</w:t>
      </w:r>
    </w:p>
    <w:p>
      <w:pPr>
        <w:numPr>
          <w:ilvl w:val="0"/>
          <w:numId w:val="1376"/>
        </w:numPr>
        <w:pStyle w:val="Compact"/>
      </w:pPr>
      <w:r>
        <w:t xml:space="preserve">2025 · Mashayekhi M ·</w:t>
      </w:r>
      <w:r>
        <w:t xml:space="preserve"> </w:t>
      </w:r>
      <w:r>
        <w:rPr>
          <w:iCs/>
          <w:i/>
        </w:rPr>
        <w:t xml:space="preserve">J Endocrinol</w:t>
      </w:r>
      <w:r>
        <w:t xml:space="preserve"> </w:t>
      </w:r>
      <w:r>
        <w:t xml:space="preserve">· RISING STARS: Effects of a GLP-1 receptor polymorphism on responses to liraglutide. PMID 41042549</w:t>
      </w:r>
    </w:p>
    <w:p>
      <w:pPr>
        <w:numPr>
          <w:ilvl w:val="0"/>
          <w:numId w:val="1376"/>
        </w:numPr>
        <w:pStyle w:val="Compact"/>
      </w:pPr>
      <w:r>
        <w:t xml:space="preserve">2025 · Glaros SB ·</w:t>
      </w:r>
      <w:r>
        <w:t xml:space="preserve"> </w:t>
      </w:r>
      <w:r>
        <w:rPr>
          <w:iCs/>
          <w:i/>
        </w:rPr>
        <w:t xml:space="preserve">Gut Microbes</w:t>
      </w:r>
      <w:r>
        <w:t xml:space="preserve"> </w:t>
      </w:r>
      <w:r>
        <w:t xml:space="preserve">· Systemic and gut microbiome changes with metformin and liraglutide in youth-onset type 2 diabetes: the MIGHTY study. PMID 41020378</w:t>
      </w:r>
    </w:p>
    <w:p>
      <w:pPr>
        <w:numPr>
          <w:ilvl w:val="0"/>
          <w:numId w:val="1376"/>
        </w:numPr>
        <w:pStyle w:val="Compact"/>
      </w:pPr>
      <w:r>
        <w:t xml:space="preserve">2025 · Pop-Busui R ·</w:t>
      </w:r>
      <w:r>
        <w:t xml:space="preserve"> </w:t>
      </w:r>
      <w:r>
        <w:rPr>
          <w:iCs/>
          <w:i/>
        </w:rPr>
        <w:t xml:space="preserve">Diabetes Care</w:t>
      </w:r>
      <w:r>
        <w:t xml:space="preserve"> </w:t>
      </w:r>
      <w:r>
        <w:t xml:space="preserve">· Differences in Prevalence and Incidence of Electrocardiogram Abnormalities and Cardiovascular Autonomic Neuropathy Among Randomized Glucose-Lowering Treatments in Early Type 2 Diabetes: The Glycemia Reduction Approaches in Diabetes (GRADE) Cohort. PMID 40986645</w:t>
      </w:r>
    </w:p>
    <w:p>
      <w:pPr>
        <w:numPr>
          <w:ilvl w:val="0"/>
          <w:numId w:val="1376"/>
        </w:numPr>
        <w:pStyle w:val="Compact"/>
      </w:pPr>
      <w:r>
        <w:t xml:space="preserve">2025 · Li X ·</w:t>
      </w:r>
      <w:r>
        <w:t xml:space="preserve"> </w:t>
      </w:r>
      <w:r>
        <w:rPr>
          <w:iCs/>
          <w:i/>
        </w:rPr>
        <w:t xml:space="preserve">Diabetes Obes Metab</w:t>
      </w:r>
      <w:r>
        <w:t xml:space="preserve"> </w:t>
      </w:r>
      <w:r>
        <w:t xml:space="preserve">· Dapagliflozin restores odour-induced functional integration of primary olfactory cortex circuit but not olfactory-related regional brain activation in patients with type 2 diabetes: A 16-week randomised comparative study. PMID 40954925</w:t>
      </w:r>
    </w:p>
    <w:p>
      <w:pPr>
        <w:numPr>
          <w:ilvl w:val="0"/>
          <w:numId w:val="1376"/>
        </w:numPr>
        <w:pStyle w:val="Compact"/>
      </w:pPr>
      <w:r>
        <w:t xml:space="preserve">2025 · Brosnahan N ·</w:t>
      </w:r>
      <w:r>
        <w:t xml:space="preserve"> </w:t>
      </w:r>
      <w:r>
        <w:rPr>
          <w:iCs/>
          <w:i/>
        </w:rPr>
        <w:t xml:space="preserve">Clin Nutr</w:t>
      </w:r>
      <w:r>
        <w:t xml:space="preserve"> </w:t>
      </w:r>
      <w:r>
        <w:t xml:space="preserve">· Diet strategies for maintaining substantial therapeutic weight loss: 78-week mixed methods randomised trial. PMID 40934815</w:t>
      </w:r>
    </w:p>
    <w:p>
      <w:pPr>
        <w:numPr>
          <w:ilvl w:val="0"/>
          <w:numId w:val="1376"/>
        </w:numPr>
        <w:pStyle w:val="Compact"/>
      </w:pPr>
      <w:r>
        <w:t xml:space="preserve">2025 · Guerdjikova AI ·</w:t>
      </w:r>
      <w:r>
        <w:t xml:space="preserve"> </w:t>
      </w:r>
      <w:r>
        <w:rPr>
          <w:iCs/>
          <w:i/>
        </w:rPr>
        <w:t xml:space="preserve">Int J Psychiatry Clin Pract</w:t>
      </w:r>
      <w:r>
        <w:t xml:space="preserve"> </w:t>
      </w:r>
      <w:r>
        <w:t xml:space="preserve">· Features of binge eating disorder in obese or overweight individuals with stable bipolar disorder participating in a weight loss trial - a post hoc analysis. PMID 40849800</w:t>
      </w:r>
    </w:p>
    <w:p>
      <w:pPr>
        <w:numPr>
          <w:ilvl w:val="0"/>
          <w:numId w:val="1376"/>
        </w:numPr>
        <w:pStyle w:val="Compact"/>
      </w:pPr>
      <w:r>
        <w:t xml:space="preserve">2025 · Nigro S ·</w:t>
      </w:r>
      <w:r>
        <w:t xml:space="preserve"> </w:t>
      </w:r>
      <w:r>
        <w:rPr>
          <w:iCs/>
          <w:i/>
        </w:rPr>
        <w:t xml:space="preserve">Obes Surg</w:t>
      </w:r>
      <w:r>
        <w:t xml:space="preserve"> </w:t>
      </w:r>
      <w:r>
        <w:t xml:space="preserve">· Comparative Efficacy of Endoscopic Sleeve Gastroplasty (Esg) Versus Liraglutide in Weight Loss and Remission Of Obesity-Related Comorbidities: Twelve Months Follow-Up Results. PMID 40779281</w:t>
      </w:r>
    </w:p>
    <w:p>
      <w:pPr>
        <w:numPr>
          <w:ilvl w:val="0"/>
          <w:numId w:val="1376"/>
        </w:numPr>
        <w:pStyle w:val="Compact"/>
      </w:pPr>
      <w:r>
        <w:t xml:space="preserve">2025 · Gómez-Medina AM ·</w:t>
      </w:r>
      <w:r>
        <w:t xml:space="preserve"> </w:t>
      </w:r>
      <w:r>
        <w:rPr>
          <w:iCs/>
          <w:i/>
        </w:rPr>
        <w:t xml:space="preserve">Diabetologia</w:t>
      </w:r>
      <w:r>
        <w:t xml:space="preserve"> </w:t>
      </w:r>
      <w:r>
        <w:t xml:space="preserve">· Insulin DEgludec/LIraglutide versus multiple daily insulin injections in the transition from hospital to outpatient management assessed by continuous glucose monitoring: the DELI transition trial. PMID 40760249</w:t>
      </w:r>
    </w:p>
    <w:p>
      <w:pPr>
        <w:numPr>
          <w:ilvl w:val="0"/>
          <w:numId w:val="1376"/>
        </w:numPr>
        <w:pStyle w:val="Compact"/>
      </w:pPr>
      <w:r>
        <w:t xml:space="preserve">2025 · Martin CK ·</w:t>
      </w:r>
      <w:r>
        <w:t xml:space="preserve"> </w:t>
      </w:r>
      <w:r>
        <w:rPr>
          <w:iCs/>
          <w:i/>
        </w:rPr>
        <w:t xml:space="preserve">Nat Med</w:t>
      </w:r>
      <w:r>
        <w:t xml:space="preserve"> </w:t>
      </w:r>
      <w:r>
        <w:t xml:space="preserve">· Tirzepatide on ingestive behavior in adults with overweight or obesity: a randomized 6-week phase 1 trial. PMID 40555748</w:t>
      </w:r>
    </w:p>
    <w:p>
      <w:pPr>
        <w:numPr>
          <w:ilvl w:val="0"/>
          <w:numId w:val="1376"/>
        </w:numPr>
        <w:pStyle w:val="Compact"/>
      </w:pPr>
      <w:r>
        <w:t xml:space="preserve">2025 · Simeone PG ·</w:t>
      </w:r>
      <w:r>
        <w:t xml:space="preserve"> </w:t>
      </w:r>
      <w:r>
        <w:rPr>
          <w:iCs/>
          <w:i/>
        </w:rPr>
        <w:t xml:space="preserve">Cardiovasc Diabetol</w:t>
      </w:r>
      <w:r>
        <w:t xml:space="preserve"> </w:t>
      </w:r>
      <w:r>
        <w:t xml:space="preserve">· Interleukin-1β in circulating mononuclear cells predicts steatotic liver disease improvement after weight loss in subjects with obesity and prediabetes or type 2 diabetes. PMID 40514652</w:t>
      </w:r>
    </w:p>
    <w:p>
      <w:pPr>
        <w:numPr>
          <w:ilvl w:val="0"/>
          <w:numId w:val="1376"/>
        </w:numPr>
        <w:pStyle w:val="Compact"/>
      </w:pPr>
      <w:r>
        <w:t xml:space="preserve">2025 · Cifuentes L ·</w:t>
      </w:r>
      <w:r>
        <w:t xml:space="preserve"> </w:t>
      </w:r>
      <w:r>
        <w:rPr>
          <w:iCs/>
          <w:i/>
        </w:rPr>
        <w:t xml:space="preserve">Cell Metab</w:t>
      </w:r>
      <w:r>
        <w:t xml:space="preserve"> </w:t>
      </w:r>
      <w:r>
        <w:t xml:space="preserve">· Genetic and physiological insights into satiation variability predict responses to obesity treatment. PMID 40482646</w:t>
      </w:r>
    </w:p>
    <w:p>
      <w:pPr>
        <w:numPr>
          <w:ilvl w:val="0"/>
          <w:numId w:val="1376"/>
        </w:numPr>
        <w:pStyle w:val="Compact"/>
      </w:pPr>
      <w:r>
        <w:t xml:space="preserve">2025 · Hsia DS ·</w:t>
      </w:r>
      <w:r>
        <w:t xml:space="preserve"> </w:t>
      </w:r>
      <w:r>
        <w:rPr>
          <w:iCs/>
          <w:i/>
        </w:rPr>
        <w:t xml:space="preserve">Diabetes Care</w:t>
      </w:r>
      <w:r>
        <w:t xml:space="preserve"> </w:t>
      </w:r>
      <w:r>
        <w:t xml:space="preserve">· Association of Hospitalizations With Randomized Glycemia-Lowering Treatment in GRADE. PMID 40424051</w:t>
      </w:r>
    </w:p>
    <w:p>
      <w:pPr>
        <w:numPr>
          <w:ilvl w:val="0"/>
          <w:numId w:val="1376"/>
        </w:numPr>
        <w:pStyle w:val="Compact"/>
      </w:pPr>
      <w:r>
        <w:t xml:space="preserve">2025 · Luchsinger JA ·</w:t>
      </w:r>
      <w:r>
        <w:t xml:space="preserve"> </w:t>
      </w:r>
      <w:r>
        <w:rPr>
          <w:iCs/>
          <w:i/>
        </w:rPr>
        <w:t xml:space="preserve">JAMA Intern Med</w:t>
      </w:r>
      <w:r>
        <w:t xml:space="preserve"> </w:t>
      </w:r>
      <w:r>
        <w:t xml:space="preserve">· Glucose-Lowering Medications, Glycemia, and Cognitive Outcomes: The GRADE Randomized Clinical Trial. PMID 40388190</w:t>
      </w:r>
    </w:p>
    <w:p>
      <w:pPr>
        <w:numPr>
          <w:ilvl w:val="0"/>
          <w:numId w:val="1376"/>
        </w:numPr>
        <w:pStyle w:val="Compact"/>
      </w:pPr>
      <w:r>
        <w:t xml:space="preserve">2025 · Caruso P ·</w:t>
      </w:r>
      <w:r>
        <w:t xml:space="preserve"> </w:t>
      </w:r>
      <w:r>
        <w:rPr>
          <w:iCs/>
          <w:i/>
        </w:rPr>
        <w:t xml:space="preserve">Diabetes Obes Metab</w:t>
      </w:r>
      <w:r>
        <w:t xml:space="preserve"> </w:t>
      </w:r>
      <w:r>
        <w:t xml:space="preserve">· Liraglutide improves peripheral perfusion and markers of angiogenesis and inflammation in people with type 2 diabetes and peripheral artery disease: An 18-month follow-up of a randomized clinical trial. PMID 40276845</w:t>
      </w:r>
    </w:p>
    <w:p>
      <w:pPr>
        <w:numPr>
          <w:ilvl w:val="0"/>
          <w:numId w:val="1376"/>
        </w:numPr>
        <w:pStyle w:val="Compact"/>
      </w:pPr>
      <w:r>
        <w:t xml:space="preserve">2025 · Wexler DJ ·</w:t>
      </w:r>
      <w:r>
        <w:t xml:space="preserve"> </w:t>
      </w:r>
      <w:r>
        <w:rPr>
          <w:iCs/>
          <w:i/>
        </w:rPr>
        <w:t xml:space="preserve">Diabetes Care</w:t>
      </w:r>
      <w:r>
        <w:t xml:space="preserve"> </w:t>
      </w:r>
      <w:r>
        <w:t xml:space="preserve">· Weight Gain Was Associated With Worsening Glycemia and Cardiovascular and Kidney Outcomes in Patients With Type 2 Diabetes Independent of Diabetes Medication in the GRADE Randomized Controlled Trial. PMID 40267365</w:t>
      </w:r>
    </w:p>
    <w:p>
      <w:pPr>
        <w:numPr>
          <w:ilvl w:val="0"/>
          <w:numId w:val="1376"/>
        </w:numPr>
        <w:pStyle w:val="Compact"/>
      </w:pPr>
      <w:r>
        <w:t xml:space="preserve">2025 · Richardson KM ·</w:t>
      </w:r>
      <w:r>
        <w:t xml:space="preserve"> </w:t>
      </w:r>
      <w:r>
        <w:rPr>
          <w:iCs/>
          <w:i/>
        </w:rPr>
        <w:t xml:space="preserve">Diabetes Obes Metab</w:t>
      </w:r>
      <w:r>
        <w:t xml:space="preserve"> </w:t>
      </w:r>
      <w:r>
        <w:t xml:space="preserve">· The influence of the glucagon-like peptide-1 receptor agonist, liraglutide, on dietary patterns and nutrient intakes in patients with obesity and prediabetes: A secondary analysis of a randomized controlled trial. PMID 40259488</w:t>
      </w:r>
    </w:p>
    <w:p>
      <w:pPr>
        <w:numPr>
          <w:ilvl w:val="0"/>
          <w:numId w:val="1376"/>
        </w:numPr>
        <w:pStyle w:val="Compact"/>
      </w:pPr>
      <w:r>
        <w:t xml:space="preserve">2025 · Utzschneider KM ·</w:t>
      </w:r>
      <w:r>
        <w:t xml:space="preserve"> </w:t>
      </w:r>
      <w:r>
        <w:rPr>
          <w:iCs/>
          <w:i/>
        </w:rPr>
        <w:t xml:space="preserve">Diabetes Care</w:t>
      </w:r>
      <w:r>
        <w:t xml:space="preserve"> </w:t>
      </w:r>
      <w:r>
        <w:t xml:space="preserve">· Differential Treatment Effects on β-Cell Function Using Model-Based Parameters in Type 2 Diabetes: Results From the Glycemia Reduction Approaches in Diabetes: A Comparative Effectiveness Study (GRADE). PMID 39998948</w:t>
      </w:r>
    </w:p>
    <w:p>
      <w:pPr>
        <w:numPr>
          <w:ilvl w:val="0"/>
          <w:numId w:val="1376"/>
        </w:numPr>
        <w:pStyle w:val="Compact"/>
      </w:pPr>
      <w:r>
        <w:t xml:space="preserve">2025 · Lahooti A ·</w:t>
      </w:r>
      <w:r>
        <w:t xml:space="preserve"> </w:t>
      </w:r>
      <w:r>
        <w:rPr>
          <w:iCs/>
          <w:i/>
        </w:rPr>
        <w:t xml:space="preserve">Obes Surg</w:t>
      </w:r>
      <w:r>
        <w:t xml:space="preserve"> </w:t>
      </w:r>
      <w:r>
        <w:t xml:space="preserve">· A Randomized, Double-Blind, Two-Way Cross-over Study to Evaluate the Efficacy of Liraglutide Treatment in Patients Undergoing Transoral Outlet Reduction Endoscopy for Weight Regain Post Roux-en-Y Gastric Bypass. PMID 39885064</w:t>
      </w:r>
    </w:p>
    <w:p>
      <w:pPr>
        <w:numPr>
          <w:ilvl w:val="0"/>
          <w:numId w:val="1376"/>
        </w:numPr>
        <w:pStyle w:val="Compact"/>
      </w:pPr>
      <w:r>
        <w:t xml:space="preserve">2025 · Shah VN ·</w:t>
      </w:r>
      <w:r>
        <w:t xml:space="preserve"> </w:t>
      </w:r>
      <w:r>
        <w:rPr>
          <w:iCs/>
          <w:i/>
        </w:rPr>
        <w:t xml:space="preserve">J Diabetes Sci Technol</w:t>
      </w:r>
      <w:r>
        <w:t xml:space="preserve"> </w:t>
      </w:r>
      <w:r>
        <w:t xml:space="preserve">· Determinants of Liraglutide Treatment Discontinuation in Type 1 Diabetes: A Post Hoc Analysis of ADJUNCT ONE and ADJUNCT TWO Randomized Placebo-Controlled Clinical Studies. PMID 39717993</w:t>
      </w:r>
    </w:p>
    <w:p>
      <w:pPr>
        <w:numPr>
          <w:ilvl w:val="0"/>
          <w:numId w:val="1376"/>
        </w:numPr>
        <w:pStyle w:val="Compact"/>
      </w:pPr>
      <w:r>
        <w:t xml:space="preserve">2025 · Holt R ·</w:t>
      </w:r>
      <w:r>
        <w:t xml:space="preserve"> </w:t>
      </w:r>
      <w:r>
        <w:rPr>
          <w:iCs/>
          <w:i/>
        </w:rPr>
        <w:t xml:space="preserve">J Clin Endocrinol Metab</w:t>
      </w:r>
      <w:r>
        <w:t xml:space="preserve"> </w:t>
      </w:r>
      <w:r>
        <w:t xml:space="preserve">· Weight Loss Induces Changes in Vitamin D Status in Women With Obesity But Not in Men: A Randomized Clinical Trial. PMID 39530599</w:t>
      </w:r>
    </w:p>
    <w:p>
      <w:pPr>
        <w:numPr>
          <w:ilvl w:val="0"/>
          <w:numId w:val="1376"/>
        </w:numPr>
        <w:pStyle w:val="Compact"/>
      </w:pPr>
      <w:r>
        <w:t xml:space="preserve">2025 · Lofton HF ·</w:t>
      </w:r>
      <w:r>
        <w:t xml:space="preserve"> </w:t>
      </w:r>
      <w:r>
        <w:rPr>
          <w:iCs/>
          <w:i/>
        </w:rPr>
        <w:t xml:space="preserve">Surg Obes Relat Dis</w:t>
      </w:r>
      <w:r>
        <w:t xml:space="preserve"> </w:t>
      </w:r>
      <w:r>
        <w:t xml:space="preserve">· A randomized, double-blind, placebo-controlled trial of weight loss using liraglutide 3.0 mg for weight recurrence after Roux-en-Y gastric bypass. PMID 39401933</w:t>
      </w:r>
    </w:p>
    <w:p>
      <w:pPr>
        <w:numPr>
          <w:ilvl w:val="0"/>
          <w:numId w:val="1376"/>
        </w:numPr>
        <w:pStyle w:val="Compact"/>
      </w:pPr>
      <w:r>
        <w:t xml:space="preserve">2025 · Beetz N ·</w:t>
      </w:r>
      <w:r>
        <w:t xml:space="preserve"> </w:t>
      </w:r>
      <w:r>
        <w:rPr>
          <w:iCs/>
          <w:i/>
        </w:rPr>
        <w:t xml:space="preserve">Diabetes Obes Metab</w:t>
      </w:r>
      <w:r>
        <w:t xml:space="preserve"> </w:t>
      </w:r>
      <w:r>
        <w:t xml:space="preserve">· A randomized phase I study of BI 1820237, a novel neuropeptide Y receptor type 2 agonist, alone or in combination with low-dose liraglutide in otherwise healthy men with overweight or obesity. PMID 39373311</w:t>
      </w:r>
    </w:p>
    <w:p>
      <w:pPr>
        <w:numPr>
          <w:ilvl w:val="0"/>
          <w:numId w:val="1376"/>
        </w:numPr>
        <w:pStyle w:val="Compact"/>
      </w:pPr>
      <w:r>
        <w:t xml:space="preserve">2025 · Iacobellis G ·</w:t>
      </w:r>
      <w:r>
        <w:t xml:space="preserve"> </w:t>
      </w:r>
      <w:r>
        <w:rPr>
          <w:iCs/>
          <w:i/>
        </w:rPr>
        <w:t xml:space="preserve">Nutr Metab Cardiovasc Dis</w:t>
      </w:r>
      <w:r>
        <w:t xml:space="preserve"> </w:t>
      </w:r>
      <w:r>
        <w:t xml:space="preserve">· Liraglutide effects on epicardial adipose tissue micro-RNAs and intra-operative glucose control. PMID 39277531</w:t>
      </w:r>
    </w:p>
    <w:p>
      <w:pPr>
        <w:numPr>
          <w:ilvl w:val="0"/>
          <w:numId w:val="1376"/>
        </w:numPr>
        <w:pStyle w:val="Compact"/>
      </w:pPr>
      <w:r>
        <w:t xml:space="preserve">2025 · Fox CK ·</w:t>
      </w:r>
      <w:r>
        <w:t xml:space="preserve"> </w:t>
      </w:r>
      <w:r>
        <w:rPr>
          <w:iCs/>
          <w:i/>
        </w:rPr>
        <w:t xml:space="preserve">N Engl J Med</w:t>
      </w:r>
      <w:r>
        <w:t xml:space="preserve"> </w:t>
      </w:r>
      <w:r>
        <w:t xml:space="preserve">· Liraglutide for Children 6 to &lt;12 Years of Age with Obesity - A Randomized Trial. PMID 39258838</w:t>
      </w:r>
    </w:p>
    <w:p>
      <w:pPr>
        <w:numPr>
          <w:ilvl w:val="0"/>
          <w:numId w:val="1376"/>
        </w:numPr>
        <w:pStyle w:val="Compact"/>
      </w:pPr>
      <w:r>
        <w:t xml:space="preserve">2025 · Jin Y ·</w:t>
      </w:r>
      <w:r>
        <w:t xml:space="preserve"> </w:t>
      </w:r>
      <w:r>
        <w:rPr>
          <w:iCs/>
          <w:i/>
        </w:rPr>
        <w:t xml:space="preserve">Altern Ther Health Med</w:t>
      </w:r>
      <w:r>
        <w:t xml:space="preserve"> </w:t>
      </w:r>
      <w:r>
        <w:t xml:space="preserve">· Analysis of the Efficacy of Polyenyl Phosphatidylcholine in Combination with Liraglutide in Nonalcoholic Fatty Liver Disease and the Effect of Omentin-1 and Vaspin Expression. PMID 38814610</w:t>
      </w:r>
    </w:p>
    <w:p>
      <w:pPr>
        <w:numPr>
          <w:ilvl w:val="0"/>
          <w:numId w:val="1376"/>
        </w:numPr>
        <w:pStyle w:val="Compact"/>
      </w:pPr>
      <w:r>
        <w:t xml:space="preserve">2025 · Harrison SA ·</w:t>
      </w:r>
      <w:r>
        <w:t xml:space="preserve"> </w:t>
      </w:r>
      <w:r>
        <w:rPr>
          <w:iCs/>
          <w:i/>
        </w:rPr>
        <w:t xml:space="preserve">Clin Gastroenterol Hepatol</w:t>
      </w:r>
      <w:r>
        <w:t xml:space="preserve"> </w:t>
      </w:r>
      <w:r>
        <w:t xml:space="preserve">· Safety and Efficacy of Efruxifermin in Combination With a GLP-1 Receptor Agonist in Patients With NASH/MASH and Type 2 Diabetes in a Randomized Phase 2 Study. PMID 38447814</w:t>
      </w:r>
    </w:p>
    <w:p>
      <w:pPr>
        <w:numPr>
          <w:ilvl w:val="0"/>
          <w:numId w:val="1376"/>
        </w:numPr>
        <w:pStyle w:val="Compact"/>
      </w:pPr>
      <w:r>
        <w:t xml:space="preserve">2024 · Ellegaard AM ·</w:t>
      </w:r>
      <w:r>
        <w:t xml:space="preserve"> </w:t>
      </w:r>
      <w:r>
        <w:rPr>
          <w:iCs/>
          <w:i/>
        </w:rPr>
        <w:t xml:space="preserve">Clin Transl Gastroenterol</w:t>
      </w:r>
      <w:r>
        <w:t xml:space="preserve"> </w:t>
      </w:r>
      <w:r>
        <w:t xml:space="preserve">· Liraglutide and Colesevelam Change Serum and Fecal Bile Acid Levels in a Randomized Trial With Patients With Bile Acid Diarrhea. PMID 39602188</w:t>
      </w:r>
    </w:p>
    <w:p>
      <w:pPr>
        <w:numPr>
          <w:ilvl w:val="0"/>
          <w:numId w:val="1376"/>
        </w:numPr>
        <w:pStyle w:val="Compact"/>
      </w:pPr>
      <w:r>
        <w:t xml:space="preserve">2024 · Seaquist ER ·</w:t>
      </w:r>
      <w:r>
        <w:t xml:space="preserve"> </w:t>
      </w:r>
      <w:r>
        <w:rPr>
          <w:iCs/>
          <w:i/>
        </w:rPr>
        <w:t xml:space="preserve">PLoS One</w:t>
      </w:r>
      <w:r>
        <w:t xml:space="preserve"> </w:t>
      </w:r>
      <w:r>
        <w:t xml:space="preserve">· Glycemia reduction in type 2 diabetes-Hypoglycemia outcomes: A randomized clinical trial. PMID 39546502</w:t>
      </w:r>
    </w:p>
    <w:p>
      <w:pPr>
        <w:numPr>
          <w:ilvl w:val="0"/>
          <w:numId w:val="1376"/>
        </w:numPr>
        <w:pStyle w:val="Compact"/>
      </w:pPr>
      <w:r>
        <w:t xml:space="preserve">2024 · Punthakee Z ·</w:t>
      </w:r>
      <w:r>
        <w:t xml:space="preserve"> </w:t>
      </w:r>
      <w:r>
        <w:rPr>
          <w:iCs/>
          <w:i/>
        </w:rPr>
        <w:t xml:space="preserve">Diabetes Obes Metab</w:t>
      </w:r>
      <w:r>
        <w:t xml:space="preserve"> </w:t>
      </w:r>
      <w:r>
        <w:t xml:space="preserve">· Evaluating remission of type 2 diabetes using a metabolic intervention including fixed-ratio insulin degludec and liraglutide: A randomized controlled trial. PMID 39239702</w:t>
      </w:r>
    </w:p>
    <w:p>
      <w:pPr>
        <w:numPr>
          <w:ilvl w:val="0"/>
          <w:numId w:val="1376"/>
        </w:numPr>
        <w:pStyle w:val="Compact"/>
      </w:pPr>
      <w:r>
        <w:t xml:space="preserve">2024 · Dejgaard TF ·</w:t>
      </w:r>
      <w:r>
        <w:t xml:space="preserve"> </w:t>
      </w:r>
      <w:r>
        <w:rPr>
          <w:iCs/>
          <w:i/>
        </w:rPr>
        <w:t xml:space="preserve">Diabetes Obes Metab</w:t>
      </w:r>
      <w:r>
        <w:t xml:space="preserve"> </w:t>
      </w:r>
      <w:r>
        <w:t xml:space="preserve">· Liraglutide enhances insulin secretion and prolongs the remission period in adults with newly diagnosed type 1 diabetes (the NewLira study): A randomized, double-blind, placebo-controlled trial. PMID 39192527</w:t>
      </w:r>
    </w:p>
    <w:p>
      <w:pPr>
        <w:numPr>
          <w:ilvl w:val="0"/>
          <w:numId w:val="1376"/>
        </w:numPr>
        <w:pStyle w:val="Compact"/>
      </w:pPr>
      <w:r>
        <w:t xml:space="preserve">2024 · Chowdhary A ·</w:t>
      </w:r>
      <w:r>
        <w:t xml:space="preserve"> </w:t>
      </w:r>
      <w:r>
        <w:rPr>
          <w:iCs/>
          <w:i/>
        </w:rPr>
        <w:t xml:space="preserve">J Am Coll Cardiol</w:t>
      </w:r>
      <w:r>
        <w:t xml:space="preserve"> </w:t>
      </w:r>
      <w:r>
        <w:t xml:space="preserve">· Liraglutide Improves Myocardial Perfusion and Energetics and Exercise Tolerance in Patients With Type 2 Diabetes. PMID 39084829</w:t>
      </w:r>
    </w:p>
    <w:p>
      <w:pPr>
        <w:numPr>
          <w:ilvl w:val="0"/>
          <w:numId w:val="1376"/>
        </w:numPr>
        <w:pStyle w:val="Compact"/>
      </w:pPr>
      <w:r>
        <w:t xml:space="preserve">2024 · Oosterom-Eijmael MJP ·</w:t>
      </w:r>
      <w:r>
        <w:t xml:space="preserve"> </w:t>
      </w:r>
      <w:r>
        <w:rPr>
          <w:iCs/>
          <w:i/>
        </w:rPr>
        <w:t xml:space="preserve">J Cardiothorac Vasc Anesth</w:t>
      </w:r>
      <w:r>
        <w:t xml:space="preserve"> </w:t>
      </w:r>
      <w:r>
        <w:t xml:space="preserve">· Continuous Glucose Monitoring and the Effect of Liraglutide in Cardiac Surgery Patients: A Substudy of the Randomized Controlled GLOBE Trial. PMID 38977382</w:t>
      </w:r>
    </w:p>
    <w:p>
      <w:pPr>
        <w:numPr>
          <w:ilvl w:val="0"/>
          <w:numId w:val="1376"/>
        </w:numPr>
        <w:pStyle w:val="Compact"/>
      </w:pPr>
      <w:r>
        <w:t xml:space="preserve">2024 · Hoekx CA ·</w:t>
      </w:r>
      <w:r>
        <w:t xml:space="preserve"> </w:t>
      </w:r>
      <w:r>
        <w:rPr>
          <w:iCs/>
          <w:i/>
        </w:rPr>
        <w:t xml:space="preserve">Exp Physiol</w:t>
      </w:r>
      <w:r>
        <w:t xml:space="preserve"> </w:t>
      </w:r>
      <w:r>
        <w:t xml:space="preserve">· Growth differentiation factor 15 is not modified after weight loss induced by liraglutide in South Asians and Europids with type 2 diabetes mellitus. PMID 38965822</w:t>
      </w:r>
    </w:p>
    <w:p>
      <w:pPr>
        <w:numPr>
          <w:ilvl w:val="0"/>
          <w:numId w:val="1376"/>
        </w:numPr>
        <w:pStyle w:val="Compact"/>
      </w:pPr>
      <w:r>
        <w:t xml:space="preserve">2024 · Jensen SBK ·</w:t>
      </w:r>
      <w:r>
        <w:t xml:space="preserve"> </w:t>
      </w:r>
      <w:r>
        <w:rPr>
          <w:iCs/>
          <w:i/>
        </w:rPr>
        <w:t xml:space="preserve">JAMA Netw Open</w:t>
      </w:r>
      <w:r>
        <w:t xml:space="preserve"> </w:t>
      </w:r>
      <w:r>
        <w:t xml:space="preserve">· Bone Health After Exercise Alone, GLP-1 Receptor Agonist Treatment, or Combination Treatment: A Secondary Analysis of a Randomized Clinical Trial. PMID 38916894</w:t>
      </w:r>
    </w:p>
    <w:p>
      <w:pPr>
        <w:numPr>
          <w:ilvl w:val="0"/>
          <w:numId w:val="1376"/>
        </w:numPr>
        <w:pStyle w:val="Compact"/>
      </w:pPr>
      <w:r>
        <w:t xml:space="preserve">2024 · Dogan ADA ·</w:t>
      </w:r>
      <w:r>
        <w:t xml:space="preserve"> </w:t>
      </w:r>
      <w:r>
        <w:rPr>
          <w:iCs/>
          <w:i/>
        </w:rPr>
        <w:t xml:space="preserve">BMC Res Notes</w:t>
      </w:r>
      <w:r>
        <w:t xml:space="preserve"> </w:t>
      </w:r>
      <w:r>
        <w:t xml:space="preserve">· FDG-PET/CT-based respiration-gated lung segmentation and quantification of lung inflammation in COPD patients. PMID 38902794</w:t>
      </w:r>
    </w:p>
    <w:p>
      <w:pPr>
        <w:numPr>
          <w:ilvl w:val="0"/>
          <w:numId w:val="1376"/>
        </w:numPr>
        <w:pStyle w:val="Compact"/>
      </w:pPr>
      <w:r>
        <w:t xml:space="preserve">2024 · Konstantinidou SK ·</w:t>
      </w:r>
      <w:r>
        <w:t xml:space="preserve"> </w:t>
      </w:r>
      <w:r>
        <w:rPr>
          <w:iCs/>
          <w:i/>
        </w:rPr>
        <w:t xml:space="preserve">Diabetes Obes Metab</w:t>
      </w:r>
      <w:r>
        <w:t xml:space="preserve"> </w:t>
      </w:r>
      <w:r>
        <w:t xml:space="preserve">· Total and H-specific growth/differentiation factor 15 levels are unaffected by liraglutide or naltrexone/bupropion administration. PMID 38757729</w:t>
      </w:r>
    </w:p>
    <w:p>
      <w:pPr>
        <w:numPr>
          <w:ilvl w:val="0"/>
          <w:numId w:val="1376"/>
        </w:numPr>
        <w:pStyle w:val="Compact"/>
      </w:pPr>
      <w:r>
        <w:t xml:space="preserve">2024 · Herfarth H ·</w:t>
      </w:r>
      <w:r>
        <w:t xml:space="preserve"> </w:t>
      </w:r>
      <w:r>
        <w:rPr>
          <w:iCs/>
          <w:i/>
        </w:rPr>
        <w:t xml:space="preserve">Am J Gastroenterol</w:t>
      </w:r>
      <w:r>
        <w:t xml:space="preserve"> </w:t>
      </w:r>
      <w:r>
        <w:t xml:space="preserve">· Efficacy and Safety of Liraglutide in Patients With an Ileal Pouch-Anal Anastomosis and Chronic High Bowel Frequency: A Placebo-Controlled, Crossover, Proof-of-Concept Study. PMID 38668926</w:t>
      </w:r>
    </w:p>
    <w:p>
      <w:pPr>
        <w:numPr>
          <w:ilvl w:val="0"/>
          <w:numId w:val="1376"/>
        </w:numPr>
        <w:pStyle w:val="Compact"/>
      </w:pPr>
      <w:r>
        <w:t xml:space="preserve">2024 · Pandey A ·</w:t>
      </w:r>
      <w:r>
        <w:t xml:space="preserve"> </w:t>
      </w:r>
      <w:r>
        <w:rPr>
          <w:iCs/>
          <w:i/>
        </w:rPr>
        <w:t xml:space="preserve">J Cachexia Sarcopenia Muscle</w:t>
      </w:r>
      <w:r>
        <w:t xml:space="preserve"> </w:t>
      </w:r>
      <w:r>
        <w:t xml:space="preserve">· Effect of liraglutide on thigh muscle fat and muscle composition in adults with overweight or obesity: Results from a randomized clinical trial. PMID 38561962</w:t>
      </w:r>
    </w:p>
    <w:p>
      <w:pPr>
        <w:numPr>
          <w:ilvl w:val="0"/>
          <w:numId w:val="1376"/>
        </w:numPr>
        <w:pStyle w:val="Compact"/>
      </w:pPr>
      <w:r>
        <w:t xml:space="preserve">2024 · Katogiannis K ·</w:t>
      </w:r>
      <w:r>
        <w:t xml:space="preserve"> </w:t>
      </w:r>
      <w:r>
        <w:rPr>
          <w:iCs/>
          <w:i/>
        </w:rPr>
        <w:t xml:space="preserve">Medicina (Kaunas)</w:t>
      </w:r>
      <w:r>
        <w:t xml:space="preserve"> </w:t>
      </w:r>
      <w:r>
        <w:t xml:space="preserve">· Effects of Liraglutide, Empagliflozin and Their Combination on Left Atrial Strain and Arterial Function. PMID 38541121</w:t>
      </w:r>
    </w:p>
    <w:p>
      <w:pPr>
        <w:numPr>
          <w:ilvl w:val="0"/>
          <w:numId w:val="1376"/>
        </w:numPr>
        <w:pStyle w:val="Compact"/>
      </w:pPr>
      <w:r>
        <w:t xml:space="preserve">2024 · Caruso P ·</w:t>
      </w:r>
      <w:r>
        <w:t xml:space="preserve"> </w:t>
      </w:r>
      <w:r>
        <w:rPr>
          <w:iCs/>
          <w:i/>
        </w:rPr>
        <w:t xml:space="preserve">JAMA Netw Open</w:t>
      </w:r>
      <w:r>
        <w:t xml:space="preserve"> </w:t>
      </w:r>
      <w:r>
        <w:t xml:space="preserve">· Liraglutide for Lower Limb Perfusion in People With Type 2 Diabetes and Peripheral Artery Disease: The STARDUST Randomized Clinical Trial. PMID 38470420</w:t>
      </w:r>
    </w:p>
    <w:p>
      <w:pPr>
        <w:numPr>
          <w:ilvl w:val="0"/>
          <w:numId w:val="1376"/>
        </w:numPr>
        <w:pStyle w:val="Compact"/>
      </w:pPr>
      <w:r>
        <w:t xml:space="preserve">2024 · Dearos Sanchis M ·</w:t>
      </w:r>
      <w:r>
        <w:t xml:space="preserve"> </w:t>
      </w:r>
      <w:r>
        <w:rPr>
          <w:iCs/>
          <w:i/>
        </w:rPr>
        <w:t xml:space="preserve">Nutr Hosp</w:t>
      </w:r>
      <w:r>
        <w:t xml:space="preserve"> </w:t>
      </w:r>
      <w:r>
        <w:t xml:space="preserve">· [Impact on weight loss and body composition of a food education intervention associated with Liraglutide treatment to address obesity]. PMID 38450509</w:t>
      </w:r>
    </w:p>
    <w:p>
      <w:pPr>
        <w:numPr>
          <w:ilvl w:val="0"/>
          <w:numId w:val="1376"/>
        </w:numPr>
        <w:pStyle w:val="Compact"/>
      </w:pPr>
      <w:r>
        <w:t xml:space="preserve">2024 · Green JB ·</w:t>
      </w:r>
      <w:r>
        <w:t xml:space="preserve"> </w:t>
      </w:r>
      <w:r>
        <w:rPr>
          <w:iCs/>
          <w:i/>
        </w:rPr>
        <w:t xml:space="preserve">Circulation</w:t>
      </w:r>
      <w:r>
        <w:t xml:space="preserve"> </w:t>
      </w:r>
      <w:r>
        <w:t xml:space="preserve">· Cardiovascular Outcomes in GRADE (Glycemia Reduction Approaches in Type 2 Diabetes: A Comparative Effectiveness Study). PMID 38344820</w:t>
      </w:r>
    </w:p>
    <w:p>
      <w:pPr>
        <w:numPr>
          <w:ilvl w:val="0"/>
          <w:numId w:val="1376"/>
        </w:numPr>
        <w:pStyle w:val="Compact"/>
      </w:pPr>
      <w:r>
        <w:t xml:space="preserve">2024 · Ma J ·</w:t>
      </w:r>
      <w:r>
        <w:t xml:space="preserve"> </w:t>
      </w:r>
      <w:r>
        <w:rPr>
          <w:iCs/>
          <w:i/>
        </w:rPr>
        <w:t xml:space="preserve">Altern Ther Health Med</w:t>
      </w:r>
      <w:r>
        <w:t xml:space="preserve"> </w:t>
      </w:r>
      <w:r>
        <w:t xml:space="preserve">· Clinical Efficacy and Safety of Liraglutide and Dapagliflozin on Glucose and Lipid Metabolism and Insulin Function in Patients with Type 2 Diabetes Mellitus. PMID 38294744</w:t>
      </w:r>
    </w:p>
    <w:p>
      <w:pPr>
        <w:numPr>
          <w:ilvl w:val="0"/>
          <w:numId w:val="1376"/>
        </w:numPr>
        <w:pStyle w:val="Compact"/>
      </w:pPr>
      <w:r>
        <w:t xml:space="preserve">2024 · Garvey WT ·</w:t>
      </w:r>
      <w:r>
        <w:t xml:space="preserve"> </w:t>
      </w:r>
      <w:r>
        <w:rPr>
          <w:iCs/>
          <w:i/>
        </w:rPr>
        <w:t xml:space="preserve">Diabetes Care</w:t>
      </w:r>
      <w:r>
        <w:t xml:space="preserve"> </w:t>
      </w:r>
      <w:r>
        <w:t xml:space="preserve">· Association of Baseline Factors With Glycemic Outcomes in GRADE: A Comparative Effectiveness Randomized Clinical Trial. PMID 38285957</w:t>
      </w:r>
    </w:p>
    <w:p>
      <w:pPr>
        <w:numPr>
          <w:ilvl w:val="0"/>
          <w:numId w:val="1376"/>
        </w:numPr>
        <w:pStyle w:val="Compact"/>
      </w:pPr>
      <w:r>
        <w:t xml:space="preserve">2024 · Kawaguchi Y ·</w:t>
      </w:r>
      <w:r>
        <w:t xml:space="preserve"> </w:t>
      </w:r>
      <w:r>
        <w:rPr>
          <w:iCs/>
          <w:i/>
        </w:rPr>
        <w:t xml:space="preserve">J Diabetes Investig</w:t>
      </w:r>
      <w:r>
        <w:t xml:space="preserve"> </w:t>
      </w:r>
      <w:r>
        <w:t xml:space="preserve">· Comparison of efficacy and safety of insulin degludec/liraglutide and insulin glargine U-100/lixisenatide in individuals with type 2 diabetes mellitus using professional continuous glucose monitoring. PMID 38258482</w:t>
      </w:r>
    </w:p>
    <w:p>
      <w:pPr>
        <w:numPr>
          <w:ilvl w:val="0"/>
          <w:numId w:val="1376"/>
        </w:numPr>
        <w:pStyle w:val="Compact"/>
      </w:pPr>
      <w:r>
        <w:t xml:space="preserve">2024 · McElroy SL ·</w:t>
      </w:r>
      <w:r>
        <w:t xml:space="preserve"> </w:t>
      </w:r>
      <w:r>
        <w:rPr>
          <w:iCs/>
          <w:i/>
        </w:rPr>
        <w:t xml:space="preserve">J Clin Psychopharmacol</w:t>
      </w:r>
      <w:r>
        <w:t xml:space="preserve"> </w:t>
      </w:r>
      <w:r>
        <w:t xml:space="preserve">· Liraglutide in Obese or Overweight Individuals With Stable Bipolar Disorder. PMID 38227621</w:t>
      </w:r>
    </w:p>
    <w:p>
      <w:pPr>
        <w:numPr>
          <w:ilvl w:val="0"/>
          <w:numId w:val="1376"/>
        </w:numPr>
        <w:pStyle w:val="Compact"/>
      </w:pPr>
      <w:r>
        <w:t xml:space="preserve">2024 · Rasouli N ·</w:t>
      </w:r>
      <w:r>
        <w:t xml:space="preserve"> </w:t>
      </w:r>
      <w:r>
        <w:rPr>
          <w:iCs/>
          <w:i/>
        </w:rPr>
        <w:t xml:space="preserve">Diabetes Care</w:t>
      </w:r>
      <w:r>
        <w:t xml:space="preserve"> </w:t>
      </w:r>
      <w:r>
        <w:t xml:space="preserve">· Longitudinal Effects of Glucose-Lowering Medications on β-Cell Responses and Insulin Sensitivity in Type 2 Diabetes: The GRADE Randomized Clinical Trial. PMID 38211595</w:t>
      </w:r>
    </w:p>
    <w:p>
      <w:pPr>
        <w:numPr>
          <w:ilvl w:val="0"/>
          <w:numId w:val="1376"/>
        </w:numPr>
        <w:pStyle w:val="Compact"/>
      </w:pPr>
      <w:r>
        <w:t xml:space="preserve">2024 · Kirkman MS ·</w:t>
      </w:r>
      <w:r>
        <w:t xml:space="preserve"> </w:t>
      </w:r>
      <w:r>
        <w:rPr>
          <w:iCs/>
          <w:i/>
        </w:rPr>
        <w:t xml:space="preserve">Diabetes Care</w:t>
      </w:r>
      <w:r>
        <w:t xml:space="preserve"> </w:t>
      </w:r>
      <w:r>
        <w:t xml:space="preserve">· Comparative Effects of Randomized Second-line Therapy for Type 2 Diabetes on a Composite Outcome Incorporating Glycemic Control, Body Weight, and Hypoglycemia: An Analysis of the Glycemia Reduction Approaches in Diabetes: A Comparative Effectiveness Study (GRADE). PMID 38194519</w:t>
      </w:r>
    </w:p>
    <w:p>
      <w:pPr>
        <w:numPr>
          <w:ilvl w:val="0"/>
          <w:numId w:val="1376"/>
        </w:numPr>
        <w:pStyle w:val="Compact"/>
      </w:pPr>
      <w:r>
        <w:t xml:space="preserve">2024 · Cherrington AL ·</w:t>
      </w:r>
      <w:r>
        <w:t xml:space="preserve"> </w:t>
      </w:r>
      <w:r>
        <w:rPr>
          <w:iCs/>
          <w:i/>
        </w:rPr>
        <w:t xml:space="preserve">Diabetes Care</w:t>
      </w:r>
      <w:r>
        <w:t xml:space="preserve"> </w:t>
      </w:r>
      <w:r>
        <w:t xml:space="preserve">· Impact of Glucose-Lowering Medications on Health-Related Quality of Life in the Glycemia Reduction Approaches in Diabetes: A Comparative Effectiveness Study (GRADE). PMID 38190625</w:t>
      </w:r>
    </w:p>
    <w:p>
      <w:pPr>
        <w:numPr>
          <w:ilvl w:val="0"/>
          <w:numId w:val="1376"/>
        </w:numPr>
        <w:pStyle w:val="Compact"/>
      </w:pPr>
      <w:r>
        <w:t xml:space="preserve">2024 · Utzschneider KM ·</w:t>
      </w:r>
      <w:r>
        <w:t xml:space="preserve"> </w:t>
      </w:r>
      <w:r>
        <w:rPr>
          <w:iCs/>
          <w:i/>
        </w:rPr>
        <w:t xml:space="preserve">Diabetes Care</w:t>
      </w:r>
      <w:r>
        <w:t xml:space="preserve"> </w:t>
      </w:r>
      <w:r>
        <w:t xml:space="preserve">· Impact of Insulin Sensitivity and β-Cell Function Over Time on Glycemic Outcomes in the Glycemia Reduction Approaches in Diabetes: A Comparative Effectiveness Study (GRADE): Differential Treatment Effects of Dual Therapy. PMID 38190619</w:t>
      </w:r>
    </w:p>
    <w:p>
      <w:pPr>
        <w:numPr>
          <w:ilvl w:val="0"/>
          <w:numId w:val="1376"/>
        </w:numPr>
        <w:pStyle w:val="Compact"/>
      </w:pPr>
      <w:r>
        <w:t xml:space="preserve">2024 · Eghbali M ·</w:t>
      </w:r>
      <w:r>
        <w:t xml:space="preserve"> </w:t>
      </w:r>
      <w:r>
        <w:rPr>
          <w:iCs/>
          <w:i/>
        </w:rPr>
        <w:t xml:space="preserve">Adv Ther</w:t>
      </w:r>
      <w:r>
        <w:t xml:space="preserve"> </w:t>
      </w:r>
      <w:r>
        <w:t xml:space="preserve">· Glucagon-Like Peptide 1 (GLP-1) Receptor Variants and Glycemic Response to Liraglutide: A Pharmacogenetics Study in Iranian People with Type 2 Diabetes Mellitus. PMID 38172377</w:t>
      </w:r>
    </w:p>
    <w:p>
      <w:pPr>
        <w:numPr>
          <w:ilvl w:val="0"/>
          <w:numId w:val="1376"/>
        </w:numPr>
        <w:pStyle w:val="Compact"/>
      </w:pPr>
      <w:r>
        <w:t xml:space="preserve">2024 · Hany M ·</w:t>
      </w:r>
      <w:r>
        <w:t xml:space="preserve"> </w:t>
      </w:r>
      <w:r>
        <w:rPr>
          <w:iCs/>
          <w:i/>
        </w:rPr>
        <w:t xml:space="preserve">Int J Surg</w:t>
      </w:r>
      <w:r>
        <w:t xml:space="preserve"> </w:t>
      </w:r>
      <w:r>
        <w:t xml:space="preserve">· Boosting weight loss after conversional Roux-en-Y Gastric Bypass with liraglutide and placebo use. A double-blind-randomized controlled trial. PMID 38100630</w:t>
      </w:r>
    </w:p>
    <w:p>
      <w:pPr>
        <w:numPr>
          <w:ilvl w:val="0"/>
          <w:numId w:val="1376"/>
        </w:numPr>
        <w:pStyle w:val="Compact"/>
      </w:pPr>
      <w:r>
        <w:t xml:space="preserve">2024 · O’Donnell C ·</w:t>
      </w:r>
      <w:r>
        <w:t xml:space="preserve"> </w:t>
      </w:r>
      <w:r>
        <w:rPr>
          <w:iCs/>
          <w:i/>
        </w:rPr>
        <w:t xml:space="preserve">Ann Am Thorac Soc</w:t>
      </w:r>
      <w:r>
        <w:t xml:space="preserve"> </w:t>
      </w:r>
      <w:r>
        <w:t xml:space="preserve">· Continuous Positive Airway Pressure but Not GLP1-mediated Weight Loss Improves Early Cardiovascular Disease in Obstructive Sleep Apnea: A Randomized Proof-of-Concept Study. PMID 38096106</w:t>
      </w:r>
    </w:p>
    <w:p>
      <w:pPr>
        <w:numPr>
          <w:ilvl w:val="0"/>
          <w:numId w:val="1376"/>
        </w:numPr>
        <w:pStyle w:val="Compact"/>
      </w:pPr>
      <w:r>
        <w:t xml:space="preserve">2024 · Krishnan K ·</w:t>
      </w:r>
      <w:r>
        <w:t xml:space="preserve"> </w:t>
      </w:r>
      <w:r>
        <w:rPr>
          <w:iCs/>
          <w:i/>
        </w:rPr>
        <w:t xml:space="preserve">Diabetes Res Clin Pract</w:t>
      </w:r>
      <w:r>
        <w:t xml:space="preserve"> </w:t>
      </w:r>
      <w:r>
        <w:t xml:space="preserve">· Phase 3 efficacy and safety trial of proposed liraglutide biosimilar for reduction of glycosylated hemoglobin (HbA1c) in patients with Type 2 diabetes mellitus. PMID 38061446</w:t>
      </w:r>
    </w:p>
    <w:p>
      <w:pPr>
        <w:numPr>
          <w:ilvl w:val="0"/>
          <w:numId w:val="1376"/>
        </w:numPr>
        <w:pStyle w:val="Compact"/>
      </w:pPr>
      <w:r>
        <w:t xml:space="preserve">2024 · Dietsche KB ·</w:t>
      </w:r>
      <w:r>
        <w:t xml:space="preserve"> </w:t>
      </w:r>
      <w:r>
        <w:rPr>
          <w:iCs/>
          <w:i/>
        </w:rPr>
        <w:t xml:space="preserve">J Clin Endocrinol Metab</w:t>
      </w:r>
      <w:r>
        <w:t xml:space="preserve"> </w:t>
      </w:r>
      <w:r>
        <w:t xml:space="preserve">· Glycemia and Gluconeogenesis With Metformin and Liraglutide: A Randomized Trial in Youth-onset Type 2 Diabetes. PMID 37967247</w:t>
      </w:r>
    </w:p>
    <w:p>
      <w:pPr>
        <w:numPr>
          <w:ilvl w:val="0"/>
          <w:numId w:val="1376"/>
        </w:numPr>
        <w:pStyle w:val="Compact"/>
      </w:pPr>
      <w:r>
        <w:t xml:space="preserve">2024 · Custódio G ·</w:t>
      </w:r>
      <w:r>
        <w:t xml:space="preserve"> </w:t>
      </w:r>
      <w:r>
        <w:rPr>
          <w:iCs/>
          <w:i/>
        </w:rPr>
        <w:t xml:space="preserve">Liver Transpl</w:t>
      </w:r>
      <w:r>
        <w:t xml:space="preserve"> </w:t>
      </w:r>
      <w:r>
        <w:t xml:space="preserve">· Does liraglutide alleviate inflammation in brain-dead donors? A randomized clinical trial. PMID 37938130</w:t>
      </w:r>
    </w:p>
    <w:p>
      <w:pPr>
        <w:numPr>
          <w:ilvl w:val="0"/>
          <w:numId w:val="1376"/>
        </w:numPr>
        <w:pStyle w:val="Compact"/>
      </w:pPr>
      <w:r>
        <w:t xml:space="preserve">2024 · Mashayekhi M ·</w:t>
      </w:r>
      <w:r>
        <w:t xml:space="preserve"> </w:t>
      </w:r>
      <w:r>
        <w:rPr>
          <w:iCs/>
          <w:i/>
        </w:rPr>
        <w:t xml:space="preserve">Diabetes</w:t>
      </w:r>
      <w:r>
        <w:t xml:space="preserve"> </w:t>
      </w:r>
      <w:r>
        <w:t xml:space="preserve">· Weight Loss-Independent Effect of Liraglutide on Insulin Sensitivity in Individuals With Obesity and Prediabetes. PMID 37874653</w:t>
      </w:r>
    </w:p>
    <w:p>
      <w:pPr>
        <w:numPr>
          <w:ilvl w:val="0"/>
          <w:numId w:val="1376"/>
        </w:numPr>
        <w:pStyle w:val="Compact"/>
      </w:pPr>
      <w:r>
        <w:t xml:space="preserve">2024 · Foghsgaard S ·</w:t>
      </w:r>
      <w:r>
        <w:t xml:space="preserve"> </w:t>
      </w:r>
      <w:r>
        <w:rPr>
          <w:iCs/>
          <w:i/>
        </w:rPr>
        <w:t xml:space="preserve">Diabetes Obes Metab</w:t>
      </w:r>
      <w:r>
        <w:t xml:space="preserve"> </w:t>
      </w:r>
      <w:r>
        <w:t xml:space="preserve">· Liraglutide treatment for the prevention of glucose tolerance deterioration in women with prior gestational diabetes mellitus: A 52-week randomized controlled clinical trial. PMID 37846555</w:t>
      </w:r>
    </w:p>
    <w:p>
      <w:pPr>
        <w:numPr>
          <w:ilvl w:val="0"/>
          <w:numId w:val="1376"/>
        </w:numPr>
        <w:pStyle w:val="Compact"/>
      </w:pPr>
      <w:r>
        <w:t xml:space="preserve">2024 · Hollander PA ·</w:t>
      </w:r>
      <w:r>
        <w:t xml:space="preserve"> </w:t>
      </w:r>
      <w:r>
        <w:rPr>
          <w:iCs/>
          <w:i/>
        </w:rPr>
        <w:t xml:space="preserve">Diabetes Care</w:t>
      </w:r>
      <w:r>
        <w:t xml:space="preserve"> </w:t>
      </w:r>
      <w:r>
        <w:t xml:space="preserve">· The Use of Rescue Insulin in the Glycemia Reduction Approaches in Diabetes: A Comparative Effectiveness Study (GRADE). PMID 37756542</w:t>
      </w:r>
    </w:p>
    <w:p>
      <w:pPr>
        <w:numPr>
          <w:ilvl w:val="0"/>
          <w:numId w:val="1376"/>
        </w:numPr>
        <w:pStyle w:val="Compact"/>
      </w:pPr>
      <w:r>
        <w:t xml:space="preserve">2024 · Liao M ·</w:t>
      </w:r>
      <w:r>
        <w:t xml:space="preserve"> </w:t>
      </w:r>
      <w:r>
        <w:rPr>
          <w:iCs/>
          <w:i/>
        </w:rPr>
        <w:t xml:space="preserve">Endocrine</w:t>
      </w:r>
      <w:r>
        <w:t xml:space="preserve"> </w:t>
      </w:r>
      <w:r>
        <w:t xml:space="preserve">· Effects and plasma proteomic analysis of GLP-1RA versus CPA/EE, in combination with metformin, on overweight PCOS women: a randomized controlled trial. PMID 37653215</w:t>
      </w:r>
    </w:p>
    <w:p>
      <w:pPr>
        <w:numPr>
          <w:ilvl w:val="0"/>
          <w:numId w:val="1376"/>
        </w:numPr>
        <w:pStyle w:val="Compact"/>
      </w:pPr>
      <w:r>
        <w:t xml:space="preserve">2024 · Rahbek MT ·</w:t>
      </w:r>
      <w:r>
        <w:t xml:space="preserve"> </w:t>
      </w:r>
      <w:r>
        <w:rPr>
          <w:iCs/>
          <w:i/>
        </w:rPr>
        <w:t xml:space="preserve">Pharmacoepidemiol Drug Saf</w:t>
      </w:r>
      <w:r>
        <w:t xml:space="preserve"> </w:t>
      </w:r>
      <w:r>
        <w:t xml:space="preserve">· A case for screening real-world data for collateral drug benefits: Glucagon-like peptide 1 receptor agonists and bile acid diarrhea. PMID 37559355</w:t>
      </w:r>
    </w:p>
    <w:p>
      <w:pPr>
        <w:numPr>
          <w:ilvl w:val="0"/>
          <w:numId w:val="1376"/>
        </w:numPr>
        <w:pStyle w:val="Compact"/>
      </w:pPr>
      <w:r>
        <w:t xml:space="preserve">2024 · Philis-Tsimikas A ·</w:t>
      </w:r>
      <w:r>
        <w:t xml:space="preserve"> </w:t>
      </w:r>
      <w:r>
        <w:rPr>
          <w:iCs/>
          <w:i/>
        </w:rPr>
        <w:t xml:space="preserve">J Diabetes Sci Technol</w:t>
      </w:r>
      <w:r>
        <w:t xml:space="preserve"> </w:t>
      </w:r>
      <w:r>
        <w:t xml:space="preserve">· Higher Derived Time in Range With IDegLira Versus Insulin Glargine U100 in People With Type 2 Diabetes. PMID 36710452</w:t>
      </w:r>
    </w:p>
    <w:p>
      <w:pPr>
        <w:numPr>
          <w:ilvl w:val="0"/>
          <w:numId w:val="1376"/>
        </w:numPr>
        <w:pStyle w:val="Compact"/>
      </w:pPr>
      <w:r>
        <w:t xml:space="preserve">2023 · Parker VER ·</w:t>
      </w:r>
      <w:r>
        <w:t xml:space="preserve"> </w:t>
      </w:r>
      <w:r>
        <w:rPr>
          <w:iCs/>
          <w:i/>
        </w:rPr>
        <w:t xml:space="preserve">Nat Metab</w:t>
      </w:r>
      <w:r>
        <w:t xml:space="preserve"> </w:t>
      </w:r>
      <w:r>
        <w:t xml:space="preserve">· Cotadutide promotes glycogenolysis in people with overweight or obesity diagnosed with type 2 diabetes. PMID 38066113</w:t>
      </w:r>
    </w:p>
    <w:p>
      <w:pPr>
        <w:numPr>
          <w:ilvl w:val="0"/>
          <w:numId w:val="1376"/>
        </w:numPr>
        <w:pStyle w:val="Compact"/>
      </w:pPr>
      <w:r>
        <w:t xml:space="preserve">2023 · Coelho C ·</w:t>
      </w:r>
      <w:r>
        <w:t xml:space="preserve"> </w:t>
      </w:r>
      <w:r>
        <w:rPr>
          <w:iCs/>
          <w:i/>
        </w:rPr>
        <w:t xml:space="preserve">Int J Obes (Lond)</w:t>
      </w:r>
      <w:r>
        <w:t xml:space="preserve"> </w:t>
      </w:r>
      <w:r>
        <w:t xml:space="preserve">· Laparoscopic adjustable gastric banding with liraglutide in adults with obesity and type 2 diabetes (GLIDE): a pilot randomised placebo controlled trial. PMID 37696925</w:t>
      </w:r>
    </w:p>
    <w:p>
      <w:pPr>
        <w:numPr>
          <w:ilvl w:val="0"/>
          <w:numId w:val="1376"/>
        </w:numPr>
        <w:pStyle w:val="Compact"/>
      </w:pPr>
      <w:r>
        <w:t xml:space="preserve">2023 · Coppin G ·</w:t>
      </w:r>
      <w:r>
        <w:t xml:space="preserve"> </w:t>
      </w:r>
      <w:r>
        <w:rPr>
          <w:iCs/>
          <w:i/>
        </w:rPr>
        <w:t xml:space="preserve">Int J Obes (Lond)</w:t>
      </w:r>
      <w:r>
        <w:t xml:space="preserve"> </w:t>
      </w:r>
      <w:r>
        <w:t xml:space="preserve">· A randomized controlled trial investigating the effect of liraglutide on self-reported liking and neural responses to food stimuli in participants with obesity. PMID 37626125</w:t>
      </w:r>
    </w:p>
    <w:p>
      <w:pPr>
        <w:numPr>
          <w:ilvl w:val="0"/>
          <w:numId w:val="1376"/>
        </w:numPr>
        <w:pStyle w:val="Compact"/>
      </w:pPr>
      <w:r>
        <w:t xml:space="preserve">2023 · Hanssen R ·</w:t>
      </w:r>
      <w:r>
        <w:t xml:space="preserve"> </w:t>
      </w:r>
      <w:r>
        <w:rPr>
          <w:iCs/>
          <w:i/>
        </w:rPr>
        <w:t xml:space="preserve">Nat Metab</w:t>
      </w:r>
      <w:r>
        <w:t xml:space="preserve"> </w:t>
      </w:r>
      <w:r>
        <w:t xml:space="preserve">· Liraglutide restores impaired associative learning in individuals with obesity. PMID 37592007</w:t>
      </w:r>
    </w:p>
    <w:p>
      <w:pPr>
        <w:numPr>
          <w:ilvl w:val="0"/>
          <w:numId w:val="1376"/>
        </w:numPr>
        <w:pStyle w:val="Compact"/>
      </w:pPr>
      <w:r>
        <w:t xml:space="preserve">2023 · Freitas FPC ·</w:t>
      </w:r>
      <w:r>
        <w:t xml:space="preserve"> </w:t>
      </w:r>
      <w:r>
        <w:rPr>
          <w:iCs/>
          <w:i/>
        </w:rPr>
        <w:t xml:space="preserve">Sci Rep</w:t>
      </w:r>
      <w:r>
        <w:t xml:space="preserve"> </w:t>
      </w:r>
      <w:r>
        <w:t xml:space="preserve">· Effect of liraglutide on cardiometabolic profile and on bioelectrical impedance analysis in patients with obesity and metabolic syndrome. PMID 37567946</w:t>
      </w:r>
    </w:p>
    <w:p>
      <w:pPr>
        <w:numPr>
          <w:ilvl w:val="0"/>
          <w:numId w:val="1376"/>
        </w:numPr>
        <w:pStyle w:val="Compact"/>
      </w:pPr>
      <w:r>
        <w:t xml:space="preserve">2023 · Mok J ·</w:t>
      </w:r>
      <w:r>
        <w:t xml:space="preserve"> </w:t>
      </w:r>
      <w:r>
        <w:rPr>
          <w:iCs/>
          <w:i/>
        </w:rPr>
        <w:t xml:space="preserve">JAMA Surg</w:t>
      </w:r>
      <w:r>
        <w:t xml:space="preserve"> </w:t>
      </w:r>
      <w:r>
        <w:t xml:space="preserve">· Safety and Efficacy of Liraglutide, 3.0 mg, Once Daily vs Placebo in Patients With Poor Weight Loss Following Metabolic Surgery: The BARI-OPTIMISE Randomized Clinical Trial. PMID 37494014</w:t>
      </w:r>
    </w:p>
    <w:p>
      <w:pPr>
        <w:numPr>
          <w:ilvl w:val="0"/>
          <w:numId w:val="1376"/>
        </w:numPr>
        <w:pStyle w:val="Compact"/>
      </w:pPr>
      <w:r>
        <w:t xml:space="preserve">2023 · Galindo RJ ·</w:t>
      </w:r>
      <w:r>
        <w:t xml:space="preserve"> </w:t>
      </w:r>
      <w:r>
        <w:rPr>
          <w:iCs/>
          <w:i/>
        </w:rPr>
        <w:t xml:space="preserve">Diabetes Care</w:t>
      </w:r>
      <w:r>
        <w:t xml:space="preserve"> </w:t>
      </w:r>
      <w:r>
        <w:t xml:space="preserve">· A Randomized Controlled Trial Comparing the Efficacy and Safety of IDegLira Versus Basal-Bolus in Patients With Poorly Controlled Type 2 Diabetes and Very High HbA1c ≥9-15%: DUAL HIGH Trial. PMID 37459574</w:t>
      </w:r>
    </w:p>
    <w:p>
      <w:pPr>
        <w:numPr>
          <w:ilvl w:val="0"/>
          <w:numId w:val="1376"/>
        </w:numPr>
        <w:pStyle w:val="Compact"/>
      </w:pPr>
      <w:r>
        <w:t xml:space="preserve">2023 · Scherbak NN ·</w:t>
      </w:r>
      <w:r>
        <w:t xml:space="preserve"> </w:t>
      </w:r>
      <w:r>
        <w:rPr>
          <w:iCs/>
          <w:i/>
        </w:rPr>
        <w:t xml:space="preserve">Diabetes Metab J</w:t>
      </w:r>
      <w:r>
        <w:t xml:space="preserve"> </w:t>
      </w:r>
      <w:r>
        <w:t xml:space="preserve">· Glimepiride Compared to Liraglutide Increases Plasma Levels of miR-206, miR-182-5p, and miR-766-3p in Type 2 Diabetes Mellitus: A Randomized Controlled Trial. PMID 37349083</w:t>
      </w:r>
    </w:p>
    <w:p>
      <w:pPr>
        <w:numPr>
          <w:ilvl w:val="0"/>
          <w:numId w:val="1376"/>
        </w:numPr>
        <w:pStyle w:val="Compact"/>
      </w:pPr>
      <w:r>
        <w:t xml:space="preserve">2023 · Bensignor MO ·</w:t>
      </w:r>
      <w:r>
        <w:t xml:space="preserve"> </w:t>
      </w:r>
      <w:r>
        <w:rPr>
          <w:iCs/>
          <w:i/>
        </w:rPr>
        <w:t xml:space="preserve">Pediatr Obes</w:t>
      </w:r>
      <w:r>
        <w:t xml:space="preserve"> </w:t>
      </w:r>
      <w:r>
        <w:t xml:space="preserve">· Evaluating potential predictors of weight loss response to liraglutide in adolescents with obesity: A post hoc analysis of the randomized, placebo-controlled SCALE Teens trial. PMID 37264767</w:t>
      </w:r>
    </w:p>
    <w:p>
      <w:pPr>
        <w:numPr>
          <w:ilvl w:val="0"/>
          <w:numId w:val="1376"/>
        </w:numPr>
        <w:pStyle w:val="Compact"/>
      </w:pPr>
      <w:r>
        <w:t xml:space="preserve">2023 · Wexler DJ ·</w:t>
      </w:r>
      <w:r>
        <w:t xml:space="preserve"> </w:t>
      </w:r>
      <w:r>
        <w:rPr>
          <w:iCs/>
          <w:i/>
        </w:rPr>
        <w:t xml:space="preserve">JAMA Intern Med</w:t>
      </w:r>
      <w:r>
        <w:t xml:space="preserve"> </w:t>
      </w:r>
      <w:r>
        <w:t xml:space="preserve">· Comparative Effects of Glucose-Lowering Medications on Kidney Outcomes in Type 2 Diabetes: The GRADE Randomized Clinical Trial. PMID 37213109</w:t>
      </w:r>
    </w:p>
    <w:p>
      <w:pPr>
        <w:numPr>
          <w:ilvl w:val="0"/>
          <w:numId w:val="1376"/>
        </w:numPr>
        <w:pStyle w:val="Compact"/>
      </w:pPr>
      <w:r>
        <w:t xml:space="preserve">2023 · Silver HJ ·</w:t>
      </w:r>
      <w:r>
        <w:t xml:space="preserve"> </w:t>
      </w:r>
      <w:r>
        <w:rPr>
          <w:iCs/>
          <w:i/>
        </w:rPr>
        <w:t xml:space="preserve">Diabetes Obes Metab</w:t>
      </w:r>
      <w:r>
        <w:t xml:space="preserve"> </w:t>
      </w:r>
      <w:r>
        <w:t xml:space="preserve">· Effect of the glucagon-like peptide-1 receptor agonist liraglutide, compared to caloric restriction, on appetite, dietary intake, body fat distribution and cardiometabolic biomarkers: A randomized trial in adults with obesity and prediabetes. PMID 37188932</w:t>
      </w:r>
    </w:p>
    <w:p>
      <w:pPr>
        <w:numPr>
          <w:ilvl w:val="0"/>
          <w:numId w:val="1376"/>
        </w:numPr>
        <w:pStyle w:val="Compact"/>
      </w:pPr>
      <w:r>
        <w:t xml:space="preserve">2023 · Meng XM ·</w:t>
      </w:r>
      <w:r>
        <w:t xml:space="preserve"> </w:t>
      </w:r>
      <w:r>
        <w:rPr>
          <w:iCs/>
          <w:i/>
        </w:rPr>
        <w:t xml:space="preserve">Zhonghua Yi Xue Za Zhi</w:t>
      </w:r>
      <w:r>
        <w:t xml:space="preserve"> </w:t>
      </w:r>
      <w:r>
        <w:t xml:space="preserve">· [Effect of Liraglutide on platelet distribution width and carotid intima-media thickness in type 2 diabetic mellitus patients with obesity]. PMID 37150681</w:t>
      </w:r>
    </w:p>
    <w:p>
      <w:pPr>
        <w:numPr>
          <w:ilvl w:val="0"/>
          <w:numId w:val="1376"/>
        </w:numPr>
        <w:pStyle w:val="Compact"/>
      </w:pPr>
      <w:r>
        <w:t xml:space="preserve">2023 · Jensen SBK ·</w:t>
      </w:r>
      <w:r>
        <w:t xml:space="preserve"> </w:t>
      </w:r>
      <w:r>
        <w:rPr>
          <w:iCs/>
          <w:i/>
        </w:rPr>
        <w:t xml:space="preserve">Obesity (Silver Spring)</w:t>
      </w:r>
      <w:r>
        <w:t xml:space="preserve"> </w:t>
      </w:r>
      <w:r>
        <w:t xml:space="preserve">· Weight loss maintenance with exercise and liraglutide improves glucose tolerance, glucagon response, and beta cell function. PMID 36942420</w:t>
      </w:r>
    </w:p>
    <w:p>
      <w:pPr>
        <w:numPr>
          <w:ilvl w:val="0"/>
          <w:numId w:val="1376"/>
        </w:numPr>
        <w:pStyle w:val="Compact"/>
      </w:pPr>
      <w:r>
        <w:t xml:space="preserve">2023 · Xu Z ·</w:t>
      </w:r>
      <w:r>
        <w:t xml:space="preserve"> </w:t>
      </w:r>
      <w:r>
        <w:rPr>
          <w:iCs/>
          <w:i/>
        </w:rPr>
        <w:t xml:space="preserve">Expert Rev Clin Pharmacol</w:t>
      </w:r>
      <w:r>
        <w:t xml:space="preserve"> </w:t>
      </w:r>
      <w:r>
        <w:t xml:space="preserve">· Comparing the bioequivalence and safety of liraglutide in healthy Chinese subjects: an open, single-dose, randomized, repeated, two-sequence, two-cycle phase I clinical trial. PMID 36883362</w:t>
      </w:r>
    </w:p>
    <w:p>
      <w:pPr>
        <w:numPr>
          <w:ilvl w:val="0"/>
          <w:numId w:val="1376"/>
        </w:numPr>
        <w:pStyle w:val="Compact"/>
      </w:pPr>
      <w:r>
        <w:t xml:space="preserve">2023 · Iijima T ·</w:t>
      </w:r>
      <w:r>
        <w:t xml:space="preserve"> </w:t>
      </w:r>
      <w:r>
        <w:rPr>
          <w:iCs/>
          <w:i/>
        </w:rPr>
        <w:t xml:space="preserve">J Diabetes Investig</w:t>
      </w:r>
      <w:r>
        <w:t xml:space="preserve"> </w:t>
      </w:r>
      <w:r>
        <w:t xml:space="preserve">· Effects of switching from liraglutide to semaglutide or dulaglutide in patients with type 2 diabetes: A randomized controlled trial. PMID 36871272</w:t>
      </w:r>
    </w:p>
    <w:p>
      <w:pPr>
        <w:numPr>
          <w:ilvl w:val="0"/>
          <w:numId w:val="1376"/>
        </w:numPr>
        <w:pStyle w:val="Compact"/>
      </w:pPr>
      <w:r>
        <w:t xml:space="preserve">2023 · Bechlioulis A ·</w:t>
      </w:r>
      <w:r>
        <w:t xml:space="preserve"> </w:t>
      </w:r>
      <w:r>
        <w:rPr>
          <w:iCs/>
          <w:i/>
        </w:rPr>
        <w:t xml:space="preserve">J Diabetes Complications</w:t>
      </w:r>
      <w:r>
        <w:t xml:space="preserve"> </w:t>
      </w:r>
      <w:r>
        <w:t xml:space="preserve">· The effect of SGLT2 inhibitors, GLP1 agonists, and their sequential combination on cardiometabolic parameters: A randomized, prospective, intervention study. PMID 36842186</w:t>
      </w:r>
    </w:p>
    <w:p>
      <w:pPr>
        <w:numPr>
          <w:ilvl w:val="0"/>
          <w:numId w:val="1376"/>
        </w:numPr>
        <w:pStyle w:val="Compact"/>
      </w:pPr>
      <w:r>
        <w:t xml:space="preserve">2023 · Sandsdal RM ·</w:t>
      </w:r>
      <w:r>
        <w:t xml:space="preserve"> </w:t>
      </w:r>
      <w:r>
        <w:rPr>
          <w:iCs/>
          <w:i/>
        </w:rPr>
        <w:t xml:space="preserve">Cardiovasc Diabetol</w:t>
      </w:r>
      <w:r>
        <w:t xml:space="preserve"> </w:t>
      </w:r>
      <w:r>
        <w:t xml:space="preserve">· Combination of exercise and GLP-1 receptor agonist treatment reduces severity of metabolic syndrome, abdominal obesity, and inflammation: a randomized controlled trial. PMID 36841762</w:t>
      </w:r>
    </w:p>
    <w:p>
      <w:pPr>
        <w:numPr>
          <w:ilvl w:val="0"/>
          <w:numId w:val="1376"/>
        </w:numPr>
        <w:pStyle w:val="Compact"/>
      </w:pPr>
      <w:r>
        <w:t xml:space="preserve">2023 · Nerild HH ·</w:t>
      </w:r>
      <w:r>
        <w:t xml:space="preserve"> </w:t>
      </w:r>
      <w:r>
        <w:rPr>
          <w:iCs/>
          <w:i/>
        </w:rPr>
        <w:t xml:space="preserve">Diabetes Obes Metab</w:t>
      </w:r>
      <w:r>
        <w:t xml:space="preserve"> </w:t>
      </w:r>
      <w:r>
        <w:t xml:space="preserve">· Liraglutide changes postprandial responses of gut hormones involved in the regulation of gallbladder motility. PMID 36781820</w:t>
      </w:r>
    </w:p>
    <w:p>
      <w:pPr>
        <w:numPr>
          <w:ilvl w:val="0"/>
          <w:numId w:val="1376"/>
        </w:numPr>
        <w:pStyle w:val="Compact"/>
      </w:pPr>
      <w:r>
        <w:t xml:space="preserve">2023 · Su Y ·</w:t>
      </w:r>
      <w:r>
        <w:t xml:space="preserve"> </w:t>
      </w:r>
      <w:r>
        <w:rPr>
          <w:iCs/>
          <w:i/>
        </w:rPr>
        <w:t xml:space="preserve">Front Endocrinol (Lausanne)</w:t>
      </w:r>
      <w:r>
        <w:t xml:space="preserve"> </w:t>
      </w:r>
      <w:r>
        <w:t xml:space="preserve">· Pharmacoeconomic analysis (CER) of Dulaglutide and Liraglutide in the treatment of patients with type 2 diabetes. PMID 36755915</w:t>
      </w:r>
    </w:p>
    <w:p>
      <w:pPr>
        <w:numPr>
          <w:ilvl w:val="0"/>
          <w:numId w:val="1376"/>
        </w:numPr>
        <w:pStyle w:val="Compact"/>
      </w:pPr>
      <w:r>
        <w:t xml:space="preserve">2023 · Takahashi Y ·</w:t>
      </w:r>
      <w:r>
        <w:t xml:space="preserve"> </w:t>
      </w:r>
      <w:r>
        <w:rPr>
          <w:iCs/>
          <w:i/>
        </w:rPr>
        <w:t xml:space="preserve">Diabetes Obes Metab</w:t>
      </w:r>
      <w:r>
        <w:t xml:space="preserve"> </w:t>
      </w:r>
      <w:r>
        <w:t xml:space="preserve">· Improvement of glycaemic control and treatment satisfaction by switching from liraglutide or dulaglutide to subcutaneous semaglutide in patients with type 2 diabetes: A multicentre, prospective, randomized, open-label, parallel-group comparison study (SWITCH-SEMA 1 study). PMID 36722623</w:t>
      </w:r>
    </w:p>
    <w:p>
      <w:pPr>
        <w:numPr>
          <w:ilvl w:val="0"/>
          <w:numId w:val="1376"/>
        </w:numPr>
        <w:pStyle w:val="Compact"/>
      </w:pPr>
      <w:r>
        <w:t xml:space="preserve">2023 · Sindhvananda W ·</w:t>
      </w:r>
      <w:r>
        <w:t xml:space="preserve"> </w:t>
      </w:r>
      <w:r>
        <w:rPr>
          <w:iCs/>
          <w:i/>
        </w:rPr>
        <w:t xml:space="preserve">Ann Card Anaesth</w:t>
      </w:r>
      <w:r>
        <w:t xml:space="preserve"> </w:t>
      </w:r>
      <w:r>
        <w:t xml:space="preserve">· Comparison of glucose control by added liraglutide to only insulin infusion in diabetic patient undergoing cardiac surgery: A preliminary randomized-controlled trial. PMID 36722590</w:t>
      </w:r>
    </w:p>
    <w:p>
      <w:pPr>
        <w:numPr>
          <w:ilvl w:val="0"/>
          <w:numId w:val="1376"/>
        </w:numPr>
        <w:pStyle w:val="Compact"/>
      </w:pPr>
      <w:r>
        <w:t xml:space="preserve">2023 · Feng S ·</w:t>
      </w:r>
      <w:r>
        <w:t xml:space="preserve"> </w:t>
      </w:r>
      <w:r>
        <w:rPr>
          <w:iCs/>
          <w:i/>
        </w:rPr>
        <w:t xml:space="preserve">Clin Pharmacol Drug Dev</w:t>
      </w:r>
      <w:r>
        <w:t xml:space="preserve"> </w:t>
      </w:r>
      <w:r>
        <w:t xml:space="preserve">· A Single-dose, Two-Period Crossover Bioequivalence Study Comparing Two Liraglutide Formulations in Healthy Chinese Subjects. PMID 36648126</w:t>
      </w:r>
    </w:p>
    <w:p>
      <w:pPr>
        <w:numPr>
          <w:ilvl w:val="0"/>
          <w:numId w:val="1376"/>
        </w:numPr>
        <w:pStyle w:val="Compact"/>
      </w:pPr>
      <w:r>
        <w:t xml:space="preserve">2023 · Jiang W ·</w:t>
      </w:r>
      <w:r>
        <w:t xml:space="preserve"> </w:t>
      </w:r>
      <w:r>
        <w:rPr>
          <w:iCs/>
          <w:i/>
        </w:rPr>
        <w:t xml:space="preserve">Sleep Breath</w:t>
      </w:r>
      <w:r>
        <w:t xml:space="preserve"> </w:t>
      </w:r>
      <w:r>
        <w:t xml:space="preserve">· Efficacy and safety of liraglutide in patients with type 2 diabetes mellitus and severe obstructive sleep apnea. PMID 36542275</w:t>
      </w:r>
    </w:p>
    <w:p>
      <w:pPr>
        <w:numPr>
          <w:ilvl w:val="0"/>
          <w:numId w:val="1376"/>
        </w:numPr>
        <w:pStyle w:val="Compact"/>
      </w:pPr>
      <w:r>
        <w:t xml:space="preserve">2023 · Bogh AF ·</w:t>
      </w:r>
      <w:r>
        <w:t xml:space="preserve"> </w:t>
      </w:r>
      <w:r>
        <w:rPr>
          <w:iCs/>
          <w:i/>
        </w:rPr>
        <w:t xml:space="preserve">Sleep</w:t>
      </w:r>
      <w:r>
        <w:t xml:space="preserve"> </w:t>
      </w:r>
      <w:r>
        <w:t xml:space="preserve">· Insufficient sleep predicts poor weight loss maintenance after 1 year. PMID 36472579</w:t>
      </w:r>
    </w:p>
    <w:p>
      <w:pPr>
        <w:numPr>
          <w:ilvl w:val="0"/>
          <w:numId w:val="1376"/>
        </w:numPr>
        <w:pStyle w:val="Compact"/>
      </w:pPr>
      <w:r>
        <w:t xml:space="preserve">2023 · Angelidi AM ·</w:t>
      </w:r>
      <w:r>
        <w:t xml:space="preserve"> </w:t>
      </w:r>
      <w:r>
        <w:rPr>
          <w:iCs/>
          <w:i/>
        </w:rPr>
        <w:t xml:space="preserve">Metabolism</w:t>
      </w:r>
      <w:r>
        <w:t xml:space="preserve"> </w:t>
      </w:r>
      <w:r>
        <w:t xml:space="preserve">· Early metabolomic, lipid and lipoprotein changes in response to medical and surgical therapeutic approaches to obesity. PMID 36375643</w:t>
      </w:r>
    </w:p>
    <w:p>
      <w:pPr>
        <w:numPr>
          <w:ilvl w:val="0"/>
          <w:numId w:val="1376"/>
        </w:numPr>
        <w:pStyle w:val="Compact"/>
      </w:pPr>
      <w:r>
        <w:t xml:space="preserve">2023 · Mashayekhi M ·</w:t>
      </w:r>
      <w:r>
        <w:t xml:space="preserve"> </w:t>
      </w:r>
      <w:r>
        <w:rPr>
          <w:iCs/>
          <w:i/>
        </w:rPr>
        <w:t xml:space="preserve">Diabetes Obes Metab</w:t>
      </w:r>
      <w:r>
        <w:t xml:space="preserve"> </w:t>
      </w:r>
      <w:r>
        <w:t xml:space="preserve">· Comparative effects of weight loss and incretin-based therapies on vascular endothelial function, fibrinolysis and inflammation in individuals with obesity and prediabetes: A randomized controlled trial. PMID 36306151</w:t>
      </w:r>
    </w:p>
    <w:p>
      <w:pPr>
        <w:numPr>
          <w:ilvl w:val="0"/>
          <w:numId w:val="1376"/>
        </w:numPr>
        <w:pStyle w:val="Compact"/>
      </w:pPr>
      <w:r>
        <w:t xml:space="preserve">2023 · Sannaa W ·</w:t>
      </w:r>
      <w:r>
        <w:t xml:space="preserve"> </w:t>
      </w:r>
      <w:r>
        <w:rPr>
          <w:iCs/>
          <w:i/>
        </w:rPr>
        <w:t xml:space="preserve">Diabetes Obes Metab</w:t>
      </w:r>
      <w:r>
        <w:t xml:space="preserve"> </w:t>
      </w:r>
      <w:r>
        <w:t xml:space="preserve">· Factors associated with successful weight loss after liraglutide treatment for obesity. PMID 36193713</w:t>
      </w:r>
    </w:p>
    <w:p>
      <w:pPr>
        <w:numPr>
          <w:ilvl w:val="0"/>
          <w:numId w:val="1376"/>
        </w:numPr>
        <w:pStyle w:val="Compact"/>
      </w:pPr>
      <w:r>
        <w:t xml:space="preserve">2023 · Neves JS ·</w:t>
      </w:r>
      <w:r>
        <w:t xml:space="preserve"> </w:t>
      </w:r>
      <w:r>
        <w:rPr>
          <w:iCs/>
          <w:i/>
        </w:rPr>
        <w:t xml:space="preserve">Diabetes Obes Metab</w:t>
      </w:r>
      <w:r>
        <w:t xml:space="preserve"> </w:t>
      </w:r>
      <w:r>
        <w:t xml:space="preserve">· Risk of adverse events with liraglutide in heart failure with reduced ejection fraction: A post hoc analysis of the FIGHT trial. PMID 36082522</w:t>
      </w:r>
    </w:p>
    <w:p>
      <w:pPr>
        <w:numPr>
          <w:ilvl w:val="0"/>
          <w:numId w:val="1376"/>
        </w:numPr>
        <w:pStyle w:val="Compact"/>
      </w:pPr>
      <w:r>
        <w:t xml:space="preserve">2022 · Diene G ·</w:t>
      </w:r>
      <w:r>
        <w:t xml:space="preserve"> </w:t>
      </w:r>
      <w:r>
        <w:rPr>
          <w:iCs/>
          <w:i/>
        </w:rPr>
        <w:t xml:space="preserve">J Clin Endocrinol Metab</w:t>
      </w:r>
      <w:r>
        <w:t xml:space="preserve"> </w:t>
      </w:r>
      <w:r>
        <w:t xml:space="preserve">· Liraglutide for Weight Management in Children and Adolescents With Prader-Willi Syndrome and Obesity. PMID 36181471</w:t>
      </w:r>
    </w:p>
    <w:p>
      <w:pPr>
        <w:numPr>
          <w:ilvl w:val="0"/>
          <w:numId w:val="1376"/>
        </w:numPr>
        <w:pStyle w:val="Compact"/>
      </w:pPr>
      <w:r>
        <w:t xml:space="preserve">2022 · GRADE Study Research Group ·</w:t>
      </w:r>
      <w:r>
        <w:t xml:space="preserve"> </w:t>
      </w:r>
      <w:r>
        <w:rPr>
          <w:iCs/>
          <w:i/>
        </w:rPr>
        <w:t xml:space="preserve">N Engl J Med</w:t>
      </w:r>
      <w:r>
        <w:t xml:space="preserve"> </w:t>
      </w:r>
      <w:r>
        <w:t xml:space="preserve">· Glycemia Reduction in Type 2 Diabetes - Microvascular and Cardiovascular Outcomes. PMID 36129997</w:t>
      </w:r>
    </w:p>
    <w:p>
      <w:pPr>
        <w:numPr>
          <w:ilvl w:val="0"/>
          <w:numId w:val="1376"/>
        </w:numPr>
        <w:pStyle w:val="Compact"/>
      </w:pPr>
      <w:r>
        <w:t xml:space="preserve">2022 · GRADE Study Research Group ·</w:t>
      </w:r>
      <w:r>
        <w:t xml:space="preserve"> </w:t>
      </w:r>
      <w:r>
        <w:rPr>
          <w:iCs/>
          <w:i/>
        </w:rPr>
        <w:t xml:space="preserve">N Engl J Med</w:t>
      </w:r>
      <w:r>
        <w:t xml:space="preserve"> </w:t>
      </w:r>
      <w:r>
        <w:t xml:space="preserve">· Glycemia Reduction in Type 2 Diabetes - Glycemic Outcomes. PMID 36129996</w:t>
      </w:r>
    </w:p>
    <w:p>
      <w:pPr>
        <w:numPr>
          <w:ilvl w:val="0"/>
          <w:numId w:val="1376"/>
        </w:numPr>
        <w:pStyle w:val="Compact"/>
      </w:pPr>
      <w:r>
        <w:t xml:space="preserve">2022 · Yu D ·</w:t>
      </w:r>
      <w:r>
        <w:t xml:space="preserve"> </w:t>
      </w:r>
      <w:r>
        <w:rPr>
          <w:iCs/>
          <w:i/>
        </w:rPr>
        <w:t xml:space="preserve">Front Endocrinol (Lausanne)</w:t>
      </w:r>
      <w:r>
        <w:t xml:space="preserve"> </w:t>
      </w:r>
      <w:r>
        <w:t xml:space="preserve">· Effects of liraglutide or lifestyle interventions combined with other antidiabetic drugs on abdominal fat distribution in people with obesity and type 2 diabetes mellitus evaluated by the energy spectrum ct: A prospective randomized controlled study. PMID 36093105</w:t>
      </w:r>
    </w:p>
    <w:p>
      <w:pPr>
        <w:numPr>
          <w:ilvl w:val="0"/>
          <w:numId w:val="1376"/>
        </w:numPr>
        <w:pStyle w:val="Compact"/>
      </w:pPr>
      <w:r>
        <w:t xml:space="preserve">2022 · Xing C ·</w:t>
      </w:r>
      <w:r>
        <w:t xml:space="preserve"> </w:t>
      </w:r>
      <w:r>
        <w:rPr>
          <w:iCs/>
          <w:i/>
        </w:rPr>
        <w:t xml:space="preserve">Front Endocrinol (Lausanne)</w:t>
      </w:r>
      <w:r>
        <w:t xml:space="preserve"> </w:t>
      </w:r>
      <w:r>
        <w:t xml:space="preserve">· Effect of metformin versus metformin plus liraglutide on gonadal and metabolic profiles in overweight patients with polycystic ovary syndrome. PMID 36060969</w:t>
      </w:r>
    </w:p>
    <w:p>
      <w:pPr>
        <w:numPr>
          <w:ilvl w:val="0"/>
          <w:numId w:val="1376"/>
        </w:numPr>
        <w:pStyle w:val="Compact"/>
      </w:pPr>
      <w:r>
        <w:t xml:space="preserve">2022 · Zhaohu H ·</w:t>
      </w:r>
      <w:r>
        <w:t xml:space="preserve"> </w:t>
      </w:r>
      <w:r>
        <w:rPr>
          <w:iCs/>
          <w:i/>
        </w:rPr>
        <w:t xml:space="preserve">J Diabetes Res</w:t>
      </w:r>
      <w:r>
        <w:t xml:space="preserve"> </w:t>
      </w:r>
      <w:r>
        <w:t xml:space="preserve">· Efficacy and Safety of Dapagliflozin versus Liraglutide in Patients with Overweight or Obesity and Type 2 Diabetes Mellitus: A Randomised Controlled Clinical Trial in Tianjin, China. PMID 35990242</w:t>
      </w:r>
    </w:p>
    <w:p>
      <w:pPr>
        <w:numPr>
          <w:ilvl w:val="0"/>
          <w:numId w:val="1376"/>
        </w:numPr>
        <w:pStyle w:val="Compact"/>
      </w:pPr>
      <w:r>
        <w:t xml:space="preserve">2022 · Jensen SBK ·</w:t>
      </w:r>
      <w:r>
        <w:t xml:space="preserve"> </w:t>
      </w:r>
      <w:r>
        <w:rPr>
          <w:iCs/>
          <w:i/>
        </w:rPr>
        <w:t xml:space="preserve">Nat Commun</w:t>
      </w:r>
      <w:r>
        <w:t xml:space="preserve"> </w:t>
      </w:r>
      <w:r>
        <w:t xml:space="preserve">· Exploratory analysis of eating- and physical activity-related outcomes from a randomized controlled trial for weight loss maintenance with exercise and liraglutide single or combination treatment. PMID 35970829</w:t>
      </w:r>
    </w:p>
    <w:p>
      <w:pPr>
        <w:numPr>
          <w:ilvl w:val="0"/>
          <w:numId w:val="1376"/>
        </w:numPr>
        <w:pStyle w:val="Compact"/>
      </w:pPr>
      <w:r>
        <w:t xml:space="preserve">2022 · Xiao Y ·</w:t>
      </w:r>
      <w:r>
        <w:t xml:space="preserve"> </w:t>
      </w:r>
      <w:r>
        <w:rPr>
          <w:iCs/>
          <w:i/>
        </w:rPr>
        <w:t xml:space="preserve">Metab Syndr Relat Disord</w:t>
      </w:r>
      <w:r>
        <w:t xml:space="preserve"> </w:t>
      </w:r>
      <w:r>
        <w:t xml:space="preserve">· Effect of 5:2 Fasting Diet on Liver Fat Content in Patients with Type 2 Diabetic with Nonalcoholic Fatty Liver Disease. PMID 35925752</w:t>
      </w:r>
    </w:p>
    <w:p>
      <w:pPr>
        <w:numPr>
          <w:ilvl w:val="0"/>
          <w:numId w:val="1376"/>
        </w:numPr>
        <w:pStyle w:val="Compact"/>
      </w:pPr>
      <w:r>
        <w:t xml:space="preserve">2022 · Maselli D ·</w:t>
      </w:r>
      <w:r>
        <w:t xml:space="preserve"> </w:t>
      </w:r>
      <w:r>
        <w:rPr>
          <w:iCs/>
          <w:i/>
        </w:rPr>
        <w:t xml:space="preserve">Obesity (Silver Spring)</w:t>
      </w:r>
      <w:r>
        <w:t xml:space="preserve"> </w:t>
      </w:r>
      <w:r>
        <w:t xml:space="preserve">· Effects of liraglutide on gastrointestinal functions and weight in obesity: A randomized clinical and pharmacogenomic trial. PMID 35894080</w:t>
      </w:r>
    </w:p>
    <w:p>
      <w:pPr>
        <w:numPr>
          <w:ilvl w:val="0"/>
          <w:numId w:val="1376"/>
        </w:numPr>
        <w:pStyle w:val="Compact"/>
      </w:pPr>
      <w:r>
        <w:t xml:space="preserve">2022 · Utzschneider KM ·</w:t>
      </w:r>
      <w:r>
        <w:t xml:space="preserve"> </w:t>
      </w:r>
      <w:r>
        <w:rPr>
          <w:iCs/>
          <w:i/>
        </w:rPr>
        <w:t xml:space="preserve">Obesity (Silver Spring)</w:t>
      </w:r>
      <w:r>
        <w:t xml:space="preserve"> </w:t>
      </w:r>
      <w:r>
        <w:t xml:space="preserve">· Weight loss and β-cell responses following gastric banding or pharmacotherapy in adults with impaired glucose tolerance or type 2 diabetes: a randomized trial. PMID 35894078</w:t>
      </w:r>
    </w:p>
    <w:p>
      <w:pPr>
        <w:numPr>
          <w:ilvl w:val="0"/>
          <w:numId w:val="1376"/>
        </w:numPr>
        <w:pStyle w:val="Compact"/>
      </w:pPr>
      <w:r>
        <w:t xml:space="preserve">2022 · Stier C ·</w:t>
      </w:r>
      <w:r>
        <w:t xml:space="preserve"> </w:t>
      </w:r>
      <w:r>
        <w:rPr>
          <w:iCs/>
          <w:i/>
        </w:rPr>
        <w:t xml:space="preserve">Clin Nutr ESPEN</w:t>
      </w:r>
      <w:r>
        <w:t xml:space="preserve"> </w:t>
      </w:r>
      <w:r>
        <w:t xml:space="preserve">· Fast-track rescue weight reduction therapy to achieve rapid technical operability for emergency bariatric surgery in patients with life-threatening inoperable severe obesity - A proof of concept study. PMID 35871930</w:t>
      </w:r>
    </w:p>
    <w:p>
      <w:pPr>
        <w:numPr>
          <w:ilvl w:val="0"/>
          <w:numId w:val="1376"/>
        </w:numPr>
        <w:pStyle w:val="Compact"/>
      </w:pPr>
      <w:r>
        <w:t xml:space="preserve">2022 · Zhou R ·</w:t>
      </w:r>
      <w:r>
        <w:t xml:space="preserve"> </w:t>
      </w:r>
      <w:r>
        <w:rPr>
          <w:iCs/>
          <w:i/>
        </w:rPr>
        <w:t xml:space="preserve">Clin Transl Sci</w:t>
      </w:r>
      <w:r>
        <w:t xml:space="preserve"> </w:t>
      </w:r>
      <w:r>
        <w:t xml:space="preserve">· A phase I study comparing the pharmacokinetics of the biosimilar (RD12014) with liraglutide (Victoza) in healthy Chinese male subjects. PMID 35871497</w:t>
      </w:r>
    </w:p>
    <w:p>
      <w:pPr>
        <w:numPr>
          <w:ilvl w:val="0"/>
          <w:numId w:val="1376"/>
        </w:numPr>
        <w:pStyle w:val="Compact"/>
      </w:pPr>
      <w:r>
        <w:t xml:space="preserve">2022 · Kårhus ML ·</w:t>
      </w:r>
      <w:r>
        <w:t xml:space="preserve"> </w:t>
      </w:r>
      <w:r>
        <w:rPr>
          <w:iCs/>
          <w:i/>
        </w:rPr>
        <w:t xml:space="preserve">Lancet Gastroenterol Hepatol</w:t>
      </w:r>
      <w:r>
        <w:t xml:space="preserve"> </w:t>
      </w:r>
      <w:r>
        <w:t xml:space="preserve">· Safety and efficacy of liraglutide versus colesevelam for the treatment of bile acid diarrhoea: a randomised, double-blind, active-comparator, non-inferiority clinical trial. PMID 35868334</w:t>
      </w:r>
    </w:p>
    <w:p>
      <w:pPr>
        <w:numPr>
          <w:ilvl w:val="0"/>
          <w:numId w:val="1376"/>
        </w:numPr>
        <w:pStyle w:val="Compact"/>
      </w:pPr>
      <w:r>
        <w:t xml:space="preserve">2022 · Zenz S ·</w:t>
      </w:r>
      <w:r>
        <w:t xml:space="preserve"> </w:t>
      </w:r>
      <w:r>
        <w:rPr>
          <w:iCs/>
          <w:i/>
        </w:rPr>
        <w:t xml:space="preserve">J Clin Endocrinol Metab</w:t>
      </w:r>
      <w:r>
        <w:t xml:space="preserve"> </w:t>
      </w:r>
      <w:r>
        <w:t xml:space="preserve">· Effect of Liraglutide Treatment on Whole-body Glucose Fluxes in C-peptide-Positive Type 1 Diabetes During Hypoglycemia. PMID 35833597</w:t>
      </w:r>
    </w:p>
    <w:p>
      <w:pPr>
        <w:numPr>
          <w:ilvl w:val="0"/>
          <w:numId w:val="1376"/>
        </w:numPr>
        <w:pStyle w:val="Compact"/>
      </w:pPr>
      <w:r>
        <w:t xml:space="preserve">2022 · Lin K ·</w:t>
      </w:r>
      <w:r>
        <w:t xml:space="preserve"> </w:t>
      </w:r>
      <w:r>
        <w:rPr>
          <w:iCs/>
          <w:i/>
        </w:rPr>
        <w:t xml:space="preserve">Comput Intell Neurosci</w:t>
      </w:r>
      <w:r>
        <w:t xml:space="preserve"> </w:t>
      </w:r>
      <w:r>
        <w:t xml:space="preserve">· Evaluation of the Clinical Efficacy of the Treatment of Overweight and Obesity in Type 2 Diabetes Mellitus by the Telemedicine Management System Based on the Internet of Things Technology. PMID 35785080</w:t>
      </w:r>
    </w:p>
    <w:p>
      <w:pPr>
        <w:numPr>
          <w:ilvl w:val="0"/>
          <w:numId w:val="1376"/>
        </w:numPr>
        <w:pStyle w:val="Compact"/>
      </w:pPr>
      <w:r>
        <w:t xml:space="preserve">2022 · Wang W ·</w:t>
      </w:r>
      <w:r>
        <w:t xml:space="preserve"> </w:t>
      </w:r>
      <w:r>
        <w:rPr>
          <w:iCs/>
          <w:i/>
        </w:rPr>
        <w:t xml:space="preserve">J Diabetes</w:t>
      </w:r>
      <w:r>
        <w:t xml:space="preserve"> </w:t>
      </w:r>
      <w:r>
        <w:t xml:space="preserve">· DUAL I China: Improved glycemic control with IDegLira versus its individual components in a randomized trial with Chinese participants with type 2 diabetes uncontrolled on oral antidiabetic drugs. PMID 35762390</w:t>
      </w:r>
    </w:p>
    <w:p>
      <w:pPr>
        <w:numPr>
          <w:ilvl w:val="0"/>
          <w:numId w:val="1376"/>
        </w:numPr>
        <w:pStyle w:val="Compact"/>
      </w:pPr>
      <w:r>
        <w:t xml:space="preserve">2022 · Ou T ·</w:t>
      </w:r>
      <w:r>
        <w:t xml:space="preserve"> </w:t>
      </w:r>
      <w:r>
        <w:rPr>
          <w:iCs/>
          <w:i/>
        </w:rPr>
        <w:t xml:space="preserve">Altern Ther Health Med</w:t>
      </w:r>
      <w:r>
        <w:t xml:space="preserve"> </w:t>
      </w:r>
      <w:r>
        <w:t xml:space="preserve">· Liraglutide Plus Dapagliflozin for High Uric Acid and Microalbuminuria in Diabetes Mellitus Complicated With Metabolic Syndrome. PMID 35751892</w:t>
      </w:r>
    </w:p>
    <w:p>
      <w:pPr>
        <w:numPr>
          <w:ilvl w:val="0"/>
          <w:numId w:val="1376"/>
        </w:numPr>
        <w:pStyle w:val="Compact"/>
      </w:pPr>
      <w:r>
        <w:t xml:space="preserve">2022 · Elkind-Hirsch KE ·</w:t>
      </w:r>
      <w:r>
        <w:t xml:space="preserve"> </w:t>
      </w:r>
      <w:r>
        <w:rPr>
          <w:iCs/>
          <w:i/>
        </w:rPr>
        <w:t xml:space="preserve">Fertil Steril</w:t>
      </w:r>
      <w:r>
        <w:t xml:space="preserve"> </w:t>
      </w:r>
      <w:r>
        <w:t xml:space="preserve">· Liraglutide 3 mg on weight, body composition, and hormonal and metabolic parameters in women with obesity and polycystic ovary syndrome: a randomized placebo-controlled-phase 3 study. PMID 35710599</w:t>
      </w:r>
    </w:p>
    <w:p>
      <w:pPr>
        <w:numPr>
          <w:ilvl w:val="0"/>
          <w:numId w:val="1376"/>
        </w:numPr>
        <w:pStyle w:val="Compact"/>
      </w:pPr>
      <w:r>
        <w:t xml:space="preserve">2022 · Valenzuela-Vallejo L ·</w:t>
      </w:r>
      <w:r>
        <w:t xml:space="preserve"> </w:t>
      </w:r>
      <w:r>
        <w:rPr>
          <w:iCs/>
          <w:i/>
        </w:rPr>
        <w:t xml:space="preserve">Metabolism</w:t>
      </w:r>
      <w:r>
        <w:t xml:space="preserve"> </w:t>
      </w:r>
      <w:r>
        <w:t xml:space="preserve">· Circulating total and intact GDF-15 levels are not altered in response to weight loss induced by liraglutide or lorcaserin treatment in humans with obesity. PMID 35700837</w:t>
      </w:r>
    </w:p>
    <w:p>
      <w:pPr>
        <w:numPr>
          <w:ilvl w:val="0"/>
          <w:numId w:val="1376"/>
        </w:numPr>
        <w:pStyle w:val="Compact"/>
      </w:pPr>
      <w:r>
        <w:t xml:space="preserve">2022 · Tamborlane WV ·</w:t>
      </w:r>
      <w:r>
        <w:t xml:space="preserve"> </w:t>
      </w:r>
      <w:r>
        <w:rPr>
          <w:iCs/>
          <w:i/>
        </w:rPr>
        <w:t xml:space="preserve">Diabetes Care</w:t>
      </w:r>
      <w:r>
        <w:t xml:space="preserve"> </w:t>
      </w:r>
      <w:r>
        <w:t xml:space="preserve">· Once-Weekly Exenatide in Youth With Type 2 Diabetes. PMID 35679098</w:t>
      </w:r>
    </w:p>
    <w:p>
      <w:pPr>
        <w:numPr>
          <w:ilvl w:val="0"/>
          <w:numId w:val="1376"/>
        </w:numPr>
        <w:pStyle w:val="Compact"/>
      </w:pPr>
      <w:r>
        <w:t xml:space="preserve">2022 · Lerman JB ·</w:t>
      </w:r>
      <w:r>
        <w:t xml:space="preserve"> </w:t>
      </w:r>
      <w:r>
        <w:rPr>
          <w:iCs/>
          <w:i/>
        </w:rPr>
        <w:t xml:space="preserve">Sci Rep</w:t>
      </w:r>
      <w:r>
        <w:t xml:space="preserve"> </w:t>
      </w:r>
      <w:r>
        <w:t xml:space="preserve">· Plasma metabolites associated with functional and clinical outcomes in heart failure with reduced ejection fraction with and without type 2 diabetes. PMID 35654972</w:t>
      </w:r>
    </w:p>
    <w:p>
      <w:pPr>
        <w:numPr>
          <w:ilvl w:val="0"/>
          <w:numId w:val="1376"/>
        </w:numPr>
        <w:pStyle w:val="Compact"/>
      </w:pPr>
      <w:r>
        <w:t xml:space="preserve">2022 · Andersen E ·</w:t>
      </w:r>
      <w:r>
        <w:t xml:space="preserve"> </w:t>
      </w:r>
      <w:r>
        <w:rPr>
          <w:iCs/>
          <w:i/>
        </w:rPr>
        <w:t xml:space="preserve">Hum Reprod</w:t>
      </w:r>
      <w:r>
        <w:t xml:space="preserve"> </w:t>
      </w:r>
      <w:r>
        <w:t xml:space="preserve">· Sperm count is increased by diet-induced weight loss and maintained by exercise or GLP-1 analogue treatment: a randomized controlled trial. PMID 35580859</w:t>
      </w:r>
    </w:p>
    <w:p>
      <w:pPr>
        <w:numPr>
          <w:ilvl w:val="0"/>
          <w:numId w:val="1376"/>
        </w:numPr>
        <w:pStyle w:val="Compact"/>
      </w:pPr>
      <w:r>
        <w:t xml:space="preserve">2022 · Sivalingam S ·</w:t>
      </w:r>
      <w:r>
        <w:t xml:space="preserve"> </w:t>
      </w:r>
      <w:r>
        <w:rPr>
          <w:iCs/>
          <w:i/>
        </w:rPr>
        <w:t xml:space="preserve">Diabetes Obes Metab</w:t>
      </w:r>
      <w:r>
        <w:t xml:space="preserve"> </w:t>
      </w:r>
      <w:r>
        <w:t xml:space="preserve">· The effect of liraglutide on cardiac autonomic function in type 2 diabetes: A prespecified secondary analysis from the LIRAFLAME randomized, double-blinded, placebo-controlled trial. PMID 35415938</w:t>
      </w:r>
    </w:p>
    <w:p>
      <w:pPr>
        <w:numPr>
          <w:ilvl w:val="0"/>
          <w:numId w:val="1376"/>
        </w:numPr>
        <w:pStyle w:val="Compact"/>
      </w:pPr>
      <w:r>
        <w:t xml:space="preserve">2022 · Kawaguchi Y ·</w:t>
      </w:r>
      <w:r>
        <w:t xml:space="preserve"> </w:t>
      </w:r>
      <w:r>
        <w:rPr>
          <w:iCs/>
          <w:i/>
        </w:rPr>
        <w:t xml:space="preserve">Adv Ther</w:t>
      </w:r>
      <w:r>
        <w:t xml:space="preserve"> </w:t>
      </w:r>
      <w:r>
        <w:t xml:space="preserve">· Efficacy of IDegLira Versus IDegAsp Therapy in Patients with Type 2 Diabetes: A Randomized Crossover Study by isCGM. PMID 35403949</w:t>
      </w:r>
    </w:p>
    <w:p>
      <w:pPr>
        <w:numPr>
          <w:ilvl w:val="0"/>
          <w:numId w:val="1376"/>
        </w:numPr>
        <w:pStyle w:val="Compact"/>
      </w:pPr>
      <w:r>
        <w:t xml:space="preserve">2022 · Loganathan J ·</w:t>
      </w:r>
      <w:r>
        <w:t xml:space="preserve"> </w:t>
      </w:r>
      <w:r>
        <w:rPr>
          <w:iCs/>
          <w:i/>
        </w:rPr>
        <w:t xml:space="preserve">J Diabetes Complications</w:t>
      </w:r>
      <w:r>
        <w:t xml:space="preserve"> </w:t>
      </w:r>
      <w:r>
        <w:t xml:space="preserve">· A pilot clinical study to Evaluate Liraglutide-mediated Anti-platelet activity in patients with type-2 Diabetes (ELAID study). PMID 35382966</w:t>
      </w:r>
    </w:p>
    <w:p>
      <w:pPr>
        <w:numPr>
          <w:ilvl w:val="0"/>
          <w:numId w:val="1376"/>
        </w:numPr>
        <w:pStyle w:val="Compact"/>
      </w:pPr>
      <w:r>
        <w:t xml:space="preserve">2022 · Seino Y ·</w:t>
      </w:r>
      <w:r>
        <w:t xml:space="preserve"> </w:t>
      </w:r>
      <w:r>
        <w:rPr>
          <w:iCs/>
          <w:i/>
        </w:rPr>
        <w:t xml:space="preserve">J Diabetes Investig</w:t>
      </w:r>
      <w:r>
        <w:t xml:space="preserve"> </w:t>
      </w:r>
      <w:r>
        <w:t xml:space="preserve">· A randomized trial to investigate the efficacy and safety of once-daily liraglutide 1.8 mg in Japanese adults with type 2 diabetes exhibiting an inadequate response to liraglutide 0.9 mg. PMID 35285173</w:t>
      </w:r>
    </w:p>
    <w:p>
      <w:pPr>
        <w:numPr>
          <w:ilvl w:val="0"/>
          <w:numId w:val="1376"/>
        </w:numPr>
        <w:pStyle w:val="Compact"/>
      </w:pPr>
      <w:r>
        <w:t xml:space="preserve">2022 · Simeone P ·</w:t>
      </w:r>
      <w:r>
        <w:t xml:space="preserve"> </w:t>
      </w:r>
      <w:r>
        <w:rPr>
          <w:iCs/>
          <w:i/>
        </w:rPr>
        <w:t xml:space="preserve">Cardiovasc Diabetol</w:t>
      </w:r>
      <w:r>
        <w:t xml:space="preserve"> </w:t>
      </w:r>
      <w:r>
        <w:t xml:space="preserve">· Effects of liraglutide vs. lifestyle changes on soluble suppression of tumorigenesis-2 (sST2) and galectin-3 in obese subjects with prediabetes or type 2 diabetes after comparable weight loss. PMID 35277168</w:t>
      </w:r>
    </w:p>
    <w:p>
      <w:pPr>
        <w:numPr>
          <w:ilvl w:val="0"/>
          <w:numId w:val="1376"/>
        </w:numPr>
        <w:pStyle w:val="Compact"/>
      </w:pPr>
      <w:r>
        <w:t xml:space="preserve">2022 · Cheng H ·</w:t>
      </w:r>
      <w:r>
        <w:t xml:space="preserve"> </w:t>
      </w:r>
      <w:r>
        <w:rPr>
          <w:iCs/>
          <w:i/>
        </w:rPr>
        <w:t xml:space="preserve">Diabetes Care</w:t>
      </w:r>
      <w:r>
        <w:t xml:space="preserve"> </w:t>
      </w:r>
      <w:r>
        <w:t xml:space="preserve">· Enhancement of Impaired Olfactory Neural Activation and Cognitive Capacity by Liraglutide, but Not Dapagliflozin or Acarbose, in Patients With Type 2 Diabetes: A 16-Week Randomized Parallel Comparative Study. PMID 35263425</w:t>
      </w:r>
    </w:p>
    <w:p>
      <w:pPr>
        <w:numPr>
          <w:ilvl w:val="0"/>
          <w:numId w:val="1376"/>
        </w:numPr>
        <w:pStyle w:val="Compact"/>
      </w:pPr>
      <w:r>
        <w:t xml:space="preserve">2022 · Altintas Dogan AD ·</w:t>
      </w:r>
      <w:r>
        <w:t xml:space="preserve"> </w:t>
      </w:r>
      <w:r>
        <w:rPr>
          <w:iCs/>
          <w:i/>
        </w:rPr>
        <w:t xml:space="preserve">Int J Chron Obstruct Pulmon Dis</w:t>
      </w:r>
      <w:r>
        <w:t xml:space="preserve"> </w:t>
      </w:r>
      <w:r>
        <w:t xml:space="preserve">· Respiratory Effects of Treatment with a Glucagon-Like Peptide-1 Receptor Agonist in Patients Suffering from Obesity and Chronic Obstructive Pulmonary Disease. PMID 35237033</w:t>
      </w:r>
    </w:p>
    <w:p>
      <w:pPr>
        <w:numPr>
          <w:ilvl w:val="0"/>
          <w:numId w:val="1376"/>
        </w:numPr>
        <w:pStyle w:val="Compact"/>
      </w:pPr>
      <w:r>
        <w:t xml:space="preserve">2022 · Yabe D ·</w:t>
      </w:r>
      <w:r>
        <w:t xml:space="preserve"> </w:t>
      </w:r>
      <w:r>
        <w:rPr>
          <w:iCs/>
          <w:i/>
        </w:rPr>
        <w:t xml:space="preserve">J Diabetes Investig</w:t>
      </w:r>
      <w:r>
        <w:t xml:space="preserve"> </w:t>
      </w:r>
      <w:r>
        <w:t xml:space="preserve">· Efficacy and safety of oral semaglutide in Japanese patients with type 2 diabetes: A subgroup analysis by baseline variables in the PIONEER 9 and PIONEER 10 trials. PMID 35112504</w:t>
      </w:r>
    </w:p>
    <w:p>
      <w:pPr>
        <w:numPr>
          <w:ilvl w:val="0"/>
          <w:numId w:val="1376"/>
        </w:numPr>
        <w:pStyle w:val="Compact"/>
      </w:pPr>
      <w:r>
        <w:t xml:space="preserve">2022 · Westman K ·</w:t>
      </w:r>
      <w:r>
        <w:t xml:space="preserve"> </w:t>
      </w:r>
      <w:r>
        <w:rPr>
          <w:iCs/>
          <w:i/>
        </w:rPr>
        <w:t xml:space="preserve">J Diabetes Complications</w:t>
      </w:r>
      <w:r>
        <w:t xml:space="preserve"> </w:t>
      </w:r>
      <w:r>
        <w:t xml:space="preserve">· Effect of liraglutide on markers of insulin production in persons with type 2 diabetes treated with multiple daily insulin injections. PMID 35101325</w:t>
      </w:r>
    </w:p>
    <w:p>
      <w:pPr>
        <w:numPr>
          <w:ilvl w:val="0"/>
          <w:numId w:val="1376"/>
        </w:numPr>
        <w:pStyle w:val="Compact"/>
      </w:pPr>
      <w:r>
        <w:t xml:space="preserve">2022 · Takeshita Y ·</w:t>
      </w:r>
      <w:r>
        <w:t xml:space="preserve"> </w:t>
      </w:r>
      <w:r>
        <w:rPr>
          <w:iCs/>
          <w:i/>
        </w:rPr>
        <w:t xml:space="preserve">J Diabetes Investig</w:t>
      </w:r>
      <w:r>
        <w:t xml:space="preserve"> </w:t>
      </w:r>
      <w:r>
        <w:t xml:space="preserve">· Insulin-glucagon-like peptide-1 receptor agonist relay and glucagon-like peptide-1 receptor agonist first regimens in individuals with type 2 diabetes: A randomized, open-label trial study. PMID 35034428</w:t>
      </w:r>
    </w:p>
    <w:p>
      <w:pPr>
        <w:numPr>
          <w:ilvl w:val="0"/>
          <w:numId w:val="1376"/>
        </w:numPr>
        <w:pStyle w:val="Compact"/>
      </w:pPr>
      <w:r>
        <w:t xml:space="preserve">2022 · van Ruiten CC ·</w:t>
      </w:r>
      <w:r>
        <w:t xml:space="preserve"> </w:t>
      </w:r>
      <w:r>
        <w:rPr>
          <w:iCs/>
          <w:i/>
        </w:rPr>
        <w:t xml:space="preserve">Psychoneuroendocrinology</w:t>
      </w:r>
      <w:r>
        <w:t xml:space="preserve"> </w:t>
      </w:r>
      <w:r>
        <w:t xml:space="preserve">· Eating behavior modulates the sensitivity to the central effects of GLP-1 receptor agonist treatment: a secondary analysis of a randomized trial. PMID 35033928</w:t>
      </w:r>
    </w:p>
    <w:p>
      <w:pPr>
        <w:numPr>
          <w:ilvl w:val="0"/>
          <w:numId w:val="1376"/>
        </w:numPr>
        <w:pStyle w:val="Compact"/>
      </w:pPr>
      <w:r>
        <w:t xml:space="preserve">2022 · Rubino DM ·</w:t>
      </w:r>
      <w:r>
        <w:t xml:space="preserve"> </w:t>
      </w:r>
      <w:r>
        <w:rPr>
          <w:iCs/>
          <w:i/>
        </w:rPr>
        <w:t xml:space="preserve">JAMA</w:t>
      </w:r>
      <w:r>
        <w:t xml:space="preserve"> </w:t>
      </w:r>
      <w:r>
        <w:t xml:space="preserve">· Effect of Weekly Subcutaneous Semaglutide vs Daily Liraglutide on Body Weight in Adults With Overweight or Obesity Without Diabetes: The STEP 8 Randomized Clinical Trial. PMID 35015037</w:t>
      </w:r>
    </w:p>
    <w:p>
      <w:pPr>
        <w:numPr>
          <w:ilvl w:val="0"/>
          <w:numId w:val="1376"/>
        </w:numPr>
        <w:pStyle w:val="Compact"/>
      </w:pPr>
      <w:r>
        <w:t xml:space="preserve">2022 · Barnard-Kelly K ·</w:t>
      </w:r>
      <w:r>
        <w:t xml:space="preserve"> </w:t>
      </w:r>
      <w:r>
        <w:rPr>
          <w:iCs/>
          <w:i/>
        </w:rPr>
        <w:t xml:space="preserve">BMC Psychiatry</w:t>
      </w:r>
      <w:r>
        <w:t xml:space="preserve"> </w:t>
      </w:r>
      <w:r>
        <w:t xml:space="preserve">· Liraglutide and the management of overweight and obesity in people with severe mental illness: qualitative sub-study. PMID 34996406</w:t>
      </w:r>
    </w:p>
    <w:p>
      <w:pPr>
        <w:numPr>
          <w:ilvl w:val="0"/>
          <w:numId w:val="1376"/>
        </w:numPr>
        <w:pStyle w:val="Compact"/>
      </w:pPr>
      <w:r>
        <w:t xml:space="preserve">2022 · Arendt Nielsen T ·</w:t>
      </w:r>
      <w:r>
        <w:t xml:space="preserve"> </w:t>
      </w:r>
      <w:r>
        <w:rPr>
          <w:iCs/>
          <w:i/>
        </w:rPr>
        <w:t xml:space="preserve">J Ocul Pharmacol Ther</w:t>
      </w:r>
      <w:r>
        <w:t xml:space="preserve"> </w:t>
      </w:r>
      <w:r>
        <w:t xml:space="preserve">· Liraglutide Treatment Does Not Induce Changes in the Peripapillary Retinal Nerve Fiber Layer Thickness in Patients with Diabetic Retinopathy. PMID 34918951</w:t>
      </w:r>
    </w:p>
    <w:p>
      <w:pPr>
        <w:numPr>
          <w:ilvl w:val="0"/>
          <w:numId w:val="1376"/>
        </w:numPr>
        <w:pStyle w:val="Compact"/>
      </w:pPr>
      <w:r>
        <w:t xml:space="preserve">2022 · Shaman AM ·</w:t>
      </w:r>
      <w:r>
        <w:t xml:space="preserve"> </w:t>
      </w:r>
      <w:r>
        <w:rPr>
          <w:iCs/>
          <w:i/>
        </w:rPr>
        <w:t xml:space="preserve">Circulation</w:t>
      </w:r>
      <w:r>
        <w:t xml:space="preserve"> </w:t>
      </w:r>
      <w:r>
        <w:t xml:space="preserve">· Effect of the Glucagon-Like Peptide-1 Receptor Agonists Semaglutide and Liraglutide on Kidney Outcomes in Patients With Type 2 Diabetes: Pooled Analysis of SUSTAIN 6 and LEADER. PMID 34903039</w:t>
      </w:r>
    </w:p>
    <w:p>
      <w:pPr>
        <w:numPr>
          <w:ilvl w:val="0"/>
          <w:numId w:val="1376"/>
        </w:numPr>
        <w:pStyle w:val="Compact"/>
      </w:pPr>
      <w:r>
        <w:t xml:space="preserve">2022 · Middleton TL ·</w:t>
      </w:r>
      <w:r>
        <w:t xml:space="preserve"> </w:t>
      </w:r>
      <w:r>
        <w:rPr>
          <w:iCs/>
          <w:i/>
        </w:rPr>
        <w:t xml:space="preserve">Diabetes Obes Metab</w:t>
      </w:r>
      <w:r>
        <w:t xml:space="preserve"> </w:t>
      </w:r>
      <w:r>
        <w:t xml:space="preserve">· Improving beta-cell secretory function and glycaemia in young-onset type 2 diabetes: A pilot, 12-month, randomized trial of a novel, continuous glucose monitor-guided, rapid treatment intensification strategy incorporating empagliflozin and liraglutide. PMID 34882926</w:t>
      </w:r>
    </w:p>
    <w:p>
      <w:pPr>
        <w:numPr>
          <w:ilvl w:val="0"/>
          <w:numId w:val="1376"/>
        </w:numPr>
        <w:pStyle w:val="Compact"/>
      </w:pPr>
      <w:r>
        <w:t xml:space="preserve">2022 · Liu H ·</w:t>
      </w:r>
      <w:r>
        <w:t xml:space="preserve"> </w:t>
      </w:r>
      <w:r>
        <w:rPr>
          <w:iCs/>
          <w:i/>
        </w:rPr>
        <w:t xml:space="preserve">J Diabetes Investig</w:t>
      </w:r>
      <w:r>
        <w:t xml:space="preserve"> </w:t>
      </w:r>
      <w:r>
        <w:t xml:space="preserve">· Preserved pharmacokinetics and pharmacodynamics of insulin degludec and liraglutide when administered as insulin degludec/liraglutide in a Chinese population. PMID 34797962</w:t>
      </w:r>
    </w:p>
    <w:p>
      <w:pPr>
        <w:numPr>
          <w:ilvl w:val="0"/>
          <w:numId w:val="1376"/>
        </w:numPr>
        <w:pStyle w:val="Compact"/>
      </w:pPr>
      <w:r>
        <w:t xml:space="preserve">2022 · López-Cano C ·</w:t>
      </w:r>
      <w:r>
        <w:t xml:space="preserve"> </w:t>
      </w:r>
      <w:r>
        <w:rPr>
          <w:iCs/>
          <w:i/>
        </w:rPr>
        <w:t xml:space="preserve">Diabetes</w:t>
      </w:r>
      <w:r>
        <w:t xml:space="preserve"> </w:t>
      </w:r>
      <w:r>
        <w:t xml:space="preserve">· Liraglutide Improves Forced Vital Capacity in Individuals With Type 2 Diabetes: Data From the Randomized Crossover LIRALUNG Study. PMID 34737187</w:t>
      </w:r>
    </w:p>
    <w:p>
      <w:pPr>
        <w:numPr>
          <w:ilvl w:val="0"/>
          <w:numId w:val="1376"/>
        </w:numPr>
        <w:pStyle w:val="Compact"/>
      </w:pPr>
      <w:r>
        <w:t xml:space="preserve">2022 · Heller SR ·</w:t>
      </w:r>
      <w:r>
        <w:t xml:space="preserve"> </w:t>
      </w:r>
      <w:r>
        <w:rPr>
          <w:iCs/>
          <w:i/>
        </w:rPr>
        <w:t xml:space="preserve">Diabetologia</w:t>
      </w:r>
      <w:r>
        <w:t xml:space="preserve"> </w:t>
      </w:r>
      <w:r>
        <w:t xml:space="preserve">· A higher non-severe hypoglycaemia rate is associated with an increased risk of subsequent severe hypoglycaemia and major adverse cardiovascular events in individuals with type 2 diabetes in the LEADER study. PMID 34704120</w:t>
      </w:r>
    </w:p>
    <w:p>
      <w:pPr>
        <w:numPr>
          <w:ilvl w:val="0"/>
          <w:numId w:val="1376"/>
        </w:numPr>
        <w:pStyle w:val="Compact"/>
      </w:pPr>
      <w:r>
        <w:t xml:space="preserve">2022 · Unger J ·</w:t>
      </w:r>
      <w:r>
        <w:t xml:space="preserve"> </w:t>
      </w:r>
      <w:r>
        <w:rPr>
          <w:iCs/>
          <w:i/>
        </w:rPr>
        <w:t xml:space="preserve">Diabetes Obes Metab</w:t>
      </w:r>
      <w:r>
        <w:t xml:space="preserve"> </w:t>
      </w:r>
      <w:r>
        <w:t xml:space="preserve">· Maintenance of glycaemic control with liraglutide versus oral antidiabetic drugs as add-on therapies in patients with type 2 diabetes uncontrolled with metformin alone: A randomized clinical trial in primary care (LIRA-PRIME). PMID 34622567</w:t>
      </w:r>
    </w:p>
    <w:p>
      <w:pPr>
        <w:numPr>
          <w:ilvl w:val="0"/>
          <w:numId w:val="1376"/>
        </w:numPr>
        <w:pStyle w:val="Compact"/>
      </w:pPr>
      <w:r>
        <w:t xml:space="preserve">2022 · Yamada Y ·</w:t>
      </w:r>
      <w:r>
        <w:t xml:space="preserve"> </w:t>
      </w:r>
      <w:r>
        <w:rPr>
          <w:iCs/>
          <w:i/>
        </w:rPr>
        <w:t xml:space="preserve">Diabetes Obes Metab</w:t>
      </w:r>
      <w:r>
        <w:t xml:space="preserve"> </w:t>
      </w:r>
      <w:r>
        <w:t xml:space="preserve">· Efficacy and safety of oral semaglutide by baseline age in Japanese patients with type 2 diabetes: A subgroup analysis of the PIONEER 9 and 10 Japan trials. PMID 34622548</w:t>
      </w:r>
    </w:p>
    <w:p>
      <w:pPr>
        <w:numPr>
          <w:ilvl w:val="0"/>
          <w:numId w:val="1376"/>
        </w:numPr>
        <w:pStyle w:val="Compact"/>
      </w:pPr>
      <w:r>
        <w:t xml:space="preserve">2022 · Schmidt S ·</w:t>
      </w:r>
      <w:r>
        <w:t xml:space="preserve"> </w:t>
      </w:r>
      <w:r>
        <w:rPr>
          <w:iCs/>
          <w:i/>
        </w:rPr>
        <w:t xml:space="preserve">Diabetes Obes Metab</w:t>
      </w:r>
      <w:r>
        <w:t xml:space="preserve"> </w:t>
      </w:r>
      <w:r>
        <w:t xml:space="preserve">· Liraglutide changes body composition and lowers added sugar intake in overweight persons with insulin pump-treated type 1 diabetes. PMID 34595827</w:t>
      </w:r>
    </w:p>
    <w:p>
      <w:pPr>
        <w:numPr>
          <w:ilvl w:val="0"/>
          <w:numId w:val="1376"/>
        </w:numPr>
        <w:pStyle w:val="Compact"/>
      </w:pPr>
      <w:r>
        <w:t xml:space="preserve">2022 · Møller M ·</w:t>
      </w:r>
      <w:r>
        <w:t xml:space="preserve"> </w:t>
      </w:r>
      <w:r>
        <w:rPr>
          <w:iCs/>
          <w:i/>
        </w:rPr>
        <w:t xml:space="preserve">CNS Spectr</w:t>
      </w:r>
      <w:r>
        <w:t xml:space="preserve"> </w:t>
      </w:r>
      <w:r>
        <w:t xml:space="preserve">· Proinflammatory biomarkers are associated with prediabetes in patients with schizophrenia. PMID 33308348</w:t>
      </w:r>
    </w:p>
    <w:p>
      <w:pPr>
        <w:numPr>
          <w:ilvl w:val="0"/>
          <w:numId w:val="1376"/>
        </w:numPr>
        <w:pStyle w:val="Compact"/>
      </w:pPr>
      <w:r>
        <w:t xml:space="preserve">2022 · Lin L ·</w:t>
      </w:r>
      <w:r>
        <w:t xml:space="preserve"> </w:t>
      </w:r>
      <w:r>
        <w:rPr>
          <w:iCs/>
          <w:i/>
        </w:rPr>
        <w:t xml:space="preserve">J Dermatolog Treat</w:t>
      </w:r>
      <w:r>
        <w:t xml:space="preserve"> </w:t>
      </w:r>
      <w:r>
        <w:t xml:space="preserve">· Glucagon-like peptide-1 receptor agonist liraglutide therapy for psoriasis patients with type 2 diabetes: a randomized-controlled trial. PMID 32962477</w:t>
      </w:r>
    </w:p>
    <w:p>
      <w:pPr>
        <w:numPr>
          <w:ilvl w:val="0"/>
          <w:numId w:val="1376"/>
        </w:numPr>
        <w:pStyle w:val="Compact"/>
      </w:pPr>
      <w:r>
        <w:t xml:space="preserve">2021 · Jendle J ·</w:t>
      </w:r>
      <w:r>
        <w:t xml:space="preserve"> </w:t>
      </w:r>
      <w:r>
        <w:rPr>
          <w:iCs/>
          <w:i/>
        </w:rPr>
        <w:t xml:space="preserve">Cardiovasc Diabetol</w:t>
      </w:r>
      <w:r>
        <w:t xml:space="preserve"> </w:t>
      </w:r>
      <w:r>
        <w:t xml:space="preserve">· Pharmacometabolomic profiles in type 2 diabetic subjects treated with liraglutide or glimepiride. PMID 34920733</w:t>
      </w:r>
    </w:p>
    <w:p>
      <w:pPr>
        <w:numPr>
          <w:ilvl w:val="0"/>
          <w:numId w:val="1376"/>
        </w:numPr>
        <w:pStyle w:val="Compact"/>
      </w:pPr>
      <w:r>
        <w:t xml:space="preserve">2021 · Jensen JK ·</w:t>
      </w:r>
      <w:r>
        <w:t xml:space="preserve"> </w:t>
      </w:r>
      <w:r>
        <w:rPr>
          <w:iCs/>
          <w:i/>
        </w:rPr>
        <w:t xml:space="preserve">Front Endocrinol (Lausanne)</w:t>
      </w:r>
      <w:r>
        <w:t xml:space="preserve"> </w:t>
      </w:r>
      <w:r>
        <w:t xml:space="preserve">· Effect of 26 Weeks of Liraglutide Treatment on Coronary Artery Inflammation in Type 2 Diabetes Quantified by [(64)Cu]Cu-DOTATATE PET/CT: Results from the LIRAFLAME Trial. PMID 34917038</w:t>
      </w:r>
    </w:p>
    <w:p>
      <w:pPr>
        <w:numPr>
          <w:ilvl w:val="0"/>
          <w:numId w:val="1376"/>
        </w:numPr>
        <w:pStyle w:val="Compact"/>
      </w:pPr>
      <w:r>
        <w:t xml:space="preserve">2021 · Lau DCW ·</w:t>
      </w:r>
      <w:r>
        <w:t xml:space="preserve"> </w:t>
      </w:r>
      <w:r>
        <w:rPr>
          <w:iCs/>
          <w:i/>
        </w:rPr>
        <w:t xml:space="preserve">Lancet</w:t>
      </w:r>
      <w:r>
        <w:t xml:space="preserve"> </w:t>
      </w:r>
      <w:r>
        <w:t xml:space="preserve">· Once-weekly cagrilintide for weight management in people with overweight and obesity: a multicentre, randomised, double-blind, placebo-controlled and active-controlled, dose-finding phase 2 trial. PMID 34798060</w:t>
      </w:r>
    </w:p>
    <w:p>
      <w:pPr>
        <w:numPr>
          <w:ilvl w:val="0"/>
          <w:numId w:val="1376"/>
        </w:numPr>
        <w:pStyle w:val="Compact"/>
      </w:pPr>
      <w:r>
        <w:t xml:space="preserve">2021 · Yu DN ·</w:t>
      </w:r>
      <w:r>
        <w:t xml:space="preserve"> </w:t>
      </w:r>
      <w:r>
        <w:rPr>
          <w:iCs/>
          <w:i/>
        </w:rPr>
        <w:t xml:space="preserve">Zhonghua Nei Ke Za Zhi</w:t>
      </w:r>
      <w:r>
        <w:t xml:space="preserve"> </w:t>
      </w:r>
      <w:r>
        <w:t xml:space="preserve">· [The effects of liraglutide on body composition and muscle strength in adult obese patients with type 2 diabetes mellitus]. PMID 34689519</w:t>
      </w:r>
    </w:p>
    <w:p>
      <w:pPr>
        <w:numPr>
          <w:ilvl w:val="0"/>
          <w:numId w:val="1376"/>
        </w:numPr>
        <w:pStyle w:val="Compact"/>
      </w:pPr>
      <w:r>
        <w:t xml:space="preserve">2021 · Zobel EH ·</w:t>
      </w:r>
      <w:r>
        <w:t xml:space="preserve"> </w:t>
      </w:r>
      <w:r>
        <w:rPr>
          <w:iCs/>
          <w:i/>
        </w:rPr>
        <w:t xml:space="preserve">Sci Rep</w:t>
      </w:r>
      <w:r>
        <w:t xml:space="preserve"> </w:t>
      </w:r>
      <w:r>
        <w:t xml:space="preserve">· Effect of liraglutide on expression of inflammatory genes in type 2 diabetes. PMID 34535716</w:t>
      </w:r>
    </w:p>
    <w:p>
      <w:pPr>
        <w:numPr>
          <w:ilvl w:val="0"/>
          <w:numId w:val="1376"/>
        </w:numPr>
        <w:pStyle w:val="Compact"/>
      </w:pPr>
      <w:r>
        <w:t xml:space="preserve">2021 · Zobel EH ·</w:t>
      </w:r>
      <w:r>
        <w:t xml:space="preserve"> </w:t>
      </w:r>
      <w:r>
        <w:rPr>
          <w:iCs/>
          <w:i/>
        </w:rPr>
        <w:t xml:space="preserve">BMJ Open Diabetes Res Care</w:t>
      </w:r>
      <w:r>
        <w:t xml:space="preserve"> </w:t>
      </w:r>
      <w:r>
        <w:t xml:space="preserve">· Ceramides and phospholipids are downregulated with liraglutide treatment: results from the LiraFlame randomized controlled trial. PMID 34518158</w:t>
      </w:r>
    </w:p>
    <w:p>
      <w:pPr>
        <w:numPr>
          <w:ilvl w:val="0"/>
          <w:numId w:val="1376"/>
        </w:numPr>
        <w:pStyle w:val="Compact"/>
      </w:pPr>
      <w:r>
        <w:t xml:space="preserve">2021 · Araki E ·</w:t>
      </w:r>
      <w:r>
        <w:t xml:space="preserve"> </w:t>
      </w:r>
      <w:r>
        <w:rPr>
          <w:iCs/>
          <w:i/>
        </w:rPr>
        <w:t xml:space="preserve">Diabetes Obes Metab</w:t>
      </w:r>
      <w:r>
        <w:t xml:space="preserve"> </w:t>
      </w:r>
      <w:r>
        <w:t xml:space="preserve">· Efficacy and safety of oral semaglutide in Japanese patients with type 2 diabetes: A post hoc subgroup analysis of the PIONEER 1, 3, 4 and 8 trials. PMID 34472698</w:t>
      </w:r>
    </w:p>
    <w:p>
      <w:pPr>
        <w:numPr>
          <w:ilvl w:val="0"/>
          <w:numId w:val="1376"/>
        </w:numPr>
        <w:pStyle w:val="Compact"/>
      </w:pPr>
      <w:r>
        <w:t xml:space="preserve">2021 · Dejgaard TF ·</w:t>
      </w:r>
      <w:r>
        <w:t xml:space="preserve"> </w:t>
      </w:r>
      <w:r>
        <w:rPr>
          <w:iCs/>
          <w:i/>
        </w:rPr>
        <w:t xml:space="preserve">Diabetes Obes Metab</w:t>
      </w:r>
      <w:r>
        <w:t xml:space="preserve"> </w:t>
      </w:r>
      <w:r>
        <w:t xml:space="preserve">· Efficacy and safety of liraglutide in type 1 diabetes by baseline characteristics in the ADJUNCT ONE and ADJUNCT TWO randomized controlled trials. PMID 34463425</w:t>
      </w:r>
    </w:p>
    <w:p>
      <w:pPr>
        <w:numPr>
          <w:ilvl w:val="0"/>
          <w:numId w:val="1376"/>
        </w:numPr>
        <w:pStyle w:val="Compact"/>
      </w:pPr>
      <w:r>
        <w:t xml:space="preserve">2021 · Pei Y ·</w:t>
      </w:r>
      <w:r>
        <w:t xml:space="preserve"> </w:t>
      </w:r>
      <w:r>
        <w:rPr>
          <w:iCs/>
          <w:i/>
        </w:rPr>
        <w:t xml:space="preserve">Diabetes Obes Metab</w:t>
      </w:r>
      <w:r>
        <w:t xml:space="preserve"> </w:t>
      </w:r>
      <w:r>
        <w:t xml:space="preserve">· DUAL II China: Superior HbA1c reductions and weight loss with insulin degludec/liraglutide (IDegLira) versus insulin degludec in a randomized trial of Chinese people with type 2 diabetes inadequately controlled on basal insulin. PMID 34387411</w:t>
      </w:r>
    </w:p>
    <w:p>
      <w:pPr>
        <w:numPr>
          <w:ilvl w:val="0"/>
          <w:numId w:val="1376"/>
        </w:numPr>
        <w:pStyle w:val="Compact"/>
      </w:pPr>
      <w:r>
        <w:t xml:space="preserve">2021 · Rasmussen IKB ·</w:t>
      </w:r>
      <w:r>
        <w:t xml:space="preserve"> </w:t>
      </w:r>
      <w:r>
        <w:rPr>
          <w:iCs/>
          <w:i/>
        </w:rPr>
        <w:t xml:space="preserve">Diabetes Obes Metab</w:t>
      </w:r>
      <w:r>
        <w:t xml:space="preserve"> </w:t>
      </w:r>
      <w:r>
        <w:t xml:space="preserve">· Liraglutide reduces cardiac adipose tissue in type 2 diabetes: A secondary analysis of the LIRAFLAME randomized placebo-controlled trial. PMID 34387408</w:t>
      </w:r>
    </w:p>
    <w:p>
      <w:pPr>
        <w:numPr>
          <w:ilvl w:val="0"/>
          <w:numId w:val="1376"/>
        </w:numPr>
        <w:pStyle w:val="Compact"/>
      </w:pPr>
      <w:r>
        <w:t xml:space="preserve">2021 · Neeland IJ ·</w:t>
      </w:r>
      <w:r>
        <w:t xml:space="preserve"> </w:t>
      </w:r>
      <w:r>
        <w:rPr>
          <w:iCs/>
          <w:i/>
        </w:rPr>
        <w:t xml:space="preserve">Lancet Diabetes Endocrinol</w:t>
      </w:r>
      <w:r>
        <w:t xml:space="preserve"> </w:t>
      </w:r>
      <w:r>
        <w:t xml:space="preserve">· Effects of liraglutide on visceral and ectopic fat in adults with overweight and obesity at high cardiovascular risk: a randomised, double-blind, placebo-controlled, clinical trial. PMID 34358471</w:t>
      </w:r>
    </w:p>
    <w:p>
      <w:pPr>
        <w:numPr>
          <w:ilvl w:val="0"/>
          <w:numId w:val="1376"/>
        </w:numPr>
        <w:pStyle w:val="Compact"/>
      </w:pPr>
      <w:r>
        <w:t xml:space="preserve">2021 · Samson SL ·</w:t>
      </w:r>
      <w:r>
        <w:t xml:space="preserve"> </w:t>
      </w:r>
      <w:r>
        <w:rPr>
          <w:iCs/>
          <w:i/>
        </w:rPr>
        <w:t xml:space="preserve">Pituitary</w:t>
      </w:r>
      <w:r>
        <w:t xml:space="preserve"> </w:t>
      </w:r>
      <w:r>
        <w:t xml:space="preserve">· Managing pasireotide-associated hyperglycemia: a randomized, open-label, Phase IV study. PMID 34275099</w:t>
      </w:r>
    </w:p>
    <w:p>
      <w:pPr>
        <w:numPr>
          <w:ilvl w:val="0"/>
          <w:numId w:val="1376"/>
        </w:numPr>
        <w:pStyle w:val="Compact"/>
      </w:pPr>
      <w:r>
        <w:t xml:space="preserve">2021 · Pantalone KM ·</w:t>
      </w:r>
      <w:r>
        <w:t xml:space="preserve"> </w:t>
      </w:r>
      <w:r>
        <w:rPr>
          <w:iCs/>
          <w:i/>
        </w:rPr>
        <w:t xml:space="preserve">JAMA Netw Open</w:t>
      </w:r>
      <w:r>
        <w:t xml:space="preserve"> </w:t>
      </w:r>
      <w:r>
        <w:t xml:space="preserve">· Effectiveness of Combining Antiobesity Medication With an Employer-Based Weight Management Program for Treatment of Obesity: A Randomized Clinical Trial. PMID 34255049</w:t>
      </w:r>
    </w:p>
    <w:p>
      <w:pPr>
        <w:numPr>
          <w:ilvl w:val="0"/>
          <w:numId w:val="1376"/>
        </w:numPr>
        <w:pStyle w:val="Compact"/>
      </w:pPr>
      <w:r>
        <w:t xml:space="preserve">2021 · Li Q ·</w:t>
      </w:r>
      <w:r>
        <w:t xml:space="preserve"> </w:t>
      </w:r>
      <w:r>
        <w:rPr>
          <w:iCs/>
          <w:i/>
        </w:rPr>
        <w:t xml:space="preserve">J Am Heart Assoc</w:t>
      </w:r>
      <w:r>
        <w:t xml:space="preserve"> </w:t>
      </w:r>
      <w:r>
        <w:t xml:space="preserve">· Activation of Glucagon-Like Peptide-1 Receptor Ameliorates Cognitive Decline in Type 2 Diabetes Mellitus Through a Metabolism-Independent Pathway. PMID 34250817</w:t>
      </w:r>
    </w:p>
    <w:p>
      <w:pPr>
        <w:numPr>
          <w:ilvl w:val="0"/>
          <w:numId w:val="1376"/>
        </w:numPr>
        <w:pStyle w:val="Compact"/>
      </w:pPr>
      <w:r>
        <w:t xml:space="preserve">2021 · Quast DR ·</w:t>
      </w:r>
      <w:r>
        <w:t xml:space="preserve"> </w:t>
      </w:r>
      <w:r>
        <w:rPr>
          <w:iCs/>
          <w:i/>
        </w:rPr>
        <w:t xml:space="preserve">Diabetes Obes Metab</w:t>
      </w:r>
      <w:r>
        <w:t xml:space="preserve"> </w:t>
      </w:r>
      <w:r>
        <w:t xml:space="preserve">· Macronutrient intake, appetite, food preferences and exocrine pancreas function after treatment with short- and long-acting glucagon-like peptide-1 receptor agonists in type 2 diabetes. PMID 34189834</w:t>
      </w:r>
    </w:p>
    <w:p>
      <w:pPr>
        <w:numPr>
          <w:ilvl w:val="0"/>
          <w:numId w:val="1376"/>
        </w:numPr>
        <w:pStyle w:val="Compact"/>
      </w:pPr>
      <w:r>
        <w:t xml:space="preserve">2021 · Bojer AS ·</w:t>
      </w:r>
      <w:r>
        <w:t xml:space="preserve"> </w:t>
      </w:r>
      <w:r>
        <w:rPr>
          <w:iCs/>
          <w:i/>
        </w:rPr>
        <w:t xml:space="preserve">Diabetes Obes Metab</w:t>
      </w:r>
      <w:r>
        <w:t xml:space="preserve"> </w:t>
      </w:r>
      <w:r>
        <w:t xml:space="preserve">· Metabolic improvement with short-term, glucagon-like peptide-1 receptor agonist treatment does not improve cardiac diastolic dysfunction in patients with type 2 diabetes: A randomized, double-blind, placebo-controlled trial. PMID 34189832</w:t>
      </w:r>
    </w:p>
    <w:p>
      <w:pPr>
        <w:numPr>
          <w:ilvl w:val="0"/>
          <w:numId w:val="1376"/>
        </w:numPr>
        <w:pStyle w:val="Compact"/>
      </w:pPr>
      <w:r>
        <w:t xml:space="preserve">2021 · Ripa RS ·</w:t>
      </w:r>
      <w:r>
        <w:t xml:space="preserve"> </w:t>
      </w:r>
      <w:r>
        <w:rPr>
          <w:iCs/>
          <w:i/>
        </w:rPr>
        <w:t xml:space="preserve">Circ Cardiovasc Imaging</w:t>
      </w:r>
      <w:r>
        <w:t xml:space="preserve"> </w:t>
      </w:r>
      <w:r>
        <w:t xml:space="preserve">· Effect of Liraglutide on Arterial Inflammation Assessed as [(18)F]FDG Uptake in Patients With Type 2 Diabetes: A Randomized, Double-Blind, Placebo-Controlled Trial. PMID 34187185</w:t>
      </w:r>
    </w:p>
    <w:p>
      <w:pPr>
        <w:numPr>
          <w:ilvl w:val="0"/>
          <w:numId w:val="1376"/>
        </w:numPr>
        <w:pStyle w:val="Compact"/>
      </w:pPr>
      <w:r>
        <w:t xml:space="preserve">2021 · Hompesch M ·</w:t>
      </w:r>
      <w:r>
        <w:t xml:space="preserve"> </w:t>
      </w:r>
      <w:r>
        <w:rPr>
          <w:iCs/>
          <w:i/>
        </w:rPr>
        <w:t xml:space="preserve">BMJ Open Diabetes Res Care</w:t>
      </w:r>
      <w:r>
        <w:t xml:space="preserve"> </w:t>
      </w:r>
      <w:r>
        <w:t xml:space="preserve">· Effects of efpeglenatide versus liraglutide on gastric emptying, glucose metabolism and beta-cell function in people with type 2 diabetes: an exploratory, randomized phase Ib study. PMID 34172436</w:t>
      </w:r>
    </w:p>
    <w:p>
      <w:pPr>
        <w:numPr>
          <w:ilvl w:val="0"/>
          <w:numId w:val="1376"/>
        </w:numPr>
        <w:pStyle w:val="Compact"/>
      </w:pPr>
      <w:r>
        <w:t xml:space="preserve">2021 · Kahn SE ·</w:t>
      </w:r>
      <w:r>
        <w:t xml:space="preserve"> </w:t>
      </w:r>
      <w:r>
        <w:rPr>
          <w:iCs/>
          <w:i/>
        </w:rPr>
        <w:t xml:space="preserve">Diabetes Care</w:t>
      </w:r>
      <w:r>
        <w:t xml:space="preserve"> </w:t>
      </w:r>
      <w:r>
        <w:t xml:space="preserve">· Effect of Medical and Surgical Interventions on α-Cell Function in Dysglycemic Youth and Adults in the RISE Study. PMID 34135015</w:t>
      </w:r>
    </w:p>
    <w:p>
      <w:pPr>
        <w:numPr>
          <w:ilvl w:val="0"/>
          <w:numId w:val="1376"/>
        </w:numPr>
        <w:pStyle w:val="Compact"/>
      </w:pPr>
      <w:r>
        <w:t xml:space="preserve">2021 · Blonde L ·</w:t>
      </w:r>
      <w:r>
        <w:t xml:space="preserve"> </w:t>
      </w:r>
      <w:r>
        <w:rPr>
          <w:iCs/>
          <w:i/>
        </w:rPr>
        <w:t xml:space="preserve">Diabetes Obes Metab</w:t>
      </w:r>
      <w:r>
        <w:t xml:space="preserve"> </w:t>
      </w:r>
      <w:r>
        <w:t xml:space="preserve">· Efficacy of liraglutide added to sodium-glucose cotransporter-2 inhibitors in type 2 diabetes, stratified by baseline characteristics: Post-hoc analysis of LIRA-ADD2SGLT2i. PMID 34132018</w:t>
      </w:r>
    </w:p>
    <w:p>
      <w:pPr>
        <w:numPr>
          <w:ilvl w:val="0"/>
          <w:numId w:val="1376"/>
        </w:numPr>
        <w:pStyle w:val="Compact"/>
      </w:pPr>
      <w:r>
        <w:t xml:space="preserve">2021 · Sam S ·</w:t>
      </w:r>
      <w:r>
        <w:t xml:space="preserve"> </w:t>
      </w:r>
      <w:r>
        <w:rPr>
          <w:iCs/>
          <w:i/>
        </w:rPr>
        <w:t xml:space="preserve">Diabetes Care</w:t>
      </w:r>
      <w:r>
        <w:t xml:space="preserve"> </w:t>
      </w:r>
      <w:r>
        <w:t xml:space="preserve">· Baseline Predictors of Glycemic Worsening in Youth and Adults With Impaired Glucose Tolerance or Recently Diagnosed Type 2 Diabetes in the Restoring Insulin Secretion (RISE) Study. PMID 34131048</w:t>
      </w:r>
    </w:p>
    <w:p>
      <w:pPr>
        <w:numPr>
          <w:ilvl w:val="0"/>
          <w:numId w:val="1376"/>
        </w:numPr>
        <w:pStyle w:val="Compact"/>
      </w:pPr>
      <w:r>
        <w:t xml:space="preserve">2021 · Sharma A ·</w:t>
      </w:r>
      <w:r>
        <w:t xml:space="preserve"> </w:t>
      </w:r>
      <w:r>
        <w:rPr>
          <w:iCs/>
          <w:i/>
        </w:rPr>
        <w:t xml:space="preserve">ESC Heart Fail</w:t>
      </w:r>
      <w:r>
        <w:t xml:space="preserve"> </w:t>
      </w:r>
      <w:r>
        <w:t xml:space="preserve">· Growth differentiation factor-15, treatment with liraglutide, and clinical outcomes among patients with heart failure. PMID 34061470</w:t>
      </w:r>
    </w:p>
    <w:p>
      <w:pPr>
        <w:numPr>
          <w:ilvl w:val="0"/>
          <w:numId w:val="1376"/>
        </w:numPr>
        <w:pStyle w:val="Compact"/>
      </w:pPr>
      <w:r>
        <w:t xml:space="preserve">2021 · Nahra R ·</w:t>
      </w:r>
      <w:r>
        <w:t xml:space="preserve"> </w:t>
      </w:r>
      <w:r>
        <w:rPr>
          <w:iCs/>
          <w:i/>
        </w:rPr>
        <w:t xml:space="preserve">Diabetes Care</w:t>
      </w:r>
      <w:r>
        <w:t xml:space="preserve"> </w:t>
      </w:r>
      <w:r>
        <w:t xml:space="preserve">· Effects of Cotadutide on Metabolic and Hepatic Parameters in Adults With Overweight or Obesity and Type 2 Diabetes: A 54-Week Randomized Phase 2b Study. PMID 34016612</w:t>
      </w:r>
    </w:p>
    <w:p>
      <w:pPr>
        <w:numPr>
          <w:ilvl w:val="0"/>
          <w:numId w:val="1376"/>
        </w:numPr>
        <w:pStyle w:val="Compact"/>
      </w:pPr>
      <w:r>
        <w:t xml:space="preserve">2021 · Sivalingam S ·</w:t>
      </w:r>
      <w:r>
        <w:t xml:space="preserve"> </w:t>
      </w:r>
      <w:r>
        <w:rPr>
          <w:iCs/>
          <w:i/>
        </w:rPr>
        <w:t xml:space="preserve">Sci Rep</w:t>
      </w:r>
      <w:r>
        <w:t xml:space="preserve"> </w:t>
      </w:r>
      <w:r>
        <w:t xml:space="preserve">· The effect of liraglutide and sitagliptin on oxidative stress in persons with type 2 diabetes. PMID 34012064</w:t>
      </w:r>
    </w:p>
    <w:p>
      <w:pPr>
        <w:numPr>
          <w:ilvl w:val="0"/>
          <w:numId w:val="1376"/>
        </w:numPr>
        <w:pStyle w:val="Compact"/>
      </w:pPr>
      <w:r>
        <w:t xml:space="preserve">2021 · Brooks-Worrell BM ·</w:t>
      </w:r>
      <w:r>
        <w:t xml:space="preserve"> </w:t>
      </w:r>
      <w:r>
        <w:rPr>
          <w:iCs/>
          <w:i/>
        </w:rPr>
        <w:t xml:space="preserve">Front Immunol</w:t>
      </w:r>
      <w:r>
        <w:t xml:space="preserve"> </w:t>
      </w:r>
      <w:r>
        <w:t xml:space="preserve">· Islet Autoimmunity in Adults With Impaired Glucose Tolerance and Recently Diagnosed, Treatment Naïve Type 2 Diabetes in the Restoring Insulin SEcretion (RISE) Study. PMID 33981301</w:t>
      </w:r>
    </w:p>
    <w:p>
      <w:pPr>
        <w:numPr>
          <w:ilvl w:val="0"/>
          <w:numId w:val="1376"/>
        </w:numPr>
        <w:pStyle w:val="Compact"/>
      </w:pPr>
      <w:r>
        <w:t xml:space="preserve">2021 · Lundgren JR ·</w:t>
      </w:r>
      <w:r>
        <w:t xml:space="preserve"> </w:t>
      </w:r>
      <w:r>
        <w:rPr>
          <w:iCs/>
          <w:i/>
        </w:rPr>
        <w:t xml:space="preserve">N Engl J Med</w:t>
      </w:r>
      <w:r>
        <w:t xml:space="preserve"> </w:t>
      </w:r>
      <w:r>
        <w:t xml:space="preserve">· Healthy Weight Loss Maintenance with Exercise, Liraglutide, or Both Combined. PMID 33951361</w:t>
      </w:r>
    </w:p>
    <w:p>
      <w:pPr>
        <w:numPr>
          <w:ilvl w:val="0"/>
          <w:numId w:val="1376"/>
        </w:numPr>
        <w:pStyle w:val="Compact"/>
      </w:pPr>
      <w:r>
        <w:t xml:space="preserve">2021 · Schiavon M ·</w:t>
      </w:r>
      <w:r>
        <w:t xml:space="preserve"> </w:t>
      </w:r>
      <w:r>
        <w:rPr>
          <w:iCs/>
          <w:i/>
        </w:rPr>
        <w:t xml:space="preserve">Diabetes Obes Metab</w:t>
      </w:r>
      <w:r>
        <w:t xml:space="preserve"> </w:t>
      </w:r>
      <w:r>
        <w:t xml:space="preserve">· Improved postprandial glucose metabolism in type 2 diabetes by the dual glucagon-like peptide-1/glucagon receptor agonist SAR425899 in comparison with liraglutide. PMID 33822469</w:t>
      </w:r>
    </w:p>
    <w:p>
      <w:pPr>
        <w:numPr>
          <w:ilvl w:val="0"/>
          <w:numId w:val="1376"/>
        </w:numPr>
        <w:pStyle w:val="Compact"/>
      </w:pPr>
      <w:r>
        <w:t xml:space="preserve">2021 · von Herrath M ·</w:t>
      </w:r>
      <w:r>
        <w:t xml:space="preserve"> </w:t>
      </w:r>
      <w:r>
        <w:rPr>
          <w:iCs/>
          <w:i/>
        </w:rPr>
        <w:t xml:space="preserve">Lancet Diabetes Endocrinol</w:t>
      </w:r>
      <w:r>
        <w:t xml:space="preserve"> </w:t>
      </w:r>
      <w:r>
        <w:t xml:space="preserve">· Anti-interleukin-21 antibody and liraglutide for the preservation of β-cell function in adults with recent-onset type 1 diabetes: a randomised, double-blind, placebo-controlled, phase 2 trial. PMID 33662334</w:t>
      </w:r>
    </w:p>
    <w:p>
      <w:pPr>
        <w:numPr>
          <w:ilvl w:val="0"/>
          <w:numId w:val="1376"/>
        </w:numPr>
        <w:pStyle w:val="Compact"/>
      </w:pPr>
      <w:r>
        <w:t xml:space="preserve">2021 · Ando Y ·</w:t>
      </w:r>
      <w:r>
        <w:t xml:space="preserve"> </w:t>
      </w:r>
      <w:r>
        <w:rPr>
          <w:iCs/>
          <w:i/>
        </w:rPr>
        <w:t xml:space="preserve">J Diabetes Investig</w:t>
      </w:r>
      <w:r>
        <w:t xml:space="preserve"> </w:t>
      </w:r>
      <w:r>
        <w:t xml:space="preserve">· Simplification of complex insulin regimens using canagliflozin or liraglutide in patients with well-controlled type 2 diabetes: A 24-week randomized controlled trial. PMID 33650779</w:t>
      </w:r>
    </w:p>
    <w:p>
      <w:pPr>
        <w:numPr>
          <w:ilvl w:val="0"/>
          <w:numId w:val="1376"/>
        </w:numPr>
        <w:pStyle w:val="Compact"/>
      </w:pPr>
      <w:r>
        <w:t xml:space="preserve">2021 · Bensignor MO ·</w:t>
      </w:r>
      <w:r>
        <w:t xml:space="preserve"> </w:t>
      </w:r>
      <w:r>
        <w:rPr>
          <w:iCs/>
          <w:i/>
        </w:rPr>
        <w:t xml:space="preserve">Pediatr Obes</w:t>
      </w:r>
      <w:r>
        <w:t xml:space="preserve"> </w:t>
      </w:r>
      <w:r>
        <w:t xml:space="preserve">· Effect of liraglutide treatment on body mass index and weight parameters in children and adolescents with type 2 diabetes: Post hoc analysis of the ellipse trial. PMID 33634589</w:t>
      </w:r>
    </w:p>
    <w:p>
      <w:pPr>
        <w:numPr>
          <w:ilvl w:val="0"/>
          <w:numId w:val="1376"/>
        </w:numPr>
        <w:pStyle w:val="Compact"/>
      </w:pPr>
      <w:r>
        <w:t xml:space="preserve">2021 · Wegeberg AM ·</w:t>
      </w:r>
      <w:r>
        <w:t xml:space="preserve"> </w:t>
      </w:r>
      <w:r>
        <w:rPr>
          <w:iCs/>
          <w:i/>
        </w:rPr>
        <w:t xml:space="preserve">Basic Clin Pharmacol Toxicol</w:t>
      </w:r>
      <w:r>
        <w:t xml:space="preserve"> </w:t>
      </w:r>
      <w:r>
        <w:t xml:space="preserve">· Subcutaneous adipose tissue composition and function are unaffected by liraglutide-induced weight loss in adults with type 1 diabetes. PMID 33624417</w:t>
      </w:r>
    </w:p>
    <w:p>
      <w:pPr>
        <w:numPr>
          <w:ilvl w:val="0"/>
          <w:numId w:val="1376"/>
        </w:numPr>
        <w:pStyle w:val="Compact"/>
      </w:pPr>
      <w:r>
        <w:t xml:space="preserve">2021 · Pasquel FJ ·</w:t>
      </w:r>
      <w:r>
        <w:t xml:space="preserve"> </w:t>
      </w:r>
      <w:r>
        <w:rPr>
          <w:iCs/>
          <w:i/>
        </w:rPr>
        <w:t xml:space="preserve">Diabetes Obes Metab</w:t>
      </w:r>
      <w:r>
        <w:t xml:space="preserve"> </w:t>
      </w:r>
      <w:r>
        <w:t xml:space="preserve">· Liraglutide hospital discharge trial: A randomized controlled trial comparing the safety and efficacy of liraglutide versus insulin glargine for the management of patients with type 2 diabetes after hospital discharge. PMID 33591621</w:t>
      </w:r>
    </w:p>
    <w:p>
      <w:pPr>
        <w:numPr>
          <w:ilvl w:val="0"/>
          <w:numId w:val="1376"/>
        </w:numPr>
        <w:pStyle w:val="Compact"/>
      </w:pPr>
      <w:r>
        <w:t xml:space="preserve">2021 · Grannell A ·</w:t>
      </w:r>
      <w:r>
        <w:t xml:space="preserve"> </w:t>
      </w:r>
      <w:r>
        <w:rPr>
          <w:iCs/>
          <w:i/>
        </w:rPr>
        <w:t xml:space="preserve">Obesity (Silver Spring)</w:t>
      </w:r>
      <w:r>
        <w:t xml:space="preserve"> </w:t>
      </w:r>
      <w:r>
        <w:t xml:space="preserve">· Liraglutide Does Not Adversely Impact Fat-Free Mass Loss. PMID 33528919</w:t>
      </w:r>
    </w:p>
    <w:p>
      <w:pPr>
        <w:numPr>
          <w:ilvl w:val="0"/>
          <w:numId w:val="1376"/>
        </w:numPr>
        <w:pStyle w:val="Compact"/>
      </w:pPr>
      <w:r>
        <w:t xml:space="preserve">2021 · Whicher CA ·</w:t>
      </w:r>
      <w:r>
        <w:t xml:space="preserve"> </w:t>
      </w:r>
      <w:r>
        <w:rPr>
          <w:iCs/>
          <w:i/>
        </w:rPr>
        <w:t xml:space="preserve">Diabetes Obes Metab</w:t>
      </w:r>
      <w:r>
        <w:t xml:space="preserve"> </w:t>
      </w:r>
      <w:r>
        <w:t xml:space="preserve">· The use of liraglutide 3.0 mg daily in the management of overweight and obesity in people with schizophrenia, schizoaffective disorder and first episode psychosis: Results of a pilot randomized, double-blind, placebo-controlled trial. PMID 33528914</w:t>
      </w:r>
    </w:p>
    <w:p>
      <w:pPr>
        <w:numPr>
          <w:ilvl w:val="0"/>
          <w:numId w:val="1376"/>
        </w:numPr>
        <w:pStyle w:val="Compact"/>
      </w:pPr>
      <w:r>
        <w:t xml:space="preserve">2021 · Persson F ·</w:t>
      </w:r>
      <w:r>
        <w:t xml:space="preserve"> </w:t>
      </w:r>
      <w:r>
        <w:rPr>
          <w:iCs/>
          <w:i/>
        </w:rPr>
        <w:t xml:space="preserve">Diabetes Care</w:t>
      </w:r>
      <w:r>
        <w:t xml:space="preserve"> </w:t>
      </w:r>
      <w:r>
        <w:t xml:space="preserve">· Changes in Albuminuria Predict Cardiovascular and Renal Outcomes in Type 2 Diabetes: A Post Hoc Analysis of the LEADER Trial. PMID 33504496</w:t>
      </w:r>
    </w:p>
    <w:p>
      <w:pPr>
        <w:numPr>
          <w:ilvl w:val="0"/>
          <w:numId w:val="1376"/>
        </w:numPr>
        <w:pStyle w:val="Compact"/>
      </w:pPr>
      <w:r>
        <w:t xml:space="preserve">2021 · Alba M ·</w:t>
      </w:r>
      <w:r>
        <w:t xml:space="preserve"> </w:t>
      </w:r>
      <w:r>
        <w:rPr>
          <w:iCs/>
          <w:i/>
        </w:rPr>
        <w:t xml:space="preserve">Clin Obes</w:t>
      </w:r>
      <w:r>
        <w:t xml:space="preserve"> </w:t>
      </w:r>
      <w:r>
        <w:t xml:space="preserve">· Efficacy and safety of glucagon-like peptide-1/glucagon receptor co-agonist JNJ-64565111 in individuals with obesity without type 2 diabetes mellitus: A randomized dose-ranging study. PMID 33475255</w:t>
      </w:r>
    </w:p>
    <w:p>
      <w:pPr>
        <w:numPr>
          <w:ilvl w:val="0"/>
          <w:numId w:val="1376"/>
        </w:numPr>
        <w:pStyle w:val="Compact"/>
      </w:pPr>
      <w:r>
        <w:t xml:space="preserve">2021 · Gudbergsen H ·</w:t>
      </w:r>
      <w:r>
        <w:t xml:space="preserve"> </w:t>
      </w:r>
      <w:r>
        <w:rPr>
          <w:iCs/>
          <w:i/>
        </w:rPr>
        <w:t xml:space="preserve">Am J Clin Nutr</w:t>
      </w:r>
      <w:r>
        <w:t xml:space="preserve"> </w:t>
      </w:r>
      <w:r>
        <w:t xml:space="preserve">· Liraglutide after diet-induced weight loss for pain and weight control in knee osteoarthritis: a randomized controlled trial. PMID 33471039</w:t>
      </w:r>
    </w:p>
    <w:p>
      <w:pPr>
        <w:numPr>
          <w:ilvl w:val="0"/>
          <w:numId w:val="1376"/>
        </w:numPr>
        <w:pStyle w:val="Compact"/>
      </w:pPr>
      <w:r>
        <w:t xml:space="preserve">2021 · Smits MM ·</w:t>
      </w:r>
      <w:r>
        <w:t xml:space="preserve"> </w:t>
      </w:r>
      <w:r>
        <w:rPr>
          <w:iCs/>
          <w:i/>
        </w:rPr>
        <w:t xml:space="preserve">Diabetes Metab</w:t>
      </w:r>
      <w:r>
        <w:t xml:space="preserve"> </w:t>
      </w:r>
      <w:r>
        <w:t xml:space="preserve">· Liraglutide and sitagliptin have no effect on intestinal microbiota composition: A 12-week randomized placebo-controlled trial in adults with type 2 diabetes. PMID 33429063</w:t>
      </w:r>
    </w:p>
    <w:p>
      <w:pPr>
        <w:numPr>
          <w:ilvl w:val="0"/>
          <w:numId w:val="1376"/>
        </w:numPr>
        <w:pStyle w:val="Compact"/>
      </w:pPr>
      <w:r>
        <w:t xml:space="preserve">2021 · Kumarathurai P ·</w:t>
      </w:r>
      <w:r>
        <w:t xml:space="preserve"> </w:t>
      </w:r>
      <w:r>
        <w:rPr>
          <w:iCs/>
          <w:i/>
        </w:rPr>
        <w:t xml:space="preserve">Cardiovasc Diabetol</w:t>
      </w:r>
      <w:r>
        <w:t xml:space="preserve"> </w:t>
      </w:r>
      <w:r>
        <w:t xml:space="preserve">· Effects of liraglutide on diastolic function parameters in patients with type 2 diabetes and coronary artery disease: a randomized crossover study. PMID 33413428</w:t>
      </w:r>
    </w:p>
    <w:p>
      <w:pPr>
        <w:numPr>
          <w:ilvl w:val="0"/>
          <w:numId w:val="1376"/>
        </w:numPr>
        <w:pStyle w:val="Compact"/>
      </w:pPr>
      <w:r>
        <w:t xml:space="preserve">2021 · Maagensen H ·</w:t>
      </w:r>
      <w:r>
        <w:t xml:space="preserve"> </w:t>
      </w:r>
      <w:r>
        <w:rPr>
          <w:iCs/>
          <w:i/>
        </w:rPr>
        <w:t xml:space="preserve">Psychiatry Res</w:t>
      </w:r>
      <w:r>
        <w:t xml:space="preserve"> </w:t>
      </w:r>
      <w:r>
        <w:t xml:space="preserve">· Liraglutide does not change bone turnover in clozapine- and olanzapine-treated schizophrenia overweight patients with prediabetes - randomized controlled trial. PMID 33373806</w:t>
      </w:r>
    </w:p>
    <w:p>
      <w:pPr>
        <w:numPr>
          <w:ilvl w:val="0"/>
          <w:numId w:val="1376"/>
        </w:numPr>
        <w:pStyle w:val="Compact"/>
      </w:pPr>
      <w:r>
        <w:t xml:space="preserve">2021 · van Baar ACG ·</w:t>
      </w:r>
      <w:r>
        <w:t xml:space="preserve"> </w:t>
      </w:r>
      <w:r>
        <w:rPr>
          <w:iCs/>
          <w:i/>
        </w:rPr>
        <w:t xml:space="preserve">Gastrointest Endosc</w:t>
      </w:r>
      <w:r>
        <w:t xml:space="preserve"> </w:t>
      </w:r>
      <w:r>
        <w:t xml:space="preserve">· Duodenal mucosal resurfacing combined with glucagon-like peptide-1 receptor agonism to discontinue insulin in type 2 diabetes: a feasibility study. PMID 33359437</w:t>
      </w:r>
    </w:p>
    <w:p>
      <w:pPr>
        <w:numPr>
          <w:ilvl w:val="0"/>
          <w:numId w:val="1376"/>
        </w:numPr>
        <w:pStyle w:val="Compact"/>
      </w:pPr>
      <w:r>
        <w:t xml:space="preserve">2021 · Dekkers IA ·</w:t>
      </w:r>
      <w:r>
        <w:t xml:space="preserve"> </w:t>
      </w:r>
      <w:r>
        <w:rPr>
          <w:iCs/>
          <w:i/>
        </w:rPr>
        <w:t xml:space="preserve">J Ren Nutr</w:t>
      </w:r>
      <w:r>
        <w:t xml:space="preserve"> </w:t>
      </w:r>
      <w:r>
        <w:t xml:space="preserve">· The Effect of Glycemic Control on Renal Triglyceride Content Assessed by Proton Spectroscopy in Patients With Type 2 Diabetes Mellitus: A Single-Center Parallel-Group Trial. PMID 33293204</w:t>
      </w:r>
    </w:p>
    <w:p>
      <w:pPr>
        <w:numPr>
          <w:ilvl w:val="0"/>
          <w:numId w:val="1376"/>
        </w:numPr>
        <w:pStyle w:val="Compact"/>
      </w:pPr>
      <w:r>
        <w:t xml:space="preserve">2021 · Kim SH ·</w:t>
      </w:r>
      <w:r>
        <w:t xml:space="preserve"> </w:t>
      </w:r>
      <w:r>
        <w:rPr>
          <w:iCs/>
          <w:i/>
        </w:rPr>
        <w:t xml:space="preserve">Diabetes Obes Metab</w:t>
      </w:r>
      <w:r>
        <w:t xml:space="preserve"> </w:t>
      </w:r>
      <w:r>
        <w:t xml:space="preserve">· Effect of the glucagon-like peptide-1 analogue liraglutide versus placebo treatment on circulating proglucagon-derived peptides that mediate improvements in body weight, insulin secretion and action: A randomized controlled trial. PMID 33140542</w:t>
      </w:r>
    </w:p>
    <w:p>
      <w:pPr>
        <w:numPr>
          <w:ilvl w:val="0"/>
          <w:numId w:val="1376"/>
        </w:numPr>
        <w:pStyle w:val="Compact"/>
      </w:pPr>
      <w:r>
        <w:t xml:space="preserve">2021 · Aso Y ·</w:t>
      </w:r>
      <w:r>
        <w:t xml:space="preserve"> </w:t>
      </w:r>
      <w:r>
        <w:rPr>
          <w:iCs/>
          <w:i/>
        </w:rPr>
        <w:t xml:space="preserve">Int J Clin Pract</w:t>
      </w:r>
      <w:r>
        <w:t xml:space="preserve"> </w:t>
      </w:r>
      <w:r>
        <w:t xml:space="preserve">· Comparison of insulin degludec (IDeg)/insulin Aspart (IAsp) co-formulation therapy twice-daily with free combination of GLP-1 receptor agonist liraglutide plus insulin degludec in Tochigi: IDEAL Trial. PMID 33099848</w:t>
      </w:r>
    </w:p>
    <w:p>
      <w:pPr>
        <w:numPr>
          <w:ilvl w:val="0"/>
          <w:numId w:val="1376"/>
        </w:numPr>
        <w:pStyle w:val="Compact"/>
      </w:pPr>
      <w:r>
        <w:t xml:space="preserve">2021 · Jiang J ·</w:t>
      </w:r>
      <w:r>
        <w:t xml:space="preserve"> </w:t>
      </w:r>
      <w:r>
        <w:rPr>
          <w:iCs/>
          <w:i/>
        </w:rPr>
        <w:t xml:space="preserve">Endocr Metab Immune Disord Drug Targets</w:t>
      </w:r>
      <w:r>
        <w:t xml:space="preserve"> </w:t>
      </w:r>
      <w:r>
        <w:t xml:space="preserve">· Comparison of Dapaglifozin and Liraglutide in Patients with Poorly Controlled Type 2 Diabetes Mellitus: a 24-week, Open, Double-centered, Head to Head Trial. PMID 32875989</w:t>
      </w:r>
    </w:p>
    <w:p>
      <w:pPr>
        <w:numPr>
          <w:ilvl w:val="0"/>
          <w:numId w:val="1376"/>
        </w:numPr>
        <w:pStyle w:val="Compact"/>
      </w:pPr>
      <w:r>
        <w:t xml:space="preserve">2021 · Thakur U ·</w:t>
      </w:r>
      <w:r>
        <w:t xml:space="preserve"> </w:t>
      </w:r>
      <w:r>
        <w:rPr>
          <w:iCs/>
          <w:i/>
        </w:rPr>
        <w:t xml:space="preserve">Obes Surg</w:t>
      </w:r>
      <w:r>
        <w:t xml:space="preserve"> </w:t>
      </w:r>
      <w:r>
        <w:t xml:space="preserve">· Liraglutide Augments Weight Loss After Laparoscopic Sleeve Gastrectomy: a Randomised, Double-Blind, Placebo-Control Study. PMID 32656729</w:t>
      </w:r>
    </w:p>
    <w:p>
      <w:pPr>
        <w:numPr>
          <w:ilvl w:val="0"/>
          <w:numId w:val="1376"/>
        </w:numPr>
        <w:pStyle w:val="Compact"/>
      </w:pPr>
      <w:r>
        <w:t xml:space="preserve">2021 · Billings LK ·</w:t>
      </w:r>
      <w:r>
        <w:t xml:space="preserve"> </w:t>
      </w:r>
      <w:r>
        <w:rPr>
          <w:iCs/>
          <w:i/>
        </w:rPr>
        <w:t xml:space="preserve">J Diabetes Sci Technol</w:t>
      </w:r>
      <w:r>
        <w:t xml:space="preserve"> </w:t>
      </w:r>
      <w:r>
        <w:t xml:space="preserve">· The Benefit of Insulin Degludec/Liraglutide (IDegLira) Compared With Basal-Bolus Insulin Therapy is Consistent Across Participant Subgroups With Type 2 Diabetes in the DUAL VII Randomized Trial. PMID 32107930</w:t>
      </w:r>
    </w:p>
    <w:p>
      <w:pPr>
        <w:numPr>
          <w:ilvl w:val="0"/>
          <w:numId w:val="1376"/>
        </w:numPr>
        <w:pStyle w:val="Compact"/>
      </w:pPr>
      <w:r>
        <w:t xml:space="preserve">2020 · Rodbard HW ·</w:t>
      </w:r>
      <w:r>
        <w:t xml:space="preserve"> </w:t>
      </w:r>
      <w:r>
        <w:rPr>
          <w:iCs/>
          <w:i/>
        </w:rPr>
        <w:t xml:space="preserve">Am J Manag Care</w:t>
      </w:r>
      <w:r>
        <w:t xml:space="preserve"> </w:t>
      </w:r>
      <w:r>
        <w:t xml:space="preserve">· Efficacy of oral semaglutide: overview of the PIONEER clinical trial program and implications for managed care. PMID 33439582</w:t>
      </w:r>
    </w:p>
    <w:p>
      <w:pPr>
        <w:numPr>
          <w:ilvl w:val="0"/>
          <w:numId w:val="1376"/>
        </w:numPr>
        <w:pStyle w:val="Compact"/>
      </w:pPr>
      <w:r>
        <w:t xml:space="preserve">2020 · Tronieri JS ·</w:t>
      </w:r>
      <w:r>
        <w:t xml:space="preserve"> </w:t>
      </w:r>
      <w:r>
        <w:rPr>
          <w:iCs/>
          <w:i/>
        </w:rPr>
        <w:t xml:space="preserve">Obes Facts</w:t>
      </w:r>
      <w:r>
        <w:t xml:space="preserve"> </w:t>
      </w:r>
      <w:r>
        <w:t xml:space="preserve">· Effects of Dietary Self-Monitoring, Physical Activity, Liraglutide 3.0 mg, and Placebo on Weight Loss in the SCALE IBT Trial. PMID 33197917</w:t>
      </w:r>
    </w:p>
    <w:p>
      <w:pPr>
        <w:numPr>
          <w:ilvl w:val="0"/>
          <w:numId w:val="1376"/>
        </w:numPr>
        <w:pStyle w:val="Compact"/>
      </w:pPr>
      <w:r>
        <w:t xml:space="preserve">2020 · Guo W ·</w:t>
      </w:r>
      <w:r>
        <w:t xml:space="preserve"> </w:t>
      </w:r>
      <w:r>
        <w:rPr>
          <w:iCs/>
          <w:i/>
        </w:rPr>
        <w:t xml:space="preserve">Diabetes Res Clin Pract</w:t>
      </w:r>
      <w:r>
        <w:t xml:space="preserve"> </w:t>
      </w:r>
      <w:r>
        <w:t xml:space="preserve">· Liraglutide or insulin glargine treatments improves hepatic fat in obese patients with type 2 diabetes and nonalcoholic fatty liver disease in twenty-six weeks: A randomized placebo-controlled trial. PMID 33035599</w:t>
      </w:r>
    </w:p>
    <w:p>
      <w:pPr>
        <w:numPr>
          <w:ilvl w:val="0"/>
          <w:numId w:val="1376"/>
        </w:numPr>
        <w:pStyle w:val="Compact"/>
      </w:pPr>
      <w:r>
        <w:t xml:space="preserve">2020 · Kuchay MS ·</w:t>
      </w:r>
      <w:r>
        <w:t xml:space="preserve"> </w:t>
      </w:r>
      <w:r>
        <w:rPr>
          <w:iCs/>
          <w:i/>
        </w:rPr>
        <w:t xml:space="preserve">Diabetologia</w:t>
      </w:r>
      <w:r>
        <w:t xml:space="preserve"> </w:t>
      </w:r>
      <w:r>
        <w:t xml:space="preserve">· Effect of dulaglutide on liver fat in patients with type 2 diabetes and NAFLD: randomised controlled trial (D-LIFT trial). PMID 32865597</w:t>
      </w:r>
    </w:p>
    <w:p>
      <w:pPr>
        <w:numPr>
          <w:ilvl w:val="0"/>
          <w:numId w:val="1376"/>
        </w:numPr>
        <w:pStyle w:val="Compact"/>
      </w:pPr>
      <w:r>
        <w:t xml:space="preserve">2020 · Ali AM ·</w:t>
      </w:r>
      <w:r>
        <w:t xml:space="preserve"> </w:t>
      </w:r>
      <w:r>
        <w:rPr>
          <w:iCs/>
          <w:i/>
        </w:rPr>
        <w:t xml:space="preserve">J Clin Endocrinol Metab</w:t>
      </w:r>
      <w:r>
        <w:t xml:space="preserve"> </w:t>
      </w:r>
      <w:r>
        <w:t xml:space="preserve">· Improved Beta Cell Glucose Sensitivity Plays Predominant Role in the Decrease in HbA1c with Cana and Lira in T2DM. PMID 32745202</w:t>
      </w:r>
    </w:p>
    <w:p>
      <w:pPr>
        <w:numPr>
          <w:ilvl w:val="0"/>
          <w:numId w:val="1376"/>
        </w:numPr>
        <w:pStyle w:val="Compact"/>
      </w:pPr>
      <w:r>
        <w:t xml:space="preserve">2020 · Quast DR ·</w:t>
      </w:r>
      <w:r>
        <w:t xml:space="preserve"> </w:t>
      </w:r>
      <w:r>
        <w:rPr>
          <w:iCs/>
          <w:i/>
        </w:rPr>
        <w:t xml:space="preserve">Diabetes Care</w:t>
      </w:r>
      <w:r>
        <w:t xml:space="preserve"> </w:t>
      </w:r>
      <w:r>
        <w:t xml:space="preserve">· Effects of Lixisenatide Versus Liraglutide (Short- and Long-Acting GLP-1 Receptor Agonists) on Esophageal and Gastric Function in Patients With Type 2 Diabetes. PMID 32647054</w:t>
      </w:r>
    </w:p>
    <w:p>
      <w:pPr>
        <w:numPr>
          <w:ilvl w:val="0"/>
          <w:numId w:val="1376"/>
        </w:numPr>
        <w:pStyle w:val="Compact"/>
      </w:pPr>
      <w:r>
        <w:t xml:space="preserve">2020 · Verma S ·</w:t>
      </w:r>
      <w:r>
        <w:t xml:space="preserve"> </w:t>
      </w:r>
      <w:r>
        <w:rPr>
          <w:iCs/>
          <w:i/>
        </w:rPr>
        <w:t xml:space="preserve">Diabetes Obes Metab</w:t>
      </w:r>
      <w:r>
        <w:t xml:space="preserve"> </w:t>
      </w:r>
      <w:r>
        <w:t xml:space="preserve">· Impact of microvascular disease on cardiovascular outcomes in type 2 diabetes: Results from the LEADER and SUSTAIN 6 clinical trials. PMID 32643857</w:t>
      </w:r>
    </w:p>
    <w:p>
      <w:pPr>
        <w:numPr>
          <w:ilvl w:val="0"/>
          <w:numId w:val="1376"/>
        </w:numPr>
        <w:pStyle w:val="Compact"/>
      </w:pPr>
      <w:r>
        <w:t xml:space="preserve">2020 · Nielsen R ·</w:t>
      </w:r>
      <w:r>
        <w:t xml:space="preserve"> </w:t>
      </w:r>
      <w:r>
        <w:rPr>
          <w:iCs/>
          <w:i/>
        </w:rPr>
        <w:t xml:space="preserve">Diabetes Obes Metab</w:t>
      </w:r>
      <w:r>
        <w:t xml:space="preserve"> </w:t>
      </w:r>
      <w:r>
        <w:t xml:space="preserve">· The impact of the glucagon-like peptide-1 receptor agonist liraglutide on natriuretic peptides in heart failure patients with reduced ejection fraction with and without type 2 diabetes. PMID 32627271</w:t>
      </w:r>
    </w:p>
    <w:p>
      <w:pPr>
        <w:numPr>
          <w:ilvl w:val="0"/>
          <w:numId w:val="1376"/>
        </w:numPr>
        <w:pStyle w:val="Compact"/>
      </w:pPr>
      <w:r>
        <w:t xml:space="preserve">2020 · Mosenzon O ·</w:t>
      </w:r>
      <w:r>
        <w:t xml:space="preserve"> </w:t>
      </w:r>
      <w:r>
        <w:rPr>
          <w:iCs/>
          <w:i/>
        </w:rPr>
        <w:t xml:space="preserve">Diabetes Obes Metab</w:t>
      </w:r>
      <w:r>
        <w:t xml:space="preserve"> </w:t>
      </w:r>
      <w:r>
        <w:t xml:space="preserve">· Cardiovascular and renal outcomes by baseline albuminuria status and renal function: Results from the LEADER randomized trial. PMID 32618386</w:t>
      </w:r>
    </w:p>
    <w:p>
      <w:pPr>
        <w:numPr>
          <w:ilvl w:val="0"/>
          <w:numId w:val="1376"/>
        </w:numPr>
        <w:pStyle w:val="Compact"/>
      </w:pPr>
      <w:r>
        <w:t xml:space="preserve">2020 · Del Olmo-García MI ·</w:t>
      </w:r>
      <w:r>
        <w:t xml:space="preserve"> </w:t>
      </w:r>
      <w:r>
        <w:rPr>
          <w:iCs/>
          <w:i/>
        </w:rPr>
        <w:t xml:space="preserve">J Int Med Res</w:t>
      </w:r>
      <w:r>
        <w:t xml:space="preserve"> </w:t>
      </w:r>
      <w:r>
        <w:t xml:space="preserve">· Glycemic variability in type 2 diabetes mellitus and acute coronary syndrome: liraglutide compared with insulin glargine: a pilot study. PMID 32567433</w:t>
      </w:r>
    </w:p>
    <w:p>
      <w:pPr>
        <w:numPr>
          <w:ilvl w:val="0"/>
          <w:numId w:val="1376"/>
        </w:numPr>
        <w:pStyle w:val="Compact"/>
      </w:pPr>
      <w:r>
        <w:t xml:space="preserve">2020 · Tronieri JS ·</w:t>
      </w:r>
      <w:r>
        <w:t xml:space="preserve"> </w:t>
      </w:r>
      <w:r>
        <w:rPr>
          <w:iCs/>
          <w:i/>
        </w:rPr>
        <w:t xml:space="preserve">Behav Res Ther</w:t>
      </w:r>
      <w:r>
        <w:t xml:space="preserve"> </w:t>
      </w:r>
      <w:r>
        <w:t xml:space="preserve">· Measures of adherence as predictors of early and total weight loss with intensive behavioral therapy for obesity combined with liraglutide 3.0 mg. PMID 32450367</w:t>
      </w:r>
    </w:p>
    <w:p>
      <w:pPr>
        <w:numPr>
          <w:ilvl w:val="0"/>
          <w:numId w:val="1376"/>
        </w:numPr>
        <w:pStyle w:val="Compact"/>
      </w:pPr>
      <w:r>
        <w:t xml:space="preserve">2020 · Ghanim H ·</w:t>
      </w:r>
      <w:r>
        <w:t xml:space="preserve"> </w:t>
      </w:r>
      <w:r>
        <w:rPr>
          <w:iCs/>
          <w:i/>
        </w:rPr>
        <w:t xml:space="preserve">Diabetes Obes Metab</w:t>
      </w:r>
      <w:r>
        <w:t xml:space="preserve"> </w:t>
      </w:r>
      <w:r>
        <w:t xml:space="preserve">· Liraglutide treatment in overweight and obese patients with type 1 diabetes: A 26-week randomized controlled trial; mechanisms of weight loss. PMID 32424935</w:t>
      </w:r>
    </w:p>
    <w:p>
      <w:pPr>
        <w:numPr>
          <w:ilvl w:val="0"/>
          <w:numId w:val="1376"/>
        </w:numPr>
        <w:pStyle w:val="Compact"/>
      </w:pPr>
      <w:r>
        <w:t xml:space="preserve">2020 · Wegeberg AL ·</w:t>
      </w:r>
      <w:r>
        <w:t xml:space="preserve"> </w:t>
      </w:r>
      <w:r>
        <w:rPr>
          <w:iCs/>
          <w:i/>
        </w:rPr>
        <w:t xml:space="preserve">United European Gastroenterol J</w:t>
      </w:r>
      <w:r>
        <w:t xml:space="preserve"> </w:t>
      </w:r>
      <w:r>
        <w:t xml:space="preserve">· Liraglutide accelerates colonic transit in people with type 1 diabetes and polyneuropathy: A randomised, double-blind, placebo-controlled trial. PMID 32390563</w:t>
      </w:r>
    </w:p>
    <w:p>
      <w:pPr>
        <w:numPr>
          <w:ilvl w:val="0"/>
          <w:numId w:val="1376"/>
        </w:numPr>
        <w:pStyle w:val="Compact"/>
      </w:pPr>
      <w:r>
        <w:t xml:space="preserve">2020 · Leiter LA ·</w:t>
      </w:r>
      <w:r>
        <w:t xml:space="preserve"> </w:t>
      </w:r>
      <w:r>
        <w:rPr>
          <w:iCs/>
          <w:i/>
        </w:rPr>
        <w:t xml:space="preserve">Diabetes Obes Metab</w:t>
      </w:r>
      <w:r>
        <w:t xml:space="preserve"> </w:t>
      </w:r>
      <w:r>
        <w:t xml:space="preserve">· The effect of glucagon-like peptide-1 receptor agonists liraglutide and semaglutide on cardiovascular and renal outcomes across baseline blood pressure categories: Analysis of the LEADER and SUSTAIN 6 trials. PMID 32372454</w:t>
      </w:r>
    </w:p>
    <w:p>
      <w:pPr>
        <w:numPr>
          <w:ilvl w:val="0"/>
          <w:numId w:val="1376"/>
        </w:numPr>
        <w:pStyle w:val="Compact"/>
      </w:pPr>
      <w:r>
        <w:t xml:space="preserve">2020 · Buse JB ·</w:t>
      </w:r>
      <w:r>
        <w:t xml:space="preserve"> </w:t>
      </w:r>
      <w:r>
        <w:rPr>
          <w:iCs/>
          <w:i/>
        </w:rPr>
        <w:t xml:space="preserve">Diabetes Care</w:t>
      </w:r>
      <w:r>
        <w:t xml:space="preserve"> </w:t>
      </w:r>
      <w:r>
        <w:t xml:space="preserve">· Cardiovascular Risk Reduction With Liraglutide: An Exploratory Mediation Analysis of the LEADER Trial. PMID 32366578</w:t>
      </w:r>
    </w:p>
    <w:p>
      <w:pPr>
        <w:numPr>
          <w:ilvl w:val="0"/>
          <w:numId w:val="1376"/>
        </w:numPr>
        <w:pStyle w:val="Compact"/>
      </w:pPr>
      <w:r>
        <w:t xml:space="preserve">2020 · Redouane B ·</w:t>
      </w:r>
      <w:r>
        <w:t xml:space="preserve"> </w:t>
      </w:r>
      <w:r>
        <w:rPr>
          <w:iCs/>
          <w:i/>
        </w:rPr>
        <w:t xml:space="preserve">Circ Heart Fail</w:t>
      </w:r>
      <w:r>
        <w:t xml:space="preserve"> </w:t>
      </w:r>
      <w:r>
        <w:t xml:space="preserve">· Effects of Liraglutide on Worsening Renal Function Among Patients With Heart Failure With Reduced Ejection Fraction: Insights From the FIGHT Trial. PMID 32362166</w:t>
      </w:r>
    </w:p>
    <w:p>
      <w:pPr>
        <w:numPr>
          <w:ilvl w:val="0"/>
          <w:numId w:val="1376"/>
        </w:numPr>
        <w:pStyle w:val="Compact"/>
      </w:pPr>
      <w:r>
        <w:t xml:space="preserve">2020 · Yamada Y ·</w:t>
      </w:r>
      <w:r>
        <w:t xml:space="preserve"> </w:t>
      </w:r>
      <w:r>
        <w:rPr>
          <w:iCs/>
          <w:i/>
        </w:rPr>
        <w:t xml:space="preserve">Lancet Diabetes Endocrinol</w:t>
      </w:r>
      <w:r>
        <w:t xml:space="preserve"> </w:t>
      </w:r>
      <w:r>
        <w:t xml:space="preserve">· Dose-response, efficacy, and safety of oral semaglutide monotherapy in Japanese patients with type 2 diabetes (PIONEER 9): a 52-week, phase 2/3a, randomised, controlled trial. PMID 32333875</w:t>
      </w:r>
    </w:p>
    <w:p>
      <w:pPr>
        <w:numPr>
          <w:ilvl w:val="0"/>
          <w:numId w:val="1376"/>
        </w:numPr>
        <w:pStyle w:val="Compact"/>
      </w:pPr>
      <w:r>
        <w:t xml:space="preserve">2020 · Ikonomidis I ·</w:t>
      </w:r>
      <w:r>
        <w:t xml:space="preserve"> </w:t>
      </w:r>
      <w:r>
        <w:rPr>
          <w:iCs/>
          <w:i/>
        </w:rPr>
        <w:t xml:space="preserve">J Am Heart Assoc</w:t>
      </w:r>
      <w:r>
        <w:t xml:space="preserve"> </w:t>
      </w:r>
      <w:r>
        <w:t xml:space="preserve">· Effects of Glucagon-Like Peptide-1 Receptor Agonists, Sodium-Glucose Cotransporter-2 Inhibitors, and Their Combination on Endothelial Glycocalyx, Arterial Function, and Myocardial Work Index in Patients With Type 2 Diabetes Mellitus After 12-Month Treatment. PMID 32326806</w:t>
      </w:r>
    </w:p>
    <w:p>
      <w:pPr>
        <w:numPr>
          <w:ilvl w:val="0"/>
          <w:numId w:val="1376"/>
        </w:numPr>
        <w:pStyle w:val="Compact"/>
      </w:pPr>
      <w:r>
        <w:t xml:space="preserve">2020 · Tougaard RS ·</w:t>
      </w:r>
      <w:r>
        <w:t xml:space="preserve"> </w:t>
      </w:r>
      <w:r>
        <w:rPr>
          <w:iCs/>
          <w:i/>
        </w:rPr>
        <w:t xml:space="preserve">Scand Cardiovasc J</w:t>
      </w:r>
      <w:r>
        <w:t xml:space="preserve"> </w:t>
      </w:r>
      <w:r>
        <w:t xml:space="preserve">· Heart rate increases in liraglutide treated chronic heart failure patients: association with clinical parameters and adverse events. PMID 32292074</w:t>
      </w:r>
    </w:p>
    <w:p>
      <w:pPr>
        <w:numPr>
          <w:ilvl w:val="0"/>
          <w:numId w:val="1376"/>
        </w:numPr>
        <w:pStyle w:val="Compact"/>
      </w:pPr>
      <w:r>
        <w:t xml:space="preserve">2020 · Dubé MC ·</w:t>
      </w:r>
      <w:r>
        <w:t xml:space="preserve"> </w:t>
      </w:r>
      <w:r>
        <w:rPr>
          <w:iCs/>
          <w:i/>
        </w:rPr>
        <w:t xml:space="preserve">Diabetes Obes Metab</w:t>
      </w:r>
      <w:r>
        <w:t xml:space="preserve"> </w:t>
      </w:r>
      <w:r>
        <w:t xml:space="preserve">· Effect of liraglutide on food consumption, appetite sensations and eating behaviours in overweight people with type 1 diabetes. PMID 32250534</w:t>
      </w:r>
    </w:p>
    <w:p>
      <w:pPr>
        <w:numPr>
          <w:ilvl w:val="0"/>
          <w:numId w:val="1376"/>
        </w:numPr>
        <w:pStyle w:val="Compact"/>
      </w:pPr>
      <w:r>
        <w:t xml:space="preserve">2020 · Kelly AS ·</w:t>
      </w:r>
      <w:r>
        <w:t xml:space="preserve"> </w:t>
      </w:r>
      <w:r>
        <w:rPr>
          <w:iCs/>
          <w:i/>
        </w:rPr>
        <w:t xml:space="preserve">N Engl J Med</w:t>
      </w:r>
      <w:r>
        <w:t xml:space="preserve"> </w:t>
      </w:r>
      <w:r>
        <w:t xml:space="preserve">· A Randomized, Controlled Trial of Liraglutide for Adolescents with Obesity. PMID 32233338</w:t>
      </w:r>
    </w:p>
    <w:p>
      <w:pPr>
        <w:numPr>
          <w:ilvl w:val="0"/>
          <w:numId w:val="1376"/>
        </w:numPr>
        <w:pStyle w:val="Compact"/>
      </w:pPr>
      <w:r>
        <w:t xml:space="preserve">2020 · Ali AM ·</w:t>
      </w:r>
      <w:r>
        <w:t xml:space="preserve"> </w:t>
      </w:r>
      <w:r>
        <w:rPr>
          <w:iCs/>
          <w:i/>
        </w:rPr>
        <w:t xml:space="preserve">Diabetes Care</w:t>
      </w:r>
      <w:r>
        <w:t xml:space="preserve"> </w:t>
      </w:r>
      <w:r>
        <w:t xml:space="preserve">· Combination Therapy With Canagliflozin Plus Liraglutide Exerts Additive Effect on Weight Loss, but Not on HbA(1c), in Patients With Type 2 Diabetes. PMID 32220916</w:t>
      </w:r>
    </w:p>
    <w:p>
      <w:pPr>
        <w:numPr>
          <w:ilvl w:val="0"/>
          <w:numId w:val="1376"/>
        </w:numPr>
        <w:pStyle w:val="Compact"/>
      </w:pPr>
      <w:r>
        <w:t xml:space="preserve">2020 · Marso SP ·</w:t>
      </w:r>
      <w:r>
        <w:t xml:space="preserve"> </w:t>
      </w:r>
      <w:r>
        <w:rPr>
          <w:iCs/>
          <w:i/>
        </w:rPr>
        <w:t xml:space="preserve">J Am Coll Cardiol</w:t>
      </w:r>
      <w:r>
        <w:t xml:space="preserve"> </w:t>
      </w:r>
      <w:r>
        <w:t xml:space="preserve">· Effects of Liraglutide on Cardiovascular Outcomes in Patients With Diabetes With or Without Heart Failure. PMID 32164886</w:t>
      </w:r>
    </w:p>
    <w:p>
      <w:pPr>
        <w:numPr>
          <w:ilvl w:val="0"/>
          <w:numId w:val="1376"/>
        </w:numPr>
        <w:pStyle w:val="Compact"/>
      </w:pPr>
      <w:r>
        <w:t xml:space="preserve">2020 · Webb DR ·</w:t>
      </w:r>
      <w:r>
        <w:t xml:space="preserve"> </w:t>
      </w:r>
      <w:r>
        <w:rPr>
          <w:iCs/>
          <w:i/>
        </w:rPr>
        <w:t xml:space="preserve">Diabetes Obes Metab</w:t>
      </w:r>
      <w:r>
        <w:t xml:space="preserve"> </w:t>
      </w:r>
      <w:r>
        <w:t xml:space="preserve">· A randomized, open-label, active comparator trial assessing the effects of 26 weeks of liraglutide or sitagliptin on cardiovascular function in young obese adults with type 2 diabetes. PMID 32157772</w:t>
      </w:r>
    </w:p>
    <w:p>
      <w:pPr>
        <w:numPr>
          <w:ilvl w:val="0"/>
          <w:numId w:val="1376"/>
        </w:numPr>
        <w:pStyle w:val="Compact"/>
      </w:pPr>
      <w:r>
        <w:t xml:space="preserve">2020 · Garvey WT ·</w:t>
      </w:r>
      <w:r>
        <w:t xml:space="preserve"> </w:t>
      </w:r>
      <w:r>
        <w:rPr>
          <w:iCs/>
          <w:i/>
        </w:rPr>
        <w:t xml:space="preserve">Diabetes Care</w:t>
      </w:r>
      <w:r>
        <w:t xml:space="preserve"> </w:t>
      </w:r>
      <w:r>
        <w:t xml:space="preserve">· Efficacy and Safety of Liraglutide 3.0 mg in Individuals With Overweight or Obesity and Type 2 Diabetes Treated With Basal Insulin: The SCALE Insulin Randomized Controlled Trial. PMID 32139381</w:t>
      </w:r>
    </w:p>
    <w:p>
      <w:pPr>
        <w:numPr>
          <w:ilvl w:val="0"/>
          <w:numId w:val="1376"/>
        </w:numPr>
        <w:pStyle w:val="Compact"/>
      </w:pPr>
      <w:r>
        <w:t xml:space="preserve">2020 · Mann JFE ·</w:t>
      </w:r>
      <w:r>
        <w:t xml:space="preserve"> </w:t>
      </w:r>
      <w:r>
        <w:rPr>
          <w:iCs/>
          <w:i/>
        </w:rPr>
        <w:t xml:space="preserve">Clin J Am Soc Nephrol</w:t>
      </w:r>
      <w:r>
        <w:t xml:space="preserve"> </w:t>
      </w:r>
      <w:r>
        <w:t xml:space="preserve">· Safety of Liraglutide in Type 2 Diabetes and Chronic Kidney Disease. PMID 32132141</w:t>
      </w:r>
    </w:p>
    <w:p>
      <w:pPr>
        <w:numPr>
          <w:ilvl w:val="0"/>
          <w:numId w:val="1376"/>
        </w:numPr>
        <w:pStyle w:val="Compact"/>
      </w:pPr>
      <w:r>
        <w:t xml:space="preserve">2020 · van Eyk HJ ·</w:t>
      </w:r>
      <w:r>
        <w:t xml:space="preserve"> </w:t>
      </w:r>
      <w:r>
        <w:rPr>
          <w:iCs/>
          <w:i/>
        </w:rPr>
        <w:t xml:space="preserve">Nutr Metab Cardiovasc Dis</w:t>
      </w:r>
      <w:r>
        <w:t xml:space="preserve"> </w:t>
      </w:r>
      <w:r>
        <w:t xml:space="preserve">· Liraglutide decreases energy expenditure and does not affect the fat fraction of supraclavicular brown adipose tissue in patients with type 2 diabetes. PMID 32127340</w:t>
      </w:r>
    </w:p>
    <w:p>
      <w:pPr>
        <w:numPr>
          <w:ilvl w:val="0"/>
          <w:numId w:val="1376"/>
        </w:numPr>
        <w:pStyle w:val="Compact"/>
      </w:pPr>
      <w:r>
        <w:t xml:space="preserve">2020 · Zhang LY ·</w:t>
      </w:r>
      <w:r>
        <w:t xml:space="preserve"> </w:t>
      </w:r>
      <w:r>
        <w:rPr>
          <w:iCs/>
          <w:i/>
        </w:rPr>
        <w:t xml:space="preserve">Clin Res Hepatol Gastroenterol</w:t>
      </w:r>
      <w:r>
        <w:t xml:space="preserve"> </w:t>
      </w:r>
      <w:r>
        <w:t xml:space="preserve">· Effect of liraglutide therapy on serum fetuin A in patients with type 2 diabetes and non-alcoholic fatty liver disease. PMID 32113823</w:t>
      </w:r>
    </w:p>
    <w:p>
      <w:pPr>
        <w:numPr>
          <w:ilvl w:val="0"/>
          <w:numId w:val="1376"/>
        </w:numPr>
        <w:pStyle w:val="Compact"/>
      </w:pPr>
      <w:r>
        <w:t xml:space="preserve">2020 · Wadden TA ·</w:t>
      </w:r>
      <w:r>
        <w:t xml:space="preserve"> </w:t>
      </w:r>
      <w:r>
        <w:rPr>
          <w:iCs/>
          <w:i/>
        </w:rPr>
        <w:t xml:space="preserve">Obesity (Silver Spring)</w:t>
      </w:r>
      <w:r>
        <w:t xml:space="preserve"> </w:t>
      </w:r>
      <w:r>
        <w:t xml:space="preserve">· Liraglutide 3.0 mg and Intensive Behavioral Therapy (IBT) for Obesity in Primary Care: The SCALE IBT Randomized Controlled Trial. PMID 32090517</w:t>
      </w:r>
    </w:p>
    <w:p>
      <w:pPr>
        <w:numPr>
          <w:ilvl w:val="0"/>
          <w:numId w:val="1376"/>
        </w:numPr>
        <w:pStyle w:val="Compact"/>
      </w:pPr>
      <w:r>
        <w:t xml:space="preserve">2020 · Elkind-Hirsch KE ·</w:t>
      </w:r>
      <w:r>
        <w:t xml:space="preserve"> </w:t>
      </w:r>
      <w:r>
        <w:rPr>
          <w:iCs/>
          <w:i/>
        </w:rPr>
        <w:t xml:space="preserve">J Diabetes Complications</w:t>
      </w:r>
      <w:r>
        <w:t xml:space="preserve"> </w:t>
      </w:r>
      <w:r>
        <w:t xml:space="preserve">· Postpartum treatment with liraglutide in combination with metformin versus metformin monotherapy to improve metabolic status and reduce body weight in overweight/obese women with recent gestational diabetes: A double-blind, randomized, placebo-controlled study. PMID 32046931</w:t>
      </w:r>
    </w:p>
    <w:p>
      <w:pPr>
        <w:numPr>
          <w:ilvl w:val="0"/>
          <w:numId w:val="1376"/>
        </w:numPr>
        <w:pStyle w:val="Compact"/>
      </w:pPr>
      <w:r>
        <w:t xml:space="preserve">2020 · Blonde L ·</w:t>
      </w:r>
      <w:r>
        <w:t xml:space="preserve"> </w:t>
      </w:r>
      <w:r>
        <w:rPr>
          <w:iCs/>
          <w:i/>
        </w:rPr>
        <w:t xml:space="preserve">Diabetes Obes Metab</w:t>
      </w:r>
      <w:r>
        <w:t xml:space="preserve"> </w:t>
      </w:r>
      <w:r>
        <w:t xml:space="preserve">· Liraglutide as add-on to sodium-glucose co-transporter-2 inhibitors in patients with inadequately controlled type 2 diabetes: LIRA-ADD2SGLT2i, a 26-week, randomized, double-blind, placebo-controlled trial. PMID 31984646</w:t>
      </w:r>
    </w:p>
    <w:p>
      <w:pPr>
        <w:numPr>
          <w:ilvl w:val="0"/>
          <w:numId w:val="1376"/>
        </w:numPr>
        <w:pStyle w:val="Compact"/>
      </w:pPr>
      <w:r>
        <w:t xml:space="preserve">2020 · Vadini F ·</w:t>
      </w:r>
      <w:r>
        <w:t xml:space="preserve"> </w:t>
      </w:r>
      <w:r>
        <w:rPr>
          <w:iCs/>
          <w:i/>
        </w:rPr>
        <w:t xml:space="preserve">Int J Obes (Lond)</w:t>
      </w:r>
      <w:r>
        <w:t xml:space="preserve"> </w:t>
      </w:r>
      <w:r>
        <w:t xml:space="preserve">· Liraglutide improves memory in obese patients with prediabetes or early type 2 diabetes: a randomized, controlled study. PMID 31965072</w:t>
      </w:r>
    </w:p>
    <w:p>
      <w:pPr>
        <w:numPr>
          <w:ilvl w:val="0"/>
          <w:numId w:val="1376"/>
        </w:numPr>
        <w:pStyle w:val="Compact"/>
      </w:pPr>
      <w:r>
        <w:t xml:space="preserve">2020 · Sesti G ·</w:t>
      </w:r>
      <w:r>
        <w:t xml:space="preserve"> </w:t>
      </w:r>
      <w:r>
        <w:rPr>
          <w:iCs/>
          <w:i/>
        </w:rPr>
        <w:t xml:space="preserve">Diabetes Obes Metab</w:t>
      </w:r>
      <w:r>
        <w:t xml:space="preserve"> </w:t>
      </w:r>
      <w:r>
        <w:t xml:space="preserve">· A greater proportion of participants with type 2 diabetes achieve treatment targets with insulin degludec/liraglutide versus insulin glargine 100 units/mL at 26 weeks: DUAL VIII, a randomized trial designed to resemble clinical practice. PMID 31903724</w:t>
      </w:r>
    </w:p>
    <w:p>
      <w:pPr>
        <w:numPr>
          <w:ilvl w:val="0"/>
          <w:numId w:val="1376"/>
        </w:numPr>
        <w:pStyle w:val="Compact"/>
      </w:pPr>
      <w:r>
        <w:t xml:space="preserve">2020 · Hygum K ·</w:t>
      </w:r>
      <w:r>
        <w:t xml:space="preserve"> </w:t>
      </w:r>
      <w:r>
        <w:rPr>
          <w:iCs/>
          <w:i/>
        </w:rPr>
        <w:t xml:space="preserve">Bone</w:t>
      </w:r>
      <w:r>
        <w:t xml:space="preserve"> </w:t>
      </w:r>
      <w:r>
        <w:t xml:space="preserve">· Bone resorption is unchanged by liraglutide in type 2 diabetes patients: A randomised controlled trial. PMID 31870634</w:t>
      </w:r>
    </w:p>
    <w:p>
      <w:pPr>
        <w:numPr>
          <w:ilvl w:val="0"/>
          <w:numId w:val="1376"/>
        </w:numPr>
        <w:pStyle w:val="Compact"/>
      </w:pPr>
      <w:r>
        <w:t xml:space="preserve">2020 · Yao MY ·</w:t>
      </w:r>
      <w:r>
        <w:t xml:space="preserve"> </w:t>
      </w:r>
      <w:r>
        <w:rPr>
          <w:iCs/>
          <w:i/>
        </w:rPr>
        <w:t xml:space="preserve">Braz J Med Biol Res</w:t>
      </w:r>
      <w:r>
        <w:t xml:space="preserve"> </w:t>
      </w:r>
      <w:r>
        <w:t xml:space="preserve">· Use of flash glucose-sensing technology in patients with type 2 diabetes treated with liraglutide combined with CSII: a pilot study. PMID 31859911</w:t>
      </w:r>
    </w:p>
    <w:p>
      <w:pPr>
        <w:numPr>
          <w:ilvl w:val="0"/>
          <w:numId w:val="1376"/>
        </w:numPr>
        <w:pStyle w:val="Compact"/>
      </w:pPr>
      <w:r>
        <w:t xml:space="preserve">2020 · Janez A ·</w:t>
      </w:r>
      <w:r>
        <w:t xml:space="preserve"> </w:t>
      </w:r>
      <w:r>
        <w:rPr>
          <w:iCs/>
          <w:i/>
        </w:rPr>
        <w:t xml:space="preserve">Diabetes Obes Metab</w:t>
      </w:r>
      <w:r>
        <w:t xml:space="preserve"> </w:t>
      </w:r>
      <w:r>
        <w:t xml:space="preserve">· Benefits of insulin degludec/liraglutide are maintained even in patients discontinuing sulphonylureas or dipeptidyl peptidase-4 inhibitors upon initiation of degludec/liraglutide therapy: A post hoc analysis of the DUAL II and DUAL IX trials. PMID 31858673</w:t>
      </w:r>
    </w:p>
    <w:p>
      <w:pPr>
        <w:numPr>
          <w:ilvl w:val="0"/>
          <w:numId w:val="1376"/>
        </w:numPr>
        <w:pStyle w:val="Compact"/>
      </w:pPr>
      <w:r>
        <w:t xml:space="preserve">2020 · Cannon AJ ·</w:t>
      </w:r>
      <w:r>
        <w:t xml:space="preserve"> </w:t>
      </w:r>
      <w:r>
        <w:rPr>
          <w:iCs/>
          <w:i/>
        </w:rPr>
        <w:t xml:space="preserve">J Manag Care Spec Pharm</w:t>
      </w:r>
      <w:r>
        <w:t xml:space="preserve"> </w:t>
      </w:r>
      <w:r>
        <w:t xml:space="preserve">· Evaluation of the Short-Term Cost-Effectiveness of IDegLira Versus Basal Insulin and Basal-Bolus Therapy in Patients with Type 2 Diabetes Based on Attainment of Clinically Relevant Treatment Targets. PMID 31856636</w:t>
      </w:r>
    </w:p>
    <w:p>
      <w:pPr>
        <w:numPr>
          <w:ilvl w:val="0"/>
          <w:numId w:val="1376"/>
        </w:numPr>
        <w:pStyle w:val="Compact"/>
      </w:pPr>
      <w:r>
        <w:t xml:space="preserve">2020 · Paiman EHM ·</w:t>
      </w:r>
      <w:r>
        <w:t xml:space="preserve"> </w:t>
      </w:r>
      <w:r>
        <w:rPr>
          <w:iCs/>
          <w:i/>
        </w:rPr>
        <w:t xml:space="preserve">J Magn Reson Imaging</w:t>
      </w:r>
      <w:r>
        <w:t xml:space="preserve"> </w:t>
      </w:r>
      <w:r>
        <w:t xml:space="preserve">· Effect of Liraglutide on Cardiovascular Function and Myocardial Tissue Characteristics in Type 2 Diabetes Patients of South Asian Descent Living in the Netherlands: A Double-Blind, Randomized, Placebo-Controlled Trial. PMID 31799782</w:t>
      </w:r>
    </w:p>
    <w:p>
      <w:pPr>
        <w:numPr>
          <w:ilvl w:val="0"/>
          <w:numId w:val="1376"/>
        </w:numPr>
        <w:pStyle w:val="Compact"/>
      </w:pPr>
      <w:r>
        <w:t xml:space="preserve">2020 · Hulst AH ·</w:t>
      </w:r>
      <w:r>
        <w:t xml:space="preserve"> </w:t>
      </w:r>
      <w:r>
        <w:rPr>
          <w:iCs/>
          <w:i/>
        </w:rPr>
        <w:t xml:space="preserve">Diabetes Obes Metab</w:t>
      </w:r>
      <w:r>
        <w:t xml:space="preserve"> </w:t>
      </w:r>
      <w:r>
        <w:t xml:space="preserve">· Liraglutide for perioperative management of hyperglycaemia in cardiac surgery patients: a multicentre randomized superiority trial. PMID 31749275</w:t>
      </w:r>
    </w:p>
    <w:p>
      <w:pPr>
        <w:numPr>
          <w:ilvl w:val="0"/>
          <w:numId w:val="1376"/>
        </w:numPr>
        <w:pStyle w:val="Compact"/>
      </w:pPr>
      <w:r>
        <w:t xml:space="preserve">2020 · Dejgaard TF ·</w:t>
      </w:r>
      <w:r>
        <w:t xml:space="preserve"> </w:t>
      </w:r>
      <w:r>
        <w:rPr>
          <w:iCs/>
          <w:i/>
        </w:rPr>
        <w:t xml:space="preserve">Diabetes Obes Metab</w:t>
      </w:r>
      <w:r>
        <w:t xml:space="preserve"> </w:t>
      </w:r>
      <w:r>
        <w:t xml:space="preserve">· Liraglutide reduces hyperglycaemia and body weight in overweight, dysregulated insulin-pump-treated patients with type 1 diabetes: The Lira Pump trial-a randomized, double-blinded, placebo-controlled trial. PMID 31696598</w:t>
      </w:r>
    </w:p>
    <w:p>
      <w:pPr>
        <w:numPr>
          <w:ilvl w:val="0"/>
          <w:numId w:val="1376"/>
        </w:numPr>
        <w:pStyle w:val="Compact"/>
      </w:pPr>
      <w:r>
        <w:t xml:space="preserve">2020 · Bizino MB ·</w:t>
      </w:r>
      <w:r>
        <w:t xml:space="preserve"> </w:t>
      </w:r>
      <w:r>
        <w:rPr>
          <w:iCs/>
          <w:i/>
        </w:rPr>
        <w:t xml:space="preserve">Diabetologia</w:t>
      </w:r>
      <w:r>
        <w:t xml:space="preserve"> </w:t>
      </w:r>
      <w:r>
        <w:t xml:space="preserve">· Placebo-controlled randomised trial with liraglutide on magnetic resonance endpoints in individuals with type 2 diabetes: a pre-specified secondary study on ectopic fat accumulation. PMID 31690988</w:t>
      </w:r>
    </w:p>
    <w:p>
      <w:pPr>
        <w:numPr>
          <w:ilvl w:val="0"/>
          <w:numId w:val="1376"/>
        </w:numPr>
        <w:pStyle w:val="Compact"/>
      </w:pPr>
      <w:r>
        <w:t xml:space="preserve">2020 · Kadouh H ·</w:t>
      </w:r>
      <w:r>
        <w:t xml:space="preserve"> </w:t>
      </w:r>
      <w:r>
        <w:rPr>
          <w:iCs/>
          <w:i/>
        </w:rPr>
        <w:t xml:space="preserve">J Clin Endocrinol Metab</w:t>
      </w:r>
      <w:r>
        <w:t xml:space="preserve"> </w:t>
      </w:r>
      <w:r>
        <w:t xml:space="preserve">· GLP-1 Analog Modulates Appetite, Taste Preference, Gut Hormones, and Regional Body Fat Stores in Adults with Obesity. PMID 31665455</w:t>
      </w:r>
    </w:p>
    <w:p>
      <w:pPr>
        <w:numPr>
          <w:ilvl w:val="0"/>
          <w:numId w:val="1376"/>
        </w:numPr>
        <w:pStyle w:val="Compact"/>
      </w:pPr>
      <w:r>
        <w:t xml:space="preserve">2020 · Gaborit B ·</w:t>
      </w:r>
      <w:r>
        <w:t xml:space="preserve"> </w:t>
      </w:r>
      <w:r>
        <w:rPr>
          <w:iCs/>
          <w:i/>
        </w:rPr>
        <w:t xml:space="preserve">J Clin Endocrinol Metab</w:t>
      </w:r>
      <w:r>
        <w:t xml:space="preserve"> </w:t>
      </w:r>
      <w:r>
        <w:t xml:space="preserve">· Glucagon-like Peptide 1 Receptor Agonists, Diabetic Retinopathy and Angiogenesis: The AngioSafe Type 2 Diabetes Study. PMID 31589290</w:t>
      </w:r>
    </w:p>
    <w:p>
      <w:pPr>
        <w:numPr>
          <w:ilvl w:val="0"/>
          <w:numId w:val="1376"/>
        </w:numPr>
        <w:pStyle w:val="Compact"/>
      </w:pPr>
      <w:r>
        <w:t xml:space="preserve">2020 · Capehorn MS ·</w:t>
      </w:r>
      <w:r>
        <w:t xml:space="preserve"> </w:t>
      </w:r>
      <w:r>
        <w:rPr>
          <w:iCs/>
          <w:i/>
        </w:rPr>
        <w:t xml:space="preserve">Diabetes Metab</w:t>
      </w:r>
      <w:r>
        <w:t xml:space="preserve"> </w:t>
      </w:r>
      <w:r>
        <w:t xml:space="preserve">· Efficacy and safety of once-weekly semaglutide 1.0mg vs once-daily liraglutide 1.2mg as add-on to 1-3 oral antidiabetic drugs in subjects with type 2 diabetes (SUSTAIN 10). PMID 31539622</w:t>
      </w:r>
    </w:p>
    <w:p>
      <w:pPr>
        <w:numPr>
          <w:ilvl w:val="0"/>
          <w:numId w:val="1376"/>
        </w:numPr>
        <w:pStyle w:val="Compact"/>
      </w:pPr>
      <w:r>
        <w:t xml:space="preserve">2020 · Tronieri JS ·</w:t>
      </w:r>
      <w:r>
        <w:t xml:space="preserve"> </w:t>
      </w:r>
      <w:r>
        <w:rPr>
          <w:iCs/>
          <w:i/>
        </w:rPr>
        <w:t xml:space="preserve">Int J Obes (Lond)</w:t>
      </w:r>
      <w:r>
        <w:t xml:space="preserve"> </w:t>
      </w:r>
      <w:r>
        <w:t xml:space="preserve">· Effects of liraglutide on appetite, food preoccupation, and food liking: results of a randomized controlled trial. PMID 30926955</w:t>
      </w:r>
    </w:p>
    <w:p>
      <w:pPr>
        <w:numPr>
          <w:ilvl w:val="0"/>
          <w:numId w:val="1376"/>
        </w:numPr>
        <w:pStyle w:val="Compact"/>
      </w:pPr>
      <w:r>
        <w:t xml:space="preserve">2019 · Patel S ·</w:t>
      </w:r>
      <w:r>
        <w:t xml:space="preserve"> </w:t>
      </w:r>
      <w:r>
        <w:rPr>
          <w:iCs/>
          <w:i/>
        </w:rPr>
        <w:t xml:space="preserve">BMJ Open Diabetes Res Care</w:t>
      </w:r>
      <w:r>
        <w:t xml:space="preserve"> </w:t>
      </w:r>
      <w:r>
        <w:t xml:space="preserve">· Effect of medication adherence on clinical outcomes in type 2 diabetes: analysis of the SIMPLE study. PMID 31803482</w:t>
      </w:r>
    </w:p>
    <w:p>
      <w:pPr>
        <w:numPr>
          <w:ilvl w:val="0"/>
          <w:numId w:val="1376"/>
        </w:numPr>
        <w:pStyle w:val="Compact"/>
      </w:pPr>
      <w:r>
        <w:t xml:space="preserve">2019 · Verma S ·</w:t>
      </w:r>
      <w:r>
        <w:t xml:space="preserve"> </w:t>
      </w:r>
      <w:r>
        <w:rPr>
          <w:iCs/>
          <w:i/>
        </w:rPr>
        <w:t xml:space="preserve">JAMA Cardiol</w:t>
      </w:r>
      <w:r>
        <w:t xml:space="preserve"> </w:t>
      </w:r>
      <w:r>
        <w:t xml:space="preserve">· Occurence of First and Recurrent Major Adverse Cardiovascular Events With Liraglutide Treatment Among Patients With Type 2 Diabetes and High Risk of Cardiovascular Events: A Post Hoc Analysis of a Randomized Clinical Trial. PMID 31721979</w:t>
      </w:r>
    </w:p>
    <w:p>
      <w:pPr>
        <w:numPr>
          <w:ilvl w:val="0"/>
          <w:numId w:val="1376"/>
        </w:numPr>
        <w:pStyle w:val="Compact"/>
      </w:pPr>
      <w:r>
        <w:t xml:space="preserve">2019 · Chao AM ·</w:t>
      </w:r>
      <w:r>
        <w:t xml:space="preserve"> </w:t>
      </w:r>
      <w:r>
        <w:rPr>
          <w:iCs/>
          <w:i/>
        </w:rPr>
        <w:t xml:space="preserve">Clin Obes</w:t>
      </w:r>
      <w:r>
        <w:t xml:space="preserve"> </w:t>
      </w:r>
      <w:r>
        <w:t xml:space="preserve">· Changes in health-related quality of life with intensive behavioural therapy combined with liraglutide 3.0 mg per day. PMID 31691531</w:t>
      </w:r>
    </w:p>
    <w:p>
      <w:pPr>
        <w:numPr>
          <w:ilvl w:val="0"/>
          <w:numId w:val="1376"/>
        </w:numPr>
        <w:pStyle w:val="Compact"/>
      </w:pPr>
      <w:r>
        <w:t xml:space="preserve">2019 · Peradze N ·</w:t>
      </w:r>
      <w:r>
        <w:t xml:space="preserve"> </w:t>
      </w:r>
      <w:r>
        <w:rPr>
          <w:iCs/>
          <w:i/>
        </w:rPr>
        <w:t xml:space="preserve">Cardiovasc Diabetol</w:t>
      </w:r>
      <w:r>
        <w:t xml:space="preserve"> </w:t>
      </w:r>
      <w:r>
        <w:t xml:space="preserve">· Short-term treatment with high dose liraglutide improves lipid and lipoprotein profile and changes hormonal mediators of lipid metabolism in obese patients with no overt type 2 diabetes mellitus: a randomized, placebo-controlled, cross-over, double-blind clinical trial. PMID 31672146</w:t>
      </w:r>
    </w:p>
    <w:p>
      <w:pPr>
        <w:numPr>
          <w:ilvl w:val="0"/>
          <w:numId w:val="1376"/>
        </w:numPr>
        <w:pStyle w:val="Compact"/>
      </w:pPr>
      <w:r>
        <w:t xml:space="preserve">2019 · Blonde L ·</w:t>
      </w:r>
      <w:r>
        <w:t xml:space="preserve"> </w:t>
      </w:r>
      <w:r>
        <w:rPr>
          <w:iCs/>
          <w:i/>
        </w:rPr>
        <w:t xml:space="preserve">Diabetes Care</w:t>
      </w:r>
      <w:r>
        <w:t xml:space="preserve"> </w:t>
      </w:r>
      <w:r>
        <w:t xml:space="preserve">· Switching to iGlarLixi Versus Continuing Daily or Weekly GLP-1 RA in Type 2 Diabetes Inadequately Controlled by GLP-1 RA and Oral Antihyperglycemic Therapy: The LixiLan-G Randomized Clinical Trial. PMID 31530665</w:t>
      </w:r>
    </w:p>
    <w:p>
      <w:pPr>
        <w:numPr>
          <w:ilvl w:val="0"/>
          <w:numId w:val="1376"/>
        </w:numPr>
        <w:pStyle w:val="Compact"/>
      </w:pPr>
      <w:r>
        <w:t xml:space="preserve">2019 · Watada H ·</w:t>
      </w:r>
      <w:r>
        <w:t xml:space="preserve"> </w:t>
      </w:r>
      <w:r>
        <w:rPr>
          <w:iCs/>
          <w:i/>
        </w:rPr>
        <w:t xml:space="preserve">Diabetes Obes Metab</w:t>
      </w:r>
      <w:r>
        <w:t xml:space="preserve"> </w:t>
      </w:r>
      <w:r>
        <w:t xml:space="preserve">· Superior HbA1c control with the fixed-ratio combination of insulin degludec and liraglutide (IDegLira) compared with a maximum dose of 50 units of insulin degludec in Japanese individuals with type 2 diabetes in a phase 3, double-blind, randomized trial. PMID 31423685</w:t>
      </w:r>
    </w:p>
    <w:p>
      <w:pPr>
        <w:numPr>
          <w:ilvl w:val="0"/>
          <w:numId w:val="1376"/>
        </w:numPr>
        <w:pStyle w:val="Compact"/>
      </w:pPr>
      <w:r>
        <w:t xml:space="preserve">2019 · Kaku K ·</w:t>
      </w:r>
      <w:r>
        <w:t xml:space="preserve"> </w:t>
      </w:r>
      <w:r>
        <w:rPr>
          <w:iCs/>
          <w:i/>
        </w:rPr>
        <w:t xml:space="preserve">Diabetes Obes Metab</w:t>
      </w:r>
      <w:r>
        <w:t xml:space="preserve"> </w:t>
      </w:r>
      <w:r>
        <w:t xml:space="preserve">· Superior efficacy with a fixed-ratio combination of insulin degludec and liraglutide (IDegLira) compared with insulin degludec and liraglutide in insulin-naïve Japanese patients with type 2 diabetes in a phase 3, open-label, randomized trial. PMID 31407845</w:t>
      </w:r>
    </w:p>
    <w:p>
      <w:pPr>
        <w:numPr>
          <w:ilvl w:val="0"/>
          <w:numId w:val="1376"/>
        </w:numPr>
        <w:pStyle w:val="Compact"/>
      </w:pPr>
      <w:r>
        <w:t xml:space="preserve">2019 · Nauck MA ·</w:t>
      </w:r>
      <w:r>
        <w:t xml:space="preserve"> </w:t>
      </w:r>
      <w:r>
        <w:rPr>
          <w:iCs/>
          <w:i/>
        </w:rPr>
        <w:t xml:space="preserve">Diabetes Care</w:t>
      </w:r>
      <w:r>
        <w:t xml:space="preserve"> </w:t>
      </w:r>
      <w:r>
        <w:t xml:space="preserve">· Effects of Liraglutide Compared With Placebo on Events of Acute Gallbladder or Biliary Disease in Patients With Type 2 Diabetes at High Risk for Cardiovascular Events in the LEADER Randomized Trial. PMID 31399438</w:t>
      </w:r>
    </w:p>
    <w:p>
      <w:pPr>
        <w:numPr>
          <w:ilvl w:val="0"/>
          <w:numId w:val="1376"/>
        </w:numPr>
        <w:pStyle w:val="Compact"/>
      </w:pPr>
      <w:r>
        <w:t xml:space="preserve">2019 · Wexler DJ ·</w:t>
      </w:r>
      <w:r>
        <w:t xml:space="preserve"> </w:t>
      </w:r>
      <w:r>
        <w:rPr>
          <w:iCs/>
          <w:i/>
        </w:rPr>
        <w:t xml:space="preserve">Diabetes Care</w:t>
      </w:r>
      <w:r>
        <w:t xml:space="preserve"> </w:t>
      </w:r>
      <w:r>
        <w:t xml:space="preserve">· Baseline Characteristics of Randomized Participants in the Glycemia Reduction Approaches in Diabetes: A Comparative Effectiveness Study (GRADE). PMID 31391203</w:t>
      </w:r>
    </w:p>
    <w:p>
      <w:pPr>
        <w:numPr>
          <w:ilvl w:val="0"/>
          <w:numId w:val="1376"/>
        </w:numPr>
        <w:pStyle w:val="Compact"/>
      </w:pPr>
      <w:r>
        <w:t xml:space="preserve">2019 · Miller E ·</w:t>
      </w:r>
      <w:r>
        <w:t xml:space="preserve"> </w:t>
      </w:r>
      <w:r>
        <w:rPr>
          <w:iCs/>
          <w:i/>
        </w:rPr>
        <w:t xml:space="preserve">Diabetes Obes Metab</w:t>
      </w:r>
      <w:r>
        <w:t xml:space="preserve"> </w:t>
      </w:r>
      <w:r>
        <w:t xml:space="preserve">· IDegLira improves patient-reported outcomes while using a simple regimen with fewer injections and dose adjustments compared with basal-bolus therapy. PMID 31385425</w:t>
      </w:r>
    </w:p>
    <w:p>
      <w:pPr>
        <w:numPr>
          <w:ilvl w:val="0"/>
          <w:numId w:val="1376"/>
        </w:numPr>
        <w:pStyle w:val="Compact"/>
      </w:pPr>
      <w:r>
        <w:t xml:space="preserve">2019 · Brock C ·</w:t>
      </w:r>
      <w:r>
        <w:t xml:space="preserve"> </w:t>
      </w:r>
      <w:r>
        <w:rPr>
          <w:iCs/>
          <w:i/>
        </w:rPr>
        <w:t xml:space="preserve">Br J Clin Pharmacol</w:t>
      </w:r>
      <w:r>
        <w:t xml:space="preserve"> </w:t>
      </w:r>
      <w:r>
        <w:t xml:space="preserve">· Liraglutide treatment reduced interleukin-6 in adults with type 1 diabetes but did not improve established autonomic or polyneuropathy. PMID 31338868</w:t>
      </w:r>
    </w:p>
    <w:p>
      <w:pPr>
        <w:numPr>
          <w:ilvl w:val="0"/>
          <w:numId w:val="1376"/>
        </w:numPr>
        <w:pStyle w:val="Compact"/>
      </w:pPr>
      <w:r>
        <w:t xml:space="preserve">2019 · Makino H ·</w:t>
      </w:r>
      <w:r>
        <w:t xml:space="preserve"> </w:t>
      </w:r>
      <w:r>
        <w:rPr>
          <w:iCs/>
          <w:i/>
        </w:rPr>
        <w:t xml:space="preserve">Diabet Med</w:t>
      </w:r>
      <w:r>
        <w:t xml:space="preserve"> </w:t>
      </w:r>
      <w:r>
        <w:t xml:space="preserve">· Addition of low-dose liraglutide to insulin therapy is useful for glycaemic control during the peri-operative period: effect of glucagon-like peptide-1 receptor agonist therapy on glycaemic control in patients undergoing cardiac surgery (GLOLIA study). PMID 31335979</w:t>
      </w:r>
    </w:p>
    <w:p>
      <w:pPr>
        <w:numPr>
          <w:ilvl w:val="0"/>
          <w:numId w:val="1376"/>
        </w:numPr>
        <w:pStyle w:val="Compact"/>
      </w:pPr>
      <w:r>
        <w:t xml:space="preserve">2019 · Anholm C ·</w:t>
      </w:r>
      <w:r>
        <w:t xml:space="preserve"> </w:t>
      </w:r>
      <w:r>
        <w:rPr>
          <w:iCs/>
          <w:i/>
        </w:rPr>
        <w:t xml:space="preserve">Atherosclerosis</w:t>
      </w:r>
      <w:r>
        <w:t xml:space="preserve"> </w:t>
      </w:r>
      <w:r>
        <w:t xml:space="preserve">· Liraglutide in combination with metformin may improve the atherogenic lipid profile and decrease C-reactive protein level in statin treated obese patients with coronary artery disease and newly diagnosed type 2 diabetes: A randomized trial. PMID 31326727</w:t>
      </w:r>
    </w:p>
    <w:p>
      <w:pPr>
        <w:numPr>
          <w:ilvl w:val="0"/>
          <w:numId w:val="1376"/>
        </w:numPr>
        <w:pStyle w:val="Compact"/>
      </w:pPr>
      <w:r>
        <w:t xml:space="preserve">2019 · Rosenstock J ·</w:t>
      </w:r>
      <w:r>
        <w:t xml:space="preserve"> </w:t>
      </w:r>
      <w:r>
        <w:rPr>
          <w:iCs/>
          <w:i/>
        </w:rPr>
        <w:t xml:space="preserve">Diabetes Care</w:t>
      </w:r>
      <w:r>
        <w:t xml:space="preserve"> </w:t>
      </w:r>
      <w:r>
        <w:t xml:space="preserve">· Once-Weekly Efpeglenatide Dose-Range Effects on Glycemic Control and Body Weight in Patients With Type 2 Diabetes on Metformin or Drug Naive, Referenced to Liraglutide. PMID 31320446</w:t>
      </w:r>
    </w:p>
    <w:p>
      <w:pPr>
        <w:numPr>
          <w:ilvl w:val="0"/>
          <w:numId w:val="1376"/>
        </w:numPr>
        <w:pStyle w:val="Compact"/>
      </w:pPr>
      <w:r>
        <w:t xml:space="preserve">2019 · van Eyk HJ ·</w:t>
      </w:r>
      <w:r>
        <w:t xml:space="preserve"> </w:t>
      </w:r>
      <w:r>
        <w:rPr>
          <w:iCs/>
          <w:i/>
        </w:rPr>
        <w:t xml:space="preserve">Sci Rep</w:t>
      </w:r>
      <w:r>
        <w:t xml:space="preserve"> </w:t>
      </w:r>
      <w:r>
        <w:t xml:space="preserve">· Hepatic triglyceride content does not affect circulating CETP: lessons from a liraglutide intervention trial and a population-based cohort. PMID 31292457</w:t>
      </w:r>
    </w:p>
    <w:p>
      <w:pPr>
        <w:numPr>
          <w:ilvl w:val="0"/>
          <w:numId w:val="1376"/>
        </w:numPr>
        <w:pStyle w:val="Compact"/>
      </w:pPr>
      <w:r>
        <w:t xml:space="preserve">2019 · van Eyk HJ ·</w:t>
      </w:r>
      <w:r>
        <w:t xml:space="preserve"> </w:t>
      </w:r>
      <w:r>
        <w:rPr>
          <w:iCs/>
          <w:i/>
        </w:rPr>
        <w:t xml:space="preserve">Cardiovasc Diabetol</w:t>
      </w:r>
      <w:r>
        <w:t xml:space="preserve"> </w:t>
      </w:r>
      <w:r>
        <w:t xml:space="preserve">· A double-blind, placebo-controlled, randomised trial to assess the effect of liraglutide on ectopic fat accumulation in South Asian type 2 diabetes patients. PMID 31288820</w:t>
      </w:r>
    </w:p>
    <w:p>
      <w:pPr>
        <w:numPr>
          <w:ilvl w:val="0"/>
          <w:numId w:val="1376"/>
        </w:numPr>
        <w:pStyle w:val="Compact"/>
      </w:pPr>
      <w:r>
        <w:t xml:space="preserve">2019 · Tack CJ ·</w:t>
      </w:r>
      <w:r>
        <w:t xml:space="preserve"> </w:t>
      </w:r>
      <w:r>
        <w:rPr>
          <w:iCs/>
          <w:i/>
        </w:rPr>
        <w:t xml:space="preserve">Diabetes Obes Metab</w:t>
      </w:r>
      <w:r>
        <w:t xml:space="preserve"> </w:t>
      </w:r>
      <w:r>
        <w:t xml:space="preserve">· Long-term efficacy and safety of combined insulin and glucagon-like peptide-1 therapy: Evidence from the LEADER trial. PMID 31282028</w:t>
      </w:r>
    </w:p>
    <w:p>
      <w:pPr>
        <w:numPr>
          <w:ilvl w:val="0"/>
          <w:numId w:val="1376"/>
        </w:numPr>
        <w:pStyle w:val="Compact"/>
      </w:pPr>
      <w:r>
        <w:t xml:space="preserve">2019 · Farr OM ·</w:t>
      </w:r>
      <w:r>
        <w:t xml:space="preserve"> </w:t>
      </w:r>
      <w:r>
        <w:rPr>
          <w:iCs/>
          <w:i/>
        </w:rPr>
        <w:t xml:space="preserve">Diabetes Obes Metab</w:t>
      </w:r>
      <w:r>
        <w:t xml:space="preserve"> </w:t>
      </w:r>
      <w:r>
        <w:t xml:space="preserve">· Longer-term liraglutide administration at the highest dose approved for obesity increases reward-related orbitofrontal cortex activation in response to food cues: Implications for plateauing weight loss in response to anti-obesity therapies. PMID 31282006</w:t>
      </w:r>
    </w:p>
    <w:p>
      <w:pPr>
        <w:numPr>
          <w:ilvl w:val="0"/>
          <w:numId w:val="1376"/>
        </w:numPr>
        <w:pStyle w:val="Compact"/>
      </w:pPr>
      <w:r>
        <w:t xml:space="preserve">2019 · Li LQ ·</w:t>
      </w:r>
      <w:r>
        <w:t xml:space="preserve"> </w:t>
      </w:r>
      <w:r>
        <w:rPr>
          <w:iCs/>
          <w:i/>
        </w:rPr>
        <w:t xml:space="preserve">Endocr J</w:t>
      </w:r>
      <w:r>
        <w:t xml:space="preserve"> </w:t>
      </w:r>
      <w:r>
        <w:t xml:space="preserve">· Continuous subcutaneous insulin infusion combined with liraglutide reduced glycemic variability and oxidative stress in type 2 diabetes mellitus: a study based on the flash glucose monitoring system. PMID 31243192</w:t>
      </w:r>
    </w:p>
    <w:p>
      <w:pPr>
        <w:numPr>
          <w:ilvl w:val="0"/>
          <w:numId w:val="1376"/>
        </w:numPr>
        <w:pStyle w:val="Compact"/>
      </w:pPr>
      <w:r>
        <w:t xml:space="preserve">2019 · Aung MM ·</w:t>
      </w:r>
      <w:r>
        <w:t xml:space="preserve"> </w:t>
      </w:r>
      <w:r>
        <w:rPr>
          <w:iCs/>
          <w:i/>
        </w:rPr>
        <w:t xml:space="preserve">Diabetologia</w:t>
      </w:r>
      <w:r>
        <w:t xml:space="preserve"> </w:t>
      </w:r>
      <w:r>
        <w:t xml:space="preserve">· Locally delivered GLP-1 analogues liraglutide and exenatide enhance microvascular perfusion in individuals with and without type 2 diabetes. PMID 31203378</w:t>
      </w:r>
    </w:p>
    <w:p>
      <w:pPr>
        <w:numPr>
          <w:ilvl w:val="0"/>
          <w:numId w:val="1376"/>
        </w:numPr>
        <w:pStyle w:val="Compact"/>
      </w:pPr>
      <w:r>
        <w:t xml:space="preserve">2019 · Aroda VR ·</w:t>
      </w:r>
      <w:r>
        <w:t xml:space="preserve"> </w:t>
      </w:r>
      <w:r>
        <w:rPr>
          <w:iCs/>
          <w:i/>
        </w:rPr>
        <w:t xml:space="preserve">Lancet Diabetes Endocrinol</w:t>
      </w:r>
      <w:r>
        <w:t xml:space="preserve"> </w:t>
      </w:r>
      <w:r>
        <w:t xml:space="preserve">· Durability of insulin degludec plus liraglutide versus insulin glargine U100 as initial injectable therapy in type 2 diabetes (DUAL VIII): a multicentre, open-label, phase 3b, randomised controlled trial. PMID 31189519</w:t>
      </w:r>
    </w:p>
    <w:p>
      <w:pPr>
        <w:numPr>
          <w:ilvl w:val="0"/>
          <w:numId w:val="1376"/>
        </w:numPr>
        <w:pStyle w:val="Compact"/>
      </w:pPr>
      <w:r>
        <w:t xml:space="preserve">2019 · Pratley R ·</w:t>
      </w:r>
      <w:r>
        <w:t xml:space="preserve"> </w:t>
      </w:r>
      <w:r>
        <w:rPr>
          <w:iCs/>
          <w:i/>
        </w:rPr>
        <w:t xml:space="preserve">Lancet</w:t>
      </w:r>
      <w:r>
        <w:t xml:space="preserve"> </w:t>
      </w:r>
      <w:r>
        <w:t xml:space="preserve">· Oral semaglutide versus subcutaneous liraglutide and placebo in type 2 diabetes (PIONEER 4): a randomised, double-blind, phase 3a trial. PMID 31186120</w:t>
      </w:r>
    </w:p>
    <w:p>
      <w:pPr>
        <w:numPr>
          <w:ilvl w:val="0"/>
          <w:numId w:val="1376"/>
        </w:numPr>
        <w:pStyle w:val="Compact"/>
      </w:pPr>
      <w:r>
        <w:t xml:space="preserve">2019 · Miras AD ·</w:t>
      </w:r>
      <w:r>
        <w:t xml:space="preserve"> </w:t>
      </w:r>
      <w:r>
        <w:rPr>
          <w:iCs/>
          <w:i/>
        </w:rPr>
        <w:t xml:space="preserve">Lancet Diabetes Endocrinol</w:t>
      </w:r>
      <w:r>
        <w:t xml:space="preserve"> </w:t>
      </w:r>
      <w:r>
        <w:t xml:space="preserve">· Adjunctive liraglutide treatment in patients with persistent or recurrent type 2 diabetes after metabolic surgery (GRAVITAS): a randomised, double-blind, placebo-controlled trial. PMID 31174993</w:t>
      </w:r>
    </w:p>
    <w:p>
      <w:pPr>
        <w:numPr>
          <w:ilvl w:val="0"/>
          <w:numId w:val="1376"/>
        </w:numPr>
        <w:pStyle w:val="Compact"/>
      </w:pPr>
      <w:r>
        <w:t xml:space="preserve">2019 · Abreu M ·</w:t>
      </w:r>
      <w:r>
        <w:t xml:space="preserve"> </w:t>
      </w:r>
      <w:r>
        <w:rPr>
          <w:iCs/>
          <w:i/>
        </w:rPr>
        <w:t xml:space="preserve">Diabetes Obes Metab</w:t>
      </w:r>
      <w:r>
        <w:t xml:space="preserve"> </w:t>
      </w:r>
      <w:r>
        <w:t xml:space="preserve">· A randomized trial comparing the efficacy and safety of treating patients with type 2 diabetes and highly elevated HbA1c levels with basal-bolus insulin or a glucagon-like peptide-1 receptor agonist plus basal insulin: The SIMPLE study. PMID 31144435</w:t>
      </w:r>
    </w:p>
    <w:p>
      <w:pPr>
        <w:numPr>
          <w:ilvl w:val="0"/>
          <w:numId w:val="1376"/>
        </w:numPr>
        <w:pStyle w:val="Compact"/>
      </w:pPr>
      <w:r>
        <w:t xml:space="preserve">2019 · Øhrstrøm CC ·</w:t>
      </w:r>
      <w:r>
        <w:t xml:space="preserve"> </w:t>
      </w:r>
      <w:r>
        <w:rPr>
          <w:iCs/>
          <w:i/>
        </w:rPr>
        <w:t xml:space="preserve">Diabetes Obes Metab</w:t>
      </w:r>
      <w:r>
        <w:t xml:space="preserve"> </w:t>
      </w:r>
      <w:r>
        <w:t xml:space="preserve">· Postprandial hypoglycaemia after Roux-en-Y gastric bypass and the effects of acarbose, sitagliptin, verapamil, liraglutide and pasireotide. PMID 31144430</w:t>
      </w:r>
    </w:p>
    <w:p>
      <w:pPr>
        <w:numPr>
          <w:ilvl w:val="0"/>
          <w:numId w:val="1376"/>
        </w:numPr>
        <w:pStyle w:val="Compact"/>
      </w:pPr>
      <w:r>
        <w:t xml:space="preserve">2019 · Anholm C ·</w:t>
      </w:r>
      <w:r>
        <w:t xml:space="preserve"> </w:t>
      </w:r>
      <w:r>
        <w:rPr>
          <w:iCs/>
          <w:i/>
        </w:rPr>
        <w:t xml:space="preserve">Diabetes Obes Metab</w:t>
      </w:r>
      <w:r>
        <w:t xml:space="preserve"> </w:t>
      </w:r>
      <w:r>
        <w:t xml:space="preserve">· Effect of liraglutide on estimates of lipolysis and lipid oxidation in obese patients with stable coronary artery disease and newly diagnosed type 2 diabetes: A randomized trial. PMID 31050161</w:t>
      </w:r>
    </w:p>
    <w:p>
      <w:pPr>
        <w:numPr>
          <w:ilvl w:val="0"/>
          <w:numId w:val="1376"/>
        </w:numPr>
        <w:pStyle w:val="Compact"/>
      </w:pPr>
      <w:r>
        <w:t xml:space="preserve">2019 · Bizino MB ·</w:t>
      </w:r>
      <w:r>
        <w:t xml:space="preserve"> </w:t>
      </w:r>
      <w:r>
        <w:rPr>
          <w:iCs/>
          <w:i/>
        </w:rPr>
        <w:t xml:space="preserve">Cardiovasc Diabetol</w:t>
      </w:r>
      <w:r>
        <w:t xml:space="preserve"> </w:t>
      </w:r>
      <w:r>
        <w:t xml:space="preserve">· Effect of liraglutide on cardiac function in patients with type 2 diabetes mellitus: randomized placebo-controlled trial. PMID 31039778</w:t>
      </w:r>
    </w:p>
    <w:p>
      <w:pPr>
        <w:numPr>
          <w:ilvl w:val="0"/>
          <w:numId w:val="1376"/>
        </w:numPr>
        <w:pStyle w:val="Compact"/>
      </w:pPr>
      <w:r>
        <w:t xml:space="preserve">2019 · Tamborlane WV ·</w:t>
      </w:r>
      <w:r>
        <w:t xml:space="preserve"> </w:t>
      </w:r>
      <w:r>
        <w:rPr>
          <w:iCs/>
          <w:i/>
        </w:rPr>
        <w:t xml:space="preserve">N Engl J Med</w:t>
      </w:r>
      <w:r>
        <w:t xml:space="preserve"> </w:t>
      </w:r>
      <w:r>
        <w:t xml:space="preserve">· Liraglutide in Children and Adolescents with Type 2 Diabetes. PMID 31034184</w:t>
      </w:r>
    </w:p>
    <w:p>
      <w:pPr>
        <w:numPr>
          <w:ilvl w:val="0"/>
          <w:numId w:val="1376"/>
        </w:numPr>
        <w:pStyle w:val="Compact"/>
      </w:pPr>
      <w:r>
        <w:t xml:space="preserve">2019 · Adiels M ·</w:t>
      </w:r>
      <w:r>
        <w:t xml:space="preserve"> </w:t>
      </w:r>
      <w:r>
        <w:rPr>
          <w:iCs/>
          <w:i/>
        </w:rPr>
        <w:t xml:space="preserve">Diabetes Obes Metab</w:t>
      </w:r>
      <w:r>
        <w:t xml:space="preserve"> </w:t>
      </w:r>
      <w:r>
        <w:t xml:space="preserve">· Role of apolipoprotein C-III overproduction in diabetic dyslipidaemia. PMID 30972934</w:t>
      </w:r>
    </w:p>
    <w:p>
      <w:pPr>
        <w:numPr>
          <w:ilvl w:val="0"/>
          <w:numId w:val="1376"/>
        </w:numPr>
        <w:pStyle w:val="Compact"/>
      </w:pPr>
      <w:r>
        <w:t xml:space="preserve">2019 · Tronieri JS ·</w:t>
      </w:r>
      <w:r>
        <w:t xml:space="preserve"> </w:t>
      </w:r>
      <w:r>
        <w:rPr>
          <w:iCs/>
          <w:i/>
        </w:rPr>
        <w:t xml:space="preserve">Metabolism</w:t>
      </w:r>
      <w:r>
        <w:t xml:space="preserve"> </w:t>
      </w:r>
      <w:r>
        <w:t xml:space="preserve">· Effects of liraglutide plus phentermine in adults with obesity following 1 year of treatment by liraglutide alone: A randomized placebo-controlled pilot trial. PMID 30902750</w:t>
      </w:r>
    </w:p>
    <w:p>
      <w:pPr>
        <w:numPr>
          <w:ilvl w:val="0"/>
          <w:numId w:val="1376"/>
        </w:numPr>
        <w:pStyle w:val="Compact"/>
      </w:pPr>
      <w:r>
        <w:t xml:space="preserve">2019 · Liu J ·</w:t>
      </w:r>
      <w:r>
        <w:t xml:space="preserve"> </w:t>
      </w:r>
      <w:r>
        <w:rPr>
          <w:iCs/>
          <w:i/>
        </w:rPr>
        <w:t xml:space="preserve">EBioMedicine</w:t>
      </w:r>
      <w:r>
        <w:t xml:space="preserve"> </w:t>
      </w:r>
      <w:r>
        <w:t xml:space="preserve">· Liver-derived fibroblast growth factor 21 mediates effects of glucagon-like peptide-1 in attenuating hepatic glucose output. PMID 30827929</w:t>
      </w:r>
    </w:p>
    <w:p>
      <w:pPr>
        <w:numPr>
          <w:ilvl w:val="0"/>
          <w:numId w:val="1376"/>
        </w:numPr>
        <w:pStyle w:val="Compact"/>
      </w:pPr>
      <w:r>
        <w:t xml:space="preserve">2019 · Liu X ·</w:t>
      </w:r>
      <w:r>
        <w:t xml:space="preserve"> </w:t>
      </w:r>
      <w:r>
        <w:rPr>
          <w:iCs/>
          <w:i/>
        </w:rPr>
        <w:t xml:space="preserve">J Coll Physicians Surg Pak</w:t>
      </w:r>
      <w:r>
        <w:t xml:space="preserve"> </w:t>
      </w:r>
      <w:r>
        <w:t xml:space="preserve">· Effects of Liraglutide Combined with Insulin on Oxidative Stress and Serum MCP-1 and NF-kB Levels in Type 2 Diabetes. PMID 30823945</w:t>
      </w:r>
    </w:p>
    <w:p>
      <w:pPr>
        <w:numPr>
          <w:ilvl w:val="0"/>
          <w:numId w:val="1376"/>
        </w:numPr>
        <w:pStyle w:val="Compact"/>
      </w:pPr>
      <w:r>
        <w:t xml:space="preserve">2019 · Brown-Frandsen K ·</w:t>
      </w:r>
      <w:r>
        <w:t xml:space="preserve"> </w:t>
      </w:r>
      <w:r>
        <w:rPr>
          <w:iCs/>
          <w:i/>
        </w:rPr>
        <w:t xml:space="preserve">Diabetes Obes Metab</w:t>
      </w:r>
      <w:r>
        <w:t xml:space="preserve"> </w:t>
      </w:r>
      <w:r>
        <w:t xml:space="preserve">· Lower rates of cardiovascular events and mortality associated with liraglutide use in patients treated with basal insulin: A DEVOTE subanalysis (DEVOTE 10). PMID 30793465</w:t>
      </w:r>
    </w:p>
    <w:p>
      <w:pPr>
        <w:numPr>
          <w:ilvl w:val="0"/>
          <w:numId w:val="1376"/>
        </w:numPr>
        <w:pStyle w:val="Compact"/>
      </w:pPr>
      <w:r>
        <w:t xml:space="preserve">2019 · Suhrs HE ·</w:t>
      </w:r>
      <w:r>
        <w:t xml:space="preserve"> </w:t>
      </w:r>
      <w:r>
        <w:rPr>
          <w:iCs/>
          <w:i/>
        </w:rPr>
        <w:t xml:space="preserve">Int J Cardiol</w:t>
      </w:r>
      <w:r>
        <w:t xml:space="preserve"> </w:t>
      </w:r>
      <w:r>
        <w:t xml:space="preserve">· Effect of liraglutide on body weight and microvascular function in non-diabetic overweight women with coronary microvascular dysfunction. PMID 30773266</w:t>
      </w:r>
    </w:p>
    <w:p>
      <w:pPr>
        <w:numPr>
          <w:ilvl w:val="0"/>
          <w:numId w:val="1376"/>
        </w:numPr>
        <w:pStyle w:val="Compact"/>
      </w:pPr>
      <w:r>
        <w:t xml:space="preserve">2019 · Philis-Tsimikas A ·</w:t>
      </w:r>
      <w:r>
        <w:t xml:space="preserve"> </w:t>
      </w:r>
      <w:r>
        <w:rPr>
          <w:iCs/>
          <w:i/>
        </w:rPr>
        <w:t xml:space="preserve">Diabetes Obes Metab</w:t>
      </w:r>
      <w:r>
        <w:t xml:space="preserve"> </w:t>
      </w:r>
      <w:r>
        <w:t xml:space="preserve">· Superior efficacy of insulin degludec/liraglutide versus insulin glargine U100 as add-on to sodium-glucose co-transporter-2 inhibitor therapy: A randomized clinical trial in people with uncontrolled type 2 diabetes. PMID 30761720</w:t>
      </w:r>
    </w:p>
    <w:p>
      <w:pPr>
        <w:numPr>
          <w:ilvl w:val="0"/>
          <w:numId w:val="1376"/>
        </w:numPr>
        <w:pStyle w:val="Compact"/>
      </w:pPr>
      <w:r>
        <w:t xml:space="preserve">2019 · Khoo J ·</w:t>
      </w:r>
      <w:r>
        <w:t xml:space="preserve"> </w:t>
      </w:r>
      <w:r>
        <w:rPr>
          <w:iCs/>
          <w:i/>
        </w:rPr>
        <w:t xml:space="preserve">Liver Int</w:t>
      </w:r>
      <w:r>
        <w:t xml:space="preserve"> </w:t>
      </w:r>
      <w:r>
        <w:t xml:space="preserve">· Randomized trial comparing effects of weight loss by liraglutide with lifestyle modification in non-alcoholic fatty liver disease. PMID 30721572</w:t>
      </w:r>
    </w:p>
    <w:p>
      <w:pPr>
        <w:numPr>
          <w:ilvl w:val="0"/>
          <w:numId w:val="1376"/>
        </w:numPr>
        <w:pStyle w:val="Compact"/>
      </w:pPr>
      <w:r>
        <w:t xml:space="preserve">2019 · Zobel EH ·</w:t>
      </w:r>
      <w:r>
        <w:t xml:space="preserve"> </w:t>
      </w:r>
      <w:r>
        <w:rPr>
          <w:iCs/>
          <w:i/>
        </w:rPr>
        <w:t xml:space="preserve">Diabetes Obes Metab</w:t>
      </w:r>
      <w:r>
        <w:t xml:space="preserve"> </w:t>
      </w:r>
      <w:r>
        <w:t xml:space="preserve">· Pleiotropic effects of liraglutide in patients with type 2 diabetes and moderate renal impairment: Individual effects of treatment. PMID 30663196</w:t>
      </w:r>
    </w:p>
    <w:p>
      <w:pPr>
        <w:numPr>
          <w:ilvl w:val="0"/>
          <w:numId w:val="1376"/>
        </w:numPr>
        <w:pStyle w:val="Compact"/>
      </w:pPr>
      <w:r>
        <w:t xml:space="preserve">2019 · Mastrandrea LD ·</w:t>
      </w:r>
      <w:r>
        <w:t xml:space="preserve"> </w:t>
      </w:r>
      <w:r>
        <w:rPr>
          <w:iCs/>
          <w:i/>
        </w:rPr>
        <w:t xml:space="preserve">Pediatr Obes</w:t>
      </w:r>
      <w:r>
        <w:t xml:space="preserve"> </w:t>
      </w:r>
      <w:r>
        <w:t xml:space="preserve">· Liraglutide effects in a paediatric (7-11 y) population with obesity: A randomized, double-blind, placebo-controlled, short-term trial to assess safety, tolerability, pharmacokinetics, and pharmacodynamics. PMID 30653847</w:t>
      </w:r>
    </w:p>
    <w:p>
      <w:pPr>
        <w:numPr>
          <w:ilvl w:val="0"/>
          <w:numId w:val="1376"/>
        </w:numPr>
        <w:pStyle w:val="Compact"/>
      </w:pPr>
      <w:r>
        <w:t xml:space="preserve">2019 · Wijkman MO ·</w:t>
      </w:r>
      <w:r>
        <w:t xml:space="preserve"> </w:t>
      </w:r>
      <w:r>
        <w:rPr>
          <w:iCs/>
          <w:i/>
        </w:rPr>
        <w:t xml:space="preserve">J Clin Hypertens (Greenwich)</w:t>
      </w:r>
      <w:r>
        <w:t xml:space="preserve"> </w:t>
      </w:r>
      <w:r>
        <w:t xml:space="preserve">· Predictors and correlates of systolic blood pressure reduction with liraglutide treatment in patients with type 2 diabetes. PMID 30515978</w:t>
      </w:r>
    </w:p>
    <w:p>
      <w:pPr>
        <w:numPr>
          <w:ilvl w:val="0"/>
          <w:numId w:val="1376"/>
        </w:numPr>
        <w:pStyle w:val="Compact"/>
      </w:pPr>
      <w:r>
        <w:t xml:space="preserve">2019 · Gilbert MP ·</w:t>
      </w:r>
      <w:r>
        <w:t xml:space="preserve"> </w:t>
      </w:r>
      <w:r>
        <w:rPr>
          <w:iCs/>
          <w:i/>
        </w:rPr>
        <w:t xml:space="preserve">Ann Intern Med</w:t>
      </w:r>
      <w:r>
        <w:t xml:space="preserve"> </w:t>
      </w:r>
      <w:r>
        <w:t xml:space="preserve">· Effect of Liraglutide on Cardiovascular Outcomes in Elderly Patients: A Post Hoc Analysis of a Randomized Controlled Trial. PMID 30508430</w:t>
      </w:r>
    </w:p>
    <w:p>
      <w:pPr>
        <w:numPr>
          <w:ilvl w:val="0"/>
          <w:numId w:val="1376"/>
        </w:numPr>
        <w:pStyle w:val="Compact"/>
      </w:pPr>
      <w:r>
        <w:t xml:space="preserve">2019 · Wadden TA ·</w:t>
      </w:r>
      <w:r>
        <w:t xml:space="preserve"> </w:t>
      </w:r>
      <w:r>
        <w:rPr>
          <w:iCs/>
          <w:i/>
        </w:rPr>
        <w:t xml:space="preserve">Obesity (Silver Spring)</w:t>
      </w:r>
      <w:r>
        <w:t xml:space="preserve"> </w:t>
      </w:r>
      <w:r>
        <w:t xml:space="preserve">· Intensive Behavioral Therapy for Obesity Combined with Liraglutide 3.0 mg: A Randomized Controlled Trial. PMID 30421856</w:t>
      </w:r>
    </w:p>
    <w:p>
      <w:pPr>
        <w:numPr>
          <w:ilvl w:val="0"/>
          <w:numId w:val="1376"/>
        </w:numPr>
        <w:pStyle w:val="Compact"/>
      </w:pPr>
      <w:r>
        <w:t xml:space="preserve">2019 · Lingvay I ·</w:t>
      </w:r>
      <w:r>
        <w:t xml:space="preserve"> </w:t>
      </w:r>
      <w:r>
        <w:rPr>
          <w:iCs/>
          <w:i/>
        </w:rPr>
        <w:t xml:space="preserve">Endocr Pract</w:t>
      </w:r>
      <w:r>
        <w:t xml:space="preserve"> </w:t>
      </w:r>
      <w:r>
        <w:t xml:space="preserve">· EFFICACY AND SAFETY OF IDEGLIRA IN OLDER PATIENTS WITH TYPE 2 DIABETES. PMID 30383495</w:t>
      </w:r>
    </w:p>
    <w:p>
      <w:pPr>
        <w:numPr>
          <w:ilvl w:val="0"/>
          <w:numId w:val="1376"/>
        </w:numPr>
        <w:pStyle w:val="Compact"/>
      </w:pPr>
      <w:r>
        <w:t xml:space="preserve">2019 · Svensson CK ·</w:t>
      </w:r>
      <w:r>
        <w:t xml:space="preserve"> </w:t>
      </w:r>
      <w:r>
        <w:rPr>
          <w:iCs/>
          <w:i/>
        </w:rPr>
        <w:t xml:space="preserve">Acta Psychiatr Scand</w:t>
      </w:r>
      <w:r>
        <w:t xml:space="preserve"> </w:t>
      </w:r>
      <w:r>
        <w:t xml:space="preserve">· One-year follow-up on liraglutide treatment for prediabetes and overweight/obesity in clozapine- or olanzapine-treated patients. PMID 30374965</w:t>
      </w:r>
    </w:p>
    <w:p>
      <w:pPr>
        <w:numPr>
          <w:ilvl w:val="0"/>
          <w:numId w:val="1376"/>
        </w:numPr>
        <w:pStyle w:val="Compact"/>
      </w:pPr>
      <w:r>
        <w:t xml:space="preserve">2019 · Yan J ·</w:t>
      </w:r>
      <w:r>
        <w:t xml:space="preserve"> </w:t>
      </w:r>
      <w:r>
        <w:rPr>
          <w:iCs/>
          <w:i/>
        </w:rPr>
        <w:t xml:space="preserve">Hepatology</w:t>
      </w:r>
      <w:r>
        <w:t xml:space="preserve"> </w:t>
      </w:r>
      <w:r>
        <w:t xml:space="preserve">· Liraglutide, Sitagliptin, and Insulin Glargine Added to Metformin: The Effect on Body Weight and Intrahepatic Lipid in Patients With Type 2 Diabetes Mellitus and Nonalcoholic Fatty Liver Disease. PMID 30341767</w:t>
      </w:r>
    </w:p>
    <w:p>
      <w:pPr>
        <w:numPr>
          <w:ilvl w:val="0"/>
          <w:numId w:val="1376"/>
        </w:numPr>
        <w:pStyle w:val="Compact"/>
      </w:pPr>
      <w:r>
        <w:t xml:space="preserve">2019 · Nauck MA ·</w:t>
      </w:r>
      <w:r>
        <w:t xml:space="preserve"> </w:t>
      </w:r>
      <w:r>
        <w:rPr>
          <w:iCs/>
          <w:i/>
        </w:rPr>
        <w:t xml:space="preserve">Diabetes Obes Metab</w:t>
      </w:r>
      <w:r>
        <w:t xml:space="preserve"> </w:t>
      </w:r>
      <w:r>
        <w:t xml:space="preserve">· Health-related quality of life in people with type 2 diabetes participating in the LEADER trial. PMID 30260088</w:t>
      </w:r>
    </w:p>
    <w:p>
      <w:pPr>
        <w:numPr>
          <w:ilvl w:val="0"/>
          <w:numId w:val="1376"/>
        </w:numPr>
        <w:pStyle w:val="Compact"/>
      </w:pPr>
      <w:r>
        <w:t xml:space="preserve">2019 · Liakos A ·</w:t>
      </w:r>
      <w:r>
        <w:t xml:space="preserve"> </w:t>
      </w:r>
      <w:r>
        <w:rPr>
          <w:iCs/>
          <w:i/>
        </w:rPr>
        <w:t xml:space="preserve">Diabetes Obes Metab</w:t>
      </w:r>
      <w:r>
        <w:t xml:space="preserve"> </w:t>
      </w:r>
      <w:r>
        <w:t xml:space="preserve">· Effect of liraglutide on ambulatory blood pressure in patients with hypertension and type 2 diabetes: A randomized, double-blind, placebo-controlled trial. PMID 30242948</w:t>
      </w:r>
    </w:p>
    <w:p>
      <w:pPr>
        <w:numPr>
          <w:ilvl w:val="0"/>
          <w:numId w:val="1376"/>
        </w:numPr>
        <w:pStyle w:val="Compact"/>
      </w:pPr>
      <w:r>
        <w:t xml:space="preserve">2019 · Wägner AM ·</w:t>
      </w:r>
      <w:r>
        <w:t xml:space="preserve"> </w:t>
      </w:r>
      <w:r>
        <w:rPr>
          <w:iCs/>
          <w:i/>
        </w:rPr>
        <w:t xml:space="preserve">Diabetes Metab</w:t>
      </w:r>
      <w:r>
        <w:t xml:space="preserve"> </w:t>
      </w:r>
      <w:r>
        <w:t xml:space="preserve">· Effect of liraglutide on physical performance in type 2 diabetes: Results of a randomized, double-blind, controlled trial (LIPER2). PMID 30223083</w:t>
      </w:r>
    </w:p>
    <w:p>
      <w:pPr>
        <w:numPr>
          <w:ilvl w:val="0"/>
          <w:numId w:val="1376"/>
        </w:numPr>
        <w:pStyle w:val="Compact"/>
      </w:pPr>
      <w:r>
        <w:t xml:space="preserve">2019 · Watson KT ·</w:t>
      </w:r>
      <w:r>
        <w:t xml:space="preserve"> </w:t>
      </w:r>
      <w:r>
        <w:rPr>
          <w:iCs/>
          <w:i/>
        </w:rPr>
        <w:t xml:space="preserve">Behav Brain Res</w:t>
      </w:r>
      <w:r>
        <w:t xml:space="preserve"> </w:t>
      </w:r>
      <w:r>
        <w:t xml:space="preserve">· Neural correlates of liraglutide effects in persons at risk for Alzheimer’s disease. PMID 30099030</w:t>
      </w:r>
    </w:p>
    <w:p>
      <w:pPr>
        <w:numPr>
          <w:ilvl w:val="0"/>
          <w:numId w:val="1376"/>
        </w:numPr>
        <w:pStyle w:val="Compact"/>
      </w:pPr>
      <w:r>
        <w:t xml:space="preserve">2019 · Takase T ·</w:t>
      </w:r>
      <w:r>
        <w:t xml:space="preserve"> </w:t>
      </w:r>
      <w:r>
        <w:rPr>
          <w:iCs/>
          <w:i/>
        </w:rPr>
        <w:t xml:space="preserve">J Diabetes Investig</w:t>
      </w:r>
      <w:r>
        <w:t xml:space="preserve"> </w:t>
      </w:r>
      <w:r>
        <w:t xml:space="preserve">· Improvement in treatment satisfaction after switching from liraglutide to dulaglutide in patients with type 2 diabetes: A randomized controlled trial. PMID 30076787</w:t>
      </w:r>
    </w:p>
    <w:p>
      <w:pPr>
        <w:numPr>
          <w:ilvl w:val="0"/>
          <w:numId w:val="1376"/>
        </w:numPr>
        <w:pStyle w:val="Compact"/>
      </w:pPr>
      <w:r>
        <w:t xml:space="preserve">2019 · Matikainen N ·</w:t>
      </w:r>
      <w:r>
        <w:t xml:space="preserve"> </w:t>
      </w:r>
      <w:r>
        <w:rPr>
          <w:iCs/>
          <w:i/>
        </w:rPr>
        <w:t xml:space="preserve">Diabetes Obes Metab</w:t>
      </w:r>
      <w:r>
        <w:t xml:space="preserve"> </w:t>
      </w:r>
      <w:r>
        <w:t xml:space="preserve">· Liraglutide treatment improves postprandial lipid metabolism and cardiometabolic risk factors in humans with adequately controlled type 2 diabetes: A single-centre randomized controlled study. PMID 30073766</w:t>
      </w:r>
    </w:p>
    <w:p>
      <w:pPr>
        <w:numPr>
          <w:ilvl w:val="0"/>
          <w:numId w:val="1376"/>
        </w:numPr>
        <w:pStyle w:val="Compact"/>
      </w:pPr>
      <w:r>
        <w:t xml:space="preserve">2019 · Overgaard RV ·</w:t>
      </w:r>
      <w:r>
        <w:t xml:space="preserve"> </w:t>
      </w:r>
      <w:r>
        <w:rPr>
          <w:iCs/>
          <w:i/>
        </w:rPr>
        <w:t xml:space="preserve">Diabetes Obes Metab</w:t>
      </w:r>
      <w:r>
        <w:t xml:space="preserve"> </w:t>
      </w:r>
      <w:r>
        <w:t xml:space="preserve">· Impact on HbA1c and body weight of switching from other GLP-1 receptor agonists to semaglutide: A model-based approach. PMID 30047216</w:t>
      </w:r>
    </w:p>
    <w:p>
      <w:pPr>
        <w:numPr>
          <w:ilvl w:val="0"/>
          <w:numId w:val="1376"/>
        </w:numPr>
        <w:pStyle w:val="Compact"/>
      </w:pPr>
      <w:r>
        <w:t xml:space="preserve">2019 · Feng WH ·</w:t>
      </w:r>
      <w:r>
        <w:t xml:space="preserve"> </w:t>
      </w:r>
      <w:r>
        <w:rPr>
          <w:iCs/>
          <w:i/>
        </w:rPr>
        <w:t xml:space="preserve">J Diabetes Investig</w:t>
      </w:r>
      <w:r>
        <w:t xml:space="preserve"> </w:t>
      </w:r>
      <w:r>
        <w:t xml:space="preserve">· Effects of liraglutide, metformin and gliclazide on body composition in patients with both type 2 diabetes and non-alcoholic fatty liver disease: A randomized trial. PMID 29957886</w:t>
      </w:r>
    </w:p>
    <w:p>
      <w:pPr>
        <w:numPr>
          <w:ilvl w:val="0"/>
          <w:numId w:val="1376"/>
        </w:numPr>
        <w:pStyle w:val="Compact"/>
      </w:pPr>
      <w:r>
        <w:t xml:space="preserve">2019 · Nielsen R ·</w:t>
      </w:r>
      <w:r>
        <w:t xml:space="preserve"> </w:t>
      </w:r>
      <w:r>
        <w:rPr>
          <w:iCs/>
          <w:i/>
        </w:rPr>
        <w:t xml:space="preserve">J Nucl Cardiol</w:t>
      </w:r>
      <w:r>
        <w:t xml:space="preserve"> </w:t>
      </w:r>
      <w:r>
        <w:t xml:space="preserve">· Effect of liraglutide on myocardial glucose uptake and blood flow in stable chronic heart failure patients: A double-blind, randomized, placebo-controlled LIVE sub-study. PMID 28770459</w:t>
      </w:r>
    </w:p>
    <w:p>
      <w:pPr>
        <w:numPr>
          <w:ilvl w:val="0"/>
          <w:numId w:val="1376"/>
        </w:numPr>
        <w:pStyle w:val="Compact"/>
      </w:pPr>
      <w:r>
        <w:t xml:space="preserve">2018 · Mann JFE ·</w:t>
      </w:r>
      <w:r>
        <w:t xml:space="preserve"> </w:t>
      </w:r>
      <w:r>
        <w:rPr>
          <w:iCs/>
          <w:i/>
        </w:rPr>
        <w:t xml:space="preserve">Circulation</w:t>
      </w:r>
      <w:r>
        <w:t xml:space="preserve"> </w:t>
      </w:r>
      <w:r>
        <w:t xml:space="preserve">· Effects of Liraglutide Versus Placebo on Cardiovascular Events in Patients With Type 2 Diabetes Mellitus and Chronic Kidney Disease. PMID 30566006</w:t>
      </w:r>
    </w:p>
    <w:p>
      <w:pPr>
        <w:numPr>
          <w:ilvl w:val="0"/>
          <w:numId w:val="1376"/>
        </w:numPr>
        <w:pStyle w:val="Compact"/>
      </w:pPr>
      <w:r>
        <w:t xml:space="preserve">2018 · Verma S ·</w:t>
      </w:r>
      <w:r>
        <w:t xml:space="preserve"> </w:t>
      </w:r>
      <w:r>
        <w:rPr>
          <w:iCs/>
          <w:i/>
        </w:rPr>
        <w:t xml:space="preserve">Circulation</w:t>
      </w:r>
      <w:r>
        <w:t xml:space="preserve"> </w:t>
      </w:r>
      <w:r>
        <w:t xml:space="preserve">· Effects of Liraglutide on Cardiovascular Outcomes in Patients With Type 2 Diabetes Mellitus With or Without History of Myocardial Infarction or Stroke. PMID 30566004</w:t>
      </w:r>
    </w:p>
    <w:p>
      <w:pPr>
        <w:numPr>
          <w:ilvl w:val="0"/>
          <w:numId w:val="1376"/>
        </w:numPr>
        <w:pStyle w:val="Compact"/>
      </w:pPr>
      <w:r>
        <w:t xml:space="preserve">2018 · Simeone P ·</w:t>
      </w:r>
      <w:r>
        <w:t xml:space="preserve"> </w:t>
      </w:r>
      <w:r>
        <w:rPr>
          <w:iCs/>
          <w:i/>
        </w:rPr>
        <w:t xml:space="preserve">Nutrients</w:t>
      </w:r>
      <w:r>
        <w:t xml:space="preserve"> </w:t>
      </w:r>
      <w:r>
        <w:t xml:space="preserve">· Thromboxane-Dependent Platelet Activation in Obese Subjects with Prediabetes or Early Type 2 Diabetes: Effects of Liraglutide- or Lifestyle Changes-Induced Weight Loss. PMID 30513818</w:t>
      </w:r>
    </w:p>
    <w:p>
      <w:pPr>
        <w:numPr>
          <w:ilvl w:val="0"/>
          <w:numId w:val="1376"/>
        </w:numPr>
        <w:pStyle w:val="Compact"/>
      </w:pPr>
      <w:r>
        <w:t xml:space="preserve">2018 · Said OV ·</w:t>
      </w:r>
      <w:r>
        <w:t xml:space="preserve"> </w:t>
      </w:r>
      <w:r>
        <w:rPr>
          <w:iCs/>
          <w:i/>
        </w:rPr>
        <w:t xml:space="preserve">Wiad Lek</w:t>
      </w:r>
      <w:r>
        <w:t xml:space="preserve"> </w:t>
      </w:r>
      <w:r>
        <w:t xml:space="preserve">· Assessment of complex treatment influence on systemic inflammation in overweight type 2 diabetes patients. PMID 30267490</w:t>
      </w:r>
    </w:p>
    <w:p>
      <w:pPr>
        <w:numPr>
          <w:ilvl w:val="0"/>
          <w:numId w:val="1376"/>
        </w:numPr>
        <w:pStyle w:val="Compact"/>
      </w:pPr>
      <w:r>
        <w:t xml:space="preserve">2018 · Horie I ·</w:t>
      </w:r>
      <w:r>
        <w:t xml:space="preserve"> </w:t>
      </w:r>
      <w:r>
        <w:rPr>
          <w:iCs/>
          <w:i/>
        </w:rPr>
        <w:t xml:space="preserve">Diabetes Res Clin Pract</w:t>
      </w:r>
      <w:r>
        <w:t xml:space="preserve"> </w:t>
      </w:r>
      <w:r>
        <w:t xml:space="preserve">· Predictive factors of efficacy of combination therapy with basal insulin and liraglutide in type 2 diabetes when switched from longstanding basal-bolus insulin: Association between the responses of β- and α-cells to GLP-1 stimulation and the glycaemic control at 6 months after switching therapy. PMID 30194951</w:t>
      </w:r>
    </w:p>
    <w:p>
      <w:pPr>
        <w:numPr>
          <w:ilvl w:val="0"/>
          <w:numId w:val="1376"/>
        </w:numPr>
        <w:pStyle w:val="Compact"/>
      </w:pPr>
      <w:r>
        <w:t xml:space="preserve">2018 · O’Neil PM ·</w:t>
      </w:r>
      <w:r>
        <w:t xml:space="preserve"> </w:t>
      </w:r>
      <w:r>
        <w:rPr>
          <w:iCs/>
          <w:i/>
        </w:rPr>
        <w:t xml:space="preserve">Lancet</w:t>
      </w:r>
      <w:r>
        <w:t xml:space="preserve"> </w:t>
      </w:r>
      <w:r>
        <w:t xml:space="preserve">· Efficacy and safety of semaglutide compared with liraglutide and placebo for weight loss in patients with obesity: a randomised, double-blind, placebo and active controlled, dose-ranging, phase 2 trial. PMID 30122305</w:t>
      </w:r>
    </w:p>
    <w:p>
      <w:pPr>
        <w:numPr>
          <w:ilvl w:val="0"/>
          <w:numId w:val="1376"/>
        </w:numPr>
        <w:pStyle w:val="Compact"/>
      </w:pPr>
      <w:r>
        <w:t xml:space="preserve">2018 · Sharma A ·</w:t>
      </w:r>
      <w:r>
        <w:t xml:space="preserve"> </w:t>
      </w:r>
      <w:r>
        <w:rPr>
          <w:iCs/>
          <w:i/>
        </w:rPr>
        <w:t xml:space="preserve">ESC Heart Fail</w:t>
      </w:r>
      <w:r>
        <w:t xml:space="preserve"> </w:t>
      </w:r>
      <w:r>
        <w:t xml:space="preserve">· Liraglutide and weight loss among patients with advanced heart failure and a reduced ejection fraction: insights from the FIGHT trial. PMID 30120812</w:t>
      </w:r>
    </w:p>
    <w:p>
      <w:pPr>
        <w:numPr>
          <w:ilvl w:val="0"/>
          <w:numId w:val="1376"/>
        </w:numPr>
        <w:pStyle w:val="Compact"/>
      </w:pPr>
      <w:r>
        <w:t xml:space="preserve">2018 · Dhatariya K ·</w:t>
      </w:r>
      <w:r>
        <w:t xml:space="preserve"> </w:t>
      </w:r>
      <w:r>
        <w:rPr>
          <w:iCs/>
          <w:i/>
        </w:rPr>
        <w:t xml:space="preserve">Diabetes Care</w:t>
      </w:r>
      <w:r>
        <w:t xml:space="preserve"> </w:t>
      </w:r>
      <w:r>
        <w:t xml:space="preserve">· The Impact of Liraglutide on Diabetes-Related Foot Ulceration and Associated Complications in Patients With Type 2 Diabetes at High Risk for Cardiovascular Events: Results From the LEADER Trial. PMID 30072400</w:t>
      </w:r>
    </w:p>
    <w:p>
      <w:pPr>
        <w:numPr>
          <w:ilvl w:val="0"/>
          <w:numId w:val="1376"/>
        </w:numPr>
        <w:pStyle w:val="Compact"/>
      </w:pPr>
      <w:r>
        <w:t xml:space="preserve">2018 · Hiramatsu T ·</w:t>
      </w:r>
      <w:r>
        <w:t xml:space="preserve"> </w:t>
      </w:r>
      <w:r>
        <w:rPr>
          <w:iCs/>
          <w:i/>
        </w:rPr>
        <w:t xml:space="preserve">Eur J Clin Invest</w:t>
      </w:r>
      <w:r>
        <w:t xml:space="preserve"> </w:t>
      </w:r>
      <w:r>
        <w:t xml:space="preserve">· Liraglutide relieves cardiac dilated function than DPP-4 inhibitors. PMID 30054920</w:t>
      </w:r>
    </w:p>
    <w:p>
      <w:pPr>
        <w:numPr>
          <w:ilvl w:val="0"/>
          <w:numId w:val="1376"/>
        </w:numPr>
        <w:pStyle w:val="Compact"/>
      </w:pPr>
      <w:r>
        <w:t xml:space="preserve">2018 · Lingvay I ·</w:t>
      </w:r>
      <w:r>
        <w:t xml:space="preserve"> </w:t>
      </w:r>
      <w:r>
        <w:rPr>
          <w:iCs/>
          <w:i/>
        </w:rPr>
        <w:t xml:space="preserve">Diabetes Care</w:t>
      </w:r>
      <w:r>
        <w:t xml:space="preserve"> </w:t>
      </w:r>
      <w:r>
        <w:t xml:space="preserve">· A 26-Week Randomized Controlled Trial of Semaglutide Once Daily Versus Liraglutide and Placebo in Patients With Type 2 Diabetes Suboptimally Controlled on Diet and Exercise With or Without Metformin. PMID 30026333</w:t>
      </w:r>
    </w:p>
    <w:p>
      <w:pPr>
        <w:numPr>
          <w:ilvl w:val="0"/>
          <w:numId w:val="1376"/>
        </w:numPr>
        <w:pStyle w:val="Compact"/>
      </w:pPr>
      <w:r>
        <w:t xml:space="preserve">2018 · Vergès B ·</w:t>
      </w:r>
      <w:r>
        <w:t xml:space="preserve"> </w:t>
      </w:r>
      <w:r>
        <w:rPr>
          <w:iCs/>
          <w:i/>
        </w:rPr>
        <w:t xml:space="preserve">Arterioscler Thromb Vasc Biol</w:t>
      </w:r>
      <w:r>
        <w:t xml:space="preserve"> </w:t>
      </w:r>
      <w:r>
        <w:t xml:space="preserve">· Liraglutide Reduces Postprandial Hyperlipidemia by Increasing ApoB48 (Apolipoprotein B48) Catabolism and by Reducing ApoB48 Production in Patients With Type 2 Diabetes Mellitus. PMID 30026275</w:t>
      </w:r>
    </w:p>
    <w:p>
      <w:pPr>
        <w:numPr>
          <w:ilvl w:val="0"/>
          <w:numId w:val="1376"/>
        </w:numPr>
        <w:pStyle w:val="Compact"/>
      </w:pPr>
      <w:r>
        <w:t xml:space="preserve">2018 · Mather KJ ·</w:t>
      </w:r>
      <w:r>
        <w:t xml:space="preserve"> </w:t>
      </w:r>
      <w:r>
        <w:rPr>
          <w:iCs/>
          <w:i/>
        </w:rPr>
        <w:t xml:space="preserve">J Clin Endocrinol Metab</w:t>
      </w:r>
      <w:r>
        <w:t xml:space="preserve"> </w:t>
      </w:r>
      <w:r>
        <w:t xml:space="preserve">· Combination GLP-1 and Insulin Treatment Fails to Alter Myocardial Fuel Selection vs. Insulin Alone in Type 2 Diabetes. PMID 30020461</w:t>
      </w:r>
    </w:p>
    <w:p>
      <w:pPr>
        <w:numPr>
          <w:ilvl w:val="0"/>
          <w:numId w:val="1376"/>
        </w:numPr>
        <w:pStyle w:val="Compact"/>
      </w:pPr>
      <w:r>
        <w:t xml:space="preserve">2018 · Liu J ·</w:t>
      </w:r>
      <w:r>
        <w:t xml:space="preserve"> </w:t>
      </w:r>
      <w:r>
        <w:rPr>
          <w:iCs/>
          <w:i/>
        </w:rPr>
        <w:t xml:space="preserve">Peptides</w:t>
      </w:r>
      <w:r>
        <w:t xml:space="preserve"> </w:t>
      </w:r>
      <w:r>
        <w:t xml:space="preserve">· GLP-1 receptor agonists stimulate ANGPTL8 production through the PI3K/Akt pathway in a GLP-1 receptor-dependent manner. PMID 30003931</w:t>
      </w:r>
    </w:p>
    <w:p>
      <w:pPr>
        <w:numPr>
          <w:ilvl w:val="0"/>
          <w:numId w:val="1376"/>
        </w:numPr>
        <w:pStyle w:val="Compact"/>
      </w:pPr>
      <w:r>
        <w:t xml:space="preserve">2018 · Nauck MA ·</w:t>
      </w:r>
      <w:r>
        <w:t xml:space="preserve"> </w:t>
      </w:r>
      <w:r>
        <w:rPr>
          <w:iCs/>
          <w:i/>
        </w:rPr>
        <w:t xml:space="preserve">Diab Vasc Dis Res</w:t>
      </w:r>
      <w:r>
        <w:t xml:space="preserve"> </w:t>
      </w:r>
      <w:r>
        <w:t xml:space="preserve">· Cardiovascular outcomes in patients who experienced a myocardial infarction while treated with liraglutide versus placebo in the LEADER trial. PMID 29947247</w:t>
      </w:r>
    </w:p>
    <w:p>
      <w:pPr>
        <w:numPr>
          <w:ilvl w:val="0"/>
          <w:numId w:val="1376"/>
        </w:numPr>
        <w:pStyle w:val="Compact"/>
      </w:pPr>
      <w:r>
        <w:t xml:space="preserve">2018 · Zinman B ·</w:t>
      </w:r>
      <w:r>
        <w:t xml:space="preserve"> </w:t>
      </w:r>
      <w:r>
        <w:rPr>
          <w:iCs/>
          <w:i/>
        </w:rPr>
        <w:t xml:space="preserve">Diabetes Care</w:t>
      </w:r>
      <w:r>
        <w:t xml:space="preserve"> </w:t>
      </w:r>
      <w:r>
        <w:t xml:space="preserve">· Hypoglycemia, Cardiovascular Outcomes, and Death: The LEADER Experience. PMID 29903847</w:t>
      </w:r>
    </w:p>
    <w:p>
      <w:pPr>
        <w:numPr>
          <w:ilvl w:val="0"/>
          <w:numId w:val="1376"/>
        </w:numPr>
        <w:pStyle w:val="Compact"/>
      </w:pPr>
      <w:r>
        <w:t xml:space="preserve">2018 · Nauck MA ·</w:t>
      </w:r>
      <w:r>
        <w:t xml:space="preserve"> </w:t>
      </w:r>
      <w:r>
        <w:rPr>
          <w:iCs/>
          <w:i/>
        </w:rPr>
        <w:t xml:space="preserve">Diabetes Care</w:t>
      </w:r>
      <w:r>
        <w:t xml:space="preserve"> </w:t>
      </w:r>
      <w:r>
        <w:t xml:space="preserve">· Neoplasms Reported With Liraglutide or Placebo in People With Type 2 Diabetes: Results From the LEADER Randomized Trial. PMID 29898902</w:t>
      </w:r>
    </w:p>
    <w:p>
      <w:pPr>
        <w:numPr>
          <w:ilvl w:val="0"/>
          <w:numId w:val="1376"/>
        </w:numPr>
        <w:pStyle w:val="Compact"/>
      </w:pPr>
      <w:r>
        <w:t xml:space="preserve">2018 · Nexøe-Larsen CC ·</w:t>
      </w:r>
      <w:r>
        <w:t xml:space="preserve"> </w:t>
      </w:r>
      <w:r>
        <w:rPr>
          <w:iCs/>
          <w:i/>
        </w:rPr>
        <w:t xml:space="preserve">Diabetes Obes Metab</w:t>
      </w:r>
      <w:r>
        <w:t xml:space="preserve"> </w:t>
      </w:r>
      <w:r>
        <w:t xml:space="preserve">· Effects of liraglutide on gallbladder emptying: A randomized, placebo-controlled trial in adults with overweight or obesity. PMID 29892986</w:t>
      </w:r>
    </w:p>
    <w:p>
      <w:pPr>
        <w:numPr>
          <w:ilvl w:val="0"/>
          <w:numId w:val="1376"/>
        </w:numPr>
        <w:pStyle w:val="Compact"/>
      </w:pPr>
      <w:r>
        <w:t xml:space="preserve">2018 · Iepsen EW ·</w:t>
      </w:r>
      <w:r>
        <w:t xml:space="preserve"> </w:t>
      </w:r>
      <w:r>
        <w:rPr>
          <w:iCs/>
          <w:i/>
        </w:rPr>
        <w:t xml:space="preserve">Cell Metab</w:t>
      </w:r>
      <w:r>
        <w:t xml:space="preserve"> </w:t>
      </w:r>
      <w:r>
        <w:t xml:space="preserve">· Patients with Obesity Caused by Melanocortin-4 Receptor Mutations Can Be Treated with a Glucagon-like Peptide-1 Receptor Agonist. PMID 29861388</w:t>
      </w:r>
    </w:p>
    <w:p>
      <w:pPr>
        <w:numPr>
          <w:ilvl w:val="0"/>
          <w:numId w:val="1376"/>
        </w:numPr>
        <w:pStyle w:val="Compact"/>
      </w:pPr>
      <w:r>
        <w:t xml:space="preserve">2018 · Verma S ·</w:t>
      </w:r>
      <w:r>
        <w:t xml:space="preserve"> </w:t>
      </w:r>
      <w:r>
        <w:rPr>
          <w:iCs/>
          <w:i/>
        </w:rPr>
        <w:t xml:space="preserve">Circulation</w:t>
      </w:r>
      <w:r>
        <w:t xml:space="preserve"> </w:t>
      </w:r>
      <w:r>
        <w:t xml:space="preserve">· Effect of Liraglutide on Cardiovascular Events in Patients With Type 2 Diabetes Mellitus and Polyvascular Disease: Results of the LEADER Trial. PMID 29760228</w:t>
      </w:r>
    </w:p>
    <w:p>
      <w:pPr>
        <w:numPr>
          <w:ilvl w:val="0"/>
          <w:numId w:val="1376"/>
        </w:numPr>
        <w:pStyle w:val="Compact"/>
      </w:pPr>
      <w:r>
        <w:t xml:space="preserve">2018 · Salamun V ·</w:t>
      </w:r>
      <w:r>
        <w:t xml:space="preserve"> </w:t>
      </w:r>
      <w:r>
        <w:rPr>
          <w:iCs/>
          <w:i/>
        </w:rPr>
        <w:t xml:space="preserve">Eur J Endocrinol</w:t>
      </w:r>
      <w:r>
        <w:t xml:space="preserve"> </w:t>
      </w:r>
      <w:r>
        <w:t xml:space="preserve">· Liraglutide increases IVF pregnancy rates in obese PCOS women with poor response to first-line reproductive treatments: a pilot randomized study. PMID 29703793</w:t>
      </w:r>
    </w:p>
    <w:p>
      <w:pPr>
        <w:numPr>
          <w:ilvl w:val="0"/>
          <w:numId w:val="1376"/>
        </w:numPr>
        <w:pStyle w:val="Compact"/>
      </w:pPr>
      <w:r>
        <w:t xml:space="preserve">2018 · Chen XM ·</w:t>
      </w:r>
      <w:r>
        <w:t xml:space="preserve"> </w:t>
      </w:r>
      <w:r>
        <w:rPr>
          <w:iCs/>
          <w:i/>
        </w:rPr>
        <w:t xml:space="preserve">Cardiovasc Diabetol</w:t>
      </w:r>
      <w:r>
        <w:t xml:space="preserve"> </w:t>
      </w:r>
      <w:r>
        <w:t xml:space="preserve">· Liraglutide suppresses non-esterified free fatty acids and soluble vascular cell adhesion molecule-1 compared with metformin in patients with recent-onset type 2 diabetes. PMID 29636047</w:t>
      </w:r>
    </w:p>
    <w:p>
      <w:pPr>
        <w:numPr>
          <w:ilvl w:val="0"/>
          <w:numId w:val="1376"/>
        </w:numPr>
        <w:pStyle w:val="Compact"/>
      </w:pPr>
      <w:r>
        <w:t xml:space="preserve">2018 · Martinez R ·</w:t>
      </w:r>
      <w:r>
        <w:t xml:space="preserve"> </w:t>
      </w:r>
      <w:r>
        <w:rPr>
          <w:iCs/>
          <w:i/>
        </w:rPr>
        <w:t xml:space="preserve">Diabetes</w:t>
      </w:r>
      <w:r>
        <w:t xml:space="preserve"> </w:t>
      </w:r>
      <w:r>
        <w:t xml:space="preserve">· Endogenous Glucose Production and Hormonal Changes in Response to Canagliflozin and Liraglutide Combination Therapy. PMID 29602791</w:t>
      </w:r>
    </w:p>
    <w:p>
      <w:pPr>
        <w:numPr>
          <w:ilvl w:val="0"/>
          <w:numId w:val="1376"/>
        </w:numPr>
        <w:pStyle w:val="Compact"/>
      </w:pPr>
      <w:r>
        <w:t xml:space="preserve">2018 · Yamamoto S ·</w:t>
      </w:r>
      <w:r>
        <w:t xml:space="preserve"> </w:t>
      </w:r>
      <w:r>
        <w:rPr>
          <w:iCs/>
          <w:i/>
        </w:rPr>
        <w:t xml:space="preserve">Diabetes Res Clin Pract</w:t>
      </w:r>
      <w:r>
        <w:t xml:space="preserve"> </w:t>
      </w:r>
      <w:r>
        <w:t xml:space="preserve">· Comparison of liraglutide plus basal insulin and basal-bolus insulin therapy (BBIT) for glycemic control, body weight stability, and treatment satisfaction in patients treated using BBIT for type 2 diabetes without severe insulin deficiency: A randomized prospective pilot study. PMID 29588170</w:t>
      </w:r>
    </w:p>
    <w:p>
      <w:pPr>
        <w:numPr>
          <w:ilvl w:val="0"/>
          <w:numId w:val="1376"/>
        </w:numPr>
        <w:pStyle w:val="Compact"/>
      </w:pPr>
      <w:r>
        <w:t xml:space="preserve">2018 · Shankar SS ·</w:t>
      </w:r>
      <w:r>
        <w:t xml:space="preserve"> </w:t>
      </w:r>
      <w:r>
        <w:rPr>
          <w:iCs/>
          <w:i/>
        </w:rPr>
        <w:t xml:space="preserve">Diabetes</w:t>
      </w:r>
      <w:r>
        <w:t xml:space="preserve"> </w:t>
      </w:r>
      <w:r>
        <w:t xml:space="preserve">· Native Oxyntomodulin Has Significant Glucoregulatory Effects Independent of Weight Loss in Obese Humans With and Without Type 2 Diabetes. PMID 29545266</w:t>
      </w:r>
    </w:p>
    <w:p>
      <w:pPr>
        <w:numPr>
          <w:ilvl w:val="0"/>
          <w:numId w:val="1376"/>
        </w:numPr>
        <w:pStyle w:val="Compact"/>
      </w:pPr>
      <w:r>
        <w:t xml:space="preserve">2018 · Chedid V ·</w:t>
      </w:r>
      <w:r>
        <w:t xml:space="preserve"> </w:t>
      </w:r>
      <w:r>
        <w:rPr>
          <w:iCs/>
          <w:i/>
        </w:rPr>
        <w:t xml:space="preserve">Neurogastroenterol Motil</w:t>
      </w:r>
      <w:r>
        <w:t xml:space="preserve"> </w:t>
      </w:r>
      <w:r>
        <w:t xml:space="preserve">· Allelic variant in the glucagon-like peptide 1 receptor gene associated with greater effect of liraglutide and exenatide on gastric emptying: A pilot pharmacogenetics study. PMID 29488276</w:t>
      </w:r>
    </w:p>
    <w:p>
      <w:pPr>
        <w:numPr>
          <w:ilvl w:val="0"/>
          <w:numId w:val="1376"/>
        </w:numPr>
        <w:pStyle w:val="Compact"/>
      </w:pPr>
      <w:r>
        <w:t xml:space="preserve">2018 · Billings LK ·</w:t>
      </w:r>
      <w:r>
        <w:t xml:space="preserve"> </w:t>
      </w:r>
      <w:r>
        <w:rPr>
          <w:iCs/>
          <w:i/>
        </w:rPr>
        <w:t xml:space="preserve">Diabetes Care</w:t>
      </w:r>
      <w:r>
        <w:t xml:space="preserve"> </w:t>
      </w:r>
      <w:r>
        <w:t xml:space="preserve">· Efficacy and Safety of IDegLira Versus Basal-Bolus Insulin Therapy in Patients With Type 2 Diabetes Uncontrolled on Metformin and Basal Insulin: The DUAL VII Randomized Clinical Trial. PMID 29483185</w:t>
      </w:r>
    </w:p>
    <w:p>
      <w:pPr>
        <w:numPr>
          <w:ilvl w:val="0"/>
          <w:numId w:val="1376"/>
        </w:numPr>
        <w:pStyle w:val="Compact"/>
      </w:pPr>
      <w:r>
        <w:t xml:space="preserve">2018 · Kaneko M ·</w:t>
      </w:r>
      <w:r>
        <w:t xml:space="preserve"> </w:t>
      </w:r>
      <w:r>
        <w:rPr>
          <w:iCs/>
          <w:i/>
        </w:rPr>
        <w:t xml:space="preserve">Ann Pharmacother</w:t>
      </w:r>
      <w:r>
        <w:t xml:space="preserve"> </w:t>
      </w:r>
      <w:r>
        <w:t xml:space="preserve">· Assessment of Cardiovascular Risk With Glucagon-Like Peptide 1 Receptor Agonists in Patients With Type 2 Diabetes Using an Alternative Measure to the Hazard Ratio. PMID 29424239</w:t>
      </w:r>
    </w:p>
    <w:p>
      <w:pPr>
        <w:numPr>
          <w:ilvl w:val="0"/>
          <w:numId w:val="1376"/>
        </w:numPr>
        <w:pStyle w:val="Compact"/>
      </w:pPr>
      <w:r>
        <w:t xml:space="preserve">2018 · Capristo E ·</w:t>
      </w:r>
      <w:r>
        <w:t xml:space="preserve"> </w:t>
      </w:r>
      <w:r>
        <w:rPr>
          <w:iCs/>
          <w:i/>
        </w:rPr>
        <w:t xml:space="preserve">Diabetes Metab</w:t>
      </w:r>
      <w:r>
        <w:t xml:space="preserve"> </w:t>
      </w:r>
      <w:r>
        <w:t xml:space="preserve">· Intensive lifestyle modifications with or without liraglutide 3mg vs. sleeve gastrectomy: A three-arm non-randomised, controlled, pilot study. PMID 29398254</w:t>
      </w:r>
    </w:p>
    <w:p>
      <w:pPr>
        <w:numPr>
          <w:ilvl w:val="0"/>
          <w:numId w:val="1376"/>
        </w:numPr>
        <w:pStyle w:val="Compact"/>
      </w:pPr>
      <w:r>
        <w:t xml:space="preserve">2018 · Tonneijck L ·</w:t>
      </w:r>
      <w:r>
        <w:t xml:space="preserve"> </w:t>
      </w:r>
      <w:r>
        <w:rPr>
          <w:iCs/>
          <w:i/>
        </w:rPr>
        <w:t xml:space="preserve">Diabetes Obes Metab</w:t>
      </w:r>
      <w:r>
        <w:t xml:space="preserve"> </w:t>
      </w:r>
      <w:r>
        <w:t xml:space="preserve">· Effect of immediate and prolonged GLP-1 receptor agonist administration on uric acid and kidney clearance: Post-hoc analyses of four clinical trials. PMID 29341461</w:t>
      </w:r>
    </w:p>
    <w:p>
      <w:pPr>
        <w:numPr>
          <w:ilvl w:val="0"/>
          <w:numId w:val="1376"/>
        </w:numPr>
        <w:pStyle w:val="Compact"/>
      </w:pPr>
      <w:r>
        <w:t xml:space="preserve">2018 · Lambadiari V ·</w:t>
      </w:r>
      <w:r>
        <w:t xml:space="preserve"> </w:t>
      </w:r>
      <w:r>
        <w:rPr>
          <w:iCs/>
          <w:i/>
        </w:rPr>
        <w:t xml:space="preserve">Cardiovasc Diabetol</w:t>
      </w:r>
      <w:r>
        <w:t xml:space="preserve"> </w:t>
      </w:r>
      <w:r>
        <w:t xml:space="preserve">· Effects of 6-month treatment with the glucagon like peptide-1 analogue liraglutide on arterial stiffness, left ventricular myocardial deformation and oxidative stress in subjects with newly diagnosed type 2 diabetes. PMID 29310645</w:t>
      </w:r>
    </w:p>
    <w:p>
      <w:pPr>
        <w:numPr>
          <w:ilvl w:val="0"/>
          <w:numId w:val="1376"/>
        </w:numPr>
        <w:pStyle w:val="Compact"/>
      </w:pPr>
      <w:r>
        <w:t xml:space="preserve">2018 · Hegedüs L ·</w:t>
      </w:r>
      <w:r>
        <w:t xml:space="preserve"> </w:t>
      </w:r>
      <w:r>
        <w:rPr>
          <w:iCs/>
          <w:i/>
        </w:rPr>
        <w:t xml:space="preserve">Diabetes Care</w:t>
      </w:r>
      <w:r>
        <w:t xml:space="preserve"> </w:t>
      </w:r>
      <w:r>
        <w:t xml:space="preserve">· No Evidence of Increase in Calcitonin Concentrations or Development of C-Cell Malignancy in Response to Liraglutide for Up to 5 Years in the LEADER Trial. PMID 29279300</w:t>
      </w:r>
    </w:p>
    <w:p>
      <w:pPr>
        <w:numPr>
          <w:ilvl w:val="0"/>
          <w:numId w:val="1376"/>
        </w:numPr>
        <w:pStyle w:val="Compact"/>
      </w:pPr>
      <w:r>
        <w:t xml:space="preserve">2018 · Kaneko S ·</w:t>
      </w:r>
      <w:r>
        <w:t xml:space="preserve"> </w:t>
      </w:r>
      <w:r>
        <w:rPr>
          <w:iCs/>
          <w:i/>
        </w:rPr>
        <w:t xml:space="preserve">J Diabetes Investig</w:t>
      </w:r>
      <w:r>
        <w:t xml:space="preserve"> </w:t>
      </w:r>
      <w:r>
        <w:t xml:space="preserve">· Efficacy and safety of adding liraglutide to existing insulin regimens in Japanese patients with type 2 diabetes mellitus: A post-hoc analysis of a phase 3 randomized clinical trial. PMID 29277968</w:t>
      </w:r>
    </w:p>
    <w:p>
      <w:pPr>
        <w:numPr>
          <w:ilvl w:val="0"/>
          <w:numId w:val="1376"/>
        </w:numPr>
        <w:pStyle w:val="Compact"/>
      </w:pPr>
      <w:r>
        <w:t xml:space="preserve">2018 · Polderman JAW ·</w:t>
      </w:r>
      <w:r>
        <w:t xml:space="preserve"> </w:t>
      </w:r>
      <w:r>
        <w:rPr>
          <w:iCs/>
          <w:i/>
        </w:rPr>
        <w:t xml:space="preserve">Anaesthesia</w:t>
      </w:r>
      <w:r>
        <w:t xml:space="preserve"> </w:t>
      </w:r>
      <w:r>
        <w:t xml:space="preserve">· Peri-operative management of patients with type-2 diabetes mellitus undergoing non-cardiac surgery using liraglutide, glucose-insulin-potassium infusion or intravenous insulin bolus regimens: a randomised controlled trial. PMID 29230803</w:t>
      </w:r>
    </w:p>
    <w:p>
      <w:pPr>
        <w:numPr>
          <w:ilvl w:val="0"/>
          <w:numId w:val="1376"/>
        </w:numPr>
        <w:pStyle w:val="Compact"/>
      </w:pPr>
      <w:r>
        <w:t xml:space="preserve">2018 · Galderisi A ·</w:t>
      </w:r>
      <w:r>
        <w:t xml:space="preserve"> </w:t>
      </w:r>
      <w:r>
        <w:rPr>
          <w:iCs/>
          <w:i/>
        </w:rPr>
        <w:t xml:space="preserve">J Clin Endocrinol Metab</w:t>
      </w:r>
      <w:r>
        <w:t xml:space="preserve"> </w:t>
      </w:r>
      <w:r>
        <w:t xml:space="preserve">· Pramlintide but Not Liraglutide Suppresses Meal-Stimulated Glucagon Responses in Type 1 Diabetes. PMID 29211871</w:t>
      </w:r>
    </w:p>
    <w:p>
      <w:pPr>
        <w:numPr>
          <w:ilvl w:val="0"/>
          <w:numId w:val="1376"/>
        </w:numPr>
        <w:pStyle w:val="Compact"/>
      </w:pPr>
      <w:r>
        <w:t xml:space="preserve">2018 · Tran S ·</w:t>
      </w:r>
      <w:r>
        <w:t xml:space="preserve"> </w:t>
      </w:r>
      <w:r>
        <w:rPr>
          <w:iCs/>
          <w:i/>
        </w:rPr>
        <w:t xml:space="preserve">Am J Physiol Endocrinol Metab</w:t>
      </w:r>
      <w:r>
        <w:t xml:space="preserve"> </w:t>
      </w:r>
      <w:r>
        <w:t xml:space="preserve">· Effect of chronic liraglutide therapy and its withdrawal on time to postchallenge peak glucose in type 2 diabetes. PMID 29183873</w:t>
      </w:r>
    </w:p>
    <w:p>
      <w:pPr>
        <w:numPr>
          <w:ilvl w:val="0"/>
          <w:numId w:val="1376"/>
        </w:numPr>
        <w:pStyle w:val="Compact"/>
      </w:pPr>
      <w:r>
        <w:t xml:space="preserve">2018 · Evans M ·</w:t>
      </w:r>
      <w:r>
        <w:t xml:space="preserve"> </w:t>
      </w:r>
      <w:r>
        <w:rPr>
          <w:iCs/>
          <w:i/>
        </w:rPr>
        <w:t xml:space="preserve">J Med Econ</w:t>
      </w:r>
      <w:r>
        <w:t xml:space="preserve"> </w:t>
      </w:r>
      <w:r>
        <w:t xml:space="preserve">· An indirect treatment comparison of the efficacy of insulin degludec/liraglutide (IDegLira) and insulin glargine/lixisenatide (iGlarLixi) in patients with type 2 diabetes uncontrolled on basal insulin. PMID 29164973</w:t>
      </w:r>
    </w:p>
    <w:p>
      <w:pPr>
        <w:numPr>
          <w:ilvl w:val="0"/>
          <w:numId w:val="1376"/>
        </w:numPr>
        <w:pStyle w:val="Compact"/>
      </w:pPr>
      <w:r>
        <w:t xml:space="preserve">2018 · Tzanetakos C ·</w:t>
      </w:r>
      <w:r>
        <w:t xml:space="preserve"> </w:t>
      </w:r>
      <w:r>
        <w:rPr>
          <w:iCs/>
          <w:i/>
        </w:rPr>
        <w:t xml:space="preserve">Clin Drug Investig</w:t>
      </w:r>
      <w:r>
        <w:t xml:space="preserve"> </w:t>
      </w:r>
      <w:r>
        <w:t xml:space="preserve">· Cost Effectiveness of Exenatide Once Weekly Versus Insulin Glargine and Liraglutide for the Treatment of Type 2 Diabetes Mellitus in Greece. PMID 29080210</w:t>
      </w:r>
    </w:p>
    <w:p>
      <w:pPr>
        <w:numPr>
          <w:ilvl w:val="0"/>
          <w:numId w:val="1376"/>
        </w:numPr>
        <w:pStyle w:val="Compact"/>
      </w:pPr>
      <w:r>
        <w:t xml:space="preserve">2018 · Kolotkin RL ·</w:t>
      </w:r>
      <w:r>
        <w:t xml:space="preserve"> </w:t>
      </w:r>
      <w:r>
        <w:rPr>
          <w:iCs/>
          <w:i/>
        </w:rPr>
        <w:t xml:space="preserve">Clin Obes</w:t>
      </w:r>
      <w:r>
        <w:t xml:space="preserve"> </w:t>
      </w:r>
      <w:r>
        <w:t xml:space="preserve">· Improvements in health-related quality of life over 3 years with liraglutide 3.0 mg compared with placebo in participants with overweight or obesity. PMID 29045079</w:t>
      </w:r>
    </w:p>
    <w:p>
      <w:pPr>
        <w:numPr>
          <w:ilvl w:val="0"/>
          <w:numId w:val="1376"/>
        </w:numPr>
        <w:pStyle w:val="Compact"/>
      </w:pPr>
      <w:r>
        <w:t xml:space="preserve">2018 · Kiyosue A ·</w:t>
      </w:r>
      <w:r>
        <w:t xml:space="preserve"> </w:t>
      </w:r>
      <w:r>
        <w:rPr>
          <w:iCs/>
          <w:i/>
        </w:rPr>
        <w:t xml:space="preserve">J Diabetes Investig</w:t>
      </w:r>
      <w:r>
        <w:t xml:space="preserve"> </w:t>
      </w:r>
      <w:r>
        <w:t xml:space="preserve">· Safety and efficacy of the combination of the glucagon-like peptide-1 receptor agonist liraglutide with an oral antidiabetic drug in Japanese patients with type 2 diabetes: Post-hoc analysis of a randomized, 52-week, open-label, parallel-group trial. PMID 28984041</w:t>
      </w:r>
    </w:p>
    <w:p>
      <w:pPr>
        <w:numPr>
          <w:ilvl w:val="0"/>
          <w:numId w:val="1376"/>
        </w:numPr>
        <w:pStyle w:val="Compact"/>
      </w:pPr>
      <w:r>
        <w:t xml:space="preserve">2018 · Dubé MC ·</w:t>
      </w:r>
      <w:r>
        <w:t xml:space="preserve"> </w:t>
      </w:r>
      <w:r>
        <w:rPr>
          <w:iCs/>
          <w:i/>
        </w:rPr>
        <w:t xml:space="preserve">Diabetes Obes Metab</w:t>
      </w:r>
      <w:r>
        <w:t xml:space="preserve"> </w:t>
      </w:r>
      <w:r>
        <w:t xml:space="preserve">· Beyond glycaemic control: A cross-over, double-blinded, 24-week intervention with liraglutide in type 1 diabetes. PMID 28722271</w:t>
      </w:r>
    </w:p>
    <w:p>
      <w:pPr>
        <w:numPr>
          <w:ilvl w:val="0"/>
          <w:numId w:val="1376"/>
        </w:numPr>
        <w:pStyle w:val="Compact"/>
      </w:pPr>
      <w:r>
        <w:t xml:space="preserve">2018 · Frøssing S ·</w:t>
      </w:r>
      <w:r>
        <w:t xml:space="preserve"> </w:t>
      </w:r>
      <w:r>
        <w:rPr>
          <w:iCs/>
          <w:i/>
        </w:rPr>
        <w:t xml:space="preserve">Diabetes Obes Metab</w:t>
      </w:r>
      <w:r>
        <w:t xml:space="preserve"> </w:t>
      </w:r>
      <w:r>
        <w:t xml:space="preserve">· Effect of liraglutide on ectopic fat in polycystic ovary syndrome: A randomized clinical trial. PMID 28681988</w:t>
      </w:r>
    </w:p>
    <w:p>
      <w:pPr>
        <w:numPr>
          <w:ilvl w:val="0"/>
          <w:numId w:val="1376"/>
        </w:numPr>
        <w:pStyle w:val="Compact"/>
      </w:pPr>
      <w:r>
        <w:t xml:space="preserve">2018 · Lingvay I ·</w:t>
      </w:r>
      <w:r>
        <w:t xml:space="preserve"> </w:t>
      </w:r>
      <w:r>
        <w:rPr>
          <w:iCs/>
          <w:i/>
        </w:rPr>
        <w:t xml:space="preserve">Diabetes Obes Metab</w:t>
      </w:r>
      <w:r>
        <w:t xml:space="preserve"> </w:t>
      </w:r>
      <w:r>
        <w:t xml:space="preserve">· Insulin degludec/liraglutide (IDegLira) was effective across a range of dysglycaemia and body mass index categories in the DUAL V randomized trial. PMID 28643425</w:t>
      </w:r>
    </w:p>
    <w:p>
      <w:pPr>
        <w:numPr>
          <w:ilvl w:val="0"/>
          <w:numId w:val="1376"/>
        </w:numPr>
        <w:pStyle w:val="Compact"/>
      </w:pPr>
      <w:r>
        <w:t xml:space="preserve">2018 · Koska J ·</w:t>
      </w:r>
      <w:r>
        <w:t xml:space="preserve"> </w:t>
      </w:r>
      <w:r>
        <w:rPr>
          <w:iCs/>
          <w:i/>
        </w:rPr>
        <w:t xml:space="preserve">Diabetes Obes Metab</w:t>
      </w:r>
      <w:r>
        <w:t xml:space="preserve"> </w:t>
      </w:r>
      <w:r>
        <w:t xml:space="preserve">· Effect of liraglutide on dietary lipid-induced insulin resistance in humans. PMID 28605158</w:t>
      </w:r>
    </w:p>
    <w:p>
      <w:pPr>
        <w:numPr>
          <w:ilvl w:val="0"/>
          <w:numId w:val="1376"/>
        </w:numPr>
        <w:pStyle w:val="Compact"/>
      </w:pPr>
      <w:r>
        <w:t xml:space="preserve">2018 · Seino Y ·</w:t>
      </w:r>
      <w:r>
        <w:t xml:space="preserve"> </w:t>
      </w:r>
      <w:r>
        <w:rPr>
          <w:iCs/>
          <w:i/>
        </w:rPr>
        <w:t xml:space="preserve">J Diabetes Investig</w:t>
      </w:r>
      <w:r>
        <w:t xml:space="preserve"> </w:t>
      </w:r>
      <w:r>
        <w:t xml:space="preserve">· Sodium-glucose cotransporter-2 inhibitor luseogliflozin added to glucagon-like peptide 1 receptor agonist liraglutide improves glycemic control with bodyweight and fat mass reductions in Japanese patients with type 2 diabetes: A 52-week, open-label, single-arm study. PMID 28502112</w:t>
      </w:r>
    </w:p>
    <w:p>
      <w:pPr>
        <w:numPr>
          <w:ilvl w:val="0"/>
          <w:numId w:val="1376"/>
        </w:numPr>
        <w:pStyle w:val="Compact"/>
      </w:pPr>
      <w:r>
        <w:t xml:space="preserve">2017 · Gejl M ·</w:t>
      </w:r>
      <w:r>
        <w:t xml:space="preserve"> </w:t>
      </w:r>
      <w:r>
        <w:rPr>
          <w:iCs/>
          <w:i/>
        </w:rPr>
        <w:t xml:space="preserve">Sci Rep</w:t>
      </w:r>
      <w:r>
        <w:t xml:space="preserve"> </w:t>
      </w:r>
      <w:r>
        <w:t xml:space="preserve">· Blood-Brain Glucose Transfer in Alzheimer’s disease: Effect of GLP-1 Analog Treatment. PMID 29235507</w:t>
      </w:r>
    </w:p>
    <w:p>
      <w:pPr>
        <w:numPr>
          <w:ilvl w:val="0"/>
          <w:numId w:val="1376"/>
        </w:numPr>
        <w:pStyle w:val="Compact"/>
      </w:pPr>
      <w:r>
        <w:t xml:space="preserve">2017 · le Roux C ·</w:t>
      </w:r>
      <w:r>
        <w:t xml:space="preserve"> </w:t>
      </w:r>
      <w:r>
        <w:rPr>
          <w:iCs/>
          <w:i/>
        </w:rPr>
        <w:t xml:space="preserve">Obes Facts</w:t>
      </w:r>
      <w:r>
        <w:t xml:space="preserve"> </w:t>
      </w:r>
      <w:r>
        <w:t xml:space="preserve">· Comparison of Efficacy and Safety of Liraglutide 3.0 mg in Individuals with BMI above and below 35 kg/m²: A Post-hoc Analysis. PMID 29145215</w:t>
      </w:r>
    </w:p>
    <w:p>
      <w:pPr>
        <w:numPr>
          <w:ilvl w:val="0"/>
          <w:numId w:val="1376"/>
        </w:numPr>
        <w:pStyle w:val="Compact"/>
      </w:pPr>
      <w:r>
        <w:t xml:space="preserve">2017 · Davidson JA ·</w:t>
      </w:r>
      <w:r>
        <w:t xml:space="preserve"> </w:t>
      </w:r>
      <w:r>
        <w:rPr>
          <w:iCs/>
          <w:i/>
        </w:rPr>
        <w:t xml:space="preserve">Postgrad Med</w:t>
      </w:r>
      <w:r>
        <w:t xml:space="preserve"> </w:t>
      </w:r>
      <w:r>
        <w:t xml:space="preserve">· Albiglutide efficacy and safety in the Latino/Hispanic subpopulation for the integrated phase III program. PMID 29083275</w:t>
      </w:r>
    </w:p>
    <w:p>
      <w:pPr>
        <w:numPr>
          <w:ilvl w:val="0"/>
          <w:numId w:val="1376"/>
        </w:numPr>
        <w:pStyle w:val="Compact"/>
      </w:pPr>
      <w:r>
        <w:t xml:space="preserve">2017 · Ferjan S ·</w:t>
      </w:r>
      <w:r>
        <w:t xml:space="preserve"> </w:t>
      </w:r>
      <w:r>
        <w:rPr>
          <w:iCs/>
          <w:i/>
        </w:rPr>
        <w:t xml:space="preserve">Metab Syndr Relat Disord</w:t>
      </w:r>
      <w:r>
        <w:t xml:space="preserve"> </w:t>
      </w:r>
      <w:r>
        <w:t xml:space="preserve">· Dipeptidyl Peptidase-4 Inhibitor Sitagliptin Prevented Weight Regain in Obese Women with Polycystic Ovary Syndrome Previously Treated with Liraglutide: A Pilot Randomized Study. PMID 29064743</w:t>
      </w:r>
    </w:p>
    <w:p>
      <w:pPr>
        <w:numPr>
          <w:ilvl w:val="0"/>
          <w:numId w:val="1376"/>
        </w:numPr>
        <w:pStyle w:val="Compact"/>
      </w:pPr>
      <w:r>
        <w:t xml:space="preserve">2017 · Halawi H ·</w:t>
      </w:r>
      <w:r>
        <w:t xml:space="preserve"> </w:t>
      </w:r>
      <w:r>
        <w:rPr>
          <w:iCs/>
          <w:i/>
        </w:rPr>
        <w:t xml:space="preserve">Lancet Gastroenterol Hepatol</w:t>
      </w:r>
      <w:r>
        <w:t xml:space="preserve"> </w:t>
      </w:r>
      <w:r>
        <w:t xml:space="preserve">· Effects of liraglutide on weight, satiation, and gastric functions in obesity: a randomised, placebo-controlled pilot trial. PMID 28958851</w:t>
      </w:r>
    </w:p>
    <w:p>
      <w:pPr>
        <w:numPr>
          <w:ilvl w:val="0"/>
          <w:numId w:val="1376"/>
        </w:numPr>
        <w:pStyle w:val="Compact"/>
      </w:pPr>
      <w:r>
        <w:t xml:space="preserve">2017 · de Wit HM ·</w:t>
      </w:r>
      <w:r>
        <w:t xml:space="preserve"> </w:t>
      </w:r>
      <w:r>
        <w:rPr>
          <w:iCs/>
          <w:i/>
        </w:rPr>
        <w:t xml:space="preserve">Neth J Med</w:t>
      </w:r>
      <w:r>
        <w:t xml:space="preserve"> </w:t>
      </w:r>
      <w:r>
        <w:t xml:space="preserve">· A cost-controlling treatment strategy of adding liraglutide to insulin in type 2 diabetes. PMID 28956786</w:t>
      </w:r>
    </w:p>
    <w:p>
      <w:pPr>
        <w:numPr>
          <w:ilvl w:val="0"/>
          <w:numId w:val="1376"/>
        </w:numPr>
        <w:pStyle w:val="Compact"/>
      </w:pPr>
      <w:r>
        <w:t xml:space="preserve">2017 · Santilli F ·</w:t>
      </w:r>
      <w:r>
        <w:t xml:space="preserve"> </w:t>
      </w:r>
      <w:r>
        <w:rPr>
          <w:iCs/>
          <w:i/>
        </w:rPr>
        <w:t xml:space="preserve">Diabetes Care</w:t>
      </w:r>
      <w:r>
        <w:t xml:space="preserve"> </w:t>
      </w:r>
      <w:r>
        <w:t xml:space="preserve">· Effects of Liraglutide on Weight Loss, Fat Distribution, and β-Cell Function in Obese Subjects With Prediabetes or Early Type 2 Diabetes. PMID 28912305</w:t>
      </w:r>
    </w:p>
    <w:p>
      <w:pPr>
        <w:numPr>
          <w:ilvl w:val="0"/>
          <w:numId w:val="1376"/>
        </w:numPr>
        <w:pStyle w:val="Compact"/>
      </w:pPr>
      <w:r>
        <w:t xml:space="preserve">2017 · Mann JFE ·</w:t>
      </w:r>
      <w:r>
        <w:t xml:space="preserve"> </w:t>
      </w:r>
      <w:r>
        <w:rPr>
          <w:iCs/>
          <w:i/>
        </w:rPr>
        <w:t xml:space="preserve">N Engl J Med</w:t>
      </w:r>
      <w:r>
        <w:t xml:space="preserve"> </w:t>
      </w:r>
      <w:r>
        <w:t xml:space="preserve">· Liraglutide and Renal Outcomes in Type 2 Diabetes. PMID 28854085</w:t>
      </w:r>
    </w:p>
    <w:p>
      <w:pPr>
        <w:numPr>
          <w:ilvl w:val="0"/>
          <w:numId w:val="1376"/>
        </w:numPr>
        <w:pStyle w:val="Compact"/>
      </w:pPr>
      <w:r>
        <w:t xml:space="preserve">2017 · Frias JP ·</w:t>
      </w:r>
      <w:r>
        <w:t xml:space="preserve"> </w:t>
      </w:r>
      <w:r>
        <w:rPr>
          <w:iCs/>
          <w:i/>
        </w:rPr>
        <w:t xml:space="preserve">Cell Metab</w:t>
      </w:r>
      <w:r>
        <w:t xml:space="preserve"> </w:t>
      </w:r>
      <w:r>
        <w:t xml:space="preserve">· The Sustained Effects of a Dual GIP/GLP-1 Receptor Agonist, NNC0090-2746, in Patients with Type 2 Diabetes. PMID 28768173</w:t>
      </w:r>
    </w:p>
    <w:p>
      <w:pPr>
        <w:numPr>
          <w:ilvl w:val="0"/>
          <w:numId w:val="1376"/>
        </w:numPr>
        <w:pStyle w:val="Compact"/>
      </w:pPr>
      <w:r>
        <w:t xml:space="preserve">2017 · Hunt B ·</w:t>
      </w:r>
      <w:r>
        <w:t xml:space="preserve"> </w:t>
      </w:r>
      <w:r>
        <w:rPr>
          <w:iCs/>
          <w:i/>
        </w:rPr>
        <w:t xml:space="preserve">Clin Ther</w:t>
      </w:r>
      <w:r>
        <w:t xml:space="preserve"> </w:t>
      </w:r>
      <w:r>
        <w:t xml:space="preserve">· Long-term Cost-effectiveness of Two GLP-1 Receptor Agonists for the Treatment of Type 2 Diabetes Mellitus in the Italian Setting: Liraglutide Versus Lixisenatide. PMID 28625506</w:t>
      </w:r>
    </w:p>
    <w:p>
      <w:pPr>
        <w:numPr>
          <w:ilvl w:val="0"/>
          <w:numId w:val="1376"/>
        </w:numPr>
        <w:pStyle w:val="Compact"/>
      </w:pPr>
      <w:r>
        <w:t xml:space="preserve">2017 · Pokala N ·</w:t>
      </w:r>
      <w:r>
        <w:t xml:space="preserve"> </w:t>
      </w:r>
      <w:r>
        <w:rPr>
          <w:iCs/>
          <w:i/>
        </w:rPr>
        <w:t xml:space="preserve">Diabetes Obes Metab</w:t>
      </w:r>
      <w:r>
        <w:t xml:space="preserve"> </w:t>
      </w:r>
      <w:r>
        <w:t xml:space="preserve">· The effect of baseline characteristics on clinical efficacy of liraglutide in patients treated with high-dose insulin. PMID 28608447</w:t>
      </w:r>
    </w:p>
    <w:p>
      <w:pPr>
        <w:numPr>
          <w:ilvl w:val="0"/>
          <w:numId w:val="1376"/>
        </w:numPr>
        <w:pStyle w:val="Compact"/>
      </w:pPr>
      <w:r>
        <w:t xml:space="preserve">2017 · Suzuki S ·</w:t>
      </w:r>
      <w:r>
        <w:t xml:space="preserve"> </w:t>
      </w:r>
      <w:r>
        <w:rPr>
          <w:iCs/>
          <w:i/>
        </w:rPr>
        <w:t xml:space="preserve">Health Qual Life Outcomes</w:t>
      </w:r>
      <w:r>
        <w:t xml:space="preserve"> </w:t>
      </w:r>
      <w:r>
        <w:t xml:space="preserve">· Evaluation of the impact of once weekly dulaglutide on patient-reported outcomes in Japanese patients with type 2 diabetes: comparisons with liraglutide, insulin glargine, and placebo in two randomized studies. PMID 28606095</w:t>
      </w:r>
    </w:p>
    <w:p>
      <w:pPr>
        <w:numPr>
          <w:ilvl w:val="0"/>
          <w:numId w:val="1376"/>
        </w:numPr>
        <w:pStyle w:val="Compact"/>
      </w:pPr>
      <w:r>
        <w:t xml:space="preserve">2017 · Larsen JR ·</w:t>
      </w:r>
      <w:r>
        <w:t xml:space="preserve"> </w:t>
      </w:r>
      <w:r>
        <w:rPr>
          <w:iCs/>
          <w:i/>
        </w:rPr>
        <w:t xml:space="preserve">JAMA Psychiatry</w:t>
      </w:r>
      <w:r>
        <w:t xml:space="preserve"> </w:t>
      </w:r>
      <w:r>
        <w:t xml:space="preserve">· Effect of Liraglutide Treatment on Prediabetes and Overweight or Obesity in Clozapine- or Olanzapine-Treated Patients With Schizophrenia Spectrum Disorder: A Randomized Clinical Trial. PMID 28601891</w:t>
      </w:r>
    </w:p>
    <w:p>
      <w:pPr>
        <w:numPr>
          <w:ilvl w:val="0"/>
          <w:numId w:val="1376"/>
        </w:numPr>
        <w:pStyle w:val="Compact"/>
      </w:pPr>
      <w:r>
        <w:t xml:space="preserve">2017 · Khoo J ·</w:t>
      </w:r>
      <w:r>
        <w:t xml:space="preserve"> </w:t>
      </w:r>
      <w:r>
        <w:rPr>
          <w:iCs/>
          <w:i/>
        </w:rPr>
        <w:t xml:space="preserve">Diabetes Obes Metab</w:t>
      </w:r>
      <w:r>
        <w:t xml:space="preserve"> </w:t>
      </w:r>
      <w:r>
        <w:t xml:space="preserve">· Comparative effects of liraglutide 3 mg vs structured lifestyle modification on body weight, liver fat and liver function in obese patients with non-alcoholic fatty liver disease: A pilot randomized trial. PMID 28503750</w:t>
      </w:r>
    </w:p>
    <w:p>
      <w:pPr>
        <w:numPr>
          <w:ilvl w:val="0"/>
          <w:numId w:val="1376"/>
        </w:numPr>
        <w:pStyle w:val="Compact"/>
      </w:pPr>
      <w:r>
        <w:t xml:space="preserve">2017 · Nylander M ·</w:t>
      </w:r>
      <w:r>
        <w:t xml:space="preserve"> </w:t>
      </w:r>
      <w:r>
        <w:rPr>
          <w:iCs/>
          <w:i/>
        </w:rPr>
        <w:t xml:space="preserve">Reprod Biomed Online</w:t>
      </w:r>
      <w:r>
        <w:t xml:space="preserve"> </w:t>
      </w:r>
      <w:r>
        <w:t xml:space="preserve">· Effects of liraglutide on ovarian dysfunction in polycystic ovary syndrome: a randomized clinical trial. PMID 28479118</w:t>
      </w:r>
    </w:p>
    <w:p>
      <w:pPr>
        <w:numPr>
          <w:ilvl w:val="0"/>
          <w:numId w:val="1376"/>
        </w:numPr>
        <w:pStyle w:val="Compact"/>
      </w:pPr>
      <w:r>
        <w:t xml:space="preserve">2017 · Steinberg WM ·</w:t>
      </w:r>
      <w:r>
        <w:t xml:space="preserve"> </w:t>
      </w:r>
      <w:r>
        <w:rPr>
          <w:iCs/>
          <w:i/>
        </w:rPr>
        <w:t xml:space="preserve">Diabetes Care</w:t>
      </w:r>
      <w:r>
        <w:t xml:space="preserve"> </w:t>
      </w:r>
      <w:r>
        <w:t xml:space="preserve">· Amylase, Lipase, and Acute Pancreatitis in People With Type 2 Diabetes Treated With Liraglutide: Results From the LEADER Randomized Trial. PMID 28476871</w:t>
      </w:r>
    </w:p>
    <w:p>
      <w:pPr>
        <w:numPr>
          <w:ilvl w:val="0"/>
          <w:numId w:val="1376"/>
        </w:numPr>
        <w:pStyle w:val="Compact"/>
      </w:pPr>
      <w:r>
        <w:t xml:space="preserve">2017 · von Scholten BJ ·</w:t>
      </w:r>
      <w:r>
        <w:t xml:space="preserve"> </w:t>
      </w:r>
      <w:r>
        <w:rPr>
          <w:iCs/>
          <w:i/>
        </w:rPr>
        <w:t xml:space="preserve">J Diabetes Complications</w:t>
      </w:r>
      <w:r>
        <w:t xml:space="preserve"> </w:t>
      </w:r>
      <w:r>
        <w:t xml:space="preserve">· Effect of weight reductions on estimated kidney function: Post-hoc analysis of two randomized trials. PMID 28462892</w:t>
      </w:r>
    </w:p>
    <w:p>
      <w:pPr>
        <w:numPr>
          <w:ilvl w:val="0"/>
          <w:numId w:val="1376"/>
        </w:numPr>
        <w:pStyle w:val="Compact"/>
      </w:pPr>
      <w:r>
        <w:t xml:space="preserve">2017 · Sedman T ·</w:t>
      </w:r>
      <w:r>
        <w:t xml:space="preserve"> </w:t>
      </w:r>
      <w:r>
        <w:rPr>
          <w:iCs/>
          <w:i/>
        </w:rPr>
        <w:t xml:space="preserve">J Clin Endocrinol Metab</w:t>
      </w:r>
      <w:r>
        <w:t xml:space="preserve"> </w:t>
      </w:r>
      <w:r>
        <w:t xml:space="preserve">· Tolerance Does Not Develop Toward Liraglutide’s Glucose-Lowering Effect. PMID 28379427</w:t>
      </w:r>
    </w:p>
    <w:p>
      <w:pPr>
        <w:numPr>
          <w:ilvl w:val="0"/>
          <w:numId w:val="1376"/>
        </w:numPr>
        <w:pStyle w:val="Compact"/>
      </w:pPr>
      <w:r>
        <w:t xml:space="preserve">2017 · Onishi Y ·</w:t>
      </w:r>
      <w:r>
        <w:t xml:space="preserve"> </w:t>
      </w:r>
      <w:r>
        <w:rPr>
          <w:iCs/>
          <w:i/>
        </w:rPr>
        <w:t xml:space="preserve">Endocr J</w:t>
      </w:r>
      <w:r>
        <w:t xml:space="preserve"> </w:t>
      </w:r>
      <w:r>
        <w:t xml:space="preserve">· Analysis of efficacy and safety of dulaglutide 0.75 mg stratified by sex in patients with type 2 diabetes in 2 randomized, controlled phase 3 studies in Japan. PMID 28367916</w:t>
      </w:r>
    </w:p>
    <w:p>
      <w:pPr>
        <w:numPr>
          <w:ilvl w:val="0"/>
          <w:numId w:val="1376"/>
        </w:numPr>
        <w:pStyle w:val="Compact"/>
      </w:pPr>
      <w:r>
        <w:t xml:space="preserve">2017 · Feng W ·</w:t>
      </w:r>
      <w:r>
        <w:t xml:space="preserve"> </w:t>
      </w:r>
      <w:r>
        <w:rPr>
          <w:iCs/>
          <w:i/>
        </w:rPr>
        <w:t xml:space="preserve">J Diabetes</w:t>
      </w:r>
      <w:r>
        <w:t xml:space="preserve"> </w:t>
      </w:r>
      <w:r>
        <w:t xml:space="preserve">· Randomized trial comparing the effects of gliclazide, liraglutide, and metformin on diabetes with non-alcoholic fatty liver disease. PMID 28332301</w:t>
      </w:r>
    </w:p>
    <w:p>
      <w:pPr>
        <w:numPr>
          <w:ilvl w:val="0"/>
          <w:numId w:val="1376"/>
        </w:numPr>
        <w:pStyle w:val="Compact"/>
      </w:pPr>
      <w:r>
        <w:t xml:space="preserve">2017 · Garg M ·</w:t>
      </w:r>
      <w:r>
        <w:t xml:space="preserve"> </w:t>
      </w:r>
      <w:r>
        <w:rPr>
          <w:iCs/>
          <w:i/>
        </w:rPr>
        <w:t xml:space="preserve">Diabetes Obes Metab</w:t>
      </w:r>
      <w:r>
        <w:t xml:space="preserve"> </w:t>
      </w:r>
      <w:r>
        <w:t xml:space="preserve">· Liraglutide acutely suppresses glucagon, lipolysis and ketogenesis in type 1 diabetes. PMID 28304146</w:t>
      </w:r>
    </w:p>
    <w:p>
      <w:pPr>
        <w:numPr>
          <w:ilvl w:val="0"/>
          <w:numId w:val="1376"/>
        </w:numPr>
        <w:pStyle w:val="Compact"/>
      </w:pPr>
      <w:r>
        <w:t xml:space="preserve">2017 · Hunt B ·</w:t>
      </w:r>
      <w:r>
        <w:t xml:space="preserve"> </w:t>
      </w:r>
      <w:r>
        <w:rPr>
          <w:iCs/>
          <w:i/>
        </w:rPr>
        <w:t xml:space="preserve">J Med Econ</w:t>
      </w:r>
      <w:r>
        <w:t xml:space="preserve"> </w:t>
      </w:r>
      <w:r>
        <w:t xml:space="preserve">· Evaluation of the long-term cost-effectiveness of IDegLira versus liraglutide added to basal insulin for patients with type 2 diabetes failing to achieve glycemic control on basal insulin in the USA. PMID 28294641</w:t>
      </w:r>
    </w:p>
    <w:p>
      <w:pPr>
        <w:numPr>
          <w:ilvl w:val="0"/>
          <w:numId w:val="1376"/>
        </w:numPr>
        <w:pStyle w:val="Compact"/>
      </w:pPr>
      <w:r>
        <w:t xml:space="preserve">2017 · King AB ·</w:t>
      </w:r>
      <w:r>
        <w:t xml:space="preserve"> </w:t>
      </w:r>
      <w:r>
        <w:rPr>
          <w:iCs/>
          <w:i/>
        </w:rPr>
        <w:t xml:space="preserve">Diabetes Technol Ther</w:t>
      </w:r>
      <w:r>
        <w:t xml:space="preserve"> </w:t>
      </w:r>
      <w:r>
        <w:t xml:space="preserve">· A Fixed Ratio Combination of Insulin Degludec and Liraglutide (IDegLira) Reduces Glycemic Fluctuation and Brings More Patients with Type 2 Diabetes Within Blood Glucose Target Ranges. PMID 28282219</w:t>
      </w:r>
    </w:p>
    <w:p>
      <w:pPr>
        <w:numPr>
          <w:ilvl w:val="0"/>
          <w:numId w:val="1376"/>
        </w:numPr>
        <w:pStyle w:val="Compact"/>
      </w:pPr>
      <w:r>
        <w:t xml:space="preserve">2017 · le Roux CW ·</w:t>
      </w:r>
      <w:r>
        <w:t xml:space="preserve"> </w:t>
      </w:r>
      <w:r>
        <w:rPr>
          <w:iCs/>
          <w:i/>
        </w:rPr>
        <w:t xml:space="preserve">Lancet</w:t>
      </w:r>
      <w:r>
        <w:t xml:space="preserve"> </w:t>
      </w:r>
      <w:r>
        <w:t xml:space="preserve">· 3 years of liraglutide versus placebo for type 2 diabetes risk reduction and weight management in individuals with prediabetes: a randomised, double-blind trial. PMID 28237263</w:t>
      </w:r>
    </w:p>
    <w:p>
      <w:pPr>
        <w:numPr>
          <w:ilvl w:val="0"/>
          <w:numId w:val="1376"/>
        </w:numPr>
        <w:pStyle w:val="Compact"/>
      </w:pPr>
      <w:r>
        <w:t xml:space="preserve">2017 · Jørgensen PG ·</w:t>
      </w:r>
      <w:r>
        <w:t xml:space="preserve"> </w:t>
      </w:r>
      <w:r>
        <w:rPr>
          <w:iCs/>
          <w:i/>
        </w:rPr>
        <w:t xml:space="preserve">Diabetes Obes Metab</w:t>
      </w:r>
      <w:r>
        <w:t xml:space="preserve"> </w:t>
      </w:r>
      <w:r>
        <w:t xml:space="preserve">· Effect of exercise combined with glucagon-like peptide-1 receptor agonist treatment on cardiac function: A randomized double-blind placebo-controlled clinical trial. PMID 28188972</w:t>
      </w:r>
    </w:p>
    <w:p>
      <w:pPr>
        <w:numPr>
          <w:ilvl w:val="0"/>
          <w:numId w:val="1376"/>
        </w:numPr>
        <w:pStyle w:val="Compact"/>
      </w:pPr>
      <w:r>
        <w:t xml:space="preserve">2017 · Kramer CK ·</w:t>
      </w:r>
      <w:r>
        <w:t xml:space="preserve"> </w:t>
      </w:r>
      <w:r>
        <w:rPr>
          <w:iCs/>
          <w:i/>
        </w:rPr>
        <w:t xml:space="preserve">Diabetes Obes Metab</w:t>
      </w:r>
      <w:r>
        <w:t xml:space="preserve"> </w:t>
      </w:r>
      <w:r>
        <w:t xml:space="preserve">· Chronic liraglutide therapy induces an enhanced endogenous glucagon-like peptide-1 secretory response in early type 2 diabetes. PMID 28181363</w:t>
      </w:r>
    </w:p>
    <w:p>
      <w:pPr>
        <w:numPr>
          <w:ilvl w:val="0"/>
          <w:numId w:val="1376"/>
        </w:numPr>
        <w:pStyle w:val="Compact"/>
      </w:pPr>
      <w:r>
        <w:t xml:space="preserve">2017 · Jensterle M ·</w:t>
      </w:r>
      <w:r>
        <w:t xml:space="preserve"> </w:t>
      </w:r>
      <w:r>
        <w:rPr>
          <w:iCs/>
          <w:i/>
        </w:rPr>
        <w:t xml:space="preserve">BMC Endocr Disord</w:t>
      </w:r>
      <w:r>
        <w:t xml:space="preserve"> </w:t>
      </w:r>
      <w:r>
        <w:t xml:space="preserve">· Short-term effectiveness of low dose liraglutide in combination with metformin versus high dose liraglutide alone in treatment of obese PCOS: randomized trial. PMID 28143456</w:t>
      </w:r>
    </w:p>
    <w:p>
      <w:pPr>
        <w:numPr>
          <w:ilvl w:val="0"/>
          <w:numId w:val="1376"/>
        </w:numPr>
        <w:pStyle w:val="Compact"/>
      </w:pPr>
      <w:r>
        <w:t xml:space="preserve">2017 · Kumarathurai P ·</w:t>
      </w:r>
      <w:r>
        <w:t xml:space="preserve"> </w:t>
      </w:r>
      <w:r>
        <w:rPr>
          <w:iCs/>
          <w:i/>
        </w:rPr>
        <w:t xml:space="preserve">J Hypertens</w:t>
      </w:r>
      <w:r>
        <w:t xml:space="preserve"> </w:t>
      </w:r>
      <w:r>
        <w:t xml:space="preserve">· Effects of the glucagon-like peptide-1 receptor agonist liraglutide on 24-h ambulatory blood pressure in patients with type 2 diabetes and stable coronary artery disease: a randomized, double-blind, placebo-controlled, crossover study. PMID 28129251</w:t>
      </w:r>
    </w:p>
    <w:p>
      <w:pPr>
        <w:numPr>
          <w:ilvl w:val="0"/>
          <w:numId w:val="1376"/>
        </w:numPr>
        <w:pStyle w:val="Compact"/>
      </w:pPr>
      <w:r>
        <w:t xml:space="preserve">2017 · Anholm C ·</w:t>
      </w:r>
      <w:r>
        <w:t xml:space="preserve"> </w:t>
      </w:r>
      <w:r>
        <w:rPr>
          <w:iCs/>
          <w:i/>
        </w:rPr>
        <w:t xml:space="preserve">Diabetes Obes Metab</w:t>
      </w:r>
      <w:r>
        <w:t xml:space="preserve"> </w:t>
      </w:r>
      <w:r>
        <w:t xml:space="preserve">· Liraglutide effects on beta-cell, insulin sensitivity and glucose effectiveness in patients with stable coronary artery disease and newly diagnosed type 2 diabetes. PMID 28124822</w:t>
      </w:r>
    </w:p>
    <w:p>
      <w:pPr>
        <w:numPr>
          <w:ilvl w:val="0"/>
          <w:numId w:val="1376"/>
        </w:numPr>
        <w:pStyle w:val="Compact"/>
      </w:pPr>
      <w:r>
        <w:t xml:space="preserve">2017 · Harris SB ·</w:t>
      </w:r>
      <w:r>
        <w:t xml:space="preserve"> </w:t>
      </w:r>
      <w:r>
        <w:rPr>
          <w:iCs/>
          <w:i/>
        </w:rPr>
        <w:t xml:space="preserve">Diabetes Obes Metab</w:t>
      </w:r>
      <w:r>
        <w:t xml:space="preserve"> </w:t>
      </w:r>
      <w:r>
        <w:t xml:space="preserve">· Safety and efficacy of IDegLira titrated once weekly versus twice weekly in patients with type 2 diabetes uncontrolled on oral antidiabetic drugs: DUAL VI randomized clinical trial. PMID 28124817</w:t>
      </w:r>
    </w:p>
    <w:p>
      <w:pPr>
        <w:numPr>
          <w:ilvl w:val="0"/>
          <w:numId w:val="1376"/>
        </w:numPr>
        <w:pStyle w:val="Compact"/>
      </w:pPr>
      <w:r>
        <w:t xml:space="preserve">2017 · Iacobellis G ·</w:t>
      </w:r>
      <w:r>
        <w:t xml:space="preserve"> </w:t>
      </w:r>
      <w:r>
        <w:rPr>
          <w:iCs/>
          <w:i/>
        </w:rPr>
        <w:t xml:space="preserve">Obesity (Silver Spring)</w:t>
      </w:r>
      <w:r>
        <w:t xml:space="preserve"> </w:t>
      </w:r>
      <w:r>
        <w:t xml:space="preserve">· Liraglutide causes large and rapid epicardial fat reduction. PMID 28124506</w:t>
      </w:r>
    </w:p>
    <w:p>
      <w:pPr>
        <w:numPr>
          <w:ilvl w:val="0"/>
          <w:numId w:val="1376"/>
        </w:numPr>
        <w:pStyle w:val="Compact"/>
      </w:pPr>
      <w:r>
        <w:t xml:space="preserve">2017 · von Scholten BJ ·</w:t>
      </w:r>
      <w:r>
        <w:t xml:space="preserve"> </w:t>
      </w:r>
      <w:r>
        <w:rPr>
          <w:iCs/>
          <w:i/>
        </w:rPr>
        <w:t xml:space="preserve">Diabetes Obes Metab</w:t>
      </w:r>
      <w:r>
        <w:t xml:space="preserve"> </w:t>
      </w:r>
      <w:r>
        <w:t xml:space="preserve">· Effects of liraglutide on cardiovascular risk biomarkers in patients with type 2 diabetes and albuminuria: A sub-analysis of a randomized, placebo-controlled, double-blind, crossover trial. PMID 28105731</w:t>
      </w:r>
    </w:p>
    <w:p>
      <w:pPr>
        <w:numPr>
          <w:ilvl w:val="0"/>
          <w:numId w:val="1376"/>
        </w:numPr>
        <w:pStyle w:val="Compact"/>
      </w:pPr>
      <w:r>
        <w:t xml:space="preserve">2017 · Farmer AD ·</w:t>
      </w:r>
      <w:r>
        <w:t xml:space="preserve"> </w:t>
      </w:r>
      <w:r>
        <w:rPr>
          <w:iCs/>
          <w:i/>
        </w:rPr>
        <w:t xml:space="preserve">Diabetologia</w:t>
      </w:r>
      <w:r>
        <w:t xml:space="preserve"> </w:t>
      </w:r>
      <w:r>
        <w:t xml:space="preserve">· Type 1 diabetic patients with peripheral neuropathy have pan-enteric prolongation of gastrointestinal transit times and an altered caecal pH profile. PMID 28105520</w:t>
      </w:r>
    </w:p>
    <w:p>
      <w:pPr>
        <w:numPr>
          <w:ilvl w:val="0"/>
          <w:numId w:val="1376"/>
        </w:numPr>
        <w:pStyle w:val="Compact"/>
      </w:pPr>
      <w:r>
        <w:t xml:space="preserve">2017 · Smits MM ·</w:t>
      </w:r>
      <w:r>
        <w:t xml:space="preserve"> </w:t>
      </w:r>
      <w:r>
        <w:rPr>
          <w:iCs/>
          <w:i/>
        </w:rPr>
        <w:t xml:space="preserve">Diabetes Res Clin Pract</w:t>
      </w:r>
      <w:r>
        <w:t xml:space="preserve"> </w:t>
      </w:r>
      <w:r>
        <w:t xml:space="preserve">· The effects of GLP-1 based therapies on postprandial haemodynamics: Two randomised, placebo-controlled trials in overweight type 2 diabetes patients. PMID 28086201</w:t>
      </w:r>
    </w:p>
    <w:p>
      <w:pPr>
        <w:numPr>
          <w:ilvl w:val="0"/>
          <w:numId w:val="1376"/>
        </w:numPr>
        <w:pStyle w:val="Compact"/>
      </w:pPr>
      <w:r>
        <w:t xml:space="preserve">2017 · Horowitz M ·</w:t>
      </w:r>
      <w:r>
        <w:t xml:space="preserve"> </w:t>
      </w:r>
      <w:r>
        <w:rPr>
          <w:iCs/>
          <w:i/>
        </w:rPr>
        <w:t xml:space="preserve">Diabetes Obes Metab</w:t>
      </w:r>
      <w:r>
        <w:t xml:space="preserve"> </w:t>
      </w:r>
      <w:r>
        <w:t xml:space="preserve">· Upper and/or lower gastrointestinal adverse events with glucagon-like peptide-1 receptor agonists: Incidence and consequences. PMID 28058769</w:t>
      </w:r>
    </w:p>
    <w:p>
      <w:pPr>
        <w:numPr>
          <w:ilvl w:val="0"/>
          <w:numId w:val="1376"/>
        </w:numPr>
        <w:pStyle w:val="Compact"/>
      </w:pPr>
      <w:r>
        <w:t xml:space="preserve">2017 · Pastel E ·</w:t>
      </w:r>
      <w:r>
        <w:t xml:space="preserve"> </w:t>
      </w:r>
      <w:r>
        <w:rPr>
          <w:iCs/>
          <w:i/>
        </w:rPr>
        <w:t xml:space="preserve">Clin Sci (Lond)</w:t>
      </w:r>
      <w:r>
        <w:t xml:space="preserve"> </w:t>
      </w:r>
      <w:r>
        <w:t xml:space="preserve">· GLP-1 analogue-induced weight loss does not improve obesity-induced AT dysfunction. PMID 28049736</w:t>
      </w:r>
    </w:p>
    <w:p>
      <w:pPr>
        <w:numPr>
          <w:ilvl w:val="0"/>
          <w:numId w:val="1376"/>
        </w:numPr>
        <w:pStyle w:val="Compact"/>
      </w:pPr>
      <w:r>
        <w:t xml:space="preserve">2017 · Smits MM ·</w:t>
      </w:r>
      <w:r>
        <w:t xml:space="preserve"> </w:t>
      </w:r>
      <w:r>
        <w:rPr>
          <w:iCs/>
          <w:i/>
        </w:rPr>
        <w:t xml:space="preserve">Diabetes Care</w:t>
      </w:r>
      <w:r>
        <w:t xml:space="preserve"> </w:t>
      </w:r>
      <w:r>
        <w:t xml:space="preserve">· Pancreatic Effects of Liraglutide or Sitagliptin in Overweight Patients With Type 2 Diabetes: A 12-Week Randomized, Placebo-Controlled Trial. PMID 27998910</w:t>
      </w:r>
    </w:p>
    <w:p>
      <w:pPr>
        <w:numPr>
          <w:ilvl w:val="0"/>
          <w:numId w:val="1376"/>
        </w:numPr>
        <w:pStyle w:val="Compact"/>
      </w:pPr>
      <w:r>
        <w:t xml:space="preserve">2017 · Danne T ·</w:t>
      </w:r>
      <w:r>
        <w:t xml:space="preserve"> </w:t>
      </w:r>
      <w:r>
        <w:rPr>
          <w:iCs/>
          <w:i/>
        </w:rPr>
        <w:t xml:space="preserve">J Pediatr</w:t>
      </w:r>
      <w:r>
        <w:t xml:space="preserve"> </w:t>
      </w:r>
      <w:r>
        <w:t xml:space="preserve">· Liraglutide in an Adolescent Population with Obesity: A Randomized, Double-Blind, Placebo-Controlled 5-Week Trial to Assess Safety, Tolerability, and Pharmacokinetics of Liraglutide in Adolescents Aged 12-17 Years. PMID 27979579</w:t>
      </w:r>
    </w:p>
    <w:p>
      <w:pPr>
        <w:numPr>
          <w:ilvl w:val="0"/>
          <w:numId w:val="1376"/>
        </w:numPr>
        <w:pStyle w:val="Compact"/>
      </w:pPr>
      <w:r>
        <w:t xml:space="preserve">2017 · Dejgaard TF ·</w:t>
      </w:r>
      <w:r>
        <w:t xml:space="preserve"> </w:t>
      </w:r>
      <w:r>
        <w:rPr>
          <w:iCs/>
          <w:i/>
        </w:rPr>
        <w:t xml:space="preserve">Diabetes Obes Metab</w:t>
      </w:r>
      <w:r>
        <w:t xml:space="preserve"> </w:t>
      </w:r>
      <w:r>
        <w:t xml:space="preserve">· Effects of liraglutide on cardiovascular risk factors in patients with type 1 diabetes. PMID 27935240</w:t>
      </w:r>
    </w:p>
    <w:p>
      <w:pPr>
        <w:numPr>
          <w:ilvl w:val="0"/>
          <w:numId w:val="1376"/>
        </w:numPr>
        <w:pStyle w:val="Compact"/>
      </w:pPr>
      <w:r>
        <w:t xml:space="preserve">2017 · Bouchi R ·</w:t>
      </w:r>
      <w:r>
        <w:t xml:space="preserve"> </w:t>
      </w:r>
      <w:r>
        <w:rPr>
          <w:iCs/>
          <w:i/>
        </w:rPr>
        <w:t xml:space="preserve">Endocr J</w:t>
      </w:r>
      <w:r>
        <w:t xml:space="preserve"> </w:t>
      </w:r>
      <w:r>
        <w:t xml:space="preserve">· Reduction of visceral fat by liraglutide is associated with ameliorations of hepatic steatosis, albuminuria, and micro-inflammation in type 2 diabetic patients with insulin treatment: a randomized control trial. PMID 27916783</w:t>
      </w:r>
    </w:p>
    <w:p>
      <w:pPr>
        <w:numPr>
          <w:ilvl w:val="0"/>
          <w:numId w:val="1376"/>
        </w:numPr>
        <w:pStyle w:val="Compact"/>
      </w:pPr>
      <w:r>
        <w:t xml:space="preserve">2017 · Frandsen CS ·</w:t>
      </w:r>
      <w:r>
        <w:t xml:space="preserve"> </w:t>
      </w:r>
      <w:r>
        <w:rPr>
          <w:iCs/>
          <w:i/>
        </w:rPr>
        <w:t xml:space="preserve">Diabetes Obes Metab</w:t>
      </w:r>
      <w:r>
        <w:t xml:space="preserve"> </w:t>
      </w:r>
      <w:r>
        <w:t xml:space="preserve">· Liraglutide as adjunct to insulin treatment in type 1 diabetes does not interfere with glycaemic recovery or gastric emptying rate during hypoglycaemia: A randomized, placebo-controlled, double-blind, parallel-group study. PMID 27868372</w:t>
      </w:r>
    </w:p>
    <w:p>
      <w:pPr>
        <w:numPr>
          <w:ilvl w:val="0"/>
          <w:numId w:val="1376"/>
        </w:numPr>
        <w:pStyle w:val="Compact"/>
      </w:pPr>
      <w:r>
        <w:t xml:space="preserve">2017 · Emoto M ·</w:t>
      </w:r>
      <w:r>
        <w:t xml:space="preserve"> </w:t>
      </w:r>
      <w:r>
        <w:rPr>
          <w:iCs/>
          <w:i/>
        </w:rPr>
        <w:t xml:space="preserve">Endocr J</w:t>
      </w:r>
      <w:r>
        <w:t xml:space="preserve"> </w:t>
      </w:r>
      <w:r>
        <w:t xml:space="preserve">· Pancreatic safety in Japanese patients with type 2 diabetes treated with once weekly dulaglutide 0.75 mg up to 52 weeks in phase 3 clinical trials. PMID 27853058</w:t>
      </w:r>
    </w:p>
    <w:p>
      <w:pPr>
        <w:numPr>
          <w:ilvl w:val="0"/>
          <w:numId w:val="1376"/>
        </w:numPr>
        <w:pStyle w:val="Compact"/>
      </w:pPr>
      <w:r>
        <w:t xml:space="preserve">2017 · Arturi F ·</w:t>
      </w:r>
      <w:r>
        <w:t xml:space="preserve"> </w:t>
      </w:r>
      <w:r>
        <w:rPr>
          <w:iCs/>
          <w:i/>
        </w:rPr>
        <w:t xml:space="preserve">Endocrine</w:t>
      </w:r>
      <w:r>
        <w:t xml:space="preserve"> </w:t>
      </w:r>
      <w:r>
        <w:t xml:space="preserve">· Liraglutide improves cardiac function in patients with type 2 diabetes and chronic heart failure. PMID 27830456</w:t>
      </w:r>
    </w:p>
    <w:p>
      <w:pPr>
        <w:numPr>
          <w:ilvl w:val="0"/>
          <w:numId w:val="1376"/>
        </w:numPr>
        <w:pStyle w:val="Compact"/>
      </w:pPr>
      <w:r>
        <w:t xml:space="preserve">2017 · Yabe D ·</w:t>
      </w:r>
      <w:r>
        <w:t xml:space="preserve"> </w:t>
      </w:r>
      <w:r>
        <w:rPr>
          <w:iCs/>
          <w:i/>
        </w:rPr>
        <w:t xml:space="preserve">Diabetes Obes Metab</w:t>
      </w:r>
      <w:r>
        <w:t xml:space="preserve"> </w:t>
      </w:r>
      <w:r>
        <w:t xml:space="preserve">· Effects of DPP-4 inhibitor linagliptin and GLP-1 receptor agonist liraglutide on physiological response to hypoglycaemia in Japanese subjects with type 2 diabetes: A randomized, open-label, 2-arm parallel comparative, exploratory trial. PMID 27800649</w:t>
      </w:r>
    </w:p>
    <w:p>
      <w:pPr>
        <w:numPr>
          <w:ilvl w:val="0"/>
          <w:numId w:val="1376"/>
        </w:numPr>
        <w:pStyle w:val="Compact"/>
      </w:pPr>
      <w:r>
        <w:t xml:space="preserve">2017 · Kumarathurai P ·</w:t>
      </w:r>
      <w:r>
        <w:t xml:space="preserve"> </w:t>
      </w:r>
      <w:r>
        <w:rPr>
          <w:iCs/>
          <w:i/>
        </w:rPr>
        <w:t xml:space="preserve">Diabetes Care</w:t>
      </w:r>
      <w:r>
        <w:t xml:space="preserve"> </w:t>
      </w:r>
      <w:r>
        <w:t xml:space="preserve">· Effects of Liraglutide on Heart Rate and Heart Rate Variability: A Randomized, Double-Blind, Placebo-Controlled Crossover Study. PMID 27797930</w:t>
      </w:r>
    </w:p>
    <w:p>
      <w:pPr>
        <w:numPr>
          <w:ilvl w:val="0"/>
          <w:numId w:val="1376"/>
        </w:numPr>
        <w:pStyle w:val="Compact"/>
      </w:pPr>
      <w:r>
        <w:t xml:space="preserve">2017 · Jorsal A ·</w:t>
      </w:r>
      <w:r>
        <w:t xml:space="preserve"> </w:t>
      </w:r>
      <w:r>
        <w:rPr>
          <w:iCs/>
          <w:i/>
        </w:rPr>
        <w:t xml:space="preserve">Eur J Heart Fail</w:t>
      </w:r>
      <w:r>
        <w:t xml:space="preserve"> </w:t>
      </w:r>
      <w:r>
        <w:t xml:space="preserve">· Effect of liraglutide, a glucagon-like peptide-1 analogue, on left ventricular function in stable chronic heart failure patients with and without diabetes (LIVE)-a multicentre, double-blind, randomised, placebo-controlled trial. PMID 27790809</w:t>
      </w:r>
    </w:p>
    <w:p>
      <w:pPr>
        <w:numPr>
          <w:ilvl w:val="0"/>
          <w:numId w:val="1376"/>
        </w:numPr>
        <w:pStyle w:val="Compact"/>
      </w:pPr>
      <w:r>
        <w:t xml:space="preserve">2017 · Smits MM ·</w:t>
      </w:r>
      <w:r>
        <w:t xml:space="preserve"> </w:t>
      </w:r>
      <w:r>
        <w:rPr>
          <w:iCs/>
          <w:i/>
        </w:rPr>
        <w:t xml:space="preserve">Eur J Endocrinol</w:t>
      </w:r>
      <w:r>
        <w:t xml:space="preserve"> </w:t>
      </w:r>
      <w:r>
        <w:t xml:space="preserve">· Heart rate acceleration with GLP-1 receptor agonists in type 2 diabetes patients: an acute and 12-week randomised, double-blind, placebo-controlled trial. PMID 27777261</w:t>
      </w:r>
    </w:p>
    <w:p>
      <w:pPr>
        <w:numPr>
          <w:ilvl w:val="0"/>
          <w:numId w:val="1376"/>
        </w:numPr>
        <w:pStyle w:val="Compact"/>
      </w:pPr>
      <w:r>
        <w:t xml:space="preserve">2017 · Zobel EH ·</w:t>
      </w:r>
      <w:r>
        <w:t xml:space="preserve"> </w:t>
      </w:r>
      <w:r>
        <w:rPr>
          <w:iCs/>
          <w:i/>
        </w:rPr>
        <w:t xml:space="preserve">J Diabetes Complications</w:t>
      </w:r>
      <w:r>
        <w:t xml:space="preserve"> </w:t>
      </w:r>
      <w:r>
        <w:t xml:space="preserve">· Pleiotropic effects of liraglutide treatment on renal risk factors in type 2 diabetes: Individual effects of treatment. PMID 27769801</w:t>
      </w:r>
    </w:p>
    <w:p>
      <w:pPr>
        <w:numPr>
          <w:ilvl w:val="0"/>
          <w:numId w:val="1376"/>
        </w:numPr>
        <w:pStyle w:val="Compact"/>
      </w:pPr>
      <w:r>
        <w:t xml:space="preserve">2017 · von Scholten BJ ·</w:t>
      </w:r>
      <w:r>
        <w:t xml:space="preserve"> </w:t>
      </w:r>
      <w:r>
        <w:rPr>
          <w:iCs/>
          <w:i/>
        </w:rPr>
        <w:t xml:space="preserve">Diabetes Obes Metab</w:t>
      </w:r>
      <w:r>
        <w:t xml:space="preserve"> </w:t>
      </w:r>
      <w:r>
        <w:t xml:space="preserve">· The effect of liraglutide on renal function: A randomized clinical trial. PMID 27753201</w:t>
      </w:r>
    </w:p>
    <w:p>
      <w:pPr>
        <w:numPr>
          <w:ilvl w:val="0"/>
          <w:numId w:val="1376"/>
        </w:numPr>
        <w:pStyle w:val="Compact"/>
      </w:pPr>
      <w:r>
        <w:t xml:space="preserve">2017 · Petit JM ·</w:t>
      </w:r>
      <w:r>
        <w:t xml:space="preserve"> </w:t>
      </w:r>
      <w:r>
        <w:rPr>
          <w:iCs/>
          <w:i/>
        </w:rPr>
        <w:t xml:space="preserve">J Clin Endocrinol Metab</w:t>
      </w:r>
      <w:r>
        <w:t xml:space="preserve"> </w:t>
      </w:r>
      <w:r>
        <w:t xml:space="preserve">· Effect of Liraglutide Therapy on Liver Fat Content in Patients With Inadequately Controlled Type 2 Diabetes: The Lira-NAFLD Study. PMID 27732328</w:t>
      </w:r>
    </w:p>
    <w:p>
      <w:pPr>
        <w:numPr>
          <w:ilvl w:val="0"/>
          <w:numId w:val="1376"/>
        </w:numPr>
        <w:pStyle w:val="Compact"/>
      </w:pPr>
      <w:r>
        <w:t xml:space="preserve">2017 · Mensberg P ·</w:t>
      </w:r>
      <w:r>
        <w:t xml:space="preserve"> </w:t>
      </w:r>
      <w:r>
        <w:rPr>
          <w:iCs/>
          <w:i/>
        </w:rPr>
        <w:t xml:space="preserve">Diabetes Obes Metab</w:t>
      </w:r>
      <w:r>
        <w:t xml:space="preserve"> </w:t>
      </w:r>
      <w:r>
        <w:t xml:space="preserve">· Near-normalization of glycaemic control with glucagon-like peptide-1 receptor agonist treatment combined with exercise in patients with type 2 diabetes. PMID 27717126</w:t>
      </w:r>
    </w:p>
    <w:p>
      <w:pPr>
        <w:numPr>
          <w:ilvl w:val="0"/>
          <w:numId w:val="1376"/>
        </w:numPr>
        <w:pStyle w:val="Compact"/>
      </w:pPr>
      <w:r>
        <w:t xml:space="preserve">2017 · Nauck MA ·</w:t>
      </w:r>
      <w:r>
        <w:t xml:space="preserve"> </w:t>
      </w:r>
      <w:r>
        <w:rPr>
          <w:iCs/>
          <w:i/>
        </w:rPr>
        <w:t xml:space="preserve">Diabetes Obes Metab</w:t>
      </w:r>
      <w:r>
        <w:t xml:space="preserve"> </w:t>
      </w:r>
      <w:r>
        <w:t xml:space="preserve">· Addition of a dipeptidyl peptidase-4 inhibitor, sitagliptin, to ongoing therapy with the glucagon-like peptide-1 receptor agonist liraglutide: A randomized controlled trial in patients with type 2 diabetes. PMID 27709794</w:t>
      </w:r>
    </w:p>
    <w:p>
      <w:pPr>
        <w:numPr>
          <w:ilvl w:val="0"/>
          <w:numId w:val="1376"/>
        </w:numPr>
        <w:pStyle w:val="Compact"/>
      </w:pPr>
      <w:r>
        <w:t xml:space="preserve">2017 · Rodbard HW ·</w:t>
      </w:r>
      <w:r>
        <w:t xml:space="preserve"> </w:t>
      </w:r>
      <w:r>
        <w:rPr>
          <w:iCs/>
          <w:i/>
        </w:rPr>
        <w:t xml:space="preserve">Diabet Med</w:t>
      </w:r>
      <w:r>
        <w:t xml:space="preserve"> </w:t>
      </w:r>
      <w:r>
        <w:t xml:space="preserve">· Safety and efficacy of insulin degludec/liraglutide (IDegLira) added to sulphonylurea alone or to sulphonylurea and metformin in insulin-naïve people with Type 2 diabetes: the DUAL IV trial. PMID 27589252</w:t>
      </w:r>
    </w:p>
    <w:p>
      <w:pPr>
        <w:numPr>
          <w:ilvl w:val="0"/>
          <w:numId w:val="1376"/>
        </w:numPr>
        <w:pStyle w:val="Compact"/>
      </w:pPr>
      <w:r>
        <w:t xml:space="preserve">2017 · Sedman T ·</w:t>
      </w:r>
      <w:r>
        <w:t xml:space="preserve"> </w:t>
      </w:r>
      <w:r>
        <w:rPr>
          <w:iCs/>
          <w:i/>
        </w:rPr>
        <w:t xml:space="preserve">Horm Metab Res</w:t>
      </w:r>
      <w:r>
        <w:t xml:space="preserve"> </w:t>
      </w:r>
      <w:r>
        <w:t xml:space="preserve">· Liraglutide Treatment May Affect Renin and Aldosterone Release. PMID 27300475</w:t>
      </w:r>
    </w:p>
    <w:p>
      <w:pPr>
        <w:numPr>
          <w:ilvl w:val="0"/>
          <w:numId w:val="1376"/>
        </w:numPr>
        <w:pStyle w:val="Compact"/>
      </w:pPr>
      <w:r>
        <w:t xml:space="preserve">2016 · Jones B ·</w:t>
      </w:r>
      <w:r>
        <w:t xml:space="preserve"> </w:t>
      </w:r>
      <w:r>
        <w:rPr>
          <w:iCs/>
          <w:i/>
        </w:rPr>
        <w:t xml:space="preserve">Ann Clin Biochem</w:t>
      </w:r>
      <w:r>
        <w:t xml:space="preserve"> </w:t>
      </w:r>
      <w:r>
        <w:t xml:space="preserve">· Liraglutide and cardiovascular outcomes in type 2 diabetes. PMID 28071177</w:t>
      </w:r>
    </w:p>
    <w:p>
      <w:pPr>
        <w:numPr>
          <w:ilvl w:val="0"/>
          <w:numId w:val="1376"/>
        </w:numPr>
        <w:pStyle w:val="Compact"/>
      </w:pPr>
      <w:r>
        <w:t xml:space="preserve">2016 · Chen WR ·</w:t>
      </w:r>
      <w:r>
        <w:t xml:space="preserve"> </w:t>
      </w:r>
      <w:r>
        <w:rPr>
          <w:iCs/>
          <w:i/>
        </w:rPr>
        <w:t xml:space="preserve">Circ Cardiovasc Imaging</w:t>
      </w:r>
      <w:r>
        <w:t xml:space="preserve"> </w:t>
      </w:r>
      <w:r>
        <w:t xml:space="preserve">· Effects of Liraglutide on Reperfusion Injury in Patients With ST-Segment-Elevation Myocardial Infarction. PMID 27940956</w:t>
      </w:r>
    </w:p>
    <w:p>
      <w:pPr>
        <w:numPr>
          <w:ilvl w:val="0"/>
          <w:numId w:val="1376"/>
        </w:numPr>
        <w:pStyle w:val="Compact"/>
      </w:pPr>
      <w:r>
        <w:t xml:space="preserve">2016 · Rizzo M ·</w:t>
      </w:r>
      <w:r>
        <w:t xml:space="preserve"> </w:t>
      </w:r>
      <w:r>
        <w:rPr>
          <w:iCs/>
          <w:i/>
        </w:rPr>
        <w:t xml:space="preserve">Cardiovasc Diabetol</w:t>
      </w:r>
      <w:r>
        <w:t xml:space="preserve"> </w:t>
      </w:r>
      <w:r>
        <w:t xml:space="preserve">· Liraglutide improves metabolic parameters and carotid intima-media thickness in diabetic patients with the metabolic syndrome: an 18-month prospective study. PMID 27912784</w:t>
      </w:r>
    </w:p>
    <w:p>
      <w:pPr>
        <w:numPr>
          <w:ilvl w:val="0"/>
          <w:numId w:val="1376"/>
        </w:numPr>
        <w:pStyle w:val="Compact"/>
      </w:pPr>
      <w:r>
        <w:t xml:space="preserve">2016 · Fujioka K ·</w:t>
      </w:r>
      <w:r>
        <w:t xml:space="preserve"> </w:t>
      </w:r>
      <w:r>
        <w:rPr>
          <w:iCs/>
          <w:i/>
        </w:rPr>
        <w:t xml:space="preserve">Obesity (Silver Spring)</w:t>
      </w:r>
      <w:r>
        <w:t xml:space="preserve"> </w:t>
      </w:r>
      <w:r>
        <w:t xml:space="preserve">· Early Weight Loss with Liraglutide 3.0 mg Predicts 1-Year Weight Loss and is Associated with Improvements in Clinical Markers. PMID 27804269</w:t>
      </w:r>
    </w:p>
    <w:p>
      <w:pPr>
        <w:numPr>
          <w:ilvl w:val="0"/>
          <w:numId w:val="1376"/>
        </w:numPr>
        <w:pStyle w:val="Compact"/>
      </w:pPr>
      <w:r>
        <w:t xml:space="preserve">2016 · Smits MM ·</w:t>
      </w:r>
      <w:r>
        <w:t xml:space="preserve"> </w:t>
      </w:r>
      <w:r>
        <w:rPr>
          <w:iCs/>
          <w:i/>
        </w:rPr>
        <w:t xml:space="preserve">Diabetologia</w:t>
      </w:r>
      <w:r>
        <w:t xml:space="preserve"> </w:t>
      </w:r>
      <w:r>
        <w:t xml:space="preserve">· Twelve week liraglutide or sitagliptin does not affect hepatic fat in type 2 diabetes: a randomised placebo-controlled trial. PMID 27627981</w:t>
      </w:r>
    </w:p>
    <w:p>
      <w:pPr>
        <w:numPr>
          <w:ilvl w:val="0"/>
          <w:numId w:val="1376"/>
        </w:numPr>
        <w:pStyle w:val="Compact"/>
      </w:pPr>
      <w:r>
        <w:t xml:space="preserve">2016 · Tonneijck L ·</w:t>
      </w:r>
      <w:r>
        <w:t xml:space="preserve"> </w:t>
      </w:r>
      <w:r>
        <w:rPr>
          <w:iCs/>
          <w:i/>
        </w:rPr>
        <w:t xml:space="preserve">Diabetes Care</w:t>
      </w:r>
      <w:r>
        <w:t xml:space="preserve"> </w:t>
      </w:r>
      <w:r>
        <w:t xml:space="preserve">· Renal Effects of DPP-4 Inhibitor Sitagliptin or GLP-1 Receptor Agonist Liraglutide in Overweight Patients With Type 2 Diabetes: A 12-Week, Randomized, Double-Blind, Placebo-Controlled Trial. PMID 27585605</w:t>
      </w:r>
    </w:p>
    <w:p>
      <w:pPr>
        <w:numPr>
          <w:ilvl w:val="0"/>
          <w:numId w:val="1376"/>
        </w:numPr>
        <w:pStyle w:val="Compact"/>
      </w:pPr>
      <w:r>
        <w:t xml:space="preserve">2016 · Smits MM ·</w:t>
      </w:r>
      <w:r>
        <w:t xml:space="preserve"> </w:t>
      </w:r>
      <w:r>
        <w:rPr>
          <w:iCs/>
          <w:i/>
        </w:rPr>
        <w:t xml:space="preserve">Arterioscler Thromb Vasc Biol</w:t>
      </w:r>
      <w:r>
        <w:t xml:space="preserve"> </w:t>
      </w:r>
      <w:r>
        <w:t xml:space="preserve">· GLP-1-Based Therapies Have No Microvascular Effects in Type 2 Diabetes Mellitus: An Acute and 12-Week Randomized, Double-Blind, Placebo-Controlled Trial. PMID 27562916</w:t>
      </w:r>
    </w:p>
    <w:p>
      <w:pPr>
        <w:numPr>
          <w:ilvl w:val="0"/>
          <w:numId w:val="1376"/>
        </w:numPr>
        <w:pStyle w:val="Compact"/>
      </w:pPr>
      <w:r>
        <w:t xml:space="preserve">2016 · Mathieu C ·</w:t>
      </w:r>
      <w:r>
        <w:t xml:space="preserve"> </w:t>
      </w:r>
      <w:r>
        <w:rPr>
          <w:iCs/>
          <w:i/>
        </w:rPr>
        <w:t xml:space="preserve">Diabetes Care</w:t>
      </w:r>
      <w:r>
        <w:t xml:space="preserve"> </w:t>
      </w:r>
      <w:r>
        <w:t xml:space="preserve">· Efficacy and Safety of Liraglutide Added to Insulin Treatment in Type 1 Diabetes: The ADJUNCT ONE Treat-To-Target Randomized Trial. PMID 27506222</w:t>
      </w:r>
    </w:p>
    <w:p>
      <w:pPr>
        <w:numPr>
          <w:ilvl w:val="0"/>
          <w:numId w:val="1376"/>
        </w:numPr>
        <w:pStyle w:val="Compact"/>
      </w:pPr>
      <w:r>
        <w:t xml:space="preserve">2016 · Ahrén B ·</w:t>
      </w:r>
      <w:r>
        <w:t xml:space="preserve"> </w:t>
      </w:r>
      <w:r>
        <w:rPr>
          <w:iCs/>
          <w:i/>
        </w:rPr>
        <w:t xml:space="preserve">Diabetes Care</w:t>
      </w:r>
      <w:r>
        <w:t xml:space="preserve"> </w:t>
      </w:r>
      <w:r>
        <w:t xml:space="preserve">· Efficacy and Safety of Liraglutide Added to Capped Insulin Treatment in Subjects With Type 1 Diabetes: The ADJUNCT TWO Randomized Trial. PMID 27493132</w:t>
      </w:r>
    </w:p>
    <w:p>
      <w:pPr>
        <w:numPr>
          <w:ilvl w:val="0"/>
          <w:numId w:val="1376"/>
        </w:numPr>
        <w:pStyle w:val="Compact"/>
      </w:pPr>
      <w:r>
        <w:t xml:space="preserve">2016 · Kuhadiya ND ·</w:t>
      </w:r>
      <w:r>
        <w:t xml:space="preserve"> </w:t>
      </w:r>
      <w:r>
        <w:rPr>
          <w:iCs/>
          <w:i/>
        </w:rPr>
        <w:t xml:space="preserve">J Clin Endocrinol Metab</w:t>
      </w:r>
      <w:r>
        <w:t xml:space="preserve"> </w:t>
      </w:r>
      <w:r>
        <w:t xml:space="preserve">· Dapagliflozin as Additional Treatment to Liraglutide and Insulin in Patients With Type 1 Diabetes. PMID 27490915</w:t>
      </w:r>
    </w:p>
    <w:p>
      <w:pPr>
        <w:numPr>
          <w:ilvl w:val="0"/>
          <w:numId w:val="1376"/>
        </w:numPr>
        <w:pStyle w:val="Compact"/>
      </w:pPr>
      <w:r>
        <w:t xml:space="preserve">2016 · Margulies KB ·</w:t>
      </w:r>
      <w:r>
        <w:t xml:space="preserve"> </w:t>
      </w:r>
      <w:r>
        <w:rPr>
          <w:iCs/>
          <w:i/>
        </w:rPr>
        <w:t xml:space="preserve">JAMA</w:t>
      </w:r>
      <w:r>
        <w:t xml:space="preserve"> </w:t>
      </w:r>
      <w:r>
        <w:t xml:space="preserve">· Effects of Liraglutide on Clinical Stability Among Patients With Advanced Heart Failure and Reduced Ejection Fraction: A Randomized Clinical Trial. PMID 27483064</w:t>
      </w:r>
    </w:p>
    <w:p>
      <w:pPr>
        <w:numPr>
          <w:ilvl w:val="0"/>
          <w:numId w:val="1376"/>
        </w:numPr>
        <w:pStyle w:val="Compact"/>
      </w:pPr>
      <w:r>
        <w:t xml:space="preserve">2016 · O’Neil PM ·</w:t>
      </w:r>
      <w:r>
        <w:t xml:space="preserve"> </w:t>
      </w:r>
      <w:r>
        <w:rPr>
          <w:iCs/>
          <w:i/>
        </w:rPr>
        <w:t xml:space="preserve">Endocr Pract</w:t>
      </w:r>
      <w:r>
        <w:t xml:space="preserve"> </w:t>
      </w:r>
      <w:r>
        <w:t xml:space="preserve">· EFFECTS OF LIRAGLUTIDE 3.0 MG ON WEIGHT AND RISK FACTORS IN HISPANIC VERSUS NON-HIPANIC POPULATIONS: SUBGROUP ANALYSIS FROM SCALE RANDOMIZED TRIALS. PMID 27482610</w:t>
      </w:r>
    </w:p>
    <w:p>
      <w:pPr>
        <w:numPr>
          <w:ilvl w:val="0"/>
          <w:numId w:val="1376"/>
        </w:numPr>
        <w:pStyle w:val="Compact"/>
      </w:pPr>
      <w:r>
        <w:t xml:space="preserve">2016 · Kumarathurai P ·</w:t>
      </w:r>
      <w:r>
        <w:t xml:space="preserve"> </w:t>
      </w:r>
      <w:r>
        <w:rPr>
          <w:iCs/>
          <w:i/>
        </w:rPr>
        <w:t xml:space="preserve">Cardiovasc Diabetol</w:t>
      </w:r>
      <w:r>
        <w:t xml:space="preserve"> </w:t>
      </w:r>
      <w:r>
        <w:t xml:space="preserve">· Effects of the glucagon-like peptide-1 receptor agonist liraglutide on systolic function in patients with coronary artery disease and type 2 diabetes: a randomized double-blind placebo-controlled crossover study. PMID 27455835</w:t>
      </w:r>
    </w:p>
    <w:p>
      <w:pPr>
        <w:numPr>
          <w:ilvl w:val="0"/>
          <w:numId w:val="1376"/>
        </w:numPr>
        <w:pStyle w:val="Compact"/>
      </w:pPr>
      <w:r>
        <w:t xml:space="preserve">2016 · Smits MM ·</w:t>
      </w:r>
      <w:r>
        <w:t xml:space="preserve"> </w:t>
      </w:r>
      <w:r>
        <w:rPr>
          <w:iCs/>
          <w:i/>
        </w:rPr>
        <w:t xml:space="preserve">Diabetes Obes Metab</w:t>
      </w:r>
      <w:r>
        <w:t xml:space="preserve"> </w:t>
      </w:r>
      <w:r>
        <w:t xml:space="preserve">· Biliary effects of liraglutide and sitagliptin, a 12-week randomized placebo-controlled trial in type 2 diabetes patients. PMID 27451030</w:t>
      </w:r>
    </w:p>
    <w:p>
      <w:pPr>
        <w:numPr>
          <w:ilvl w:val="0"/>
          <w:numId w:val="1376"/>
        </w:numPr>
        <w:pStyle w:val="Compact"/>
      </w:pPr>
      <w:r>
        <w:t xml:space="preserve">2016 · Htike ZZ ·</w:t>
      </w:r>
      <w:r>
        <w:t xml:space="preserve"> </w:t>
      </w:r>
      <w:r>
        <w:rPr>
          <w:iCs/>
          <w:i/>
        </w:rPr>
        <w:t xml:space="preserve">Cardiovasc Diabetol</w:t>
      </w:r>
      <w:r>
        <w:t xml:space="preserve"> </w:t>
      </w:r>
      <w:r>
        <w:t xml:space="preserve">· Rationale and design of the randomised controlled trial to assess the impact of liraglutide on cardiac function and structure in young adults with type 2 diabetes (the LYDIA study). PMID 27440110</w:t>
      </w:r>
    </w:p>
    <w:p>
      <w:pPr>
        <w:numPr>
          <w:ilvl w:val="0"/>
          <w:numId w:val="1376"/>
        </w:numPr>
        <w:pStyle w:val="Compact"/>
      </w:pPr>
      <w:r>
        <w:t xml:space="preserve">2016 · Bailey TS ·</w:t>
      </w:r>
      <w:r>
        <w:t xml:space="preserve"> </w:t>
      </w:r>
      <w:r>
        <w:rPr>
          <w:iCs/>
          <w:i/>
        </w:rPr>
        <w:t xml:space="preserve">Diabetes Obes Metab</w:t>
      </w:r>
      <w:r>
        <w:t xml:space="preserve"> </w:t>
      </w:r>
      <w:r>
        <w:t xml:space="preserve">· Efficacy and safety of switching from sitagliptin to liraglutide in subjects with type 2 diabetes (LIRA-SWITCH): a randomized, double-blind, double-dummy, active-controlled 26-week trial. PMID 27381275</w:t>
      </w:r>
    </w:p>
    <w:p>
      <w:pPr>
        <w:numPr>
          <w:ilvl w:val="0"/>
          <w:numId w:val="1376"/>
        </w:numPr>
        <w:pStyle w:val="Compact"/>
      </w:pPr>
      <w:r>
        <w:t xml:space="preserve">2016 · Azar ST ·</w:t>
      </w:r>
      <w:r>
        <w:t xml:space="preserve"> </w:t>
      </w:r>
      <w:r>
        <w:rPr>
          <w:iCs/>
          <w:i/>
        </w:rPr>
        <w:t xml:space="preserve">Diabetes Obes Metab</w:t>
      </w:r>
      <w:r>
        <w:t xml:space="preserve"> </w:t>
      </w:r>
      <w:r>
        <w:t xml:space="preserve">· Efficacy and safety of liraglutide compared to sulphonylurea during Ramadan in patients with type 2 diabetes (LIRA-Ramadan): a randomized trial. PMID 27376711</w:t>
      </w:r>
    </w:p>
    <w:p>
      <w:pPr>
        <w:numPr>
          <w:ilvl w:val="0"/>
          <w:numId w:val="1376"/>
        </w:numPr>
        <w:pStyle w:val="Compact"/>
      </w:pPr>
      <w:r>
        <w:t xml:space="preserve">2016 · Nauck M ·</w:t>
      </w:r>
      <w:r>
        <w:t xml:space="preserve"> </w:t>
      </w:r>
      <w:r>
        <w:rPr>
          <w:iCs/>
          <w:i/>
        </w:rPr>
        <w:t xml:space="preserve">Diabetes Care</w:t>
      </w:r>
      <w:r>
        <w:t xml:space="preserve"> </w:t>
      </w:r>
      <w:r>
        <w:t xml:space="preserve">· Once-Daily Liraglutide Versus Lixisenatide as Add-on to Metformin in Type 2 Diabetes: A 26-Week Randomized Controlled Clinical Trial. PMID 27311491</w:t>
      </w:r>
    </w:p>
    <w:p>
      <w:pPr>
        <w:numPr>
          <w:ilvl w:val="0"/>
          <w:numId w:val="1376"/>
        </w:numPr>
        <w:pStyle w:val="Compact"/>
      </w:pPr>
      <w:r>
        <w:t xml:space="preserve">2016 · Marso SP ·</w:t>
      </w:r>
      <w:r>
        <w:t xml:space="preserve"> </w:t>
      </w:r>
      <w:r>
        <w:rPr>
          <w:iCs/>
          <w:i/>
        </w:rPr>
        <w:t xml:space="preserve">N Engl J Med</w:t>
      </w:r>
      <w:r>
        <w:t xml:space="preserve"> </w:t>
      </w:r>
      <w:r>
        <w:t xml:space="preserve">· Liraglutide and Cardiovascular Outcomes in Type 2 Diabetes. PMID 27295427</w:t>
      </w:r>
    </w:p>
    <w:p>
      <w:pPr>
        <w:numPr>
          <w:ilvl w:val="0"/>
          <w:numId w:val="1376"/>
        </w:numPr>
        <w:pStyle w:val="Compact"/>
      </w:pPr>
      <w:r>
        <w:t xml:space="preserve">2016 · Farr OM ·</w:t>
      </w:r>
      <w:r>
        <w:t xml:space="preserve"> </w:t>
      </w:r>
      <w:r>
        <w:rPr>
          <w:iCs/>
          <w:i/>
        </w:rPr>
        <w:t xml:space="preserve">Metabolism</w:t>
      </w:r>
      <w:r>
        <w:t xml:space="preserve"> </w:t>
      </w:r>
      <w:r>
        <w:t xml:space="preserve">· Short-term administration of the GLP-1 analog liraglutide decreases circulating leptin and increases GIP levels and these changes are associated with alterations in CNS responses to food cues: A randomized, placebo-controlled, crossover study. PMID 27282865</w:t>
      </w:r>
    </w:p>
    <w:p>
      <w:pPr>
        <w:numPr>
          <w:ilvl w:val="0"/>
          <w:numId w:val="1376"/>
        </w:numPr>
        <w:pStyle w:val="Compact"/>
      </w:pPr>
      <w:r>
        <w:t xml:space="preserve">2016 · Mader JK ·</w:t>
      </w:r>
      <w:r>
        <w:t xml:space="preserve"> </w:t>
      </w:r>
      <w:r>
        <w:rPr>
          <w:iCs/>
          <w:i/>
        </w:rPr>
        <w:t xml:space="preserve">Clin Pharmacokinet</w:t>
      </w:r>
      <w:r>
        <w:t xml:space="preserve"> </w:t>
      </w:r>
      <w:r>
        <w:t xml:space="preserve">· Pharmacokinetic Properties of Liraglutide as Adjunct to Insulin in Subjects with Type 1 Diabetes Mellitus. PMID 27282158</w:t>
      </w:r>
    </w:p>
    <w:p>
      <w:pPr>
        <w:numPr>
          <w:ilvl w:val="0"/>
          <w:numId w:val="1376"/>
        </w:numPr>
        <w:pStyle w:val="Compact"/>
      </w:pPr>
      <w:r>
        <w:t xml:space="preserve">2016 · Vanderheiden A ·</w:t>
      </w:r>
      <w:r>
        <w:t xml:space="preserve"> </w:t>
      </w:r>
      <w:r>
        <w:rPr>
          <w:iCs/>
          <w:i/>
        </w:rPr>
        <w:t xml:space="preserve">JAMA Intern Med</w:t>
      </w:r>
      <w:r>
        <w:t xml:space="preserve"> </w:t>
      </w:r>
      <w:r>
        <w:t xml:space="preserve">· Effect of Adding Liraglutide vs Placebo to a High-Dose lnsulin Regimen in Patients With Type 2 Diabetes: A Randomized Clinical Trial. PMID 27273731</w:t>
      </w:r>
    </w:p>
    <w:p>
      <w:pPr>
        <w:numPr>
          <w:ilvl w:val="0"/>
          <w:numId w:val="1376"/>
        </w:numPr>
        <w:pStyle w:val="Compact"/>
      </w:pPr>
      <w:r>
        <w:t xml:space="preserve">2016 · Kuhadiya ND ·</w:t>
      </w:r>
      <w:r>
        <w:t xml:space="preserve"> </w:t>
      </w:r>
      <w:r>
        <w:rPr>
          <w:iCs/>
          <w:i/>
        </w:rPr>
        <w:t xml:space="preserve">Diabetes Care</w:t>
      </w:r>
      <w:r>
        <w:t xml:space="preserve"> </w:t>
      </w:r>
      <w:r>
        <w:t xml:space="preserve">· Addition of Liraglutide to Insulin in Patients With Type 1 Diabetes: A Randomized Placebo-Controlled Clinical Trial of 12 Weeks. PMID 27208343</w:t>
      </w:r>
    </w:p>
    <w:p>
      <w:pPr>
        <w:numPr>
          <w:ilvl w:val="0"/>
          <w:numId w:val="1376"/>
        </w:numPr>
        <w:pStyle w:val="Compact"/>
      </w:pPr>
      <w:r>
        <w:t xml:space="preserve">2016 · Sherr JL ·</w:t>
      </w:r>
      <w:r>
        <w:t xml:space="preserve"> </w:t>
      </w:r>
      <w:r>
        <w:rPr>
          <w:iCs/>
          <w:i/>
        </w:rPr>
        <w:t xml:space="preserve">Diabetes Care</w:t>
      </w:r>
      <w:r>
        <w:t xml:space="preserve"> </w:t>
      </w:r>
      <w:r>
        <w:t xml:space="preserve">· Mitigating Meal-Related Glycemic Excursions in an Insulin-Sparing Manner During Closed-Loop Insulin Delivery: The Beneficial Effects of Adjunctive Pramlintide and Liraglutide. PMID 27208332</w:t>
      </w:r>
    </w:p>
    <w:p>
      <w:pPr>
        <w:numPr>
          <w:ilvl w:val="0"/>
          <w:numId w:val="1376"/>
        </w:numPr>
        <w:pStyle w:val="Compact"/>
      </w:pPr>
      <w:r>
        <w:t xml:space="preserve">2016 · Kolotkin RL ·</w:t>
      </w:r>
      <w:r>
        <w:t xml:space="preserve"> </w:t>
      </w:r>
      <w:r>
        <w:rPr>
          <w:iCs/>
          <w:i/>
        </w:rPr>
        <w:t xml:space="preserve">Clin Obes</w:t>
      </w:r>
      <w:r>
        <w:t xml:space="preserve"> </w:t>
      </w:r>
      <w:r>
        <w:t xml:space="preserve">· Improvements in health-related quality of life with liraglutide 3.0 mg compared with placebo in weight management. PMID 27198973</w:t>
      </w:r>
    </w:p>
    <w:p>
      <w:pPr>
        <w:numPr>
          <w:ilvl w:val="0"/>
          <w:numId w:val="1376"/>
        </w:numPr>
        <w:pStyle w:val="Compact"/>
      </w:pPr>
      <w:r>
        <w:t xml:space="preserve">2016 · Overgaard RV ·</w:t>
      </w:r>
      <w:r>
        <w:t xml:space="preserve"> </w:t>
      </w:r>
      <w:r>
        <w:rPr>
          <w:iCs/>
          <w:i/>
        </w:rPr>
        <w:t xml:space="preserve">Clin Pharmacokinet</w:t>
      </w:r>
      <w:r>
        <w:t xml:space="preserve"> </w:t>
      </w:r>
      <w:r>
        <w:t xml:space="preserve">· Liraglutide 3.0 mg for Weight Management: A Population Pharmacokinetic Analysis. PMID 27193270</w:t>
      </w:r>
    </w:p>
    <w:p>
      <w:pPr>
        <w:numPr>
          <w:ilvl w:val="0"/>
          <w:numId w:val="1376"/>
        </w:numPr>
        <w:pStyle w:val="Compact"/>
      </w:pPr>
      <w:r>
        <w:t xml:space="preserve">2016 · Ilkowitz JT ·</w:t>
      </w:r>
      <w:r>
        <w:t xml:space="preserve"> </w:t>
      </w:r>
      <w:r>
        <w:rPr>
          <w:iCs/>
          <w:i/>
        </w:rPr>
        <w:t xml:space="preserve">J Diabetes Sci Technol</w:t>
      </w:r>
      <w:r>
        <w:t xml:space="preserve"> </w:t>
      </w:r>
      <w:r>
        <w:t xml:space="preserve">· Adjuvant Liraglutide and Insulin Versus Insulin Monotherapy in the Closed-Loop System in Type 1 Diabetes: A Randomized Open-Labeled Crossover Design Trial. PMID 27184690</w:t>
      </w:r>
    </w:p>
    <w:p>
      <w:pPr>
        <w:numPr>
          <w:ilvl w:val="0"/>
          <w:numId w:val="1376"/>
        </w:numPr>
        <w:pStyle w:val="Compact"/>
      </w:pPr>
      <w:r>
        <w:t xml:space="preserve">2016 · Seino Y ·</w:t>
      </w:r>
      <w:r>
        <w:t xml:space="preserve"> </w:t>
      </w:r>
      <w:r>
        <w:rPr>
          <w:iCs/>
          <w:i/>
        </w:rPr>
        <w:t xml:space="preserve">J Diabetes Investig</w:t>
      </w:r>
      <w:r>
        <w:t xml:space="preserve"> </w:t>
      </w:r>
      <w:r>
        <w:t xml:space="preserve">· Combination therapy with liraglutide and insulin in Japanese patients with type 2 diabetes: A 36-week, randomized, double-blind, parallel-group trial. PMID 27182042</w:t>
      </w:r>
    </w:p>
    <w:p>
      <w:pPr>
        <w:numPr>
          <w:ilvl w:val="0"/>
          <w:numId w:val="1376"/>
        </w:numPr>
        <w:pStyle w:val="Compact"/>
      </w:pPr>
      <w:r>
        <w:t xml:space="preserve">2016 · Chen P ·</w:t>
      </w:r>
      <w:r>
        <w:t xml:space="preserve"> </w:t>
      </w:r>
      <w:r>
        <w:rPr>
          <w:iCs/>
          <w:i/>
        </w:rPr>
        <w:t xml:space="preserve">Zhonghua Nei Ke Za Zhi</w:t>
      </w:r>
      <w:r>
        <w:t xml:space="preserve"> </w:t>
      </w:r>
      <w:r>
        <w:t xml:space="preserve">· [The effect of liraglutide in combination with human umbilical cord mesenchymal stem cells treatment on glucose metabolism and β cell function in type 2 diabetes mellitus]. PMID 27143183</w:t>
      </w:r>
    </w:p>
    <w:p>
      <w:pPr>
        <w:numPr>
          <w:ilvl w:val="0"/>
          <w:numId w:val="1376"/>
        </w:numPr>
        <w:pStyle w:val="Compact"/>
      </w:pPr>
      <w:r>
        <w:t xml:space="preserve">2016 · Hodge RJ ·</w:t>
      </w:r>
      <w:r>
        <w:t xml:space="preserve"> </w:t>
      </w:r>
      <w:r>
        <w:rPr>
          <w:iCs/>
          <w:i/>
        </w:rPr>
        <w:t xml:space="preserve">PLoS One</w:t>
      </w:r>
      <w:r>
        <w:t xml:space="preserve"> </w:t>
      </w:r>
      <w:r>
        <w:t xml:space="preserve">· Weight and Glucose Reduction Observed with a Combination of Nutritional Agents in Rodent Models Does Not Translate to Humans in a Randomized Clinical Trial with Healthy Volunteers and Subjects with Type 2 Diabetes. PMID 27093610</w:t>
      </w:r>
    </w:p>
    <w:p>
      <w:pPr>
        <w:numPr>
          <w:ilvl w:val="0"/>
          <w:numId w:val="1376"/>
        </w:numPr>
        <w:pStyle w:val="Compact"/>
      </w:pPr>
      <w:r>
        <w:t xml:space="preserve">2016 · Shankar SS ·</w:t>
      </w:r>
      <w:r>
        <w:t xml:space="preserve"> </w:t>
      </w:r>
      <w:r>
        <w:rPr>
          <w:iCs/>
          <w:i/>
        </w:rPr>
        <w:t xml:space="preserve">Am J Physiol Endocrinol Metab</w:t>
      </w:r>
      <w:r>
        <w:t xml:space="preserve"> </w:t>
      </w:r>
      <w:r>
        <w:t xml:space="preserve">· Linearity of β-cell response across the metabolic spectrum and to pharmacology: insights from a graded glucose infusion-based investigation series. PMID 27072496</w:t>
      </w:r>
    </w:p>
    <w:p>
      <w:pPr>
        <w:numPr>
          <w:ilvl w:val="0"/>
          <w:numId w:val="1376"/>
        </w:numPr>
        <w:pStyle w:val="Compact"/>
      </w:pPr>
      <w:r>
        <w:t xml:space="preserve">2016 · Zang L ·</w:t>
      </w:r>
      <w:r>
        <w:t xml:space="preserve"> </w:t>
      </w:r>
      <w:r>
        <w:rPr>
          <w:iCs/>
          <w:i/>
        </w:rPr>
        <w:t xml:space="preserve">Diabetes Obes Metab</w:t>
      </w:r>
      <w:r>
        <w:t xml:space="preserve"> </w:t>
      </w:r>
      <w:r>
        <w:t xml:space="preserve">· Efficacy and safety of liraglutide versus sitagliptin, both in combination with metformin, in Chinese patients with type 2 diabetes: a 26-week, open-label, randomized, active comparator clinical trial. PMID 27060930</w:t>
      </w:r>
    </w:p>
    <w:p>
      <w:pPr>
        <w:numPr>
          <w:ilvl w:val="0"/>
          <w:numId w:val="1376"/>
        </w:numPr>
        <w:pStyle w:val="Compact"/>
      </w:pPr>
      <w:r>
        <w:t xml:space="preserve">2016 · Blackman A ·</w:t>
      </w:r>
      <w:r>
        <w:t xml:space="preserve"> </w:t>
      </w:r>
      <w:r>
        <w:rPr>
          <w:iCs/>
          <w:i/>
        </w:rPr>
        <w:t xml:space="preserve">Int J Obes (Lond)</w:t>
      </w:r>
      <w:r>
        <w:t xml:space="preserve"> </w:t>
      </w:r>
      <w:r>
        <w:t xml:space="preserve">· Effect of liraglutide 3.0 mg in individuals with obesity and moderate or severe obstructive sleep apnea: the SCALE Sleep Apnea randomized clinical trial. PMID 27005405</w:t>
      </w:r>
    </w:p>
    <w:p>
      <w:pPr>
        <w:numPr>
          <w:ilvl w:val="0"/>
          <w:numId w:val="1376"/>
        </w:numPr>
        <w:pStyle w:val="Compact"/>
      </w:pPr>
      <w:r>
        <w:t xml:space="preserve">2016 · Aroda VR ·</w:t>
      </w:r>
      <w:r>
        <w:t xml:space="preserve"> </w:t>
      </w:r>
      <w:r>
        <w:rPr>
          <w:iCs/>
          <w:i/>
        </w:rPr>
        <w:t xml:space="preserve">Diabetes Obes Metab</w:t>
      </w:r>
      <w:r>
        <w:t xml:space="preserve"> </w:t>
      </w:r>
      <w:r>
        <w:t xml:space="preserve">· Effect of adding insulin degludec to treatment in patients with type 2 diabetes inadequately controlled with metformin and liraglutide: a double-blind randomized controlled trial (BEGIN: ADD TO GLP-1 Study). PMID 26990378</w:t>
      </w:r>
    </w:p>
    <w:p>
      <w:pPr>
        <w:numPr>
          <w:ilvl w:val="0"/>
          <w:numId w:val="1376"/>
        </w:numPr>
        <w:pStyle w:val="Compact"/>
      </w:pPr>
      <w:r>
        <w:t xml:space="preserve">2016 · Lingvay I ·</w:t>
      </w:r>
      <w:r>
        <w:t xml:space="preserve"> </w:t>
      </w:r>
      <w:r>
        <w:rPr>
          <w:iCs/>
          <w:i/>
        </w:rPr>
        <w:t xml:space="preserve">JAMA</w:t>
      </w:r>
      <w:r>
        <w:t xml:space="preserve"> </w:t>
      </w:r>
      <w:r>
        <w:t xml:space="preserve">· Effect of Insulin Glargine Up-titration vs Insulin Degludec/Liraglutide on Glycated Hemoglobin Levels in Patients With Uncontrolled Type 2 Diabetes: The DUAL V Randomized Clinical Trial. PMID 26934259</w:t>
      </w:r>
    </w:p>
    <w:p>
      <w:pPr>
        <w:numPr>
          <w:ilvl w:val="0"/>
          <w:numId w:val="1376"/>
        </w:numPr>
        <w:pStyle w:val="Compact"/>
      </w:pPr>
      <w:r>
        <w:t xml:space="preserve">2016 · Skov J ·</w:t>
      </w:r>
      <w:r>
        <w:t xml:space="preserve"> </w:t>
      </w:r>
      <w:r>
        <w:rPr>
          <w:iCs/>
          <w:i/>
        </w:rPr>
        <w:t xml:space="preserve">Diabetes Obes Metab</w:t>
      </w:r>
      <w:r>
        <w:t xml:space="preserve"> </w:t>
      </w:r>
      <w:r>
        <w:t xml:space="preserve">· Short-term effects of liraglutide on kidney function and vasoactive hormones in type 2 diabetes: a randomized clinical trial. PMID 26910107</w:t>
      </w:r>
    </w:p>
    <w:p>
      <w:pPr>
        <w:numPr>
          <w:ilvl w:val="0"/>
          <w:numId w:val="1376"/>
        </w:numPr>
        <w:pStyle w:val="Compact"/>
      </w:pPr>
      <w:r>
        <w:t xml:space="preserve">2016 · Vanderheiden A ·</w:t>
      </w:r>
      <w:r>
        <w:t xml:space="preserve"> </w:t>
      </w:r>
      <w:r>
        <w:rPr>
          <w:iCs/>
          <w:i/>
        </w:rPr>
        <w:t xml:space="preserve">J Clin Endocrinol Metab</w:t>
      </w:r>
      <w:r>
        <w:t xml:space="preserve"> </w:t>
      </w:r>
      <w:r>
        <w:t xml:space="preserve">· Mechanisms of Action of Liraglutide in Patients With Type 2 Diabetes Treated With High-Dose Insulin. PMID 26909799</w:t>
      </w:r>
    </w:p>
    <w:p>
      <w:pPr>
        <w:numPr>
          <w:ilvl w:val="0"/>
          <w:numId w:val="1376"/>
        </w:numPr>
        <w:pStyle w:val="Compact"/>
      </w:pPr>
      <w:r>
        <w:t xml:space="preserve">2016 · Masmiquel L ·</w:t>
      </w:r>
      <w:r>
        <w:t xml:space="preserve"> </w:t>
      </w:r>
      <w:r>
        <w:rPr>
          <w:iCs/>
          <w:i/>
        </w:rPr>
        <w:t xml:space="preserve">Cardiovasc Diabetol</w:t>
      </w:r>
      <w:r>
        <w:t xml:space="preserve"> </w:t>
      </w:r>
      <w:r>
        <w:t xml:space="preserve">· LEADER 5: prevalence and cardiometabolic impact of obesity in cardiovascular high-risk patients with type 2 diabetes mellitus: baseline global data from the LEADER trial. PMID 26864124</w:t>
      </w:r>
    </w:p>
    <w:p>
      <w:pPr>
        <w:numPr>
          <w:ilvl w:val="0"/>
          <w:numId w:val="1376"/>
        </w:numPr>
        <w:pStyle w:val="Compact"/>
      </w:pPr>
      <w:r>
        <w:t xml:space="preserve">2016 · Petrie JR ·</w:t>
      </w:r>
      <w:r>
        <w:t xml:space="preserve"> </w:t>
      </w:r>
      <w:r>
        <w:rPr>
          <w:iCs/>
          <w:i/>
        </w:rPr>
        <w:t xml:space="preserve">J Hypertens</w:t>
      </w:r>
      <w:r>
        <w:t xml:space="preserve"> </w:t>
      </w:r>
      <w:r>
        <w:t xml:space="preserve">· LEADER-4: blood pressure control in patients with type 2 diabetes and high cardiovascular risk: baseline data from the LEADER randomized trial. PMID 26855018</w:t>
      </w:r>
    </w:p>
    <w:p>
      <w:pPr>
        <w:numPr>
          <w:ilvl w:val="0"/>
          <w:numId w:val="1376"/>
        </w:numPr>
        <w:pStyle w:val="Compact"/>
      </w:pPr>
      <w:r>
        <w:t xml:space="preserve">2016 · Chen WR ·</w:t>
      </w:r>
      <w:r>
        <w:t xml:space="preserve"> </w:t>
      </w:r>
      <w:r>
        <w:rPr>
          <w:iCs/>
          <w:i/>
        </w:rPr>
        <w:t xml:space="preserve">Int J Cardiol</w:t>
      </w:r>
      <w:r>
        <w:t xml:space="preserve"> </w:t>
      </w:r>
      <w:r>
        <w:t xml:space="preserve">· Effects of liraglutide on no-reflow in patients with acute ST-segment elevation myocardial infarction. PMID 26849684</w:t>
      </w:r>
    </w:p>
    <w:p>
      <w:pPr>
        <w:numPr>
          <w:ilvl w:val="0"/>
          <w:numId w:val="1376"/>
        </w:numPr>
        <w:pStyle w:val="Compact"/>
      </w:pPr>
      <w:r>
        <w:t xml:space="preserve">2016 · Wilding JP ·</w:t>
      </w:r>
      <w:r>
        <w:t xml:space="preserve"> </w:t>
      </w:r>
      <w:r>
        <w:rPr>
          <w:iCs/>
          <w:i/>
        </w:rPr>
        <w:t xml:space="preserve">Diabetes Obes Metab</w:t>
      </w:r>
      <w:r>
        <w:t xml:space="preserve"> </w:t>
      </w:r>
      <w:r>
        <w:t xml:space="preserve">· Exposure-response analyses of liraglutide 3.0 mg for weight management. PMID 26833744</w:t>
      </w:r>
    </w:p>
    <w:p>
      <w:pPr>
        <w:numPr>
          <w:ilvl w:val="0"/>
          <w:numId w:val="1376"/>
        </w:numPr>
        <w:pStyle w:val="Compact"/>
      </w:pPr>
      <w:r>
        <w:t xml:space="preserve">2016 · Farr OM ·</w:t>
      </w:r>
      <w:r>
        <w:t xml:space="preserve"> </w:t>
      </w:r>
      <w:r>
        <w:rPr>
          <w:iCs/>
          <w:i/>
        </w:rPr>
        <w:t xml:space="preserve">Diabetologia</w:t>
      </w:r>
      <w:r>
        <w:t xml:space="preserve"> </w:t>
      </w:r>
      <w:r>
        <w:t xml:space="preserve">· GLP-1 receptors exist in the parietal cortex, hypothalamus and medulla of human brains and the GLP-1 analogue liraglutide alters brain activity related to highly desirable food cues in individuals with diabetes: a crossover, randomised, placebo-controlled trial. PMID 26831302</w:t>
      </w:r>
    </w:p>
    <w:p>
      <w:pPr>
        <w:numPr>
          <w:ilvl w:val="0"/>
          <w:numId w:val="1376"/>
        </w:numPr>
        <w:pStyle w:val="Compact"/>
      </w:pPr>
      <w:r>
        <w:t xml:space="preserve">2016 · Kaku K ·</w:t>
      </w:r>
      <w:r>
        <w:t xml:space="preserve"> </w:t>
      </w:r>
      <w:r>
        <w:rPr>
          <w:iCs/>
          <w:i/>
        </w:rPr>
        <w:t xml:space="preserve">J Diabetes Investig</w:t>
      </w:r>
      <w:r>
        <w:t xml:space="preserve"> </w:t>
      </w:r>
      <w:r>
        <w:t xml:space="preserve">· Liraglutide is effective and well tolerated in combination with an oral antidiabetic drug in Japanese patients with type 2 diabetes: A randomized, 52-week, open-label, parallel-group trial. PMID 26816604</w:t>
      </w:r>
    </w:p>
    <w:p>
      <w:pPr>
        <w:numPr>
          <w:ilvl w:val="0"/>
          <w:numId w:val="1376"/>
        </w:numPr>
        <w:pStyle w:val="Compact"/>
      </w:pPr>
      <w:r>
        <w:t xml:space="preserve">2016 · Ard J ·</w:t>
      </w:r>
      <w:r>
        <w:t xml:space="preserve"> </w:t>
      </w:r>
      <w:r>
        <w:rPr>
          <w:iCs/>
          <w:i/>
        </w:rPr>
        <w:t xml:space="preserve">Diabetes Obes Metab</w:t>
      </w:r>
      <w:r>
        <w:t xml:space="preserve"> </w:t>
      </w:r>
      <w:r>
        <w:t xml:space="preserve">· Efficacy and safety of liraglutide 3.0 mg for weight management are similar across races: subgroup analysis across the SCALE and phase II randomized trials. PMID 26744025</w:t>
      </w:r>
    </w:p>
    <w:p>
      <w:pPr>
        <w:numPr>
          <w:ilvl w:val="0"/>
          <w:numId w:val="1376"/>
        </w:numPr>
        <w:pStyle w:val="Compact"/>
      </w:pPr>
      <w:r>
        <w:t xml:space="preserve">2016 · Nagakura J ·</w:t>
      </w:r>
      <w:r>
        <w:t xml:space="preserve"> </w:t>
      </w:r>
      <w:r>
        <w:rPr>
          <w:iCs/>
          <w:i/>
        </w:rPr>
        <w:t xml:space="preserve">Endocr J</w:t>
      </w:r>
      <w:r>
        <w:t xml:space="preserve"> </w:t>
      </w:r>
      <w:r>
        <w:t xml:space="preserve">· Effects of exenatide and liraglutide on 24-hour glucose fluctuations in type 2 diabetes. PMID 26743240</w:t>
      </w:r>
    </w:p>
    <w:p>
      <w:pPr>
        <w:numPr>
          <w:ilvl w:val="0"/>
          <w:numId w:val="1376"/>
        </w:numPr>
        <w:pStyle w:val="Compact"/>
      </w:pPr>
      <w:r>
        <w:t xml:space="preserve">2016 · Davies MJ ·</w:t>
      </w:r>
      <w:r>
        <w:t xml:space="preserve"> </w:t>
      </w:r>
      <w:r>
        <w:rPr>
          <w:iCs/>
          <w:i/>
        </w:rPr>
        <w:t xml:space="preserve">Diabetes Care</w:t>
      </w:r>
      <w:r>
        <w:t xml:space="preserve"> </w:t>
      </w:r>
      <w:r>
        <w:t xml:space="preserve">· Efficacy and Safety of Liraglutide Versus Placebo as Add-on to Glucose-Lowering Therapy in Patients With Type 2 Diabetes and Moderate Renal Impairment (LIRA-RENAL): A Randomized Clinical Trial. PMID 26681713</w:t>
      </w:r>
    </w:p>
    <w:p>
      <w:pPr>
        <w:numPr>
          <w:ilvl w:val="0"/>
          <w:numId w:val="1376"/>
        </w:numPr>
        <w:pStyle w:val="Compact"/>
      </w:pPr>
      <w:r>
        <w:t xml:space="preserve">2016 · Odawara M ·</w:t>
      </w:r>
      <w:r>
        <w:t xml:space="preserve"> </w:t>
      </w:r>
      <w:r>
        <w:rPr>
          <w:iCs/>
          <w:i/>
        </w:rPr>
        <w:t xml:space="preserve">Diabetes Obes Metab</w:t>
      </w:r>
      <w:r>
        <w:t xml:space="preserve"> </w:t>
      </w:r>
      <w:r>
        <w:t xml:space="preserve">· Once-weekly glucagon-like peptide-1 receptor agonist dulaglutide significantly decreases glycated haemoglobin compared with once-daily liraglutide in Japanese patients with type 2 diabetes: 52 weeks of treatment in a randomized phase III study. PMID 26661514</w:t>
      </w:r>
    </w:p>
    <w:p>
      <w:pPr>
        <w:numPr>
          <w:ilvl w:val="0"/>
          <w:numId w:val="1376"/>
        </w:numPr>
        <w:pStyle w:val="Compact"/>
      </w:pPr>
      <w:r>
        <w:t xml:space="preserve">2016 · Dejgaard TF ·</w:t>
      </w:r>
      <w:r>
        <w:t xml:space="preserve"> </w:t>
      </w:r>
      <w:r>
        <w:rPr>
          <w:iCs/>
          <w:i/>
        </w:rPr>
        <w:t xml:space="preserve">Lancet Diabetes Endocrinol</w:t>
      </w:r>
      <w:r>
        <w:t xml:space="preserve"> </w:t>
      </w:r>
      <w:r>
        <w:t xml:space="preserve">· Efficacy and safety of liraglutide for overweight adult patients with type 1 diabetes and insufficient glycaemic control (Lira-1): a randomised, double-blind, placebo-controlled trial. PMID 26656289</w:t>
      </w:r>
    </w:p>
    <w:p>
      <w:pPr>
        <w:numPr>
          <w:ilvl w:val="0"/>
          <w:numId w:val="1376"/>
        </w:numPr>
        <w:pStyle w:val="Compact"/>
      </w:pPr>
      <w:r>
        <w:t xml:space="preserve">2016 · Ke W ·</w:t>
      </w:r>
      <w:r>
        <w:t xml:space="preserve"> </w:t>
      </w:r>
      <w:r>
        <w:rPr>
          <w:iCs/>
          <w:i/>
        </w:rPr>
        <w:t xml:space="preserve">J Diabetes Res</w:t>
      </w:r>
      <w:r>
        <w:t xml:space="preserve"> </w:t>
      </w:r>
      <w:r>
        <w:t xml:space="preserve">· Effects of Liraglutide Combined with Short-Term Continuous Subcutaneous Insulin Infusion on Glycemic Control and Beta Cell Function in Patients with Newly Diagnosed Type 2 Diabetes Mellitus: A Pilot Study. PMID 26640805</w:t>
      </w:r>
    </w:p>
    <w:p>
      <w:pPr>
        <w:numPr>
          <w:ilvl w:val="0"/>
          <w:numId w:val="1376"/>
        </w:numPr>
        <w:pStyle w:val="Compact"/>
      </w:pPr>
      <w:r>
        <w:t xml:space="preserve">2016 · Armstrong MJ ·</w:t>
      </w:r>
      <w:r>
        <w:t xml:space="preserve"> </w:t>
      </w:r>
      <w:r>
        <w:rPr>
          <w:iCs/>
          <w:i/>
        </w:rPr>
        <w:t xml:space="preserve">Lancet</w:t>
      </w:r>
      <w:r>
        <w:t xml:space="preserve"> </w:t>
      </w:r>
      <w:r>
        <w:t xml:space="preserve">· Liraglutide safety and efficacy in patients with non-alcoholic steatohepatitis (LEAN): a multicentre, double-blind, randomised, placebo-controlled phase 2 study. PMID 26608256</w:t>
      </w:r>
    </w:p>
    <w:p>
      <w:pPr>
        <w:numPr>
          <w:ilvl w:val="0"/>
          <w:numId w:val="1376"/>
        </w:numPr>
        <w:pStyle w:val="Compact"/>
      </w:pPr>
      <w:r>
        <w:t xml:space="preserve">2016 · Gilbert MP ·</w:t>
      </w:r>
      <w:r>
        <w:t xml:space="preserve"> </w:t>
      </w:r>
      <w:r>
        <w:rPr>
          <w:iCs/>
          <w:i/>
        </w:rPr>
        <w:t xml:space="preserve">Endocr Pract</w:t>
      </w:r>
      <w:r>
        <w:t xml:space="preserve"> </w:t>
      </w:r>
      <w:r>
        <w:t xml:space="preserve">· COMPARISON OF THE LONG-TERM EFFECTS OF LIRAGLUTIDE AND GLIMEPIRIDE MONOTHERAPY ON BONE MINERAL DENSITY IN PATIENTS WITH TYPE 2 DIABETES. PMID 26574791</w:t>
      </w:r>
    </w:p>
    <w:p>
      <w:pPr>
        <w:numPr>
          <w:ilvl w:val="0"/>
          <w:numId w:val="1376"/>
        </w:numPr>
        <w:pStyle w:val="Compact"/>
      </w:pPr>
      <w:r>
        <w:t xml:space="preserve">2016 · Chen WR ·</w:t>
      </w:r>
      <w:r>
        <w:t xml:space="preserve"> </w:t>
      </w:r>
      <w:r>
        <w:rPr>
          <w:iCs/>
          <w:i/>
        </w:rPr>
        <w:t xml:space="preserve">Endocrine</w:t>
      </w:r>
      <w:r>
        <w:t xml:space="preserve"> </w:t>
      </w:r>
      <w:r>
        <w:t xml:space="preserve">· Effects of liraglutide on left ventricular function in patients with non-ST-segment elevation myocardial infarction. PMID 26573925</w:t>
      </w:r>
    </w:p>
    <w:p>
      <w:pPr>
        <w:numPr>
          <w:ilvl w:val="0"/>
          <w:numId w:val="1376"/>
        </w:numPr>
        <w:pStyle w:val="Compact"/>
      </w:pPr>
      <w:r>
        <w:t xml:space="preserve">2016 · de Wit HM ·</w:t>
      </w:r>
      <w:r>
        <w:t xml:space="preserve"> </w:t>
      </w:r>
      <w:r>
        <w:rPr>
          <w:iCs/>
          <w:i/>
        </w:rPr>
        <w:t xml:space="preserve">J Intern Med</w:t>
      </w:r>
      <w:r>
        <w:t xml:space="preserve"> </w:t>
      </w:r>
      <w:r>
        <w:t xml:space="preserve">· Durable efficacy of liraglutide in patients with type 2 diabetes and pronounced insulin-associated weight gain: 52-week results from the Effect of Liraglutide on insulin-associated wEight GAiN in patients with Type 2 diabetes’ (ELEGANT) randomized controlled trial. PMID 26553486</w:t>
      </w:r>
    </w:p>
    <w:p>
      <w:pPr>
        <w:numPr>
          <w:ilvl w:val="0"/>
          <w:numId w:val="1376"/>
        </w:numPr>
        <w:pStyle w:val="Compact"/>
      </w:pPr>
      <w:r>
        <w:t xml:space="preserve">2016 · Armstrong MJ ·</w:t>
      </w:r>
      <w:r>
        <w:t xml:space="preserve"> </w:t>
      </w:r>
      <w:r>
        <w:rPr>
          <w:iCs/>
          <w:i/>
        </w:rPr>
        <w:t xml:space="preserve">J Hepatol</w:t>
      </w:r>
      <w:r>
        <w:t xml:space="preserve"> </w:t>
      </w:r>
      <w:r>
        <w:t xml:space="preserve">· Glucagon-like peptide 1 decreases lipotoxicity in non-alcoholic steatohepatitis. PMID 26394161</w:t>
      </w:r>
    </w:p>
    <w:p>
      <w:pPr>
        <w:numPr>
          <w:ilvl w:val="0"/>
          <w:numId w:val="1376"/>
        </w:numPr>
        <w:pStyle w:val="Compact"/>
      </w:pPr>
      <w:r>
        <w:t xml:space="preserve">2016 · Nauck MA ·</w:t>
      </w:r>
      <w:r>
        <w:t xml:space="preserve"> </w:t>
      </w:r>
      <w:r>
        <w:rPr>
          <w:iCs/>
          <w:i/>
        </w:rPr>
        <w:t xml:space="preserve">Diabetes Care</w:t>
      </w:r>
      <w:r>
        <w:t xml:space="preserve"> </w:t>
      </w:r>
      <w:r>
        <w:t xml:space="preserve">· A Phase 2, Randomized, Dose-Finding Study of the Novel Once-Weekly Human GLP-1 Analog, Semaglutide, Compared With Placebo and Open-Label Liraglutide in Patients With Type 2 Diabetes. PMID 26358288</w:t>
      </w:r>
    </w:p>
    <w:p>
      <w:pPr>
        <w:numPr>
          <w:ilvl w:val="0"/>
          <w:numId w:val="1376"/>
        </w:numPr>
        <w:pStyle w:val="Compact"/>
      </w:pPr>
      <w:r>
        <w:t xml:space="preserve">2016 · Idorn T ·</w:t>
      </w:r>
      <w:r>
        <w:t xml:space="preserve"> </w:t>
      </w:r>
      <w:r>
        <w:rPr>
          <w:iCs/>
          <w:i/>
        </w:rPr>
        <w:t xml:space="preserve">Diabetes Care</w:t>
      </w:r>
      <w:r>
        <w:t xml:space="preserve"> </w:t>
      </w:r>
      <w:r>
        <w:t xml:space="preserve">· Safety and Efficacy of Liraglutide in Patients With Type 2 Diabetes and End-Stage Renal Disease: An Investigator-Initiated, Placebo-Controlled, Double-Blind, Parallel-Group, Randomized Trial. PMID 26283739</w:t>
      </w:r>
    </w:p>
    <w:p>
      <w:pPr>
        <w:numPr>
          <w:ilvl w:val="0"/>
          <w:numId w:val="1376"/>
        </w:numPr>
        <w:pStyle w:val="Compact"/>
      </w:pPr>
      <w:r>
        <w:t xml:space="preserve">2016 · Ten Kulve JS ·</w:t>
      </w:r>
      <w:r>
        <w:t xml:space="preserve"> </w:t>
      </w:r>
      <w:r>
        <w:rPr>
          <w:iCs/>
          <w:i/>
        </w:rPr>
        <w:t xml:space="preserve">Diabetes Care</w:t>
      </w:r>
      <w:r>
        <w:t xml:space="preserve"> </w:t>
      </w:r>
      <w:r>
        <w:t xml:space="preserve">· Liraglutide Reduces CNS Activation in Response to Visual Food Cues Only After Short-term Treatment in Patients With Type 2 Diabetes. PMID 26283736</w:t>
      </w:r>
    </w:p>
    <w:p>
      <w:pPr>
        <w:numPr>
          <w:ilvl w:val="0"/>
          <w:numId w:val="1376"/>
        </w:numPr>
        <w:pStyle w:val="Compact"/>
      </w:pPr>
      <w:r>
        <w:t xml:space="preserve">2015 · Smits MM ·</w:t>
      </w:r>
      <w:r>
        <w:t xml:space="preserve"> </w:t>
      </w:r>
      <w:r>
        <w:rPr>
          <w:iCs/>
          <w:i/>
        </w:rPr>
        <w:t xml:space="preserve">BMJ Open</w:t>
      </w:r>
      <w:r>
        <w:t xml:space="preserve"> </w:t>
      </w:r>
      <w:r>
        <w:t xml:space="preserve">· Cardiovascular, renal and gastrointestinal effects of incretin-based therapies: an acute and 12-week randomised, double-blind, placebo-controlled, mechanistic intervention trial in type 2 diabetes. PMID 26586327</w:t>
      </w:r>
    </w:p>
    <w:p>
      <w:pPr>
        <w:numPr>
          <w:ilvl w:val="0"/>
          <w:numId w:val="1376"/>
        </w:numPr>
        <w:pStyle w:val="Compact"/>
      </w:pPr>
      <w:r>
        <w:t xml:space="preserve">2015 · Chen WR ·</w:t>
      </w:r>
      <w:r>
        <w:t xml:space="preserve"> </w:t>
      </w:r>
      <w:r>
        <w:rPr>
          <w:iCs/>
          <w:i/>
        </w:rPr>
        <w:t xml:space="preserve">Am Heart J</w:t>
      </w:r>
      <w:r>
        <w:t xml:space="preserve"> </w:t>
      </w:r>
      <w:r>
        <w:t xml:space="preserve">· Effects of liraglutide on left ventricular function in patients with ST-segment elevation myocardial infarction undergoing primary percutaneous coronary intervention. PMID 26542491</w:t>
      </w:r>
    </w:p>
    <w:p>
      <w:pPr>
        <w:numPr>
          <w:ilvl w:val="0"/>
          <w:numId w:val="1376"/>
        </w:numPr>
        <w:pStyle w:val="Compact"/>
      </w:pPr>
      <w:r>
        <w:t xml:space="preserve">2015 · Lind M ·</w:t>
      </w:r>
      <w:r>
        <w:t xml:space="preserve"> </w:t>
      </w:r>
      <w:r>
        <w:rPr>
          <w:iCs/>
          <w:i/>
        </w:rPr>
        <w:t xml:space="preserve">BMJ</w:t>
      </w:r>
      <w:r>
        <w:t xml:space="preserve"> </w:t>
      </w:r>
      <w:r>
        <w:t xml:space="preserve">· Liraglutide in people treated for type 2 diabetes with multiple daily insulin injections: randomised clinical trial (MDI Liraglutide trial). PMID 26512041</w:t>
      </w:r>
    </w:p>
    <w:p>
      <w:pPr>
        <w:numPr>
          <w:ilvl w:val="0"/>
          <w:numId w:val="1376"/>
        </w:numPr>
        <w:pStyle w:val="Compact"/>
      </w:pPr>
      <w:r>
        <w:t xml:space="preserve">2015 · Frandsen CS ·</w:t>
      </w:r>
      <w:r>
        <w:t xml:space="preserve"> </w:t>
      </w:r>
      <w:r>
        <w:rPr>
          <w:iCs/>
          <w:i/>
        </w:rPr>
        <w:t xml:space="preserve">Diabetes Care</w:t>
      </w:r>
      <w:r>
        <w:t xml:space="preserve"> </w:t>
      </w:r>
      <w:r>
        <w:t xml:space="preserve">· Twelve-Week Treatment With Liraglutide as Add-on to Insulin in Normal-Weight Patients With Poorly Controlled Type 1 Diabetes: A Randomized, Placebo-Controlled, Double-Blind Parallel Study. PMID 26486191</w:t>
      </w:r>
    </w:p>
    <w:p>
      <w:pPr>
        <w:numPr>
          <w:ilvl w:val="0"/>
          <w:numId w:val="1376"/>
        </w:numPr>
        <w:pStyle w:val="Compact"/>
      </w:pPr>
      <w:r>
        <w:t xml:space="preserve">2015 · Holst JJ ·</w:t>
      </w:r>
      <w:r>
        <w:t xml:space="preserve"> </w:t>
      </w:r>
      <w:r>
        <w:rPr>
          <w:iCs/>
          <w:i/>
        </w:rPr>
        <w:t xml:space="preserve">J Diabetes Sci Technol</w:t>
      </w:r>
      <w:r>
        <w:t xml:space="preserve"> </w:t>
      </w:r>
      <w:r>
        <w:t xml:space="preserve">· IDegLira Improves Both Fasting and Postprandial Glucose Control as Demonstrated Using Continuous Glucose Monitoring and a Standardized Meal Test. PMID 26443290</w:t>
      </w:r>
    </w:p>
    <w:p>
      <w:pPr>
        <w:numPr>
          <w:ilvl w:val="0"/>
          <w:numId w:val="1376"/>
        </w:numPr>
        <w:pStyle w:val="Compact"/>
      </w:pPr>
      <w:r>
        <w:t xml:space="preserve">2015 · Malm-Erjefält M ·</w:t>
      </w:r>
      <w:r>
        <w:t xml:space="preserve"> </w:t>
      </w:r>
      <w:r>
        <w:rPr>
          <w:iCs/>
          <w:i/>
        </w:rPr>
        <w:t xml:space="preserve">Mol Pharm</w:t>
      </w:r>
      <w:r>
        <w:t xml:space="preserve"> </w:t>
      </w:r>
      <w:r>
        <w:t xml:space="preserve">· Effect on the Gastrointestinal Absorption of Drugs from Different Classes in the Biopharmaceutics Classification System, When Treating with Liraglutide. PMID 26426736</w:t>
      </w:r>
    </w:p>
    <w:p>
      <w:pPr>
        <w:numPr>
          <w:ilvl w:val="0"/>
          <w:numId w:val="1376"/>
        </w:numPr>
        <w:pStyle w:val="Compact"/>
      </w:pPr>
      <w:r>
        <w:t xml:space="preserve">2015 · Li D ·</w:t>
      </w:r>
      <w:r>
        <w:t xml:space="preserve"> </w:t>
      </w:r>
      <w:r>
        <w:rPr>
          <w:iCs/>
          <w:i/>
        </w:rPr>
        <w:t xml:space="preserve">Diabetes Res Clin Pract</w:t>
      </w:r>
      <w:r>
        <w:t xml:space="preserve"> </w:t>
      </w:r>
      <w:r>
        <w:t xml:space="preserve">· Liraglutide treatment causes upregulation of adiponectin and downregulation of resistin in Chinese type 2 diabetes. PMID 26376464</w:t>
      </w:r>
    </w:p>
    <w:p>
      <w:pPr>
        <w:numPr>
          <w:ilvl w:val="0"/>
          <w:numId w:val="1376"/>
        </w:numPr>
        <w:pStyle w:val="Compact"/>
      </w:pPr>
      <w:r>
        <w:t xml:space="preserve">2015 · Tanaka K ·</w:t>
      </w:r>
      <w:r>
        <w:t xml:space="preserve"> </w:t>
      </w:r>
      <w:r>
        <w:rPr>
          <w:iCs/>
          <w:i/>
        </w:rPr>
        <w:t xml:space="preserve">Clin Drug Investig</w:t>
      </w:r>
      <w:r>
        <w:t xml:space="preserve"> </w:t>
      </w:r>
      <w:r>
        <w:t xml:space="preserve">· Effects of Liraglutide Monotherapy on Beta Cell Function and Pancreatic Enzymes Compared with Metformin in Japanese Overweight/Obese Patients with Type 2 Diabetes Mellitus: A Subpopulation Analysis of the KIND-LM Randomized Trial. PMID 26369653</w:t>
      </w:r>
    </w:p>
    <w:p>
      <w:pPr>
        <w:numPr>
          <w:ilvl w:val="0"/>
          <w:numId w:val="1376"/>
        </w:numPr>
        <w:pStyle w:val="Compact"/>
      </w:pPr>
      <w:r>
        <w:t xml:space="preserve">2015 · Ma Z ·</w:t>
      </w:r>
      <w:r>
        <w:t xml:space="preserve"> </w:t>
      </w:r>
      <w:r>
        <w:rPr>
          <w:iCs/>
          <w:i/>
        </w:rPr>
        <w:t xml:space="preserve">Int J Clin Pharmacol Ther</w:t>
      </w:r>
      <w:r>
        <w:t xml:space="preserve"> </w:t>
      </w:r>
      <w:r>
        <w:t xml:space="preserve">· Effect of liraglutide vs. NPH in combination with metformin on blood glucose fluctuations assessed using continuous glucose monitoring in patients with newly diagnosed type 2 diabetes. PMID 26365337</w:t>
      </w:r>
    </w:p>
    <w:p>
      <w:pPr>
        <w:numPr>
          <w:ilvl w:val="0"/>
          <w:numId w:val="1376"/>
        </w:numPr>
        <w:pStyle w:val="Compact"/>
      </w:pPr>
      <w:r>
        <w:t xml:space="preserve">2015 · Østoft SH ·</w:t>
      </w:r>
      <w:r>
        <w:t xml:space="preserve"> </w:t>
      </w:r>
      <w:r>
        <w:rPr>
          <w:iCs/>
          <w:i/>
        </w:rPr>
        <w:t xml:space="preserve">Dan Med J</w:t>
      </w:r>
      <w:r>
        <w:t xml:space="preserve"> </w:t>
      </w:r>
      <w:r>
        <w:t xml:space="preserve">· Incretin hormones and maturity onset diabetes of the young–pathophysiological implications and anti-diabetic treatment potential. PMID 26324089</w:t>
      </w:r>
    </w:p>
    <w:p>
      <w:pPr>
        <w:numPr>
          <w:ilvl w:val="0"/>
          <w:numId w:val="1376"/>
        </w:numPr>
        <w:pStyle w:val="Compact"/>
      </w:pPr>
      <w:r>
        <w:t xml:space="preserve">2015 · Nomoto H ·</w:t>
      </w:r>
      <w:r>
        <w:t xml:space="preserve"> </w:t>
      </w:r>
      <w:r>
        <w:rPr>
          <w:iCs/>
          <w:i/>
        </w:rPr>
        <w:t xml:space="preserve">PLoS One</w:t>
      </w:r>
      <w:r>
        <w:t xml:space="preserve"> </w:t>
      </w:r>
      <w:r>
        <w:t xml:space="preserve">· A Comparison of the Effects of the GLP-1 Analogue Liraglutide and Insulin Glargine on Endothelial Function and Metabolic Parameters: A Randomized, Controlled Trial Sapporo Athero-Incretin Study 2 (SAIS2). PMID 26284918</w:t>
      </w:r>
    </w:p>
    <w:p>
      <w:pPr>
        <w:numPr>
          <w:ilvl w:val="0"/>
          <w:numId w:val="1376"/>
        </w:numPr>
        <w:pStyle w:val="Compact"/>
      </w:pPr>
      <w:r>
        <w:t xml:space="preserve">2015 · Davies MJ ·</w:t>
      </w:r>
      <w:r>
        <w:t xml:space="preserve"> </w:t>
      </w:r>
      <w:r>
        <w:rPr>
          <w:iCs/>
          <w:i/>
        </w:rPr>
        <w:t xml:space="preserve">JAMA</w:t>
      </w:r>
      <w:r>
        <w:t xml:space="preserve"> </w:t>
      </w:r>
      <w:r>
        <w:t xml:space="preserve">· Efficacy of Liraglutide for Weight Loss Among Patients With Type 2 Diabetes: The SCALE Diabetes Randomized Clinical Trial. PMID 26284720</w:t>
      </w:r>
    </w:p>
    <w:p>
      <w:pPr>
        <w:numPr>
          <w:ilvl w:val="0"/>
          <w:numId w:val="1376"/>
        </w:numPr>
        <w:pStyle w:val="Compact"/>
      </w:pPr>
      <w:r>
        <w:t xml:space="preserve">2015 · Yan L ·</w:t>
      </w:r>
      <w:r>
        <w:t xml:space="preserve"> </w:t>
      </w:r>
      <w:r>
        <w:rPr>
          <w:iCs/>
          <w:i/>
        </w:rPr>
        <w:t xml:space="preserve">Zhonghua Nei Ke Za Zhi</w:t>
      </w:r>
      <w:r>
        <w:t xml:space="preserve"> </w:t>
      </w:r>
      <w:r>
        <w:t xml:space="preserve">· [The efficacy and safety of human glucagon-like peptide-1 analogue liraglutide in newly diagnosed type 2 diabetes with glycosylated hemoglobin A1c &gt; 9]. PMID 26268058</w:t>
      </w:r>
    </w:p>
    <w:p>
      <w:pPr>
        <w:numPr>
          <w:ilvl w:val="0"/>
          <w:numId w:val="1376"/>
        </w:numPr>
        <w:pStyle w:val="Compact"/>
      </w:pPr>
      <w:r>
        <w:t xml:space="preserve">2015 · Kramer CK ·</w:t>
      </w:r>
      <w:r>
        <w:t xml:space="preserve"> </w:t>
      </w:r>
      <w:r>
        <w:rPr>
          <w:iCs/>
          <w:i/>
        </w:rPr>
        <w:t xml:space="preserve">J Clin Endocrinol Metab</w:t>
      </w:r>
      <w:r>
        <w:t xml:space="preserve"> </w:t>
      </w:r>
      <w:r>
        <w:t xml:space="preserve">· The Impact of Chronic Liraglutide Therapy on Glucagon Secretion in Type 2 Diabetes: Insight From the LIBRA Trial. PMID 26230296</w:t>
      </w:r>
    </w:p>
    <w:p>
      <w:pPr>
        <w:numPr>
          <w:ilvl w:val="0"/>
          <w:numId w:val="1376"/>
        </w:numPr>
        <w:pStyle w:val="Compact"/>
      </w:pPr>
      <w:r>
        <w:t xml:space="preserve">2015 · Rizvi AA ·</w:t>
      </w:r>
      <w:r>
        <w:t xml:space="preserve"> </w:t>
      </w:r>
      <w:r>
        <w:rPr>
          <w:iCs/>
          <w:i/>
        </w:rPr>
        <w:t xml:space="preserve">Expert Opin Biol Ther</w:t>
      </w:r>
      <w:r>
        <w:t xml:space="preserve"> </w:t>
      </w:r>
      <w:r>
        <w:t xml:space="preserve">· Liraglutide improves carotid intima-media thickness in patients with type 2 diabetes and non-alcoholic fatty liver disease: an 8-month prospective pilot study. PMID 26195184</w:t>
      </w:r>
    </w:p>
    <w:p>
      <w:pPr>
        <w:numPr>
          <w:ilvl w:val="0"/>
          <w:numId w:val="1376"/>
        </w:numPr>
        <w:pStyle w:val="Compact"/>
      </w:pPr>
      <w:r>
        <w:t xml:space="preserve">2015 · Fujioka K ·</w:t>
      </w:r>
      <w:r>
        <w:t xml:space="preserve"> </w:t>
      </w:r>
      <w:r>
        <w:rPr>
          <w:iCs/>
          <w:i/>
        </w:rPr>
        <w:t xml:space="preserve">J Diabetes Sci Technol</w:t>
      </w:r>
      <w:r>
        <w:t xml:space="preserve"> </w:t>
      </w:r>
      <w:r>
        <w:t xml:space="preserve">· Usability of the Novel Liraglutide 3.0 mg Pen Injector Among Overweight or Obese Adult Patients With or Without Prior Injection Experience. PMID 26183599</w:t>
      </w:r>
    </w:p>
    <w:p>
      <w:pPr>
        <w:numPr>
          <w:ilvl w:val="0"/>
          <w:numId w:val="1376"/>
        </w:numPr>
        <w:pStyle w:val="Compact"/>
      </w:pPr>
      <w:r>
        <w:t xml:space="preserve">2015 · Ahmann A ·</w:t>
      </w:r>
      <w:r>
        <w:t xml:space="preserve"> </w:t>
      </w:r>
      <w:r>
        <w:rPr>
          <w:iCs/>
          <w:i/>
        </w:rPr>
        <w:t xml:space="preserve">Diabetes Obes Metab</w:t>
      </w:r>
      <w:r>
        <w:t xml:space="preserve"> </w:t>
      </w:r>
      <w:r>
        <w:t xml:space="preserve">· Efficacy and safety of liraglutide versus placebo added to basal insulin analogues (with or without metformin) in patients with type 2 diabetes: a randomized, placebo-controlled trial. PMID 26179619</w:t>
      </w:r>
    </w:p>
    <w:p>
      <w:pPr>
        <w:numPr>
          <w:ilvl w:val="0"/>
          <w:numId w:val="1376"/>
        </w:numPr>
        <w:pStyle w:val="Compact"/>
      </w:pPr>
      <w:r>
        <w:t xml:space="preserve">2015 · Miyagawa J ·</w:t>
      </w:r>
      <w:r>
        <w:t xml:space="preserve"> </w:t>
      </w:r>
      <w:r>
        <w:rPr>
          <w:iCs/>
          <w:i/>
        </w:rPr>
        <w:t xml:space="preserve">Diabetes Obes Metab</w:t>
      </w:r>
      <w:r>
        <w:t xml:space="preserve"> </w:t>
      </w:r>
      <w:r>
        <w:t xml:space="preserve">· Once-weekly glucagon-like peptide-1 receptor agonist dulaglutide is non-inferior to once-daily liraglutide and superior to placebo in Japanese patients with type 2 diabetes: a 26-week randomized phase III study. PMID 26179187</w:t>
      </w:r>
    </w:p>
    <w:p>
      <w:pPr>
        <w:numPr>
          <w:ilvl w:val="0"/>
          <w:numId w:val="1376"/>
        </w:numPr>
        <w:pStyle w:val="Compact"/>
      </w:pPr>
      <w:r>
        <w:t xml:space="preserve">2015 · Pi-Sunyer X ·</w:t>
      </w:r>
      <w:r>
        <w:t xml:space="preserve"> </w:t>
      </w:r>
      <w:r>
        <w:rPr>
          <w:iCs/>
          <w:i/>
        </w:rPr>
        <w:t xml:space="preserve">N Engl J Med</w:t>
      </w:r>
      <w:r>
        <w:t xml:space="preserve"> </w:t>
      </w:r>
      <w:r>
        <w:t xml:space="preserve">· A Randomized, Controlled Trial of 3.0 mg of Liraglutide in Weight Management. PMID 26132939</w:t>
      </w:r>
    </w:p>
    <w:p>
      <w:pPr>
        <w:numPr>
          <w:ilvl w:val="0"/>
          <w:numId w:val="1376"/>
        </w:numPr>
        <w:pStyle w:val="Compact"/>
      </w:pPr>
      <w:r>
        <w:t xml:space="preserve">2015 · Iepsen EW ·</w:t>
      </w:r>
      <w:r>
        <w:t xml:space="preserve"> </w:t>
      </w:r>
      <w:r>
        <w:rPr>
          <w:iCs/>
          <w:i/>
        </w:rPr>
        <w:t xml:space="preserve">J Clin Endocrinol Metab</w:t>
      </w:r>
      <w:r>
        <w:t xml:space="preserve"> </w:t>
      </w:r>
      <w:r>
        <w:t xml:space="preserve">· GLP-1 Receptor Agonist Treatment Increases Bone Formation and Prevents Bone Loss in Weight-Reduced Obese Women. PMID 26043228</w:t>
      </w:r>
    </w:p>
    <w:p>
      <w:pPr>
        <w:numPr>
          <w:ilvl w:val="0"/>
          <w:numId w:val="1376"/>
        </w:numPr>
        <w:pStyle w:val="Compact"/>
      </w:pPr>
      <w:r>
        <w:t xml:space="preserve">2015 · Jensterle M ·</w:t>
      </w:r>
      <w:r>
        <w:t xml:space="preserve"> </w:t>
      </w:r>
      <w:r>
        <w:rPr>
          <w:iCs/>
          <w:i/>
        </w:rPr>
        <w:t xml:space="preserve">J Ovarian Res</w:t>
      </w:r>
      <w:r>
        <w:t xml:space="preserve"> </w:t>
      </w:r>
      <w:r>
        <w:t xml:space="preserve">· Short term monotherapy with GLP-1 receptor agonist liraglutide or PDE 4 inhibitor roflumilast is superior to metformin in weight loss in obese PCOS women: a pilot randomized study. PMID 26032655</w:t>
      </w:r>
    </w:p>
    <w:p>
      <w:pPr>
        <w:numPr>
          <w:ilvl w:val="0"/>
          <w:numId w:val="1376"/>
        </w:numPr>
        <w:pStyle w:val="Compact"/>
      </w:pPr>
      <w:r>
        <w:t xml:space="preserve">2015 · Kapitza C ·</w:t>
      </w:r>
      <w:r>
        <w:t xml:space="preserve"> </w:t>
      </w:r>
      <w:r>
        <w:rPr>
          <w:iCs/>
          <w:i/>
        </w:rPr>
        <w:t xml:space="preserve">J Clin Pharmacol</w:t>
      </w:r>
      <w:r>
        <w:t xml:space="preserve"> </w:t>
      </w:r>
      <w:r>
        <w:t xml:space="preserve">· Preserved pharmacokinetic exposure and distinct glycemic effects of insulin degludec and liraglutide in IDegLira, a fixed-ratio combination therapy. PMID 25998481</w:t>
      </w:r>
    </w:p>
    <w:p>
      <w:pPr>
        <w:numPr>
          <w:ilvl w:val="0"/>
          <w:numId w:val="1376"/>
        </w:numPr>
        <w:pStyle w:val="Compact"/>
      </w:pPr>
      <w:r>
        <w:t xml:space="preserve">2015 · Jensterle M ·</w:t>
      </w:r>
      <w:r>
        <w:t xml:space="preserve"> </w:t>
      </w:r>
      <w:r>
        <w:rPr>
          <w:iCs/>
          <w:i/>
        </w:rPr>
        <w:t xml:space="preserve">Eur J Clin Pharmacol</w:t>
      </w:r>
      <w:r>
        <w:t xml:space="preserve"> </w:t>
      </w:r>
      <w:r>
        <w:t xml:space="preserve">· Genetic variability in GLP-1 receptor is associated with inter-individual differences in weight lowering potential of liraglutide in obese women with PCOS: a pilot study. PMID 25991051</w:t>
      </w:r>
    </w:p>
    <w:p>
      <w:pPr>
        <w:numPr>
          <w:ilvl w:val="0"/>
          <w:numId w:val="1376"/>
        </w:numPr>
        <w:pStyle w:val="Compact"/>
      </w:pPr>
      <w:r>
        <w:t xml:space="preserve">2015 · Gough SC ·</w:t>
      </w:r>
      <w:r>
        <w:t xml:space="preserve"> </w:t>
      </w:r>
      <w:r>
        <w:rPr>
          <w:iCs/>
          <w:i/>
        </w:rPr>
        <w:t xml:space="preserve">Diabetes Obes Metab</w:t>
      </w:r>
      <w:r>
        <w:t xml:space="preserve"> </w:t>
      </w:r>
      <w:r>
        <w:t xml:space="preserve">· One-year efficacy and safety of a fixed combination of insulin degludec and liraglutide in patients with type 2 diabetes: results of a 26-week extension to a 26-week main trial. PMID 25980900</w:t>
      </w:r>
    </w:p>
    <w:p>
      <w:pPr>
        <w:numPr>
          <w:ilvl w:val="0"/>
          <w:numId w:val="1376"/>
        </w:numPr>
        <w:pStyle w:val="Compact"/>
      </w:pPr>
      <w:r>
        <w:t xml:space="preserve">2015 · von Scholten BJ ·</w:t>
      </w:r>
      <w:r>
        <w:t xml:space="preserve"> </w:t>
      </w:r>
      <w:r>
        <w:rPr>
          <w:iCs/>
          <w:i/>
        </w:rPr>
        <w:t xml:space="preserve">J Diabetes Complications</w:t>
      </w:r>
      <w:r>
        <w:t xml:space="preserve"> </w:t>
      </w:r>
      <w:r>
        <w:t xml:space="preserve">· Glucagon-like peptide 1 receptor agonist (GLP-1 RA): long-term effect on kidney function in patients with type 2 diabetes. PMID 25935863</w:t>
      </w:r>
    </w:p>
    <w:p>
      <w:pPr>
        <w:numPr>
          <w:ilvl w:val="0"/>
          <w:numId w:val="1376"/>
        </w:numPr>
        <w:pStyle w:val="Compact"/>
      </w:pPr>
      <w:r>
        <w:t xml:space="preserve">2015 · Faber R ·</w:t>
      </w:r>
      <w:r>
        <w:t xml:space="preserve"> </w:t>
      </w:r>
      <w:r>
        <w:rPr>
          <w:iCs/>
          <w:i/>
        </w:rPr>
        <w:t xml:space="preserve">Cardiovasc Diabetol</w:t>
      </w:r>
      <w:r>
        <w:t xml:space="preserve"> </w:t>
      </w:r>
      <w:r>
        <w:t xml:space="preserve">· Effect of the glucagon-like peptide-1 analogue liraglutide on coronary microvascular function in patients with type 2 diabetes - a randomized, single-blinded, cross-over pilot study. PMID 25896352</w:t>
      </w:r>
    </w:p>
    <w:p>
      <w:pPr>
        <w:numPr>
          <w:ilvl w:val="0"/>
          <w:numId w:val="1376"/>
        </w:numPr>
        <w:pStyle w:val="Compact"/>
      </w:pPr>
      <w:r>
        <w:t xml:space="preserve">2015 · Meier JJ ·</w:t>
      </w:r>
      <w:r>
        <w:t xml:space="preserve"> </w:t>
      </w:r>
      <w:r>
        <w:rPr>
          <w:iCs/>
          <w:i/>
        </w:rPr>
        <w:t xml:space="preserve">Diabetes Care</w:t>
      </w:r>
      <w:r>
        <w:t xml:space="preserve"> </w:t>
      </w:r>
      <w:r>
        <w:t xml:space="preserve">· Contrasting Effects of Lixisenatide and Liraglutide on Postprandial Glycemic Control, Gastric Emptying, and Safety Parameters in Patients With Type 2 Diabetes on Optimized Insulin Glargine With or Without Metformin: A Randomized, Open-Label Trial. PMID 25887358</w:t>
      </w:r>
    </w:p>
    <w:p>
      <w:pPr>
        <w:numPr>
          <w:ilvl w:val="0"/>
          <w:numId w:val="1376"/>
        </w:numPr>
        <w:pStyle w:val="Compact"/>
      </w:pPr>
      <w:r>
        <w:t xml:space="preserve">2015 · Jensterle M ·</w:t>
      </w:r>
      <w:r>
        <w:t xml:space="preserve"> </w:t>
      </w:r>
      <w:r>
        <w:rPr>
          <w:iCs/>
          <w:i/>
        </w:rPr>
        <w:t xml:space="preserve">Hormones (Athens)</w:t>
      </w:r>
      <w:r>
        <w:t xml:space="preserve"> </w:t>
      </w:r>
      <w:r>
        <w:t xml:space="preserve">· A 12-week treatment with the long-acting glucagon-like peptide 1 receptor agonist liraglutide leads to significant weight loss in a subset of obese women with newly diagnosed polycystic ovary syndrome. PMID 25885106</w:t>
      </w:r>
    </w:p>
    <w:p>
      <w:pPr>
        <w:numPr>
          <w:ilvl w:val="0"/>
          <w:numId w:val="1376"/>
        </w:numPr>
        <w:pStyle w:val="Compact"/>
      </w:pPr>
      <w:r>
        <w:t xml:space="preserve">2015 · Kahal H ·</w:t>
      </w:r>
      <w:r>
        <w:t xml:space="preserve"> </w:t>
      </w:r>
      <w:r>
        <w:rPr>
          <w:iCs/>
          <w:i/>
        </w:rPr>
        <w:t xml:space="preserve">BMC Endocr Disord</w:t>
      </w:r>
      <w:r>
        <w:t xml:space="preserve"> </w:t>
      </w:r>
      <w:r>
        <w:t xml:space="preserve">· The effects of treatment with liraglutide on atherothrombotic risk in obese young women with polycystic ovary syndrome and controls. PMID 25880805</w:t>
      </w:r>
    </w:p>
    <w:p>
      <w:pPr>
        <w:numPr>
          <w:ilvl w:val="0"/>
          <w:numId w:val="1376"/>
        </w:numPr>
        <w:pStyle w:val="Compact"/>
      </w:pPr>
      <w:r>
        <w:t xml:space="preserve">2015 · Robert SA ·</w:t>
      </w:r>
      <w:r>
        <w:t xml:space="preserve"> </w:t>
      </w:r>
      <w:r>
        <w:rPr>
          <w:iCs/>
          <w:i/>
        </w:rPr>
        <w:t xml:space="preserve">Obes Res Clin Pract</w:t>
      </w:r>
      <w:r>
        <w:t xml:space="preserve"> </w:t>
      </w:r>
      <w:r>
        <w:t xml:space="preserve">· Improvement in binge eating in non-diabetic obese individuals after 3 months of treatment with liraglutide - A pilot study. PMID 25870084</w:t>
      </w:r>
    </w:p>
    <w:p>
      <w:pPr>
        <w:numPr>
          <w:ilvl w:val="0"/>
          <w:numId w:val="1376"/>
        </w:numPr>
        <w:pStyle w:val="Compact"/>
      </w:pPr>
      <w:r>
        <w:t xml:space="preserve">2015 · Pieber TR ·</w:t>
      </w:r>
      <w:r>
        <w:t xml:space="preserve"> </w:t>
      </w:r>
      <w:r>
        <w:rPr>
          <w:iCs/>
          <w:i/>
        </w:rPr>
        <w:t xml:space="preserve">Diabetes Obes Metab</w:t>
      </w:r>
      <w:r>
        <w:t xml:space="preserve"> </w:t>
      </w:r>
      <w:r>
        <w:t xml:space="preserve">· Counter-regulatory hormone responses to hypoglycaemia in people with type 1 diabetes after 4 weeks of treatment with liraglutide adjunct to insulin: a randomized, placebo-controlled, double-blind, crossover trial. PMID 25855340</w:t>
      </w:r>
    </w:p>
    <w:p>
      <w:pPr>
        <w:numPr>
          <w:ilvl w:val="0"/>
          <w:numId w:val="1376"/>
        </w:numPr>
        <w:pStyle w:val="Compact"/>
      </w:pPr>
      <w:r>
        <w:t xml:space="preserve">2015 · Myat A ·</w:t>
      </w:r>
      <w:r>
        <w:t xml:space="preserve"> </w:t>
      </w:r>
      <w:r>
        <w:rPr>
          <w:iCs/>
          <w:i/>
        </w:rPr>
        <w:t xml:space="preserve">Cardiovasc Diabetol</w:t>
      </w:r>
      <w:r>
        <w:t xml:space="preserve"> </w:t>
      </w:r>
      <w:r>
        <w:t xml:space="preserve">· Design and rationale for the randomised, double-blinded, placebo-controlled Liraglutide to Improve corONary haemodynamics during Exercise streSS (LIONESS) crossover study. PMID 25848859</w:t>
      </w:r>
    </w:p>
    <w:p>
      <w:pPr>
        <w:numPr>
          <w:ilvl w:val="0"/>
          <w:numId w:val="1376"/>
        </w:numPr>
        <w:pStyle w:val="Compact"/>
      </w:pPr>
      <w:r>
        <w:t xml:space="preserve">2015 · Dejgaard TF ·</w:t>
      </w:r>
      <w:r>
        <w:t xml:space="preserve"> </w:t>
      </w:r>
      <w:r>
        <w:rPr>
          <w:iCs/>
          <w:i/>
        </w:rPr>
        <w:t xml:space="preserve">BMJ Open</w:t>
      </w:r>
      <w:r>
        <w:t xml:space="preserve"> </w:t>
      </w:r>
      <w:r>
        <w:t xml:space="preserve">· Efficacy and safety of the glucagon-like peptide-1 receptor agonist liraglutide added to insulin therapy in poorly regulated patients with type 1 diabetes–a protocol for a randomised, double-blind, placebo-controlled study: the Lira-1 study. PMID 25838513</w:t>
      </w:r>
    </w:p>
    <w:p>
      <w:pPr>
        <w:numPr>
          <w:ilvl w:val="0"/>
          <w:numId w:val="1376"/>
        </w:numPr>
        <w:pStyle w:val="Compact"/>
      </w:pPr>
      <w:r>
        <w:t xml:space="preserve">2015 · de Luis DA ·</w:t>
      </w:r>
      <w:r>
        <w:t xml:space="preserve"> </w:t>
      </w:r>
      <w:r>
        <w:rPr>
          <w:iCs/>
          <w:i/>
        </w:rPr>
        <w:t xml:space="preserve">J Diabetes Complications</w:t>
      </w:r>
      <w:r>
        <w:t xml:space="preserve"> </w:t>
      </w:r>
      <w:r>
        <w:t xml:space="preserve">· Evaluation of weight loss and metabolic changes in diabetic patients treated with liraglutide, effect of RS 6923761 gene variant of glucagon-like peptide 1 receptor. PMID 25825013</w:t>
      </w:r>
    </w:p>
    <w:p>
      <w:pPr>
        <w:numPr>
          <w:ilvl w:val="0"/>
          <w:numId w:val="1376"/>
        </w:numPr>
        <w:pStyle w:val="Compact"/>
      </w:pPr>
      <w:r>
        <w:t xml:space="preserve">2015 · Tang A ·</w:t>
      </w:r>
      <w:r>
        <w:t xml:space="preserve"> </w:t>
      </w:r>
      <w:r>
        <w:rPr>
          <w:iCs/>
          <w:i/>
        </w:rPr>
        <w:t xml:space="preserve">Diabetes Care</w:t>
      </w:r>
      <w:r>
        <w:t xml:space="preserve"> </w:t>
      </w:r>
      <w:r>
        <w:t xml:space="preserve">· Effects of Insulin Glargine and Liraglutide Therapy on Liver Fat as Measured by Magnetic Resonance in Patients With Type 2 Diabetes: A Randomized Trial. PMID 25813773</w:t>
      </w:r>
    </w:p>
    <w:p>
      <w:pPr>
        <w:numPr>
          <w:ilvl w:val="0"/>
          <w:numId w:val="1376"/>
        </w:numPr>
        <w:pStyle w:val="Compact"/>
      </w:pPr>
      <w:r>
        <w:t xml:space="preserve">2015 · Tanaka K ·</w:t>
      </w:r>
      <w:r>
        <w:t xml:space="preserve"> </w:t>
      </w:r>
      <w:r>
        <w:rPr>
          <w:iCs/>
          <w:i/>
        </w:rPr>
        <w:t xml:space="preserve">Endocr J</w:t>
      </w:r>
      <w:r>
        <w:t xml:space="preserve"> </w:t>
      </w:r>
      <w:r>
        <w:t xml:space="preserve">· Efficacy and safety of liraglutide monotherapy compared with metformin in Japanese overweight/obese patients with type 2 diabetes. PMID 25739726</w:t>
      </w:r>
    </w:p>
    <w:p>
      <w:pPr>
        <w:numPr>
          <w:ilvl w:val="0"/>
          <w:numId w:val="1376"/>
        </w:numPr>
        <w:pStyle w:val="Compact"/>
      </w:pPr>
      <w:r>
        <w:t xml:space="preserve">2015 · Ingwersen SH ·</w:t>
      </w:r>
      <w:r>
        <w:t xml:space="preserve"> </w:t>
      </w:r>
      <w:r>
        <w:rPr>
          <w:iCs/>
          <w:i/>
        </w:rPr>
        <w:t xml:space="preserve">Diabetes Res Clin Pract</w:t>
      </w:r>
      <w:r>
        <w:t xml:space="preserve"> </w:t>
      </w:r>
      <w:r>
        <w:t xml:space="preserve">· Liraglutide pharmacokinetics and dose-exposure response in Asian subjects with Type 2 diabetes from China, India and South Korea. PMID 25684604</w:t>
      </w:r>
    </w:p>
    <w:p>
      <w:pPr>
        <w:numPr>
          <w:ilvl w:val="0"/>
          <w:numId w:val="1376"/>
        </w:numPr>
        <w:pStyle w:val="Compact"/>
      </w:pPr>
      <w:r>
        <w:t xml:space="preserve">2015 · Inoue Y ·</w:t>
      </w:r>
      <w:r>
        <w:t xml:space="preserve"> </w:t>
      </w:r>
      <w:r>
        <w:rPr>
          <w:iCs/>
          <w:i/>
        </w:rPr>
        <w:t xml:space="preserve">J Clin Pharmacol</w:t>
      </w:r>
      <w:r>
        <w:t xml:space="preserve"> </w:t>
      </w:r>
      <w:r>
        <w:t xml:space="preserve">· A randomized controlled trial of liraglutide versus insulin detemir plus sitagliptin: Effective switch from intensive insulin therapy to the once-daily injection in patients with well-controlled type 2 diabetes. PMID 25677642</w:t>
      </w:r>
    </w:p>
    <w:p>
      <w:pPr>
        <w:numPr>
          <w:ilvl w:val="0"/>
          <w:numId w:val="1376"/>
        </w:numPr>
        <w:pStyle w:val="Compact"/>
      </w:pPr>
      <w:r>
        <w:t xml:space="preserve">2015 · Daniels GH ·</w:t>
      </w:r>
      <w:r>
        <w:t xml:space="preserve"> </w:t>
      </w:r>
      <w:r>
        <w:rPr>
          <w:iCs/>
          <w:i/>
        </w:rPr>
        <w:t xml:space="preserve">Diabetes Obes Metab</w:t>
      </w:r>
      <w:r>
        <w:t xml:space="preserve"> </w:t>
      </w:r>
      <w:r>
        <w:t xml:space="preserve">· LEADER 2: baseline calcitonin in 9340 people with type 2 diabetes enrolled in the Liraglutide Effect and Action in Diabetes: Evaluation of cardiovascular outcome Results (LEADER) trial: preliminary observations. PMID 25656058</w:t>
      </w:r>
    </w:p>
    <w:p>
      <w:pPr>
        <w:numPr>
          <w:ilvl w:val="0"/>
          <w:numId w:val="1376"/>
        </w:numPr>
        <w:pStyle w:val="Compact"/>
      </w:pPr>
      <w:r>
        <w:t xml:space="preserve">2015 · Feng P ·</w:t>
      </w:r>
      <w:r>
        <w:t xml:space="preserve"> </w:t>
      </w:r>
      <w:r>
        <w:rPr>
          <w:iCs/>
          <w:i/>
        </w:rPr>
        <w:t xml:space="preserve">Acta Pharmacol Sin</w:t>
      </w:r>
      <w:r>
        <w:t xml:space="preserve"> </w:t>
      </w:r>
      <w:r>
        <w:t xml:space="preserve">· Liraglutide reduces the body weight and waist circumference in Chinese overweight and obese type 2 diabetic patients. PMID 25619391</w:t>
      </w:r>
    </w:p>
    <w:p>
      <w:pPr>
        <w:numPr>
          <w:ilvl w:val="0"/>
          <w:numId w:val="1376"/>
        </w:numPr>
        <w:pStyle w:val="Compact"/>
      </w:pPr>
      <w:r>
        <w:t xml:space="preserve">2015 · Petri KC ·</w:t>
      </w:r>
      <w:r>
        <w:t xml:space="preserve"> </w:t>
      </w:r>
      <w:r>
        <w:rPr>
          <w:iCs/>
          <w:i/>
        </w:rPr>
        <w:t xml:space="preserve">Clin Pharmacokinet</w:t>
      </w:r>
      <w:r>
        <w:t xml:space="preserve"> </w:t>
      </w:r>
      <w:r>
        <w:t xml:space="preserve">· Comparable liraglutide pharmacokinetics in pediatric and adult populations with type 2 diabetes: a population pharmacokinetic analysis. PMID 25603819</w:t>
      </w:r>
    </w:p>
    <w:p>
      <w:pPr>
        <w:numPr>
          <w:ilvl w:val="0"/>
          <w:numId w:val="1376"/>
        </w:numPr>
        <w:pStyle w:val="Compact"/>
      </w:pPr>
      <w:r>
        <w:t xml:space="preserve">2015 · Lovshin JA ·</w:t>
      </w:r>
      <w:r>
        <w:t xml:space="preserve"> </w:t>
      </w:r>
      <w:r>
        <w:rPr>
          <w:iCs/>
          <w:i/>
        </w:rPr>
        <w:t xml:space="preserve">Diabetes Care</w:t>
      </w:r>
      <w:r>
        <w:t xml:space="preserve"> </w:t>
      </w:r>
      <w:r>
        <w:t xml:space="preserve">· Liraglutide promotes natriuresis but does not increase circulating levels of atrial natriuretic peptide in hypertensive subjects with type 2 diabetes. PMID 25414155</w:t>
      </w:r>
    </w:p>
    <w:p>
      <w:pPr>
        <w:numPr>
          <w:ilvl w:val="0"/>
          <w:numId w:val="1376"/>
        </w:numPr>
        <w:pStyle w:val="Compact"/>
      </w:pPr>
      <w:r>
        <w:t xml:space="preserve">2015 · Rizzo M ·</w:t>
      </w:r>
      <w:r>
        <w:t xml:space="preserve"> </w:t>
      </w:r>
      <w:r>
        <w:rPr>
          <w:iCs/>
          <w:i/>
        </w:rPr>
        <w:t xml:space="preserve">J Clin Endocrinol Metab</w:t>
      </w:r>
      <w:r>
        <w:t xml:space="preserve"> </w:t>
      </w:r>
      <w:r>
        <w:t xml:space="preserve">· Liraglutide reduces oxidative stress and restores heme oxygenase-1 and ghrelin levels in patients with type 2 diabetes: a prospective pilot study. PMID 25393640</w:t>
      </w:r>
    </w:p>
    <w:p>
      <w:pPr>
        <w:numPr>
          <w:ilvl w:val="0"/>
          <w:numId w:val="1376"/>
        </w:numPr>
        <w:pStyle w:val="Compact"/>
      </w:pPr>
      <w:r>
        <w:t xml:space="preserve">2015 · D’Alessio D ·</w:t>
      </w:r>
      <w:r>
        <w:t xml:space="preserve"> </w:t>
      </w:r>
      <w:r>
        <w:rPr>
          <w:iCs/>
          <w:i/>
        </w:rPr>
        <w:t xml:space="preserve">Diabetes Obes Metab</w:t>
      </w:r>
      <w:r>
        <w:t xml:space="preserve"> </w:t>
      </w:r>
      <w:r>
        <w:t xml:space="preserve">· Comparison of insulin glargine and liraglutide added to oral agents in patients with poorly controlled type 2 diabetes. PMID 25359159</w:t>
      </w:r>
    </w:p>
    <w:p>
      <w:pPr>
        <w:numPr>
          <w:ilvl w:val="0"/>
          <w:numId w:val="1376"/>
        </w:numPr>
        <w:pStyle w:val="Compact"/>
      </w:pPr>
      <w:r>
        <w:t xml:space="preserve">2015 · Jensterle M ·</w:t>
      </w:r>
      <w:r>
        <w:t xml:space="preserve"> </w:t>
      </w:r>
      <w:r>
        <w:rPr>
          <w:iCs/>
          <w:i/>
        </w:rPr>
        <w:t xml:space="preserve">Endocr Res</w:t>
      </w:r>
      <w:r>
        <w:t xml:space="preserve"> </w:t>
      </w:r>
      <w:r>
        <w:t xml:space="preserve">· Short-term intervention with liraglutide improved eating behavior in obese women with polycystic ovary syndrome. PMID 25330463</w:t>
      </w:r>
    </w:p>
    <w:p>
      <w:pPr>
        <w:numPr>
          <w:ilvl w:val="0"/>
          <w:numId w:val="1376"/>
        </w:numPr>
        <w:pStyle w:val="Compact"/>
      </w:pPr>
      <w:r>
        <w:t xml:space="preserve">2015 · Iepsen EW ·</w:t>
      </w:r>
      <w:r>
        <w:t xml:space="preserve"> </w:t>
      </w:r>
      <w:r>
        <w:rPr>
          <w:iCs/>
          <w:i/>
        </w:rPr>
        <w:t xml:space="preserve">Int J Obes (Lond)</w:t>
      </w:r>
      <w:r>
        <w:t xml:space="preserve"> </w:t>
      </w:r>
      <w:r>
        <w:t xml:space="preserve">· Treatment with a GLP-1 receptor agonist diminishes the decrease in free plasma leptin during maintenance of weight loss. PMID 25287751</w:t>
      </w:r>
    </w:p>
    <w:p>
      <w:pPr>
        <w:numPr>
          <w:ilvl w:val="0"/>
          <w:numId w:val="1376"/>
        </w:numPr>
        <w:pStyle w:val="Compact"/>
      </w:pPr>
      <w:r>
        <w:t xml:space="preserve">2015 · von Scholten BJ ·</w:t>
      </w:r>
      <w:r>
        <w:t xml:space="preserve"> </w:t>
      </w:r>
      <w:r>
        <w:rPr>
          <w:iCs/>
          <w:i/>
        </w:rPr>
        <w:t xml:space="preserve">Diabet Med</w:t>
      </w:r>
      <w:r>
        <w:t xml:space="preserve"> </w:t>
      </w:r>
      <w:r>
        <w:t xml:space="preserve">· Time course and mechanisms of the anti-hypertensive and renal effects of liraglutide treatment. PMID 25251901</w:t>
      </w:r>
    </w:p>
    <w:p>
      <w:pPr>
        <w:numPr>
          <w:ilvl w:val="0"/>
          <w:numId w:val="1376"/>
        </w:numPr>
        <w:pStyle w:val="Compact"/>
      </w:pPr>
      <w:r>
        <w:t xml:space="preserve">2015 · Lind M ·</w:t>
      </w:r>
      <w:r>
        <w:t xml:space="preserve"> </w:t>
      </w:r>
      <w:r>
        <w:rPr>
          <w:iCs/>
          <w:i/>
        </w:rPr>
        <w:t xml:space="preserve">Prim Care Diabetes</w:t>
      </w:r>
      <w:r>
        <w:t xml:space="preserve"> </w:t>
      </w:r>
      <w:r>
        <w:t xml:space="preserve">· Design and methods of a randomised double-blind trial of adding liraglutide to control HbA1c in patients with type 2 diabetes with impaired glycaemic control treated with multiple daily insulin injections (MDI-Liraglutide trial). PMID 25175385</w:t>
      </w:r>
    </w:p>
    <w:p>
      <w:pPr>
        <w:numPr>
          <w:ilvl w:val="0"/>
          <w:numId w:val="1376"/>
        </w:numPr>
        <w:pStyle w:val="Compact"/>
      </w:pPr>
      <w:r>
        <w:t xml:space="preserve">2015 · Faurschou A ·</w:t>
      </w:r>
      <w:r>
        <w:t xml:space="preserve"> </w:t>
      </w:r>
      <w:r>
        <w:rPr>
          <w:iCs/>
          <w:i/>
        </w:rPr>
        <w:t xml:space="preserve">J Eur Acad Dermatol Venereol</w:t>
      </w:r>
      <w:r>
        <w:t xml:space="preserve"> </w:t>
      </w:r>
      <w:r>
        <w:t xml:space="preserve">· Lack of effect of the glucagon-like peptide-1 receptor agonist liraglutide on psoriasis in glucose-tolerant patients–a randomized placebo-controlled trial. PMID 25139195</w:t>
      </w:r>
    </w:p>
    <w:p>
      <w:pPr>
        <w:numPr>
          <w:ilvl w:val="0"/>
          <w:numId w:val="1376"/>
        </w:numPr>
        <w:pStyle w:val="Compact"/>
      </w:pPr>
      <w:r>
        <w:t xml:space="preserve">2014 · Osonoi T ·</w:t>
      </w:r>
      <w:r>
        <w:t xml:space="preserve"> </w:t>
      </w:r>
      <w:r>
        <w:rPr>
          <w:iCs/>
          <w:i/>
        </w:rPr>
        <w:t xml:space="preserve">PLoS One</w:t>
      </w:r>
      <w:r>
        <w:t xml:space="preserve"> </w:t>
      </w:r>
      <w:r>
        <w:t xml:space="preserve">· Effect of hemodialysis on plasma glucose profile and plasma level of liraglutide in patients with type 2 diabetes mellitus and end-stage renal disease: a pilot study. PMID 25526642</w:t>
      </w:r>
    </w:p>
    <w:p>
      <w:pPr>
        <w:numPr>
          <w:ilvl w:val="0"/>
          <w:numId w:val="1376"/>
        </w:numPr>
        <w:pStyle w:val="Compact"/>
      </w:pPr>
      <w:r>
        <w:t xml:space="preserve">2014 · Polderman JA ·</w:t>
      </w:r>
      <w:r>
        <w:t xml:space="preserve"> </w:t>
      </w:r>
      <w:r>
        <w:rPr>
          <w:iCs/>
          <w:i/>
        </w:rPr>
        <w:t xml:space="preserve">BMC Anesthesiol</w:t>
      </w:r>
      <w:r>
        <w:t xml:space="preserve"> </w:t>
      </w:r>
      <w:r>
        <w:t xml:space="preserve">· Study protocol of a randomised controlled trial comparing perioperative intravenous insulin, GIK or GLP-1 treatment in diabetes-PILGRIM trial. PMID 25419179</w:t>
      </w:r>
    </w:p>
    <w:p>
      <w:pPr>
        <w:numPr>
          <w:ilvl w:val="0"/>
          <w:numId w:val="1376"/>
        </w:numPr>
        <w:pStyle w:val="Compact"/>
      </w:pPr>
      <w:r>
        <w:t xml:space="preserve">2014 · Steinberg WM ·</w:t>
      </w:r>
      <w:r>
        <w:t xml:space="preserve"> </w:t>
      </w:r>
      <w:r>
        <w:rPr>
          <w:iCs/>
          <w:i/>
        </w:rPr>
        <w:t xml:space="preserve">Pancreas</w:t>
      </w:r>
      <w:r>
        <w:t xml:space="preserve"> </w:t>
      </w:r>
      <w:r>
        <w:t xml:space="preserve">· LEADER 3–lipase and amylase activity in subjects with type 2 diabetes: baseline data from over 9000 subjects in the LEADER Trial. PMID 25275271</w:t>
      </w:r>
    </w:p>
    <w:p>
      <w:pPr>
        <w:numPr>
          <w:ilvl w:val="0"/>
          <w:numId w:val="1376"/>
        </w:numPr>
        <w:pStyle w:val="Compact"/>
      </w:pPr>
      <w:r>
        <w:t xml:space="preserve">2014 · Retnakaran R ·</w:t>
      </w:r>
      <w:r>
        <w:t xml:space="preserve"> </w:t>
      </w:r>
      <w:r>
        <w:rPr>
          <w:iCs/>
          <w:i/>
        </w:rPr>
        <w:t xml:space="preserve">Diabetes Care</w:t>
      </w:r>
      <w:r>
        <w:t xml:space="preserve"> </w:t>
      </w:r>
      <w:r>
        <w:t xml:space="preserve">· Liraglutide and the preservation of pancreatic β-cell function in early type 2 diabetes: the LIBRA trial. PMID 25249651</w:t>
      </w:r>
    </w:p>
    <w:p>
      <w:pPr>
        <w:numPr>
          <w:ilvl w:val="0"/>
          <w:numId w:val="1376"/>
        </w:numPr>
        <w:pStyle w:val="Compact"/>
      </w:pPr>
      <w:r>
        <w:t xml:space="preserve">2014 · Nandy D ·</w:t>
      </w:r>
      <w:r>
        <w:t xml:space="preserve"> </w:t>
      </w:r>
      <w:r>
        <w:rPr>
          <w:iCs/>
          <w:i/>
        </w:rPr>
        <w:t xml:space="preserve">Diab Vasc Dis Res</w:t>
      </w:r>
      <w:r>
        <w:t xml:space="preserve"> </w:t>
      </w:r>
      <w:r>
        <w:t xml:space="preserve">· The effect of liraglutide on endothelial function in patients with type 2 diabetes. PMID 25212693</w:t>
      </w:r>
    </w:p>
    <w:p>
      <w:pPr>
        <w:numPr>
          <w:ilvl w:val="0"/>
          <w:numId w:val="1376"/>
        </w:numPr>
        <w:pStyle w:val="Compact"/>
      </w:pPr>
      <w:r>
        <w:t xml:space="preserve">2014 · Gough SC ·</w:t>
      </w:r>
      <w:r>
        <w:t xml:space="preserve"> </w:t>
      </w:r>
      <w:r>
        <w:rPr>
          <w:iCs/>
          <w:i/>
        </w:rPr>
        <w:t xml:space="preserve">Lancet Diabetes Endocrinol</w:t>
      </w:r>
      <w:r>
        <w:t xml:space="preserve"> </w:t>
      </w:r>
      <w:r>
        <w:t xml:space="preserve">· Efficacy and safety of a fixed-ratio combination of insulin degludec and liraglutide (IDegLira) compared with its components given alone: results of a phase 3, open-label, randomised, 26-week, treat-to-target trial in insulin-naive patients with type 2 diabetes. PMID 25190523</w:t>
      </w:r>
    </w:p>
    <w:p>
      <w:pPr>
        <w:numPr>
          <w:ilvl w:val="0"/>
          <w:numId w:val="1376"/>
        </w:numPr>
        <w:pStyle w:val="Compact"/>
      </w:pPr>
      <w:r>
        <w:t xml:space="preserve">2014 · Voukali M ·</w:t>
      </w:r>
      <w:r>
        <w:t xml:space="preserve"> </w:t>
      </w:r>
      <w:r>
        <w:rPr>
          <w:iCs/>
          <w:i/>
        </w:rPr>
        <w:t xml:space="preserve">J Diabetes Res</w:t>
      </w:r>
      <w:r>
        <w:t xml:space="preserve"> </w:t>
      </w:r>
      <w:r>
        <w:t xml:space="preserve">· Study of postprandial lipaemia in type 2 diabetes mellitus: exenatide versus liraglutide. PMID 25165723</w:t>
      </w:r>
    </w:p>
    <w:p>
      <w:pPr>
        <w:numPr>
          <w:ilvl w:val="0"/>
          <w:numId w:val="1376"/>
        </w:numPr>
        <w:pStyle w:val="Compact"/>
      </w:pPr>
      <w:r>
        <w:t xml:space="preserve">2014 · Buse JB ·</w:t>
      </w:r>
      <w:r>
        <w:t xml:space="preserve"> </w:t>
      </w:r>
      <w:r>
        <w:rPr>
          <w:iCs/>
          <w:i/>
        </w:rPr>
        <w:t xml:space="preserve">Diabetes Care</w:t>
      </w:r>
      <w:r>
        <w:t xml:space="preserve"> </w:t>
      </w:r>
      <w:r>
        <w:t xml:space="preserve">· Contribution of liraglutide in the fixed-ratio combination of insulin degludec and liraglutide (IDegLira). PMID 25114296</w:t>
      </w:r>
    </w:p>
    <w:p>
      <w:pPr>
        <w:numPr>
          <w:ilvl w:val="0"/>
          <w:numId w:val="1376"/>
        </w:numPr>
        <w:pStyle w:val="Compact"/>
      </w:pPr>
      <w:r>
        <w:t xml:space="preserve">2014 · Klein DJ ·</w:t>
      </w:r>
      <w:r>
        <w:t xml:space="preserve"> </w:t>
      </w:r>
      <w:r>
        <w:rPr>
          <w:iCs/>
          <w:i/>
        </w:rPr>
        <w:t xml:space="preserve">Diabetes Technol Ther</w:t>
      </w:r>
      <w:r>
        <w:t xml:space="preserve"> </w:t>
      </w:r>
      <w:r>
        <w:t xml:space="preserve">· Liraglutide’s safety, tolerability, pharmacokinetics, and pharmacodynamics in pediatric type 2 diabetes: a randomized, double-blind, placebo-controlled trial. PMID 25036533</w:t>
      </w:r>
    </w:p>
    <w:p>
      <w:pPr>
        <w:numPr>
          <w:ilvl w:val="0"/>
          <w:numId w:val="1376"/>
        </w:numPr>
        <w:pStyle w:val="Compact"/>
      </w:pPr>
      <w:r>
        <w:t xml:space="preserve">2014 · Anholm C ·</w:t>
      </w:r>
      <w:r>
        <w:t xml:space="preserve"> </w:t>
      </w:r>
      <w:r>
        <w:rPr>
          <w:iCs/>
          <w:i/>
        </w:rPr>
        <w:t xml:space="preserve">BMJ Open</w:t>
      </w:r>
      <w:r>
        <w:t xml:space="preserve"> </w:t>
      </w:r>
      <w:r>
        <w:t xml:space="preserve">· Adding liraglutide to the backbone therapy of biguanide in patients with coronary artery disease and newly diagnosed type-2 diabetes (the AddHope2 study): a randomised controlled study protocol. PMID 25031198</w:t>
      </w:r>
    </w:p>
    <w:p>
      <w:pPr>
        <w:numPr>
          <w:ilvl w:val="0"/>
          <w:numId w:val="1376"/>
        </w:numPr>
        <w:pStyle w:val="Compact"/>
      </w:pPr>
      <w:r>
        <w:t xml:space="preserve">2014 · Dungan KM ·</w:t>
      </w:r>
      <w:r>
        <w:t xml:space="preserve"> </w:t>
      </w:r>
      <w:r>
        <w:rPr>
          <w:iCs/>
          <w:i/>
        </w:rPr>
        <w:t xml:space="preserve">Lancet</w:t>
      </w:r>
      <w:r>
        <w:t xml:space="preserve"> </w:t>
      </w:r>
      <w:r>
        <w:t xml:space="preserve">· Once-weekly dulaglutide versus once-daily liraglutide in metformin-treated patients with type 2 diabetes (AWARD-6): a randomised, open-label, phase 3, non-inferiority trial. PMID 25018121</w:t>
      </w:r>
    </w:p>
    <w:p>
      <w:pPr>
        <w:numPr>
          <w:ilvl w:val="0"/>
          <w:numId w:val="1376"/>
        </w:numPr>
        <w:pStyle w:val="Compact"/>
      </w:pPr>
      <w:r>
        <w:t xml:space="preserve">2014 · de Wit HM ·</w:t>
      </w:r>
      <w:r>
        <w:t xml:space="preserve"> </w:t>
      </w:r>
      <w:r>
        <w:rPr>
          <w:iCs/>
          <w:i/>
        </w:rPr>
        <w:t xml:space="preserve">Diabetologia</w:t>
      </w:r>
      <w:r>
        <w:t xml:space="preserve"> </w:t>
      </w:r>
      <w:r>
        <w:t xml:space="preserve">· Liraglutide reverses pronounced insulin-associated weight gain, improves glycaemic control and decreases insulin dose in patients with type 2 diabetes: a 26 week, randomised clinical trial (ELEGANT). PMID 24947583</w:t>
      </w:r>
    </w:p>
    <w:p>
      <w:pPr>
        <w:numPr>
          <w:ilvl w:val="0"/>
          <w:numId w:val="1376"/>
        </w:numPr>
        <w:pStyle w:val="Compact"/>
      </w:pPr>
      <w:r>
        <w:t xml:space="preserve">2014 · Østoft SH ·</w:t>
      </w:r>
      <w:r>
        <w:t xml:space="preserve"> </w:t>
      </w:r>
      <w:r>
        <w:rPr>
          <w:iCs/>
          <w:i/>
        </w:rPr>
        <w:t xml:space="preserve">Diabetes Care</w:t>
      </w:r>
      <w:r>
        <w:t xml:space="preserve"> </w:t>
      </w:r>
      <w:r>
        <w:t xml:space="preserve">· Glucose-lowering effects and low risk of hypoglycemia in patients with maturity-onset diabetes of the young when treated with a GLP-1 receptor agonist: a double-blind, randomized, crossover trial. PMID 24929431</w:t>
      </w:r>
    </w:p>
    <w:p>
      <w:pPr>
        <w:numPr>
          <w:ilvl w:val="0"/>
          <w:numId w:val="1376"/>
        </w:numPr>
        <w:pStyle w:val="Compact"/>
      </w:pPr>
      <w:r>
        <w:t xml:space="preserve">2014 · Jorsal A ·</w:t>
      </w:r>
      <w:r>
        <w:t xml:space="preserve"> </w:t>
      </w:r>
      <w:r>
        <w:rPr>
          <w:iCs/>
          <w:i/>
        </w:rPr>
        <w:t xml:space="preserve">BMJ Open</w:t>
      </w:r>
      <w:r>
        <w:t xml:space="preserve"> </w:t>
      </w:r>
      <w:r>
        <w:t xml:space="preserve">· A protocol for a randomised, double-blind, placebo-controlled study of the effect of LIraglutide on left VEntricular function in chronic heart failure patients with and without type 2 diabetes (The LIVE Study). PMID 24844271</w:t>
      </w:r>
    </w:p>
    <w:p>
      <w:pPr>
        <w:numPr>
          <w:ilvl w:val="0"/>
          <w:numId w:val="1376"/>
        </w:numPr>
        <w:pStyle w:val="Compact"/>
      </w:pPr>
      <w:r>
        <w:t xml:space="preserve">2014 · Li CJ ·</w:t>
      </w:r>
      <w:r>
        <w:t xml:space="preserve"> </w:t>
      </w:r>
      <w:r>
        <w:rPr>
          <w:iCs/>
          <w:i/>
        </w:rPr>
        <w:t xml:space="preserve">Exp Clin Endocrinol Diabetes</w:t>
      </w:r>
      <w:r>
        <w:t xml:space="preserve"> </w:t>
      </w:r>
      <w:r>
        <w:t xml:space="preserve">· Efficacy and safety comparison of add-on therapy with liraglutide, saxagliptin and vildagliptin, all in combination with current conventional oral hypoglycemic agents therapy in poorly controlled Chinese type 2 diabetes. PMID 24838155</w:t>
      </w:r>
    </w:p>
    <w:p>
      <w:pPr>
        <w:numPr>
          <w:ilvl w:val="0"/>
          <w:numId w:val="1376"/>
        </w:numPr>
        <w:pStyle w:val="Compact"/>
      </w:pPr>
      <w:r>
        <w:t xml:space="preserve">2014 · Pratley RE ·</w:t>
      </w:r>
      <w:r>
        <w:t xml:space="preserve"> </w:t>
      </w:r>
      <w:r>
        <w:rPr>
          <w:iCs/>
          <w:i/>
        </w:rPr>
        <w:t xml:space="preserve">Lancet Diabetes Endocrinol</w:t>
      </w:r>
      <w:r>
        <w:t xml:space="preserve"> </w:t>
      </w:r>
      <w:r>
        <w:t xml:space="preserve">· Once-weekly albiglutide versus once-daily liraglutide in patients with type 2 diabetes inadequately controlled on oral drugs (HARMONY 7): a randomised, open-label, multicentre, non-inferiority phase 3 study. PMID 24703047</w:t>
      </w:r>
    </w:p>
    <w:p>
      <w:pPr>
        <w:numPr>
          <w:ilvl w:val="0"/>
          <w:numId w:val="1376"/>
        </w:numPr>
        <w:pStyle w:val="Compact"/>
      </w:pPr>
      <w:r>
        <w:t xml:space="preserve">2014 · Larsen JR ·</w:t>
      </w:r>
      <w:r>
        <w:t xml:space="preserve"> </w:t>
      </w:r>
      <w:r>
        <w:rPr>
          <w:iCs/>
          <w:i/>
        </w:rPr>
        <w:t xml:space="preserve">BMJ Open</w:t>
      </w:r>
      <w:r>
        <w:t xml:space="preserve"> </w:t>
      </w:r>
      <w:r>
        <w:t xml:space="preserve">· Does a GLP-1 receptor agonist change glucose tolerance in patients treated with antipsychotic medications? Design of a randomised, double-blinded, placebo-controlled clinical trial. PMID 24667381</w:t>
      </w:r>
    </w:p>
    <w:p>
      <w:pPr>
        <w:numPr>
          <w:ilvl w:val="0"/>
          <w:numId w:val="1376"/>
        </w:numPr>
        <w:pStyle w:val="Compact"/>
      </w:pPr>
      <w:r>
        <w:t xml:space="preserve">2014 · Lane W ·</w:t>
      </w:r>
      <w:r>
        <w:t xml:space="preserve"> </w:t>
      </w:r>
      <w:r>
        <w:rPr>
          <w:iCs/>
          <w:i/>
        </w:rPr>
        <w:t xml:space="preserve">Diabetes Obes Metab</w:t>
      </w:r>
      <w:r>
        <w:t xml:space="preserve"> </w:t>
      </w:r>
      <w:r>
        <w:t xml:space="preserve">· The effect of addition of liraglutide to high-dose intensive insulin therapy: a randomized prospective trial. PMID 24589127</w:t>
      </w:r>
    </w:p>
    <w:p>
      <w:pPr>
        <w:numPr>
          <w:ilvl w:val="0"/>
          <w:numId w:val="1376"/>
        </w:numPr>
        <w:pStyle w:val="Compact"/>
      </w:pPr>
      <w:r>
        <w:t xml:space="preserve">2014 · Rizzo M ·</w:t>
      </w:r>
      <w:r>
        <w:t xml:space="preserve"> </w:t>
      </w:r>
      <w:r>
        <w:rPr>
          <w:iCs/>
          <w:i/>
        </w:rPr>
        <w:t xml:space="preserve">Cardiovasc Diabetol</w:t>
      </w:r>
      <w:r>
        <w:t xml:space="preserve"> </w:t>
      </w:r>
      <w:r>
        <w:t xml:space="preserve">· Liraglutide decreases carotid intima-media thickness in patients with type 2 diabetes: 8-month prospective pilot study. PMID 24559258</w:t>
      </w:r>
    </w:p>
    <w:p>
      <w:pPr>
        <w:numPr>
          <w:ilvl w:val="0"/>
          <w:numId w:val="1376"/>
        </w:numPr>
        <w:pStyle w:val="Compact"/>
      </w:pPr>
      <w:r>
        <w:t xml:space="preserve">2014 · Breitschaft A ·</w:t>
      </w:r>
      <w:r>
        <w:t xml:space="preserve"> </w:t>
      </w:r>
      <w:r>
        <w:rPr>
          <w:iCs/>
          <w:i/>
        </w:rPr>
        <w:t xml:space="preserve">Diabetes Res Clin Pract</w:t>
      </w:r>
      <w:r>
        <w:t xml:space="preserve"> </w:t>
      </w:r>
      <w:r>
        <w:t xml:space="preserve">· Management of hyperglycemia associated with pasireotide (SOM230): healthy volunteer study. PMID 24461109</w:t>
      </w:r>
    </w:p>
    <w:p>
      <w:pPr>
        <w:numPr>
          <w:ilvl w:val="0"/>
          <w:numId w:val="1376"/>
        </w:numPr>
        <w:pStyle w:val="Compact"/>
      </w:pPr>
      <w:r>
        <w:t xml:space="preserve">2014 · Mathieu C ·</w:t>
      </w:r>
      <w:r>
        <w:t xml:space="preserve"> </w:t>
      </w:r>
      <w:r>
        <w:rPr>
          <w:iCs/>
          <w:i/>
        </w:rPr>
        <w:t xml:space="preserve">Diabetes Obes Metab</w:t>
      </w:r>
      <w:r>
        <w:t xml:space="preserve"> </w:t>
      </w:r>
      <w:r>
        <w:t xml:space="preserve">· A comparison of adding liraglutide versus a single daily dose of insulin aspart to insulin degludec in subjects with type 2 diabetes (BEGIN: VICTOZA ADD-ON). PMID 24443830</w:t>
      </w:r>
    </w:p>
    <w:p>
      <w:pPr>
        <w:numPr>
          <w:ilvl w:val="0"/>
          <w:numId w:val="1376"/>
        </w:numPr>
        <w:pStyle w:val="Compact"/>
      </w:pPr>
      <w:r>
        <w:t xml:space="preserve">2014 · Brady EM ·</w:t>
      </w:r>
      <w:r>
        <w:t xml:space="preserve"> </w:t>
      </w:r>
      <w:r>
        <w:rPr>
          <w:iCs/>
          <w:i/>
        </w:rPr>
        <w:t xml:space="preserve">Diabetes Obes Metab</w:t>
      </w:r>
      <w:r>
        <w:t xml:space="preserve"> </w:t>
      </w:r>
      <w:r>
        <w:t xml:space="preserve">· A randomized controlled trial comparing the GLP-1 receptor agonist liraglutide to a sulphonylurea as add on to metformin in patients with established type 2 diabetes during Ramadan: the Treat 4 Ramadan Trial. PMID 24373063</w:t>
      </w:r>
    </w:p>
    <w:p>
      <w:pPr>
        <w:numPr>
          <w:ilvl w:val="0"/>
          <w:numId w:val="1376"/>
        </w:numPr>
        <w:pStyle w:val="Compact"/>
      </w:pPr>
      <w:r>
        <w:t xml:space="preserve">2014 · Jensterle Sever M ·</w:t>
      </w:r>
      <w:r>
        <w:t xml:space="preserve"> </w:t>
      </w:r>
      <w:r>
        <w:rPr>
          <w:iCs/>
          <w:i/>
        </w:rPr>
        <w:t xml:space="preserve">Eur J Endocrinol</w:t>
      </w:r>
      <w:r>
        <w:t xml:space="preserve"> </w:t>
      </w:r>
      <w:r>
        <w:t xml:space="preserve">· Short-term combined treatment with liraglutide and metformin leads to significant weight loss in obese women with polycystic ovary syndrome and previous poor response to metformin. PMID 24362411</w:t>
      </w:r>
    </w:p>
    <w:p>
      <w:pPr>
        <w:numPr>
          <w:ilvl w:val="0"/>
          <w:numId w:val="1376"/>
        </w:numPr>
        <w:pStyle w:val="Compact"/>
      </w:pPr>
      <w:r>
        <w:t xml:space="preserve">2014 · Kim SH ·</w:t>
      </w:r>
      <w:r>
        <w:t xml:space="preserve"> </w:t>
      </w:r>
      <w:r>
        <w:rPr>
          <w:iCs/>
          <w:i/>
        </w:rPr>
        <w:t xml:space="preserve">Diabetologia</w:t>
      </w:r>
      <w:r>
        <w:t xml:space="preserve"> </w:t>
      </w:r>
      <w:r>
        <w:t xml:space="preserve">· Pancreatic beta cell function following liraglutide-augmented weight loss in individuals with prediabetes: analysis of a randomised, placebo-controlled study. PMID 24326527</w:t>
      </w:r>
    </w:p>
    <w:p>
      <w:pPr>
        <w:numPr>
          <w:ilvl w:val="0"/>
          <w:numId w:val="1376"/>
        </w:numPr>
        <w:pStyle w:val="Compact"/>
      </w:pPr>
      <w:r>
        <w:t xml:space="preserve">2014 · Nagai Y ·</w:t>
      </w:r>
      <w:r>
        <w:t xml:space="preserve"> </w:t>
      </w:r>
      <w:r>
        <w:rPr>
          <w:iCs/>
          <w:i/>
        </w:rPr>
        <w:t xml:space="preserve">Diabetes Obes Metab</w:t>
      </w:r>
      <w:r>
        <w:t xml:space="preserve"> </w:t>
      </w:r>
      <w:r>
        <w:t xml:space="preserve">· Differing effects of liraglutide on gastric emptying in Japanese patients with type 2 diabetes. PMID 24320758</w:t>
      </w:r>
    </w:p>
    <w:p>
      <w:pPr>
        <w:numPr>
          <w:ilvl w:val="0"/>
          <w:numId w:val="1376"/>
        </w:numPr>
        <w:pStyle w:val="Compact"/>
      </w:pPr>
      <w:r>
        <w:t xml:space="preserve">2014 · RISE Consortium ·</w:t>
      </w:r>
      <w:r>
        <w:t xml:space="preserve"> </w:t>
      </w:r>
      <w:r>
        <w:rPr>
          <w:iCs/>
          <w:i/>
        </w:rPr>
        <w:t xml:space="preserve">Diabetes Care</w:t>
      </w:r>
      <w:r>
        <w:t xml:space="preserve"> </w:t>
      </w:r>
      <w:r>
        <w:t xml:space="preserve">· Restoring Insulin Secretion (RISE): design of studies of β-cell preservation in prediabetes and early type 2 diabetes across the life span. PMID 24194506</w:t>
      </w:r>
    </w:p>
    <w:p>
      <w:pPr>
        <w:numPr>
          <w:ilvl w:val="0"/>
          <w:numId w:val="1376"/>
        </w:numPr>
        <w:pStyle w:val="Compact"/>
      </w:pPr>
      <w:r>
        <w:t xml:space="preserve">2014 · van Can J ·</w:t>
      </w:r>
      <w:r>
        <w:t xml:space="preserve"> </w:t>
      </w:r>
      <w:r>
        <w:rPr>
          <w:iCs/>
          <w:i/>
        </w:rPr>
        <w:t xml:space="preserve">Int J Obes (Lond)</w:t>
      </w:r>
      <w:r>
        <w:t xml:space="preserve"> </w:t>
      </w:r>
      <w:r>
        <w:t xml:space="preserve">· Effects of the once-daily GLP-1 analog liraglutide on gastric emptying, glycemic parameters, appetite and energy metabolism in obese, non-diabetic adults. PMID 23999198</w:t>
      </w:r>
    </w:p>
    <w:p>
      <w:pPr>
        <w:numPr>
          <w:ilvl w:val="0"/>
          <w:numId w:val="1376"/>
        </w:numPr>
        <w:pStyle w:val="Compact"/>
      </w:pPr>
      <w:r>
        <w:t xml:space="preserve">2014 · Lean ME ·</w:t>
      </w:r>
      <w:r>
        <w:t xml:space="preserve"> </w:t>
      </w:r>
      <w:r>
        <w:rPr>
          <w:iCs/>
          <w:i/>
        </w:rPr>
        <w:t xml:space="preserve">Int J Obes (Lond)</w:t>
      </w:r>
      <w:r>
        <w:t xml:space="preserve"> </w:t>
      </w:r>
      <w:r>
        <w:t xml:space="preserve">· Tolerability of nausea and vomiting and associations with weight loss in a randomized trial of liraglutide in obese, non-diabetic adults. PMID 23942319</w:t>
      </w:r>
    </w:p>
    <w:p>
      <w:pPr>
        <w:numPr>
          <w:ilvl w:val="0"/>
          <w:numId w:val="1376"/>
        </w:numPr>
        <w:pStyle w:val="Compact"/>
      </w:pPr>
      <w:r>
        <w:t xml:space="preserve">2013 · Marso SP ·</w:t>
      </w:r>
      <w:r>
        <w:t xml:space="preserve"> </w:t>
      </w:r>
      <w:r>
        <w:rPr>
          <w:iCs/>
          <w:i/>
        </w:rPr>
        <w:t xml:space="preserve">Am Heart J</w:t>
      </w:r>
      <w:r>
        <w:t xml:space="preserve"> </w:t>
      </w:r>
      <w:r>
        <w:t xml:space="preserve">· Design of the liraglutide effect and action in diabetes: evaluation of cardiovascular outcome results (LEADER) trial. PMID 24176437</w:t>
      </w:r>
    </w:p>
    <w:p>
      <w:pPr>
        <w:numPr>
          <w:ilvl w:val="0"/>
          <w:numId w:val="1376"/>
        </w:numPr>
        <w:pStyle w:val="Compact"/>
      </w:pPr>
      <w:r>
        <w:t xml:space="preserve">2013 · Imamura S ·</w:t>
      </w:r>
      <w:r>
        <w:t xml:space="preserve"> </w:t>
      </w:r>
      <w:r>
        <w:rPr>
          <w:iCs/>
          <w:i/>
        </w:rPr>
        <w:t xml:space="preserve">Tohoku J Exp Med</w:t>
      </w:r>
      <w:r>
        <w:t xml:space="preserve"> </w:t>
      </w:r>
      <w:r>
        <w:t xml:space="preserve">· The glucagon-like peptide-1 receptor agonist, liraglutide, attenuates the progression of overt diabetic nephropathy in type 2 diabetic patients. PMID 24064677</w:t>
      </w:r>
    </w:p>
    <w:p>
      <w:pPr>
        <w:numPr>
          <w:ilvl w:val="0"/>
          <w:numId w:val="1376"/>
        </w:numPr>
        <w:pStyle w:val="Compact"/>
      </w:pPr>
      <w:r>
        <w:t xml:space="preserve">2013 · Kim SH ·</w:t>
      </w:r>
      <w:r>
        <w:t xml:space="preserve"> </w:t>
      </w:r>
      <w:r>
        <w:rPr>
          <w:iCs/>
          <w:i/>
        </w:rPr>
        <w:t xml:space="preserve">Diabetes Care</w:t>
      </w:r>
      <w:r>
        <w:t xml:space="preserve"> </w:t>
      </w:r>
      <w:r>
        <w:t xml:space="preserve">· Benefits of liraglutide treatment in overweight and obese older individuals with prediabetes. PMID 23835684</w:t>
      </w:r>
    </w:p>
    <w:p>
      <w:pPr>
        <w:numPr>
          <w:ilvl w:val="0"/>
          <w:numId w:val="1376"/>
        </w:numPr>
        <w:pStyle w:val="Compact"/>
      </w:pPr>
      <w:r>
        <w:t xml:space="preserve">2013 · Wadden TA ·</w:t>
      </w:r>
      <w:r>
        <w:t xml:space="preserve"> </w:t>
      </w:r>
      <w:r>
        <w:rPr>
          <w:iCs/>
          <w:i/>
        </w:rPr>
        <w:t xml:space="preserve">Int J Obes (Lond)</w:t>
      </w:r>
      <w:r>
        <w:t xml:space="preserve"> </w:t>
      </w:r>
      <w:r>
        <w:t xml:space="preserve">· Weight maintenance and additional weight loss with liraglutide after low-calorie-diet-induced weight loss: the SCALE Maintenance randomized study. PMID 23812094</w:t>
      </w:r>
    </w:p>
    <w:p>
      <w:pPr>
        <w:numPr>
          <w:ilvl w:val="0"/>
          <w:numId w:val="1376"/>
        </w:numPr>
        <w:pStyle w:val="Compact"/>
      </w:pPr>
      <w:r>
        <w:t xml:space="preserve">2013 · Fadini GP ·</w:t>
      </w:r>
      <w:r>
        <w:t xml:space="preserve"> </w:t>
      </w:r>
      <w:r>
        <w:rPr>
          <w:iCs/>
          <w:i/>
        </w:rPr>
        <w:t xml:space="preserve">Acta Diabetol</w:t>
      </w:r>
      <w:r>
        <w:t xml:space="preserve"> </w:t>
      </w:r>
      <w:r>
        <w:t xml:space="preserve">· Independent glucose and weight-reducing effects of Liraglutide in a real-world population of type 2 diabetic outpatients. PMID 23754673</w:t>
      </w:r>
    </w:p>
    <w:p>
      <w:pPr>
        <w:numPr>
          <w:ilvl w:val="0"/>
          <w:numId w:val="1376"/>
        </w:numPr>
        <w:pStyle w:val="Compact"/>
      </w:pPr>
      <w:r>
        <w:t xml:space="preserve">2013 · Rosenstock J ·</w:t>
      </w:r>
      <w:r>
        <w:t xml:space="preserve"> </w:t>
      </w:r>
      <w:r>
        <w:rPr>
          <w:iCs/>
          <w:i/>
        </w:rPr>
        <w:t xml:space="preserve">J Diabetes Complications</w:t>
      </w:r>
      <w:r>
        <w:t xml:space="preserve"> </w:t>
      </w:r>
      <w:r>
        <w:t xml:space="preserve">· One-year sustained glycemic control and weight reduction in type 2 diabetes after addition of liraglutide to metformin followed by insulin detemir according to HbA1c target. PMID 23746555</w:t>
      </w:r>
    </w:p>
    <w:p>
      <w:pPr>
        <w:numPr>
          <w:ilvl w:val="0"/>
          <w:numId w:val="1376"/>
        </w:numPr>
        <w:pStyle w:val="Compact"/>
      </w:pPr>
      <w:r>
        <w:t xml:space="preserve">2013 · Hermansen K ·</w:t>
      </w:r>
      <w:r>
        <w:t xml:space="preserve"> </w:t>
      </w:r>
      <w:r>
        <w:rPr>
          <w:iCs/>
          <w:i/>
        </w:rPr>
        <w:t xml:space="preserve">Diabetes Obes Metab</w:t>
      </w:r>
      <w:r>
        <w:t xml:space="preserve"> </w:t>
      </w:r>
      <w:r>
        <w:t xml:space="preserve">· Liraglutide suppresses postprandial triglyceride and apolipoprotein B48 elevations after a fat-rich meal in patients with type 2 diabetes: a randomized, double-blind, placebo-controlled, cross-over trial. PMID 23683069</w:t>
      </w:r>
    </w:p>
    <w:p>
      <w:pPr>
        <w:numPr>
          <w:ilvl w:val="0"/>
          <w:numId w:val="1376"/>
        </w:numPr>
        <w:pStyle w:val="Compact"/>
      </w:pPr>
      <w:r>
        <w:t xml:space="preserve">2013 · Suzuki D ·</w:t>
      </w:r>
      <w:r>
        <w:t xml:space="preserve"> </w:t>
      </w:r>
      <w:r>
        <w:rPr>
          <w:iCs/>
          <w:i/>
        </w:rPr>
        <w:t xml:space="preserve">Intern Med</w:t>
      </w:r>
      <w:r>
        <w:t xml:space="preserve"> </w:t>
      </w:r>
      <w:r>
        <w:t xml:space="preserve">· Effects of liraglutide, a human glucagon-like peptide-1 analogue, on body weight, body fat area and body fat-related markers in patients with type 2 diabetes mellitus. PMID 23676586</w:t>
      </w:r>
    </w:p>
    <w:p>
      <w:pPr>
        <w:numPr>
          <w:ilvl w:val="0"/>
          <w:numId w:val="1376"/>
        </w:numPr>
        <w:pStyle w:val="Compact"/>
      </w:pPr>
      <w:r>
        <w:t xml:space="preserve">2013 · Charbonnel B ·</w:t>
      </w:r>
      <w:r>
        <w:t xml:space="preserve"> </w:t>
      </w:r>
      <w:r>
        <w:rPr>
          <w:iCs/>
          <w:i/>
        </w:rPr>
        <w:t xml:space="preserve">Diabetologia</w:t>
      </w:r>
      <w:r>
        <w:t xml:space="preserve"> </w:t>
      </w:r>
      <w:r>
        <w:t xml:space="preserve">· Efficacy and safety over 26 weeks of an oral treatment strategy including sitagliptin compared with an injectable treatment strategy with liraglutide in patients with type 2 diabetes mellitus inadequately controlled on metformin: a randomised clinical trial. PMID 23604551</w:t>
      </w:r>
    </w:p>
    <w:p>
      <w:pPr>
        <w:numPr>
          <w:ilvl w:val="0"/>
          <w:numId w:val="1376"/>
        </w:numPr>
        <w:pStyle w:val="Compact"/>
      </w:pPr>
      <w:r>
        <w:t xml:space="preserve">2013 · Flint A ·</w:t>
      </w:r>
      <w:r>
        <w:t xml:space="preserve"> </w:t>
      </w:r>
      <w:r>
        <w:rPr>
          <w:iCs/>
          <w:i/>
        </w:rPr>
        <w:t xml:space="preserve">Diabetes Obes Metab</w:t>
      </w:r>
      <w:r>
        <w:t xml:space="preserve"> </w:t>
      </w:r>
      <w:r>
        <w:t xml:space="preserve">· The once-daily human GLP-1 analogue liraglutide impacts appetite and energy intake in patients with type 2 diabetes after short-term treatment. PMID 23551925</w:t>
      </w:r>
    </w:p>
    <w:p>
      <w:pPr>
        <w:numPr>
          <w:ilvl w:val="0"/>
          <w:numId w:val="1376"/>
        </w:numPr>
        <w:pStyle w:val="Compact"/>
      </w:pPr>
      <w:r>
        <w:t xml:space="preserve">2013 · Kapitza C ·</w:t>
      </w:r>
      <w:r>
        <w:t xml:space="preserve"> </w:t>
      </w:r>
      <w:r>
        <w:rPr>
          <w:iCs/>
          <w:i/>
        </w:rPr>
        <w:t xml:space="preserve">Diabetes Obes Metab</w:t>
      </w:r>
      <w:r>
        <w:t xml:space="preserve"> </w:t>
      </w:r>
      <w:r>
        <w:t xml:space="preserve">· Pharmacodynamic characteristics of lixisenatide once daily versus liraglutide once daily in patients with type 2 diabetes insufficiently controlled on metformin. PMID 23368510</w:t>
      </w:r>
    </w:p>
    <w:p>
      <w:pPr>
        <w:numPr>
          <w:ilvl w:val="0"/>
          <w:numId w:val="1376"/>
        </w:numPr>
        <w:pStyle w:val="Compact"/>
      </w:pPr>
      <w:r>
        <w:t xml:space="preserve">2013 · Yang M ·</w:t>
      </w:r>
      <w:r>
        <w:t xml:space="preserve"> </w:t>
      </w:r>
      <w:r>
        <w:rPr>
          <w:iCs/>
          <w:i/>
        </w:rPr>
        <w:t xml:space="preserve">Diabetes Care</w:t>
      </w:r>
      <w:r>
        <w:t xml:space="preserve"> </w:t>
      </w:r>
      <w:r>
        <w:t xml:space="preserve">· Zinc-α2-glycoprotein is associated with insulin resistance in humans and is regulated by hyperglycemia, hyperinsulinemia, or liraglutide administration: cross-sectional and interventional studies in normal subjects, insulin-resistant subjects, and subjects with newly diagnosed diabetes. PMID 23275352</w:t>
      </w:r>
    </w:p>
    <w:p>
      <w:pPr>
        <w:numPr>
          <w:ilvl w:val="0"/>
          <w:numId w:val="1376"/>
        </w:numPr>
        <w:pStyle w:val="Compact"/>
      </w:pPr>
      <w:r>
        <w:t xml:space="preserve">2013 · Hu W ·</w:t>
      </w:r>
      <w:r>
        <w:t xml:space="preserve"> </w:t>
      </w:r>
      <w:r>
        <w:rPr>
          <w:iCs/>
          <w:i/>
        </w:rPr>
        <w:t xml:space="preserve">J Clin Endocrinol Metab</w:t>
      </w:r>
      <w:r>
        <w:t xml:space="preserve"> </w:t>
      </w:r>
      <w:r>
        <w:t xml:space="preserve">· Circulating Sfrp5 is a signature of obesity-related metabolic disorders and is regulated by glucose and liraglutide in humans. PMID 23185036</w:t>
      </w:r>
    </w:p>
    <w:p>
      <w:pPr>
        <w:numPr>
          <w:ilvl w:val="0"/>
          <w:numId w:val="1376"/>
        </w:numPr>
        <w:pStyle w:val="Compact"/>
      </w:pPr>
      <w:r>
        <w:t xml:space="preserve">2013 · Buse JB ·</w:t>
      </w:r>
      <w:r>
        <w:t xml:space="preserve"> </w:t>
      </w:r>
      <w:r>
        <w:rPr>
          <w:iCs/>
          <w:i/>
        </w:rPr>
        <w:t xml:space="preserve">Lancet</w:t>
      </w:r>
      <w:r>
        <w:t xml:space="preserve"> </w:t>
      </w:r>
      <w:r>
        <w:t xml:space="preserve">· Exenatide once weekly versus liraglutide once daily in patients with type 2 diabetes (DURATION-6): a randomised, open-label study. PMID 23141817</w:t>
      </w:r>
    </w:p>
    <w:p>
      <w:pPr>
        <w:numPr>
          <w:ilvl w:val="0"/>
          <w:numId w:val="1376"/>
        </w:numPr>
        <w:pStyle w:val="Compact"/>
      </w:pPr>
      <w:r>
        <w:t xml:space="preserve">2013 · Iwao T ·</w:t>
      </w:r>
      <w:r>
        <w:t xml:space="preserve"> </w:t>
      </w:r>
      <w:r>
        <w:rPr>
          <w:iCs/>
          <w:i/>
        </w:rPr>
        <w:t xml:space="preserve">J Diabetes Complications</w:t>
      </w:r>
      <w:r>
        <w:t xml:space="preserve"> </w:t>
      </w:r>
      <w:r>
        <w:t xml:space="preserve">· Postprandial serum C-peptide is a useful parameter in the prediction of successful switching to liraglutide monotherapy from complex insulin therapy in Japanese patients with type 2 diabetes. PMID 22863615</w:t>
      </w:r>
    </w:p>
    <w:p>
      <w:pPr>
        <w:numPr>
          <w:ilvl w:val="0"/>
          <w:numId w:val="1376"/>
        </w:numPr>
        <w:pStyle w:val="Compact"/>
      </w:pPr>
      <w:r>
        <w:t xml:space="preserve">2013 · Niswender K ·</w:t>
      </w:r>
      <w:r>
        <w:t xml:space="preserve"> </w:t>
      </w:r>
      <w:r>
        <w:rPr>
          <w:iCs/>
          <w:i/>
        </w:rPr>
        <w:t xml:space="preserve">Diabetes Obes Metab</w:t>
      </w:r>
      <w:r>
        <w:t xml:space="preserve"> </w:t>
      </w:r>
      <w:r>
        <w:t xml:space="preserve">· Weight change with liraglutide and comparator therapies: an analysis of seven phase 3 trials from the liraglutide diabetes development programme. PMID 22862847</w:t>
      </w:r>
    </w:p>
    <w:p>
      <w:pPr>
        <w:numPr>
          <w:ilvl w:val="0"/>
          <w:numId w:val="1376"/>
        </w:numPr>
        <w:pStyle w:val="Compact"/>
      </w:pPr>
      <w:r>
        <w:t xml:space="preserve">2013 · Rotondo A ·</w:t>
      </w:r>
      <w:r>
        <w:t xml:space="preserve"> </w:t>
      </w:r>
      <w:r>
        <w:rPr>
          <w:iCs/>
          <w:i/>
        </w:rPr>
        <w:t xml:space="preserve">Int J Obes (Lond)</w:t>
      </w:r>
      <w:r>
        <w:t xml:space="preserve"> </w:t>
      </w:r>
      <w:r>
        <w:t xml:space="preserve">· Effect of the GLP-1 analog liraglutide on satiation and gastric sensorimotor function during nutrient-drink ingestion. PMID 22846777</w:t>
      </w:r>
    </w:p>
    <w:p>
      <w:pPr>
        <w:numPr>
          <w:ilvl w:val="0"/>
          <w:numId w:val="1376"/>
        </w:numPr>
        <w:pStyle w:val="Compact"/>
      </w:pPr>
      <w:r>
        <w:t xml:space="preserve">2012 · Egefjord L ·</w:t>
      </w:r>
      <w:r>
        <w:t xml:space="preserve"> </w:t>
      </w:r>
      <w:r>
        <w:rPr>
          <w:iCs/>
          <w:i/>
        </w:rPr>
        <w:t xml:space="preserve">Dan Med J</w:t>
      </w:r>
      <w:r>
        <w:t xml:space="preserve"> </w:t>
      </w:r>
      <w:r>
        <w:t xml:space="preserve">· Effects of liraglutide on neurodegeneration, blood flow and cognition in Alzheimer´s disease - protocol for a controlled, randomized double-blinded trial. PMID 23158895</w:t>
      </w:r>
    </w:p>
    <w:p>
      <w:pPr>
        <w:numPr>
          <w:ilvl w:val="0"/>
          <w:numId w:val="1376"/>
        </w:numPr>
        <w:pStyle w:val="Compact"/>
      </w:pPr>
      <w:r>
        <w:t xml:space="preserve">2012 · Li CJ ·</w:t>
      </w:r>
      <w:r>
        <w:t xml:space="preserve"> </w:t>
      </w:r>
      <w:r>
        <w:rPr>
          <w:iCs/>
          <w:i/>
        </w:rPr>
        <w:t xml:space="preserve">Cardiovasc Diabetol</w:t>
      </w:r>
      <w:r>
        <w:t xml:space="preserve"> </w:t>
      </w:r>
      <w:r>
        <w:t xml:space="preserve">· Efficacy and safety comparison between liraglutide as add-on therapy to insulin and insulin dose-increase in Chinese subjects with poorly controlled type 2 diabetes and abdominal obesity. PMID 23153177</w:t>
      </w:r>
    </w:p>
    <w:p>
      <w:pPr>
        <w:numPr>
          <w:ilvl w:val="0"/>
          <w:numId w:val="1376"/>
        </w:numPr>
        <w:pStyle w:val="Compact"/>
      </w:pPr>
      <w:r>
        <w:t xml:space="preserve">2012 · Pratley RE ·</w:t>
      </w:r>
      <w:r>
        <w:t xml:space="preserve"> </w:t>
      </w:r>
      <w:r>
        <w:rPr>
          <w:iCs/>
          <w:i/>
        </w:rPr>
        <w:t xml:space="preserve">Diabetes Care</w:t>
      </w:r>
      <w:r>
        <w:t xml:space="preserve"> </w:t>
      </w:r>
      <w:r>
        <w:t xml:space="preserve">· Efficacy and safety of switching from the DPP-4 inhibitor sitagliptin to the human GLP-1 analog liraglutide after 52 weeks in metformin-treated patients with type 2 diabetes: a randomized, open-label trial. PMID 22851600</w:t>
      </w:r>
    </w:p>
    <w:p>
      <w:pPr>
        <w:numPr>
          <w:ilvl w:val="0"/>
          <w:numId w:val="1376"/>
        </w:numPr>
        <w:pStyle w:val="Compact"/>
      </w:pPr>
      <w:r>
        <w:t xml:space="preserve">2012 · DeVries JH ·</w:t>
      </w:r>
      <w:r>
        <w:t xml:space="preserve"> </w:t>
      </w:r>
      <w:r>
        <w:rPr>
          <w:iCs/>
          <w:i/>
        </w:rPr>
        <w:t xml:space="preserve">Diabetes Care</w:t>
      </w:r>
      <w:r>
        <w:t xml:space="preserve"> </w:t>
      </w:r>
      <w:r>
        <w:t xml:space="preserve">· Sequential intensification of metformin treatment in type 2 diabetes with liraglutide followed by randomized addition of basal insulin prompted by A1C targets. PMID 22584132</w:t>
      </w:r>
    </w:p>
    <w:p>
      <w:pPr>
        <w:numPr>
          <w:ilvl w:val="0"/>
          <w:numId w:val="1376"/>
        </w:numPr>
        <w:pStyle w:val="Compact"/>
      </w:pPr>
      <w:r>
        <w:t xml:space="preserve">2012 · Horowitz M ·</w:t>
      </w:r>
      <w:r>
        <w:t xml:space="preserve"> </w:t>
      </w:r>
      <w:r>
        <w:rPr>
          <w:iCs/>
          <w:i/>
        </w:rPr>
        <w:t xml:space="preserve">Diabetes Res Clin Pract</w:t>
      </w:r>
      <w:r>
        <w:t xml:space="preserve"> </w:t>
      </w:r>
      <w:r>
        <w:t xml:space="preserve">· Effect of the once-daily human GLP-1 analogue liraglutide on appetite, energy intake, energy expenditure and gastric emptying in type 2 diabetes. PMID 22446097</w:t>
      </w:r>
    </w:p>
    <w:p>
      <w:pPr>
        <w:numPr>
          <w:ilvl w:val="0"/>
          <w:numId w:val="1376"/>
        </w:numPr>
        <w:pStyle w:val="Compact"/>
      </w:pPr>
      <w:r>
        <w:t xml:space="preserve">2012 · Forst T ·</w:t>
      </w:r>
      <w:r>
        <w:t xml:space="preserve"> </w:t>
      </w:r>
      <w:r>
        <w:rPr>
          <w:iCs/>
          <w:i/>
        </w:rPr>
        <w:t xml:space="preserve">Diabet Med</w:t>
      </w:r>
      <w:r>
        <w:t xml:space="preserve"> </w:t>
      </w:r>
      <w:r>
        <w:t xml:space="preserve">· Addition of liraglutide in patients with Type 2 diabetes well controlled on metformin monotherapy improves several markers of vascular function. PMID 22288732</w:t>
      </w:r>
    </w:p>
    <w:p>
      <w:pPr>
        <w:numPr>
          <w:ilvl w:val="0"/>
          <w:numId w:val="1376"/>
        </w:numPr>
        <w:pStyle w:val="Compact"/>
      </w:pPr>
      <w:r>
        <w:t xml:space="preserve">2012 · Ingwersen SH ·</w:t>
      </w:r>
      <w:r>
        <w:t xml:space="preserve"> </w:t>
      </w:r>
      <w:r>
        <w:rPr>
          <w:iCs/>
          <w:i/>
        </w:rPr>
        <w:t xml:space="preserve">J Clin Pharmacol</w:t>
      </w:r>
      <w:r>
        <w:t xml:space="preserve"> </w:t>
      </w:r>
      <w:r>
        <w:t xml:space="preserve">· Dosing rationale for liraglutide in type 2 diabetes mellitus: a pharmacometric assessment. PMID 22174428</w:t>
      </w:r>
    </w:p>
    <w:p>
      <w:pPr>
        <w:numPr>
          <w:ilvl w:val="0"/>
          <w:numId w:val="1376"/>
        </w:numPr>
        <w:pStyle w:val="Compact"/>
      </w:pPr>
      <w:r>
        <w:t xml:space="preserve">2012 · Astrup A ·</w:t>
      </w:r>
      <w:r>
        <w:t xml:space="preserve"> </w:t>
      </w:r>
      <w:r>
        <w:rPr>
          <w:iCs/>
          <w:i/>
        </w:rPr>
        <w:t xml:space="preserve">Int J Obes (Lond)</w:t>
      </w:r>
      <w:r>
        <w:t xml:space="preserve"> </w:t>
      </w:r>
      <w:r>
        <w:t xml:space="preserve">· Safety, tolerability and sustained weight loss over 2 years with the once-daily human GLP-1 analog, liraglutide. PMID 21844879</w:t>
      </w:r>
    </w:p>
    <w:p>
      <w:pPr>
        <w:numPr>
          <w:ilvl w:val="0"/>
          <w:numId w:val="1376"/>
        </w:numPr>
        <w:pStyle w:val="Compact"/>
      </w:pPr>
      <w:r>
        <w:t xml:space="preserve">2011 · Mori Y ·</w:t>
      </w:r>
      <w:r>
        <w:t xml:space="preserve"> </w:t>
      </w:r>
      <w:r>
        <w:rPr>
          <w:iCs/>
          <w:i/>
        </w:rPr>
        <w:t xml:space="preserve">Diabetes Technol Ther</w:t>
      </w:r>
      <w:r>
        <w:t xml:space="preserve"> </w:t>
      </w:r>
      <w:r>
        <w:t xml:space="preserve">· Liraglutide narrows the range of circadian glycemic variations in Japanese type 2 diabetes patients and nearly flattens these variations in drug-naive type 2 diabetes patients: a continuous glucose monitoring-based study. PMID 21877924</w:t>
      </w:r>
    </w:p>
    <w:p>
      <w:pPr>
        <w:numPr>
          <w:ilvl w:val="0"/>
          <w:numId w:val="1376"/>
        </w:numPr>
        <w:pStyle w:val="Compact"/>
      </w:pPr>
      <w:r>
        <w:t xml:space="preserve">2011 · Kapitza C ·</w:t>
      </w:r>
      <w:r>
        <w:t xml:space="preserve"> </w:t>
      </w:r>
      <w:r>
        <w:rPr>
          <w:iCs/>
          <w:i/>
        </w:rPr>
        <w:t xml:space="preserve">Adv Ther</w:t>
      </w:r>
      <w:r>
        <w:t xml:space="preserve"> </w:t>
      </w:r>
      <w:r>
        <w:t xml:space="preserve">· The effect of the once-daily human glucagon-like peptide 1 analog liraglutide on the pharmacokinetics of acetaminophen. PMID 21792552</w:t>
      </w:r>
    </w:p>
    <w:p>
      <w:pPr>
        <w:numPr>
          <w:ilvl w:val="0"/>
          <w:numId w:val="1376"/>
        </w:numPr>
        <w:pStyle w:val="Compact"/>
      </w:pPr>
      <w:r>
        <w:t xml:space="preserve">2011 · Kielgast U ·</w:t>
      </w:r>
      <w:r>
        <w:t xml:space="preserve"> </w:t>
      </w:r>
      <w:r>
        <w:rPr>
          <w:iCs/>
          <w:i/>
        </w:rPr>
        <w:t xml:space="preserve">Diabetes Care</w:t>
      </w:r>
      <w:r>
        <w:t xml:space="preserve"> </w:t>
      </w:r>
      <w:r>
        <w:t xml:space="preserve">· Four weeks of treatment with liraglutide reduces insulin dose without loss of glycemic control in type 1 diabetic patients with and without residual beta-cell function. PMID 21593296</w:t>
      </w:r>
    </w:p>
    <w:p>
      <w:pPr>
        <w:numPr>
          <w:ilvl w:val="0"/>
          <w:numId w:val="1376"/>
        </w:numPr>
        <w:pStyle w:val="Compact"/>
      </w:pPr>
      <w:r>
        <w:t xml:space="preserve">2011 · Yan P ·</w:t>
      </w:r>
      <w:r>
        <w:t xml:space="preserve"> </w:t>
      </w:r>
      <w:r>
        <w:rPr>
          <w:iCs/>
          <w:i/>
        </w:rPr>
        <w:t xml:space="preserve">Diabetes Res Clin Pract</w:t>
      </w:r>
      <w:r>
        <w:t xml:space="preserve"> </w:t>
      </w:r>
      <w:r>
        <w:t xml:space="preserve">· Effects of the long-acting human glucagon-like peptide-1 analog liraglutide on plasma omentin-1 levels in patients with type 2 diabetes mellitus. PMID 21458097</w:t>
      </w:r>
    </w:p>
    <w:p>
      <w:pPr>
        <w:numPr>
          <w:ilvl w:val="0"/>
          <w:numId w:val="1376"/>
        </w:numPr>
        <w:pStyle w:val="Compact"/>
      </w:pPr>
      <w:r>
        <w:t xml:space="preserve">2011 · Buse JB ·</w:t>
      </w:r>
      <w:r>
        <w:t xml:space="preserve"> </w:t>
      </w:r>
      <w:r>
        <w:rPr>
          <w:iCs/>
          <w:i/>
        </w:rPr>
        <w:t xml:space="preserve">J Clin Endocrinol Metab</w:t>
      </w:r>
      <w:r>
        <w:t xml:space="preserve"> </w:t>
      </w:r>
      <w:r>
        <w:t xml:space="preserve">· Liraglutide treatment is associated with a low frequency and magnitude of antibody formation with no apparent impact on glycemic response or increased frequency of adverse events: results from the Liraglutide Effect and Action in Diabetes (LEAD) trials. PMID 21450987</w:t>
      </w:r>
    </w:p>
    <w:p>
      <w:pPr>
        <w:numPr>
          <w:ilvl w:val="0"/>
          <w:numId w:val="1376"/>
        </w:numPr>
        <w:pStyle w:val="Compact"/>
      </w:pPr>
      <w:r>
        <w:t xml:space="preserve">2011 · Schmidt WE ·</w:t>
      </w:r>
      <w:r>
        <w:t xml:space="preserve"> </w:t>
      </w:r>
      <w:r>
        <w:rPr>
          <w:iCs/>
          <w:i/>
        </w:rPr>
        <w:t xml:space="preserve">Diabet Med</w:t>
      </w:r>
      <w:r>
        <w:t xml:space="preserve"> </w:t>
      </w:r>
      <w:r>
        <w:t xml:space="preserve">· Patient-reported outcomes are superior in patients with Type 2 diabetes treated with liraglutide as compared with exenatide, when added to metformin, sulphonylurea or both: results from a randomized, open-label study. PMID 21388442</w:t>
      </w:r>
    </w:p>
    <w:p>
      <w:pPr>
        <w:numPr>
          <w:ilvl w:val="0"/>
          <w:numId w:val="1376"/>
        </w:numPr>
        <w:pStyle w:val="Compact"/>
      </w:pPr>
      <w:r>
        <w:t xml:space="preserve">2011 · Pratley R ·</w:t>
      </w:r>
      <w:r>
        <w:t xml:space="preserve"> </w:t>
      </w:r>
      <w:r>
        <w:rPr>
          <w:iCs/>
          <w:i/>
        </w:rPr>
        <w:t xml:space="preserve">Int J Clin Pract</w:t>
      </w:r>
      <w:r>
        <w:t xml:space="preserve"> </w:t>
      </w:r>
      <w:r>
        <w:t xml:space="preserve">· One year of liraglutide treatment offers sustained and more effective glycaemic control and weight reduction compared with sitagliptin, both in combination with metformin, in patients with type 2 diabetes: a randomised, parallel-group, open-label trial. PMID 21355967</w:t>
      </w:r>
    </w:p>
    <w:p>
      <w:pPr>
        <w:numPr>
          <w:ilvl w:val="0"/>
          <w:numId w:val="1376"/>
        </w:numPr>
        <w:pStyle w:val="Compact"/>
      </w:pPr>
      <w:r>
        <w:t xml:space="preserve">2011 · Lee WC ·</w:t>
      </w:r>
      <w:r>
        <w:t xml:space="preserve"> </w:t>
      </w:r>
      <w:r>
        <w:rPr>
          <w:iCs/>
          <w:i/>
        </w:rPr>
        <w:t xml:space="preserve">Curr Med Res Opin</w:t>
      </w:r>
      <w:r>
        <w:t xml:space="preserve"> </w:t>
      </w:r>
      <w:r>
        <w:t xml:space="preserve">· Cost-effectiveness of liraglutide versus rosiglitazone, both in combination with glimepiride in treatment of type 2 diabetes in the US. PMID 21348806</w:t>
      </w:r>
    </w:p>
    <w:p>
      <w:pPr>
        <w:numPr>
          <w:ilvl w:val="0"/>
          <w:numId w:val="1376"/>
        </w:numPr>
        <w:pStyle w:val="Compact"/>
      </w:pPr>
      <w:r>
        <w:t xml:space="preserve">2011 · Flint A ·</w:t>
      </w:r>
      <w:r>
        <w:t xml:space="preserve"> </w:t>
      </w:r>
      <w:r>
        <w:rPr>
          <w:iCs/>
          <w:i/>
        </w:rPr>
        <w:t xml:space="preserve">Adv Ther</w:t>
      </w:r>
      <w:r>
        <w:t xml:space="preserve"> </w:t>
      </w:r>
      <w:r>
        <w:t xml:space="preserve">· The once-daily human glucagon-like peptide-1 (GLP-1) analog liraglutide improves postprandial glucose levels in type 2 diabetes patients. PMID 21340616</w:t>
      </w:r>
    </w:p>
    <w:p>
      <w:pPr>
        <w:numPr>
          <w:ilvl w:val="0"/>
          <w:numId w:val="1376"/>
        </w:numPr>
        <w:pStyle w:val="Compact"/>
      </w:pPr>
      <w:r>
        <w:t xml:space="preserve">2011 · Davies M ·</w:t>
      </w:r>
      <w:r>
        <w:t xml:space="preserve"> </w:t>
      </w:r>
      <w:r>
        <w:rPr>
          <w:iCs/>
          <w:i/>
        </w:rPr>
        <w:t xml:space="preserve">Diabet Med</w:t>
      </w:r>
      <w:r>
        <w:t xml:space="preserve"> </w:t>
      </w:r>
      <w:r>
        <w:t xml:space="preserve">· Liraglutide improves treatment satisfaction in people with Type 2 diabetes compared with sitagliptin, each as an add on to metformin. PMID 21309842</w:t>
      </w:r>
    </w:p>
    <w:p>
      <w:pPr>
        <w:numPr>
          <w:ilvl w:val="0"/>
          <w:numId w:val="1376"/>
        </w:numPr>
        <w:pStyle w:val="Compact"/>
      </w:pPr>
      <w:r>
        <w:t xml:space="preserve">2011 · Jiang J ·</w:t>
      </w:r>
      <w:r>
        <w:t xml:space="preserve"> </w:t>
      </w:r>
      <w:r>
        <w:rPr>
          <w:iCs/>
          <w:i/>
        </w:rPr>
        <w:t xml:space="preserve">J Clin Pharmacol</w:t>
      </w:r>
      <w:r>
        <w:t xml:space="preserve"> </w:t>
      </w:r>
      <w:r>
        <w:t xml:space="preserve">· The pharmacokinetics, pharmacodynamics, and tolerability of liraglutide, a once-daily human GLP-1 analogue, after multiple subcutaneous administration in healthy Chinese male subjects. PMID 21273395</w:t>
      </w:r>
    </w:p>
    <w:p>
      <w:pPr>
        <w:numPr>
          <w:ilvl w:val="0"/>
          <w:numId w:val="1376"/>
        </w:numPr>
        <w:pStyle w:val="Compact"/>
      </w:pPr>
      <w:r>
        <w:t xml:space="preserve">2011 · Jacobsen LV ·</w:t>
      </w:r>
      <w:r>
        <w:t xml:space="preserve"> </w:t>
      </w:r>
      <w:r>
        <w:rPr>
          <w:iCs/>
          <w:i/>
        </w:rPr>
        <w:t xml:space="preserve">J Clin Pharmacol</w:t>
      </w:r>
      <w:r>
        <w:t xml:space="preserve"> </w:t>
      </w:r>
      <w:r>
        <w:t xml:space="preserve">· Treatment with liraglutide–a once-daily GLP-1 analog–does not reduce the bioavailability of ethinyl estradiol/levonorgestrel taken as an oral combination contraceptive drug. PMID 21228406</w:t>
      </w:r>
    </w:p>
    <w:p>
      <w:pPr>
        <w:numPr>
          <w:ilvl w:val="0"/>
          <w:numId w:val="1376"/>
        </w:numPr>
        <w:pStyle w:val="Compact"/>
      </w:pPr>
      <w:r>
        <w:t xml:space="preserve">2011 · Hegedüs L ·</w:t>
      </w:r>
      <w:r>
        <w:t xml:space="preserve"> </w:t>
      </w:r>
      <w:r>
        <w:rPr>
          <w:iCs/>
          <w:i/>
        </w:rPr>
        <w:t xml:space="preserve">J Clin Endocrinol Metab</w:t>
      </w:r>
      <w:r>
        <w:t xml:space="preserve"> </w:t>
      </w:r>
      <w:r>
        <w:t xml:space="preserve">· GLP-1 and calcitonin concentration in humans: lack of evidence of calcitonin release from sequential screening in over 5000 subjects with type 2 diabetes or nondiabetic obese subjects treated with the human GLP-1 analog, liraglutide. PMID 21209033</w:t>
      </w:r>
    </w:p>
    <w:p>
      <w:pPr>
        <w:numPr>
          <w:ilvl w:val="0"/>
          <w:numId w:val="1376"/>
        </w:numPr>
        <w:pStyle w:val="Compact"/>
      </w:pPr>
      <w:r>
        <w:t xml:space="preserve">2011 · Garber A ·</w:t>
      </w:r>
      <w:r>
        <w:t xml:space="preserve"> </w:t>
      </w:r>
      <w:r>
        <w:rPr>
          <w:iCs/>
          <w:i/>
        </w:rPr>
        <w:t xml:space="preserve">Diabetes Obes Metab</w:t>
      </w:r>
      <w:r>
        <w:t xml:space="preserve"> </w:t>
      </w:r>
      <w:r>
        <w:t xml:space="preserve">· Liraglutide, a once-daily human glucagon-like peptide 1 analogue, provides sustained improvements in glycaemic control and weight for 2 years as monotherapy compared with glimepiride in patients with type 2 diabetes. PMID 21205128</w:t>
      </w:r>
    </w:p>
    <w:p>
      <w:pPr>
        <w:numPr>
          <w:ilvl w:val="0"/>
          <w:numId w:val="1376"/>
        </w:numPr>
        <w:pStyle w:val="Compact"/>
      </w:pPr>
      <w:r>
        <w:t xml:space="preserve">2011 · Yang W ·</w:t>
      </w:r>
      <w:r>
        <w:t xml:space="preserve"> </w:t>
      </w:r>
      <w:r>
        <w:rPr>
          <w:iCs/>
          <w:i/>
        </w:rPr>
        <w:t xml:space="preserve">Diabetes Obes Metab</w:t>
      </w:r>
      <w:r>
        <w:t xml:space="preserve"> </w:t>
      </w:r>
      <w:r>
        <w:t xml:space="preserve">· Liraglutide provides similar glycaemic control as glimepiride (both in combination with metformin) and reduces body weight and systolic blood pressure in Asian population with type 2 diabetes from China, South Korea and India: a 16-week, randomized, double-blind, active control trial(*). PMID 21114607</w:t>
      </w:r>
    </w:p>
    <w:p>
      <w:pPr>
        <w:numPr>
          <w:ilvl w:val="0"/>
          <w:numId w:val="1376"/>
        </w:numPr>
        <w:pStyle w:val="Compact"/>
      </w:pPr>
      <w:r>
        <w:t xml:space="preserve">2011 · Kapitza C ·</w:t>
      </w:r>
      <w:r>
        <w:t xml:space="preserve"> </w:t>
      </w:r>
      <w:r>
        <w:rPr>
          <w:iCs/>
          <w:i/>
        </w:rPr>
        <w:t xml:space="preserve">J Clin Pharmacol</w:t>
      </w:r>
      <w:r>
        <w:t xml:space="preserve"> </w:t>
      </w:r>
      <w:r>
        <w:t xml:space="preserve">· Effect of three different injection sites on the pharmacokinetics of the once-daily human GLP-1 analogue liraglutide. PMID 20671294</w:t>
      </w:r>
    </w:p>
    <w:p>
      <w:pPr>
        <w:numPr>
          <w:ilvl w:val="0"/>
          <w:numId w:val="1376"/>
        </w:numPr>
        <w:pStyle w:val="Compact"/>
      </w:pPr>
      <w:r>
        <w:t xml:space="preserve">2010 · García-Hernández P ·</w:t>
      </w:r>
      <w:r>
        <w:t xml:space="preserve"> </w:t>
      </w:r>
      <w:r>
        <w:rPr>
          <w:iCs/>
          <w:i/>
        </w:rPr>
        <w:t xml:space="preserve">Rev Med Inst Mex Seguro Soc</w:t>
      </w:r>
      <w:r>
        <w:t xml:space="preserve"> </w:t>
      </w:r>
      <w:r>
        <w:t xml:space="preserve">· [Liraglutide and glimepiride on glycaemic control in type 2 diabetes in the Mexican cohort (LEAD 3)]. PMID 21205505</w:t>
      </w:r>
    </w:p>
    <w:p>
      <w:pPr>
        <w:numPr>
          <w:ilvl w:val="0"/>
          <w:numId w:val="1376"/>
        </w:numPr>
        <w:pStyle w:val="Compact"/>
      </w:pPr>
      <w:r>
        <w:t xml:space="preserve">2010 · Flint A ·</w:t>
      </w:r>
      <w:r>
        <w:t xml:space="preserve"> </w:t>
      </w:r>
      <w:r>
        <w:rPr>
          <w:iCs/>
          <w:i/>
        </w:rPr>
        <w:t xml:space="preserve">Br J Clin Pharmacol</w:t>
      </w:r>
      <w:r>
        <w:t xml:space="preserve"> </w:t>
      </w:r>
      <w:r>
        <w:t xml:space="preserve">· Influence of hepatic impairment on pharmacokinetics of the human GLP-1 analogue, liraglutide. PMID 21175436</w:t>
      </w:r>
    </w:p>
    <w:p>
      <w:pPr>
        <w:numPr>
          <w:ilvl w:val="0"/>
          <w:numId w:val="1376"/>
        </w:numPr>
        <w:pStyle w:val="Compact"/>
      </w:pPr>
      <w:r>
        <w:t xml:space="preserve">2010 · Malm-Erjefält M ·</w:t>
      </w:r>
      <w:r>
        <w:t xml:space="preserve"> </w:t>
      </w:r>
      <w:r>
        <w:rPr>
          <w:iCs/>
          <w:i/>
        </w:rPr>
        <w:t xml:space="preserve">Drug Metab Dispos</w:t>
      </w:r>
      <w:r>
        <w:t xml:space="preserve"> </w:t>
      </w:r>
      <w:r>
        <w:t xml:space="preserve">· Metabolism and excretion of the once-daily human glucagon-like peptide-1 analog liraglutide in healthy male subjects and its in vitro degradation by dipeptidyl peptidase IV and neutral endopeptidase. PMID 20709939</w:t>
      </w:r>
    </w:p>
    <w:p>
      <w:pPr>
        <w:numPr>
          <w:ilvl w:val="0"/>
          <w:numId w:val="1376"/>
        </w:numPr>
        <w:pStyle w:val="Compact"/>
      </w:pPr>
      <w:r>
        <w:t xml:space="preserve">2010 · Bode BW ·</w:t>
      </w:r>
      <w:r>
        <w:t xml:space="preserve"> </w:t>
      </w:r>
      <w:r>
        <w:rPr>
          <w:iCs/>
          <w:i/>
        </w:rPr>
        <w:t xml:space="preserve">Diabetes Obes Metab</w:t>
      </w:r>
      <w:r>
        <w:t xml:space="preserve"> </w:t>
      </w:r>
      <w:r>
        <w:t xml:space="preserve">· Patient-reported outcomes following treatment with the human GLP-1 analogue liraglutide or glimepiride in monotherapy: results from a randomized controlled trial in patients with type 2 diabetes. PMID 20590735</w:t>
      </w:r>
    </w:p>
    <w:p>
      <w:pPr>
        <w:numPr>
          <w:ilvl w:val="0"/>
          <w:numId w:val="1376"/>
        </w:numPr>
        <w:pStyle w:val="Compact"/>
      </w:pPr>
      <w:r>
        <w:t xml:space="preserve">2010 · Hermansen K ·</w:t>
      </w:r>
      <w:r>
        <w:t xml:space="preserve"> </w:t>
      </w:r>
      <w:r>
        <w:rPr>
          <w:iCs/>
          <w:i/>
        </w:rPr>
        <w:t xml:space="preserve">Prim Care Diabetes</w:t>
      </w:r>
      <w:r>
        <w:t xml:space="preserve"> </w:t>
      </w:r>
      <w:r>
        <w:t xml:space="preserve">· Patient-reported outcomes in patients with type 2 diabetes treated with liraglutide or glimepiride, both as add-on to metformin. PMID 20444662</w:t>
      </w:r>
    </w:p>
    <w:p>
      <w:pPr>
        <w:numPr>
          <w:ilvl w:val="0"/>
          <w:numId w:val="1376"/>
        </w:numPr>
        <w:pStyle w:val="Compact"/>
      </w:pPr>
      <w:r>
        <w:t xml:space="preserve">2010 · Pratley RE ·</w:t>
      </w:r>
      <w:r>
        <w:t xml:space="preserve"> </w:t>
      </w:r>
      <w:r>
        <w:rPr>
          <w:iCs/>
          <w:i/>
        </w:rPr>
        <w:t xml:space="preserve">Lancet</w:t>
      </w:r>
      <w:r>
        <w:t xml:space="preserve"> </w:t>
      </w:r>
      <w:r>
        <w:t xml:space="preserve">· Liraglutide versus sitagliptin for patients with type 2 diabetes who did not have adequate glycaemic control with metformin: a 26-week, randomised, parallel-group, open-label trial. PMID 20417856</w:t>
      </w:r>
    </w:p>
    <w:p>
      <w:pPr>
        <w:numPr>
          <w:ilvl w:val="0"/>
          <w:numId w:val="1376"/>
        </w:numPr>
        <w:pStyle w:val="Compact"/>
      </w:pPr>
      <w:r>
        <w:t xml:space="preserve">2010 · Kaku K ·</w:t>
      </w:r>
      <w:r>
        <w:t xml:space="preserve"> </w:t>
      </w:r>
      <w:r>
        <w:rPr>
          <w:iCs/>
          <w:i/>
        </w:rPr>
        <w:t xml:space="preserve">Diabetes Obes Metab</w:t>
      </w:r>
      <w:r>
        <w:t xml:space="preserve"> </w:t>
      </w:r>
      <w:r>
        <w:t xml:space="preserve">· Improved glycaemic control with minimal hypoglycaemia and no weight change with the once-daily human glucagon-like peptide-1 analogue liraglutide as add-on to sulphonylurea in Japanese patients with type 2 diabetes. PMID 20380655</w:t>
      </w:r>
    </w:p>
    <w:p>
      <w:pPr>
        <w:numPr>
          <w:ilvl w:val="0"/>
          <w:numId w:val="1376"/>
        </w:numPr>
        <w:pStyle w:val="Compact"/>
      </w:pPr>
      <w:r>
        <w:t xml:space="preserve">2010 · Buse JB ·</w:t>
      </w:r>
      <w:r>
        <w:t xml:space="preserve"> </w:t>
      </w:r>
      <w:r>
        <w:rPr>
          <w:iCs/>
          <w:i/>
        </w:rPr>
        <w:t xml:space="preserve">Diabetes Care</w:t>
      </w:r>
      <w:r>
        <w:t xml:space="preserve"> </w:t>
      </w:r>
      <w:r>
        <w:t xml:space="preserve">· Switching to once-daily liraglutide from twice-daily exenatide further improves glycemic control in patients with type 2 diabetes using oral agents. PMID 20332351</w:t>
      </w:r>
    </w:p>
    <w:p>
      <w:pPr>
        <w:numPr>
          <w:ilvl w:val="0"/>
          <w:numId w:val="1376"/>
        </w:numPr>
        <w:pStyle w:val="Compact"/>
      </w:pPr>
      <w:r>
        <w:t xml:space="preserve">2010 · Bjerre Knudsen L ·</w:t>
      </w:r>
      <w:r>
        <w:t xml:space="preserve"> </w:t>
      </w:r>
      <w:r>
        <w:rPr>
          <w:iCs/>
          <w:i/>
        </w:rPr>
        <w:t xml:space="preserve">Endocrinology</w:t>
      </w:r>
      <w:r>
        <w:t xml:space="preserve"> </w:t>
      </w:r>
      <w:r>
        <w:t xml:space="preserve">· Glucagon-like Peptide-1 receptor agonists activate rodent thyroid C-cells causing calcitonin release and C-cell proliferation. PMID 20203154</w:t>
      </w:r>
    </w:p>
    <w:p>
      <w:pPr>
        <w:numPr>
          <w:ilvl w:val="0"/>
          <w:numId w:val="1376"/>
        </w:numPr>
        <w:pStyle w:val="Compact"/>
      </w:pPr>
      <w:r>
        <w:t xml:space="preserve">2010 · Seino Y ·</w:t>
      </w:r>
      <w:r>
        <w:t xml:space="preserve"> </w:t>
      </w:r>
      <w:r>
        <w:rPr>
          <w:iCs/>
          <w:i/>
        </w:rPr>
        <w:t xml:space="preserve">Curr Med Res Opin</w:t>
      </w:r>
      <w:r>
        <w:t xml:space="preserve"> </w:t>
      </w:r>
      <w:r>
        <w:t xml:space="preserve">· Efficacy and safety of the once-daily human GLP-1 analogue, liraglutide, vs glibenclamide monotherapy in Japanese patients with type 2 diabetes. PMID 20199137</w:t>
      </w:r>
    </w:p>
    <w:p>
      <w:pPr>
        <w:numPr>
          <w:ilvl w:val="0"/>
          <w:numId w:val="1376"/>
        </w:numPr>
        <w:pStyle w:val="Compact"/>
      </w:pPr>
      <w:r>
        <w:t xml:space="preserve">2010 · Gallwitz B ·</w:t>
      </w:r>
      <w:r>
        <w:t xml:space="preserve"> </w:t>
      </w:r>
      <w:r>
        <w:rPr>
          <w:iCs/>
          <w:i/>
        </w:rPr>
        <w:t xml:space="preserve">Int J Clin Pract</w:t>
      </w:r>
      <w:r>
        <w:t xml:space="preserve"> </w:t>
      </w:r>
      <w:r>
        <w:t xml:space="preserve">· Adding liraglutide to oral antidiabetic drug therapy: onset of treatment effects over time. PMID 19925617</w:t>
      </w:r>
    </w:p>
    <w:p>
      <w:pPr>
        <w:numPr>
          <w:ilvl w:val="0"/>
          <w:numId w:val="1376"/>
        </w:numPr>
        <w:pStyle w:val="Compact"/>
      </w:pPr>
      <w:r>
        <w:t xml:space="preserve">2009 · Jacobsen LV ·</w:t>
      </w:r>
      <w:r>
        <w:t xml:space="preserve"> </w:t>
      </w:r>
      <w:r>
        <w:rPr>
          <w:iCs/>
          <w:i/>
        </w:rPr>
        <w:t xml:space="preserve">Br J Clin Pharmacol</w:t>
      </w:r>
      <w:r>
        <w:t xml:space="preserve"> </w:t>
      </w:r>
      <w:r>
        <w:t xml:space="preserve">· Effect of renal impairment on the pharmacokinetics of the GLP-1 analogue liraglutide. PMID 20002084</w:t>
      </w:r>
    </w:p>
    <w:p>
      <w:pPr>
        <w:numPr>
          <w:ilvl w:val="0"/>
          <w:numId w:val="1376"/>
        </w:numPr>
        <w:pStyle w:val="Compact"/>
      </w:pPr>
      <w:r>
        <w:t xml:space="preserve">2009 · Jendle J ·</w:t>
      </w:r>
      <w:r>
        <w:t xml:space="preserve"> </w:t>
      </w:r>
      <w:r>
        <w:rPr>
          <w:iCs/>
          <w:i/>
        </w:rPr>
        <w:t xml:space="preserve">Diabetes Obes Metab</w:t>
      </w:r>
      <w:r>
        <w:t xml:space="preserve"> </w:t>
      </w:r>
      <w:r>
        <w:t xml:space="preserve">· Weight loss with liraglutide, a once-daily human glucagon-like peptide-1 analogue for type 2 diabetes treatment as monotherapy or added to metformin, is primarily as a result of a reduction in fat tissue. PMID 19930006</w:t>
      </w:r>
    </w:p>
    <w:p>
      <w:pPr>
        <w:numPr>
          <w:ilvl w:val="0"/>
          <w:numId w:val="1376"/>
        </w:numPr>
        <w:pStyle w:val="Compact"/>
      </w:pPr>
      <w:r>
        <w:t xml:space="preserve">2009 · Sullivan SD ·</w:t>
      </w:r>
      <w:r>
        <w:t xml:space="preserve"> </w:t>
      </w:r>
      <w:r>
        <w:rPr>
          <w:iCs/>
          <w:i/>
        </w:rPr>
        <w:t xml:space="preserve">Pharmacotherapy</w:t>
      </w:r>
      <w:r>
        <w:t xml:space="preserve"> </w:t>
      </w:r>
      <w:r>
        <w:t xml:space="preserve">· A simulation of the comparative long-term effectiveness of liraglutide and glimepiride monotherapies in patients with type 2 diabetes mellitus. PMID 19873688</w:t>
      </w:r>
    </w:p>
    <w:p>
      <w:pPr>
        <w:numPr>
          <w:ilvl w:val="0"/>
          <w:numId w:val="1376"/>
        </w:numPr>
        <w:pStyle w:val="Compact"/>
      </w:pPr>
      <w:r>
        <w:t xml:space="preserve">2009 · Astrup A ·</w:t>
      </w:r>
      <w:r>
        <w:t xml:space="preserve"> </w:t>
      </w:r>
      <w:r>
        <w:rPr>
          <w:iCs/>
          <w:i/>
        </w:rPr>
        <w:t xml:space="preserve">Lancet</w:t>
      </w:r>
      <w:r>
        <w:t xml:space="preserve"> </w:t>
      </w:r>
      <w:r>
        <w:t xml:space="preserve">· Effects of liraglutide in the treatment of obesity: a randomised, double-blind, placebo-controlled study. PMID 19853906</w:t>
      </w:r>
    </w:p>
    <w:p>
      <w:pPr>
        <w:numPr>
          <w:ilvl w:val="0"/>
          <w:numId w:val="1376"/>
        </w:numPr>
        <w:pStyle w:val="Compact"/>
      </w:pPr>
      <w:r>
        <w:t xml:space="preserve">2009 · Chatterjee DJ ·</w:t>
      </w:r>
      <w:r>
        <w:t xml:space="preserve"> </w:t>
      </w:r>
      <w:r>
        <w:rPr>
          <w:iCs/>
          <w:i/>
        </w:rPr>
        <w:t xml:space="preserve">J Clin Pharmacol</w:t>
      </w:r>
      <w:r>
        <w:t xml:space="preserve"> </w:t>
      </w:r>
      <w:r>
        <w:t xml:space="preserve">· Absence of QTc prolongation in a thorough QT study with subcutaneous liraglutide, a once-daily human GLP-1 analog for treatment of type 2 diabetes. PMID 19737980</w:t>
      </w:r>
    </w:p>
    <w:p>
      <w:pPr>
        <w:numPr>
          <w:ilvl w:val="0"/>
          <w:numId w:val="1376"/>
        </w:numPr>
        <w:pStyle w:val="Compact"/>
      </w:pPr>
      <w:r>
        <w:t xml:space="preserve">2009 · Russell-Jones D ·</w:t>
      </w:r>
      <w:r>
        <w:t xml:space="preserve"> </w:t>
      </w:r>
      <w:r>
        <w:rPr>
          <w:iCs/>
          <w:i/>
        </w:rPr>
        <w:t xml:space="preserve">Diabetologia</w:t>
      </w:r>
      <w:r>
        <w:t xml:space="preserve"> </w:t>
      </w:r>
      <w:r>
        <w:t xml:space="preserve">· Liraglutide vs insulin glargine and placebo in combination with metformin and sulfonylurea therapy in type 2 diabetes mellitus (LEAD-5 met+SU): a randomised controlled trial. PMID 19688338</w:t>
      </w:r>
    </w:p>
    <w:p>
      <w:pPr>
        <w:numPr>
          <w:ilvl w:val="0"/>
          <w:numId w:val="1376"/>
        </w:numPr>
        <w:pStyle w:val="Compact"/>
      </w:pPr>
      <w:r>
        <w:t xml:space="preserve">2009 · Buse JB ·</w:t>
      </w:r>
      <w:r>
        <w:t xml:space="preserve"> </w:t>
      </w:r>
      <w:r>
        <w:rPr>
          <w:iCs/>
          <w:i/>
        </w:rPr>
        <w:t xml:space="preserve">Lancet</w:t>
      </w:r>
      <w:r>
        <w:t xml:space="preserve"> </w:t>
      </w:r>
      <w:r>
        <w:t xml:space="preserve">· Liraglutide once a day versus exenatide twice a day for type 2 diabetes: a 26-week randomised, parallel-group, multinational, open-label trial (LEAD-6). PMID 19515413</w:t>
      </w:r>
    </w:p>
    <w:p>
      <w:pPr>
        <w:numPr>
          <w:ilvl w:val="0"/>
          <w:numId w:val="1376"/>
        </w:numPr>
        <w:pStyle w:val="Compact"/>
      </w:pPr>
      <w:r>
        <w:t xml:space="preserve">2009 · Nauck M ·</w:t>
      </w:r>
      <w:r>
        <w:t xml:space="preserve"> </w:t>
      </w:r>
      <w:r>
        <w:rPr>
          <w:iCs/>
          <w:i/>
        </w:rPr>
        <w:t xml:space="preserve">Postgrad Med</w:t>
      </w:r>
      <w:r>
        <w:t xml:space="preserve"> </w:t>
      </w:r>
      <w:r>
        <w:t xml:space="preserve">· Adding liraglutide to oral antidiabetic drug monotherapy: efficacy and weight benefits. PMID 19491535</w:t>
      </w:r>
    </w:p>
    <w:p>
      <w:pPr>
        <w:numPr>
          <w:ilvl w:val="0"/>
          <w:numId w:val="1376"/>
        </w:numPr>
        <w:pStyle w:val="Compact"/>
      </w:pPr>
      <w:r>
        <w:t xml:space="preserve">2009 · Marre M ·</w:t>
      </w:r>
      <w:r>
        <w:t xml:space="preserve"> </w:t>
      </w:r>
      <w:r>
        <w:rPr>
          <w:iCs/>
          <w:i/>
        </w:rPr>
        <w:t xml:space="preserve">Diabet Med</w:t>
      </w:r>
      <w:r>
        <w:t xml:space="preserve"> </w:t>
      </w:r>
      <w:r>
        <w:t xml:space="preserve">· Liraglutide, a once-daily human GLP-1 analogue, added to a sulphonylurea over 26 weeks produces greater improvements in glycaemic and weight control compared with adding rosiglitazone or placebo in subjects with Type 2 diabetes (LEAD-1 SU). PMID 19317822</w:t>
      </w:r>
    </w:p>
    <w:p>
      <w:pPr>
        <w:numPr>
          <w:ilvl w:val="0"/>
          <w:numId w:val="1376"/>
        </w:numPr>
        <w:pStyle w:val="Compact"/>
      </w:pPr>
      <w:r>
        <w:t xml:space="preserve">2009 · Zinman B ·</w:t>
      </w:r>
      <w:r>
        <w:t xml:space="preserve"> </w:t>
      </w:r>
      <w:r>
        <w:rPr>
          <w:iCs/>
          <w:i/>
        </w:rPr>
        <w:t xml:space="preserve">Diabetes Care</w:t>
      </w:r>
      <w:r>
        <w:t xml:space="preserve"> </w:t>
      </w:r>
      <w:r>
        <w:t xml:space="preserve">· Efficacy and safety of the human glucagon-like peptide-1 analog liraglutide in combination with metformin and thiazolidinedione in patients with type 2 diabetes (LEAD-4 Met+TZD). PMID 19289857</w:t>
      </w:r>
    </w:p>
    <w:p>
      <w:pPr>
        <w:numPr>
          <w:ilvl w:val="0"/>
          <w:numId w:val="1376"/>
        </w:numPr>
        <w:pStyle w:val="Compact"/>
      </w:pPr>
      <w:r>
        <w:t xml:space="preserve">2009 · Sullivan SD ·</w:t>
      </w:r>
      <w:r>
        <w:t xml:space="preserve"> </w:t>
      </w:r>
      <w:r>
        <w:rPr>
          <w:iCs/>
          <w:i/>
        </w:rPr>
        <w:t xml:space="preserve">Cardiovasc Diabetol</w:t>
      </w:r>
      <w:r>
        <w:t xml:space="preserve"> </w:t>
      </w:r>
      <w:r>
        <w:t xml:space="preserve">· Long-term outcomes in patients with type 2 diabetes receiving glimepiride combined with liraglutide or rosiglitazone. PMID 19245711</w:t>
      </w:r>
    </w:p>
    <w:p>
      <w:pPr>
        <w:numPr>
          <w:ilvl w:val="0"/>
          <w:numId w:val="1376"/>
        </w:numPr>
        <w:pStyle w:val="Compact"/>
      </w:pPr>
      <w:r>
        <w:t xml:space="preserve">2009 · Nauck M ·</w:t>
      </w:r>
      <w:r>
        <w:t xml:space="preserve"> </w:t>
      </w:r>
      <w:r>
        <w:rPr>
          <w:iCs/>
          <w:i/>
        </w:rPr>
        <w:t xml:space="preserve">Diabetes Care</w:t>
      </w:r>
      <w:r>
        <w:t xml:space="preserve"> </w:t>
      </w:r>
      <w:r>
        <w:t xml:space="preserve">· Efficacy and safety comparison of liraglutide, glimepiride, and placebo, all in combination with metformin, in type 2 diabetes: the LEAD (liraglutide effect and action in diabetes)-2 study. PMID 18931095</w:t>
      </w:r>
    </w:p>
    <w:p>
      <w:pPr>
        <w:numPr>
          <w:ilvl w:val="0"/>
          <w:numId w:val="1376"/>
        </w:numPr>
        <w:pStyle w:val="Compact"/>
      </w:pPr>
      <w:r>
        <w:t xml:space="preserve">2009 · Garber A ·</w:t>
      </w:r>
      <w:r>
        <w:t xml:space="preserve"> </w:t>
      </w:r>
      <w:r>
        <w:rPr>
          <w:iCs/>
          <w:i/>
        </w:rPr>
        <w:t xml:space="preserve">Lancet</w:t>
      </w:r>
      <w:r>
        <w:t xml:space="preserve"> </w:t>
      </w:r>
      <w:r>
        <w:t xml:space="preserve">· Liraglutide versus glimepiride monotherapy for type 2 diabetes (LEAD-3 Mono): a randomised, 52-week, phase III, double-blind, parallel-treatment trial. PMID 18819705</w:t>
      </w:r>
    </w:p>
    <w:p>
      <w:pPr>
        <w:numPr>
          <w:ilvl w:val="0"/>
          <w:numId w:val="1376"/>
        </w:numPr>
        <w:pStyle w:val="Compact"/>
      </w:pPr>
      <w:r>
        <w:t xml:space="preserve">2008 · Courrèges JP ·</w:t>
      </w:r>
      <w:r>
        <w:t xml:space="preserve"> </w:t>
      </w:r>
      <w:r>
        <w:rPr>
          <w:iCs/>
          <w:i/>
        </w:rPr>
        <w:t xml:space="preserve">Diabet Med</w:t>
      </w:r>
      <w:r>
        <w:t xml:space="preserve"> </w:t>
      </w:r>
      <w:r>
        <w:t xml:space="preserve">· Beneficial effects of once-daily liraglutide, a human glucagon-like peptide-1 analogue, on cardiovascular risk biomarkers in patients with Type 2 diabetes. PMID 19183322</w:t>
      </w:r>
    </w:p>
    <w:p>
      <w:pPr>
        <w:numPr>
          <w:ilvl w:val="0"/>
          <w:numId w:val="1376"/>
        </w:numPr>
        <w:pStyle w:val="Compact"/>
      </w:pPr>
      <w:r>
        <w:t xml:space="preserve">2008 · Irie S ·</w:t>
      </w:r>
      <w:r>
        <w:t xml:space="preserve"> </w:t>
      </w:r>
      <w:r>
        <w:rPr>
          <w:iCs/>
          <w:i/>
        </w:rPr>
        <w:t xml:space="preserve">Int J Clin Pharmacol Ther</w:t>
      </w:r>
      <w:r>
        <w:t xml:space="preserve"> </w:t>
      </w:r>
      <w:r>
        <w:t xml:space="preserve">· Tolerability, pharmacokinetics and pharmacodynamics of the once-daily human GLP-1 analog liraglutide in Japanese healthy subjects: a randomized, double-blind, placebo-controlled dose-escalation study. PMID 18541123</w:t>
      </w:r>
    </w:p>
    <w:p>
      <w:pPr>
        <w:numPr>
          <w:ilvl w:val="0"/>
          <w:numId w:val="1376"/>
        </w:numPr>
        <w:pStyle w:val="Compact"/>
      </w:pPr>
      <w:r>
        <w:t xml:space="preserve">2008 · Seino Y ·</w:t>
      </w:r>
      <w:r>
        <w:t xml:space="preserve"> </w:t>
      </w:r>
      <w:r>
        <w:rPr>
          <w:iCs/>
          <w:i/>
        </w:rPr>
        <w:t xml:space="preserve">Diabetes Res Clin Pract</w:t>
      </w:r>
      <w:r>
        <w:t xml:space="preserve"> </w:t>
      </w:r>
      <w:r>
        <w:t xml:space="preserve">· Dose-dependent improvement in glycemia with once-daily liraglutide without hypoglycemia or weight gain: A double-blind, randomized, controlled trial in Japanese patients with type 2 diabetes. PMID 18495285</w:t>
      </w:r>
    </w:p>
    <w:p>
      <w:pPr>
        <w:numPr>
          <w:ilvl w:val="0"/>
          <w:numId w:val="1376"/>
        </w:numPr>
        <w:pStyle w:val="Compact"/>
      </w:pPr>
      <w:r>
        <w:t xml:space="preserve">2008 · Horowitz M ·</w:t>
      </w:r>
      <w:r>
        <w:t xml:space="preserve"> </w:t>
      </w:r>
      <w:r>
        <w:rPr>
          <w:iCs/>
          <w:i/>
        </w:rPr>
        <w:t xml:space="preserve">Diabetes Obes Metab</w:t>
      </w:r>
      <w:r>
        <w:t xml:space="preserve"> </w:t>
      </w:r>
      <w:r>
        <w:t xml:space="preserve">· Patient-reported rating of gastrointestinal adverse effects during treatment of type 2 diabetes with the once-daily human GLP-1 analogue, liraglutide. PMID 18435773</w:t>
      </w:r>
    </w:p>
    <w:p>
      <w:pPr>
        <w:numPr>
          <w:ilvl w:val="0"/>
          <w:numId w:val="1376"/>
        </w:numPr>
        <w:pStyle w:val="Compact"/>
      </w:pPr>
      <w:r>
        <w:t xml:space="preserve">2008 · Vilsbøll T ·</w:t>
      </w:r>
      <w:r>
        <w:t xml:space="preserve"> </w:t>
      </w:r>
      <w:r>
        <w:rPr>
          <w:iCs/>
          <w:i/>
        </w:rPr>
        <w:t xml:space="preserve">Diabet Med</w:t>
      </w:r>
      <w:r>
        <w:t xml:space="preserve"> </w:t>
      </w:r>
      <w:r>
        <w:t xml:space="preserve">· Liraglutide, a once-daily human GLP-1 analogue, improves pancreatic B-cell function and arginine-stimulated insulin secretion during hyperglycaemia in patients with Type 2 diabetes mellitus. PMID 18201212</w:t>
      </w:r>
    </w:p>
    <w:p>
      <w:pPr>
        <w:numPr>
          <w:ilvl w:val="0"/>
          <w:numId w:val="1376"/>
        </w:numPr>
        <w:pStyle w:val="Compact"/>
      </w:pPr>
      <w:r>
        <w:t xml:space="preserve">2007 · Mari A ·</w:t>
      </w:r>
      <w:r>
        <w:t xml:space="preserve"> </w:t>
      </w:r>
      <w:r>
        <w:rPr>
          <w:iCs/>
          <w:i/>
        </w:rPr>
        <w:t xml:space="preserve">Diabetes Care</w:t>
      </w:r>
      <w:r>
        <w:t xml:space="preserve"> </w:t>
      </w:r>
      <w:r>
        <w:t xml:space="preserve">· Effects of the long-acting human glucagon-like peptide-1 analog liraglutide on beta-cell function in normal living conditions. PMID 17468345</w:t>
      </w:r>
    </w:p>
    <w:p>
      <w:pPr>
        <w:numPr>
          <w:ilvl w:val="0"/>
          <w:numId w:val="1376"/>
        </w:numPr>
        <w:pStyle w:val="Compact"/>
      </w:pPr>
      <w:r>
        <w:t xml:space="preserve">2007 · Vilsbøll T ·</w:t>
      </w:r>
      <w:r>
        <w:t xml:space="preserve"> </w:t>
      </w:r>
      <w:r>
        <w:rPr>
          <w:iCs/>
          <w:i/>
        </w:rPr>
        <w:t xml:space="preserve">Diabetes Care</w:t>
      </w:r>
      <w:r>
        <w:t xml:space="preserve"> </w:t>
      </w:r>
      <w:r>
        <w:t xml:space="preserve">· Liraglutide, a long-acting human glucagon-like peptide-1 analog, given as monotherapy significantly improves glycemic control and lowers body weight without risk of hypoglycemia in patients with type 2 diabetes. PMID 17372153</w:t>
      </w:r>
    </w:p>
    <w:p>
      <w:pPr>
        <w:numPr>
          <w:ilvl w:val="0"/>
          <w:numId w:val="1376"/>
        </w:numPr>
        <w:pStyle w:val="Compact"/>
      </w:pPr>
      <w:r>
        <w:t xml:space="preserve">2006 · Nauck MA ·</w:t>
      </w:r>
      <w:r>
        <w:t xml:space="preserve"> </w:t>
      </w:r>
      <w:r>
        <w:rPr>
          <w:iCs/>
          <w:i/>
        </w:rPr>
        <w:t xml:space="preserve">Exp Clin Endocrinol Diabetes</w:t>
      </w:r>
      <w:r>
        <w:t xml:space="preserve"> </w:t>
      </w:r>
      <w:r>
        <w:t xml:space="preserve">· Five weeks of treatment with the GLP-1 analogue liraglutide improves glycaemic control and lowers body weight in subjects with type 2 diabetes. PMID 17039422</w:t>
      </w:r>
    </w:p>
    <w:p>
      <w:pPr>
        <w:numPr>
          <w:ilvl w:val="0"/>
          <w:numId w:val="1376"/>
        </w:numPr>
        <w:pStyle w:val="Compact"/>
      </w:pPr>
      <w:r>
        <w:t xml:space="preserve">2006 · Damholt B ·</w:t>
      </w:r>
      <w:r>
        <w:t xml:space="preserve"> </w:t>
      </w:r>
      <w:r>
        <w:rPr>
          <w:iCs/>
          <w:i/>
        </w:rPr>
        <w:t xml:space="preserve">J Clin Pharmacol</w:t>
      </w:r>
      <w:r>
        <w:t xml:space="preserve"> </w:t>
      </w:r>
      <w:r>
        <w:t xml:space="preserve">· An open-label, parallel group study investigating the effects of age and gender on the pharmacokinetics of the once-daily glucagon-like peptide-1 analogue liraglutide. PMID 16707410</w:t>
      </w:r>
    </w:p>
    <w:p>
      <w:pPr>
        <w:numPr>
          <w:ilvl w:val="0"/>
          <w:numId w:val="1376"/>
        </w:numPr>
        <w:pStyle w:val="Compact"/>
      </w:pPr>
      <w:r>
        <w:t xml:space="preserve">2005 · Feinglos MN ·</w:t>
      </w:r>
      <w:r>
        <w:t xml:space="preserve"> </w:t>
      </w:r>
      <w:r>
        <w:rPr>
          <w:iCs/>
          <w:i/>
        </w:rPr>
        <w:t xml:space="preserve">Diabet Med</w:t>
      </w:r>
      <w:r>
        <w:t xml:space="preserve"> </w:t>
      </w:r>
      <w:r>
        <w:t xml:space="preserve">· Effects of liraglutide (NN2211), a long-acting GLP-1 analogue, on glycaemic control and bodyweight in subjects with Type 2 diabetes. PMID 16026367</w:t>
      </w:r>
    </w:p>
    <w:p>
      <w:pPr>
        <w:numPr>
          <w:ilvl w:val="0"/>
          <w:numId w:val="1376"/>
        </w:numPr>
        <w:pStyle w:val="Compact"/>
      </w:pPr>
      <w:r>
        <w:t xml:space="preserve">2004 · Harder H ·</w:t>
      </w:r>
      <w:r>
        <w:t xml:space="preserve"> </w:t>
      </w:r>
      <w:r>
        <w:rPr>
          <w:iCs/>
          <w:i/>
        </w:rPr>
        <w:t xml:space="preserve">Diabetes Care</w:t>
      </w:r>
      <w:r>
        <w:t xml:space="preserve"> </w:t>
      </w:r>
      <w:r>
        <w:t xml:space="preserve">· The effect of liraglutide, a long-acting glucagon-like peptide 1 derivative, on glycemic control, body composition, and 24-h energy expenditure in patients with type 2 diabetes. PMID 15277417</w:t>
      </w:r>
    </w:p>
    <w:p>
      <w:pPr>
        <w:numPr>
          <w:ilvl w:val="0"/>
          <w:numId w:val="1376"/>
        </w:numPr>
        <w:pStyle w:val="Compact"/>
      </w:pPr>
      <w:r>
        <w:t xml:space="preserve">2004 · Madsbad S ·</w:t>
      </w:r>
      <w:r>
        <w:t xml:space="preserve"> </w:t>
      </w:r>
      <w:r>
        <w:rPr>
          <w:iCs/>
          <w:i/>
        </w:rPr>
        <w:t xml:space="preserve">Diabetes Care</w:t>
      </w:r>
      <w:r>
        <w:t xml:space="preserve"> </w:t>
      </w:r>
      <w:r>
        <w:t xml:space="preserve">· Improved glycemic control with no weight increase in patients with type 2 diabetes after once-daily treatment with the long-acting glucagon-like peptide 1 analog liraglutide (NN2211): a 12-week, double-blind, randomized, controlled trial. PMID 15161785</w:t>
      </w:r>
    </w:p>
    <w:p>
      <w:pPr>
        <w:numPr>
          <w:ilvl w:val="0"/>
          <w:numId w:val="1376"/>
        </w:numPr>
        <w:pStyle w:val="Compact"/>
      </w:pPr>
      <w:r>
        <w:t xml:space="preserve">2004 · Degn KB ·</w:t>
      </w:r>
      <w:r>
        <w:t xml:space="preserve"> </w:t>
      </w:r>
      <w:r>
        <w:rPr>
          <w:iCs/>
          <w:i/>
        </w:rPr>
        <w:t xml:space="preserve">Diabetes</w:t>
      </w:r>
      <w:r>
        <w:t xml:space="preserve"> </w:t>
      </w:r>
      <w:r>
        <w:t xml:space="preserve">· One week’s treatment with the long-acting glucagon-like peptide 1 derivative liraglutide (NN2211) markedly improves 24-h glycemia and alpha- and beta-cell function and reduces endogenous glucose release in patients with type 2 diabetes. PMID 15111485</w:t>
      </w:r>
    </w:p>
    <w:bookmarkEnd w:id="3015"/>
    <w:bookmarkStart w:id="3016" w:name="dulaglutide-158"/>
    <w:p>
      <w:pPr>
        <w:pStyle w:val="Heading2"/>
      </w:pPr>
      <w:r>
        <w:t xml:space="preserve">Dulaglutide (158)</w:t>
      </w:r>
    </w:p>
    <w:p>
      <w:pPr>
        <w:numPr>
          <w:ilvl w:val="0"/>
          <w:numId w:val="1377"/>
        </w:numPr>
        <w:pStyle w:val="Compact"/>
      </w:pPr>
      <w:r>
        <w:t xml:space="preserve">2026 · Adly AAM ·</w:t>
      </w:r>
      <w:r>
        <w:t xml:space="preserve"> </w:t>
      </w:r>
      <w:r>
        <w:rPr>
          <w:iCs/>
          <w:i/>
        </w:rPr>
        <w:t xml:space="preserve">Diabetologia</w:t>
      </w:r>
      <w:r>
        <w:t xml:space="preserve"> </w:t>
      </w:r>
      <w:r>
        <w:t xml:space="preserve">· Dulaglutide vs insulin in adolescents with thalassaemia-induced diabetes: effect on metabolism and atherogenesis (DIADEMA). PMID 42618811</w:t>
      </w:r>
    </w:p>
    <w:p>
      <w:pPr>
        <w:numPr>
          <w:ilvl w:val="0"/>
          <w:numId w:val="1377"/>
        </w:numPr>
        <w:pStyle w:val="Compact"/>
      </w:pPr>
      <w:r>
        <w:t xml:space="preserve">2026 · Ruotolo G ·</w:t>
      </w:r>
      <w:r>
        <w:t xml:space="preserve"> </w:t>
      </w:r>
      <w:r>
        <w:rPr>
          <w:iCs/>
          <w:i/>
        </w:rPr>
        <w:t xml:space="preserve">Diabetes Obes Metab</w:t>
      </w:r>
      <w:r>
        <w:t xml:space="preserve"> </w:t>
      </w:r>
      <w:r>
        <w:t xml:space="preserve">· Retatrutide-Associated Improvements in Cardiovascular Risk Biomarkers in Adults With Obesity With or Without Type 2 Diabetes. PMID 42608321</w:t>
      </w:r>
    </w:p>
    <w:p>
      <w:pPr>
        <w:numPr>
          <w:ilvl w:val="0"/>
          <w:numId w:val="1377"/>
        </w:numPr>
        <w:pStyle w:val="Compact"/>
      </w:pPr>
      <w:r>
        <w:t xml:space="preserve">2026 · Jun JE ·</w:t>
      </w:r>
      <w:r>
        <w:t xml:space="preserve"> </w:t>
      </w:r>
      <w:r>
        <w:rPr>
          <w:iCs/>
          <w:i/>
        </w:rPr>
        <w:t xml:space="preserve">Front Endocrinol (Lausanne)</w:t>
      </w:r>
      <w:r>
        <w:t xml:space="preserve"> </w:t>
      </w:r>
      <w:r>
        <w:t xml:space="preserve">· Dulaglutide versus empagliflozin as add-on therapy to metformin and sulfonylurea in type 2 diabetes: a randomized pilot study with exploratory metabolomic and microbiome analyses. PMID 42388875</w:t>
      </w:r>
    </w:p>
    <w:p>
      <w:pPr>
        <w:numPr>
          <w:ilvl w:val="0"/>
          <w:numId w:val="1377"/>
        </w:numPr>
        <w:pStyle w:val="Compact"/>
      </w:pPr>
      <w:r>
        <w:t xml:space="preserve">2026 · Heise T ·</w:t>
      </w:r>
      <w:r>
        <w:t xml:space="preserve"> </w:t>
      </w:r>
      <w:r>
        <w:rPr>
          <w:iCs/>
          <w:i/>
        </w:rPr>
        <w:t xml:space="preserve">Diabetes Obes Metab</w:t>
      </w:r>
      <w:r>
        <w:t xml:space="preserve"> </w:t>
      </w:r>
      <w:r>
        <w:t xml:space="preserve">· Insulin Sensitivity and Beta Cell Function With Macupatide Alone or With Dulaglutide in Type 2 Diabetes: A Phase 1b, Randomised Controlled Trial. PMID 42229460</w:t>
      </w:r>
    </w:p>
    <w:p>
      <w:pPr>
        <w:numPr>
          <w:ilvl w:val="0"/>
          <w:numId w:val="1377"/>
        </w:numPr>
        <w:pStyle w:val="Compact"/>
      </w:pPr>
      <w:r>
        <w:t xml:space="preserve">2026 · Pearson MJ ·</w:t>
      </w:r>
      <w:r>
        <w:t xml:space="preserve"> </w:t>
      </w:r>
      <w:r>
        <w:rPr>
          <w:iCs/>
          <w:i/>
        </w:rPr>
        <w:t xml:space="preserve">J Clin Endocrinol Metab</w:t>
      </w:r>
      <w:r>
        <w:t xml:space="preserve"> </w:t>
      </w:r>
      <w:r>
        <w:t xml:space="preserve">· Retatrutide and lipid and metabolite profiles in participants with obesity with or without type 2 diabetes. PMID 42135195</w:t>
      </w:r>
    </w:p>
    <w:p>
      <w:pPr>
        <w:numPr>
          <w:ilvl w:val="0"/>
          <w:numId w:val="1377"/>
        </w:numPr>
        <w:pStyle w:val="Compact"/>
      </w:pPr>
      <w:r>
        <w:t xml:space="preserve">2026 · Zoungas S ·</w:t>
      </w:r>
      <w:r>
        <w:t xml:space="preserve"> </w:t>
      </w:r>
      <w:r>
        <w:rPr>
          <w:iCs/>
          <w:i/>
        </w:rPr>
        <w:t xml:space="preserve">Lancet Diabetes Endocrinol</w:t>
      </w:r>
      <w:r>
        <w:t xml:space="preserve"> </w:t>
      </w:r>
      <w:r>
        <w:t xml:space="preserve">· A comparison of the effects of tirzepatide and dulaglutide on major kidney events in people with type 2 diabetes: pre-specified exploratory analyses of the SURPASS-CVOT trial. PMID 42114520</w:t>
      </w:r>
    </w:p>
    <w:p>
      <w:pPr>
        <w:numPr>
          <w:ilvl w:val="0"/>
          <w:numId w:val="1377"/>
        </w:numPr>
        <w:pStyle w:val="Compact"/>
      </w:pPr>
      <w:r>
        <w:t xml:space="preserve">2026 · Wilson JM ·</w:t>
      </w:r>
      <w:r>
        <w:t xml:space="preserve"> </w:t>
      </w:r>
      <w:r>
        <w:rPr>
          <w:iCs/>
          <w:i/>
        </w:rPr>
        <w:t xml:space="preserve">Alzheimers Dement</w:t>
      </w:r>
      <w:r>
        <w:t xml:space="preserve"> </w:t>
      </w:r>
      <w:r>
        <w:t xml:space="preserve">· Dulaglutide and neurodegeneration biomarkers: REWIND post hoc analysis. PMID 41988866</w:t>
      </w:r>
    </w:p>
    <w:p>
      <w:pPr>
        <w:numPr>
          <w:ilvl w:val="0"/>
          <w:numId w:val="1377"/>
        </w:numPr>
        <w:pStyle w:val="Compact"/>
      </w:pPr>
      <w:r>
        <w:t xml:space="preserve">2026 · Sattar N ·</w:t>
      </w:r>
      <w:r>
        <w:t xml:space="preserve"> </w:t>
      </w:r>
      <w:r>
        <w:rPr>
          <w:iCs/>
          <w:i/>
        </w:rPr>
        <w:t xml:space="preserve">Diabetes Care</w:t>
      </w:r>
      <w:r>
        <w:t xml:space="preserve"> </w:t>
      </w:r>
      <w:r>
        <w:t xml:space="preserve">· Estimating the True MACE Benefits From Tirzepatide in SURPASS-CVOT Using an Imputed Placebo Analysis of REWIND. PMID 41940793</w:t>
      </w:r>
    </w:p>
    <w:p>
      <w:pPr>
        <w:numPr>
          <w:ilvl w:val="0"/>
          <w:numId w:val="1377"/>
        </w:numPr>
        <w:pStyle w:val="Compact"/>
      </w:pPr>
      <w:r>
        <w:t xml:space="preserve">2026 · Violante-Ortiz R ·</w:t>
      </w:r>
      <w:r>
        <w:t xml:space="preserve"> </w:t>
      </w:r>
      <w:r>
        <w:rPr>
          <w:iCs/>
          <w:i/>
        </w:rPr>
        <w:t xml:space="preserve">BMJ Open Diabetes Res Care</w:t>
      </w:r>
      <w:r>
        <w:t xml:space="preserve"> </w:t>
      </w:r>
      <w:r>
        <w:t xml:space="preserve">· Safety and efficacy of switching from dulaglutide to tirzepatide across clinically relevant baseline characteristics in participants with T2D: subgroup analysis of SURPASS-SWITCH. PMID 41912265</w:t>
      </w:r>
    </w:p>
    <w:p>
      <w:pPr>
        <w:numPr>
          <w:ilvl w:val="0"/>
          <w:numId w:val="1377"/>
        </w:numPr>
        <w:pStyle w:val="Compact"/>
      </w:pPr>
      <w:r>
        <w:t xml:space="preserve">2026 · Nissen SE ·</w:t>
      </w:r>
      <w:r>
        <w:t xml:space="preserve"> </w:t>
      </w:r>
      <w:r>
        <w:rPr>
          <w:iCs/>
          <w:i/>
        </w:rPr>
        <w:t xml:space="preserve">JAMA Cardiol</w:t>
      </w:r>
      <w:r>
        <w:t xml:space="preserve"> </w:t>
      </w:r>
      <w:r>
        <w:t xml:space="preserve">· Cardiorenal Outcomes With Tirzepatide Compared With Dulaglutide in Patients With Diabetes and Cardiovascular Disease: A Post Hoc Analysis of the SURPASS-CVOT Randomized Clinical Trial. PMID 41903177</w:t>
      </w:r>
    </w:p>
    <w:p>
      <w:pPr>
        <w:numPr>
          <w:ilvl w:val="0"/>
          <w:numId w:val="1377"/>
        </w:numPr>
        <w:pStyle w:val="Compact"/>
      </w:pPr>
      <w:r>
        <w:t xml:space="preserve">2026 · Scheen A ·</w:t>
      </w:r>
      <w:r>
        <w:t xml:space="preserve"> </w:t>
      </w:r>
      <w:r>
        <w:rPr>
          <w:iCs/>
          <w:i/>
        </w:rPr>
        <w:t xml:space="preserve">Rev Med Liege</w:t>
      </w:r>
      <w:r>
        <w:t xml:space="preserve"> </w:t>
      </w:r>
      <w:r>
        <w:t xml:space="preserve">· [SURPASS CVOT : cardiovascular benefits with tirzepatide versus dulaglutide in type 2 diabetes]. PMID 41815032</w:t>
      </w:r>
    </w:p>
    <w:p>
      <w:pPr>
        <w:numPr>
          <w:ilvl w:val="0"/>
          <w:numId w:val="1377"/>
        </w:numPr>
        <w:pStyle w:val="Compact"/>
      </w:pPr>
      <w:r>
        <w:t xml:space="preserve">2026 · Leibnitz S ·</w:t>
      </w:r>
      <w:r>
        <w:t xml:space="preserve"> </w:t>
      </w:r>
      <w:r>
        <w:rPr>
          <w:iCs/>
          <w:i/>
        </w:rPr>
        <w:t xml:space="preserve">Eur J Endocrinol</w:t>
      </w:r>
      <w:r>
        <w:t xml:space="preserve"> </w:t>
      </w:r>
      <w:r>
        <w:t xml:space="preserve">· Effects of GLP-1 receptor agonists on copeptin in euvolemic participants. PMID 41525326</w:t>
      </w:r>
    </w:p>
    <w:p>
      <w:pPr>
        <w:numPr>
          <w:ilvl w:val="0"/>
          <w:numId w:val="1377"/>
        </w:numPr>
        <w:pStyle w:val="Compact"/>
      </w:pPr>
      <w:r>
        <w:t xml:space="preserve">2026 · Guo L ·</w:t>
      </w:r>
      <w:r>
        <w:t xml:space="preserve"> </w:t>
      </w:r>
      <w:r>
        <w:rPr>
          <w:iCs/>
          <w:i/>
        </w:rPr>
        <w:t xml:space="preserve">Nature</w:t>
      </w:r>
      <w:r>
        <w:t xml:space="preserve"> </w:t>
      </w:r>
      <w:r>
        <w:t xml:space="preserve">· Mazdutide versus dulaglutide in Chinese adults with type 2 diabetes. PMID 41407860</w:t>
      </w:r>
    </w:p>
    <w:p>
      <w:pPr>
        <w:numPr>
          <w:ilvl w:val="0"/>
          <w:numId w:val="1377"/>
        </w:numPr>
        <w:pStyle w:val="Compact"/>
      </w:pPr>
      <w:r>
        <w:t xml:space="preserve">2025 · Nicholls SJ ·</w:t>
      </w:r>
      <w:r>
        <w:t xml:space="preserve"> </w:t>
      </w:r>
      <w:r>
        <w:rPr>
          <w:iCs/>
          <w:i/>
        </w:rPr>
        <w:t xml:space="preserve">N Engl J Med</w:t>
      </w:r>
      <w:r>
        <w:t xml:space="preserve"> </w:t>
      </w:r>
      <w:r>
        <w:t xml:space="preserve">· Cardiovascular Outcomes with Tirzepatide versus Dulaglutide in Type 2 Diabetes. PMID 41406444</w:t>
      </w:r>
    </w:p>
    <w:p>
      <w:pPr>
        <w:numPr>
          <w:ilvl w:val="0"/>
          <w:numId w:val="1377"/>
        </w:numPr>
        <w:pStyle w:val="Compact"/>
      </w:pPr>
      <w:r>
        <w:t xml:space="preserve">2025 · Gao R ·</w:t>
      </w:r>
      <w:r>
        <w:t xml:space="preserve"> </w:t>
      </w:r>
      <w:r>
        <w:rPr>
          <w:iCs/>
          <w:i/>
        </w:rPr>
        <w:t xml:space="preserve">Pak J Pharm Sci</w:t>
      </w:r>
      <w:r>
        <w:t xml:space="preserve"> </w:t>
      </w:r>
      <w:r>
        <w:t xml:space="preserve">· Effect of ketogenic diet plus dulaglutide on glucose and lipid metabolism in diabetes mellitus. PMID 41241797</w:t>
      </w:r>
    </w:p>
    <w:p>
      <w:pPr>
        <w:numPr>
          <w:ilvl w:val="0"/>
          <w:numId w:val="1377"/>
        </w:numPr>
        <w:pStyle w:val="Compact"/>
      </w:pPr>
      <w:r>
        <w:t xml:space="preserve">2025 · Kanu C ·</w:t>
      </w:r>
      <w:r>
        <w:t xml:space="preserve"> </w:t>
      </w:r>
      <w:r>
        <w:rPr>
          <w:iCs/>
          <w:i/>
        </w:rPr>
        <w:t xml:space="preserve">Diabetes Obes Metab</w:t>
      </w:r>
      <w:r>
        <w:t xml:space="preserve"> </w:t>
      </w:r>
      <w:r>
        <w:t xml:space="preserve">· Appetite, eating attitudes, and eating behaviours during treatment with retatrutide in adults with type 2 diabetes: Results of a phase 2 study. PMID 40916752</w:t>
      </w:r>
    </w:p>
    <w:p>
      <w:pPr>
        <w:numPr>
          <w:ilvl w:val="0"/>
          <w:numId w:val="1377"/>
        </w:numPr>
        <w:pStyle w:val="Compact"/>
      </w:pPr>
      <w:r>
        <w:t xml:space="preserve">2025 · He Y ·</w:t>
      </w:r>
      <w:r>
        <w:t xml:space="preserve"> </w:t>
      </w:r>
      <w:r>
        <w:rPr>
          <w:iCs/>
          <w:i/>
        </w:rPr>
        <w:t xml:space="preserve">Lancet Diabetes Endocrinol</w:t>
      </w:r>
      <w:r>
        <w:t xml:space="preserve"> </w:t>
      </w:r>
      <w:r>
        <w:t xml:space="preserve">· Efficacy and safety of cAMP-biased GLP-1 receptor agonist ecnoglutide versus dulaglutide in patients with type 2 diabetes and elevated glucose concentrations on metformin monotherapy (EECOH-2): a 52-week, multicentre, open-label, non-inferiority, randomised, phase 3 trial. PMID 40854315</w:t>
      </w:r>
    </w:p>
    <w:p>
      <w:pPr>
        <w:numPr>
          <w:ilvl w:val="0"/>
          <w:numId w:val="1377"/>
        </w:numPr>
        <w:pStyle w:val="Compact"/>
      </w:pPr>
      <w:r>
        <w:t xml:space="preserve">2025 · Rosenstock J ·</w:t>
      </w:r>
      <w:r>
        <w:t xml:space="preserve"> </w:t>
      </w:r>
      <w:r>
        <w:rPr>
          <w:iCs/>
          <w:i/>
        </w:rPr>
        <w:t xml:space="preserve">Diabetes Obes Metab</w:t>
      </w:r>
      <w:r>
        <w:t xml:space="preserve"> </w:t>
      </w:r>
      <w:r>
        <w:t xml:space="preserve">· Orforglipron, an oral non-peptide glucagon-like peptide-1 receptor agonist, improves markers of β-cell function and insulin sensitivity in type 2 diabetes. PMID 40808573</w:t>
      </w:r>
    </w:p>
    <w:p>
      <w:pPr>
        <w:numPr>
          <w:ilvl w:val="0"/>
          <w:numId w:val="1377"/>
        </w:numPr>
        <w:pStyle w:val="Compact"/>
      </w:pPr>
      <w:r>
        <w:t xml:space="preserve">2025 · Coskun T ·</w:t>
      </w:r>
      <w:r>
        <w:t xml:space="preserve"> </w:t>
      </w:r>
      <w:r>
        <w:rPr>
          <w:iCs/>
          <w:i/>
        </w:rPr>
        <w:t xml:space="preserve">Lancet Diabetes Endocrinol</w:t>
      </w:r>
      <w:r>
        <w:t xml:space="preserve"> </w:t>
      </w:r>
      <w:r>
        <w:t xml:space="preserve">· Effects of retatrutide on body composition in people with type 2 diabetes: a substudy of a phase 2, double-blind, parallel-group, placebo-controlled, randomised trial. PMID 40609566</w:t>
      </w:r>
    </w:p>
    <w:p>
      <w:pPr>
        <w:numPr>
          <w:ilvl w:val="0"/>
          <w:numId w:val="1377"/>
        </w:numPr>
        <w:pStyle w:val="Compact"/>
      </w:pPr>
      <w:r>
        <w:t xml:space="preserve">2025 · Wharton S ·</w:t>
      </w:r>
      <w:r>
        <w:t xml:space="preserve"> </w:t>
      </w:r>
      <w:r>
        <w:rPr>
          <w:iCs/>
          <w:i/>
        </w:rPr>
        <w:t xml:space="preserve">Cardiovasc Diabetol</w:t>
      </w:r>
      <w:r>
        <w:t xml:space="preserve"> </w:t>
      </w:r>
      <w:r>
        <w:t xml:space="preserve">· Treatment with orforglipron, an oral glucagon like peptide-1 receptor agonist, is associated with improvements of CV risk biomarkers in participants with type 2 diabetes or obesity without diabetes. PMID 40481478</w:t>
      </w:r>
    </w:p>
    <w:p>
      <w:pPr>
        <w:numPr>
          <w:ilvl w:val="0"/>
          <w:numId w:val="1377"/>
        </w:numPr>
        <w:pStyle w:val="Compact"/>
      </w:pPr>
      <w:r>
        <w:t xml:space="preserve">2025 · Tian J ·</w:t>
      </w:r>
      <w:r>
        <w:t xml:space="preserve"> </w:t>
      </w:r>
      <w:r>
        <w:rPr>
          <w:iCs/>
          <w:i/>
        </w:rPr>
        <w:t xml:space="preserve">Hormones (Athens)</w:t>
      </w:r>
      <w:r>
        <w:t xml:space="preserve"> </w:t>
      </w:r>
      <w:r>
        <w:t xml:space="preserve">· Comparative evaluation of dulaglutide alone vs. dulaglutide combined with probiotics on cardiovascular risk factors in T2DM. PMID 40214965</w:t>
      </w:r>
    </w:p>
    <w:p>
      <w:pPr>
        <w:numPr>
          <w:ilvl w:val="0"/>
          <w:numId w:val="1377"/>
        </w:numPr>
        <w:pStyle w:val="Compact"/>
      </w:pPr>
      <w:r>
        <w:t xml:space="preserve">2025 · Liu L ·</w:t>
      </w:r>
      <w:r>
        <w:t xml:space="preserve"> </w:t>
      </w:r>
      <w:r>
        <w:rPr>
          <w:iCs/>
          <w:i/>
        </w:rPr>
        <w:t xml:space="preserve">J Diabetes</w:t>
      </w:r>
      <w:r>
        <w:t xml:space="preserve"> </w:t>
      </w:r>
      <w:r>
        <w:t xml:space="preserve">· Efficacy and Safety of Dulaglutide Biosimilar LY05008 Versus the Reference Product Dulaglutide (Trulicity) in Chinese Adults With Type 2 Diabetes Mellitus: A Randomized, Open-Label, Active Comparator Study. PMID 40214296</w:t>
      </w:r>
    </w:p>
    <w:p>
      <w:pPr>
        <w:numPr>
          <w:ilvl w:val="0"/>
          <w:numId w:val="1377"/>
        </w:numPr>
        <w:pStyle w:val="Compact"/>
      </w:pPr>
      <w:r>
        <w:t xml:space="preserve">2025 · Billings LK ·</w:t>
      </w:r>
      <w:r>
        <w:t xml:space="preserve"> </w:t>
      </w:r>
      <w:r>
        <w:rPr>
          <w:iCs/>
          <w:i/>
        </w:rPr>
        <w:t xml:space="preserve">Ann Intern Med</w:t>
      </w:r>
      <w:r>
        <w:t xml:space="preserve"> </w:t>
      </w:r>
      <w:r>
        <w:t xml:space="preserve">· Comparison of Dose Escalation Versus Switching to Tirzepatide Among People With Type 2 Diabetes Inadequately Controlled on Lower Doses of Dulaglutide : A Randomized Clinical Trial. PMID 40183678</w:t>
      </w:r>
    </w:p>
    <w:p>
      <w:pPr>
        <w:numPr>
          <w:ilvl w:val="0"/>
          <w:numId w:val="1377"/>
        </w:numPr>
        <w:pStyle w:val="Compact"/>
      </w:pPr>
      <w:r>
        <w:t xml:space="preserve">2025 · Beck J ·</w:t>
      </w:r>
      <w:r>
        <w:t xml:space="preserve"> </w:t>
      </w:r>
      <w:r>
        <w:rPr>
          <w:iCs/>
          <w:i/>
        </w:rPr>
        <w:t xml:space="preserve">Eur J Prev Cardiol</w:t>
      </w:r>
      <w:r>
        <w:t xml:space="preserve"> </w:t>
      </w:r>
      <w:r>
        <w:t xml:space="preserve">· Blood pressure changes during smoking cessation in a randomized, double-blind, placebo-controlled trial of dulaglutide treatment. PMID 40037282</w:t>
      </w:r>
    </w:p>
    <w:p>
      <w:pPr>
        <w:numPr>
          <w:ilvl w:val="0"/>
          <w:numId w:val="1377"/>
        </w:numPr>
        <w:pStyle w:val="Compact"/>
      </w:pPr>
      <w:r>
        <w:t xml:space="preserve">2025 · Mimura H ·</w:t>
      </w:r>
      <w:r>
        <w:t xml:space="preserve"> </w:t>
      </w:r>
      <w:r>
        <w:rPr>
          <w:iCs/>
          <w:i/>
        </w:rPr>
        <w:t xml:space="preserve">J Diabetes Investig</w:t>
      </w:r>
      <w:r>
        <w:t xml:space="preserve"> </w:t>
      </w:r>
      <w:r>
        <w:t xml:space="preserve">· Association of bodyweight loss with changes in lipids, blood pressure, and fasting serum glucose following tirzepatide treatment in Japanese participants with type 2 diabetes: A post hoc analysis of the SURPASS J-mono trial. PMID 39891527</w:t>
      </w:r>
    </w:p>
    <w:p>
      <w:pPr>
        <w:numPr>
          <w:ilvl w:val="0"/>
          <w:numId w:val="1377"/>
        </w:numPr>
        <w:pStyle w:val="Compact"/>
      </w:pPr>
      <w:r>
        <w:t xml:space="preserve">2025 · Liu C ·</w:t>
      </w:r>
      <w:r>
        <w:t xml:space="preserve"> </w:t>
      </w:r>
      <w:r>
        <w:rPr>
          <w:iCs/>
          <w:i/>
        </w:rPr>
        <w:t xml:space="preserve">Endocrinol Diabetes Metab</w:t>
      </w:r>
      <w:r>
        <w:t xml:space="preserve"> </w:t>
      </w:r>
      <w:r>
        <w:t xml:space="preserve">· Reduction of Hepatic Fat Content by Dulaglutide for the Treatment of Diabetes Mellitus: A Two-Centre Open, Single-Arm Trial. PMID 39718468</w:t>
      </w:r>
    </w:p>
    <w:p>
      <w:pPr>
        <w:numPr>
          <w:ilvl w:val="0"/>
          <w:numId w:val="1377"/>
        </w:numPr>
        <w:pStyle w:val="Compact"/>
      </w:pPr>
      <w:r>
        <w:t xml:space="preserve">2025 · Harrison SA ·</w:t>
      </w:r>
      <w:r>
        <w:t xml:space="preserve"> </w:t>
      </w:r>
      <w:r>
        <w:rPr>
          <w:iCs/>
          <w:i/>
        </w:rPr>
        <w:t xml:space="preserve">Clin Gastroenterol Hepatol</w:t>
      </w:r>
      <w:r>
        <w:t xml:space="preserve"> </w:t>
      </w:r>
      <w:r>
        <w:t xml:space="preserve">· Safety and Efficacy of Efruxifermin in Combination With a GLP-1 Receptor Agonist in Patients With NASH/MASH and Type 2 Diabetes in a Randomized Phase 2 Study. PMID 38447814</w:t>
      </w:r>
    </w:p>
    <w:p>
      <w:pPr>
        <w:numPr>
          <w:ilvl w:val="0"/>
          <w:numId w:val="1377"/>
        </w:numPr>
        <w:pStyle w:val="Compact"/>
      </w:pPr>
      <w:r>
        <w:t xml:space="preserve">2024 · Lengsfeld S ·</w:t>
      </w:r>
      <w:r>
        <w:t xml:space="preserve"> </w:t>
      </w:r>
      <w:r>
        <w:rPr>
          <w:iCs/>
          <w:i/>
        </w:rPr>
        <w:t xml:space="preserve">EBioMedicine</w:t>
      </w:r>
      <w:r>
        <w:t xml:space="preserve"> </w:t>
      </w:r>
      <w:r>
        <w:t xml:space="preserve">· Effects of the glucagon-like peptide-1 receptor agonist dulaglutide on sexuality in healthy men: a randomised, double-blind, placebo-controlled crossover study. PMID 39232425</w:t>
      </w:r>
    </w:p>
    <w:p>
      <w:pPr>
        <w:numPr>
          <w:ilvl w:val="0"/>
          <w:numId w:val="1377"/>
        </w:numPr>
        <w:pStyle w:val="Compact"/>
      </w:pPr>
      <w:r>
        <w:t xml:space="preserve">2024 · Fujihara K ·</w:t>
      </w:r>
      <w:r>
        <w:t xml:space="preserve"> </w:t>
      </w:r>
      <w:r>
        <w:rPr>
          <w:iCs/>
          <w:i/>
        </w:rPr>
        <w:t xml:space="preserve">Diabetes Obes Metab</w:t>
      </w:r>
      <w:r>
        <w:t xml:space="preserve"> </w:t>
      </w:r>
      <w:r>
        <w:t xml:space="preserve">· Achieving normoglycaemia with tirzepatide: Post hoc exploratory analysis of the SURPASS J-mono and J-combo studies. PMID 39192522</w:t>
      </w:r>
    </w:p>
    <w:p>
      <w:pPr>
        <w:numPr>
          <w:ilvl w:val="0"/>
          <w:numId w:val="1377"/>
        </w:numPr>
        <w:pStyle w:val="Compact"/>
      </w:pPr>
      <w:r>
        <w:t xml:space="preserve">2024 · Bjornstad P ·</w:t>
      </w:r>
      <w:r>
        <w:t xml:space="preserve"> </w:t>
      </w:r>
      <w:r>
        <w:rPr>
          <w:iCs/>
          <w:i/>
        </w:rPr>
        <w:t xml:space="preserve">Diabetes Care</w:t>
      </w:r>
      <w:r>
        <w:t xml:space="preserve"> </w:t>
      </w:r>
      <w:r>
        <w:t xml:space="preserve">· Dulaglutide and Glomerular Hyperfiltration, Proteinuria, and Albuminuria in Youth With Type 2 Diabetes: Post Hoc Analysis of the AWARD-PEDS Study. PMID 38954432</w:t>
      </w:r>
    </w:p>
    <w:p>
      <w:pPr>
        <w:numPr>
          <w:ilvl w:val="0"/>
          <w:numId w:val="1377"/>
        </w:numPr>
        <w:pStyle w:val="Compact"/>
      </w:pPr>
      <w:r>
        <w:t xml:space="preserve">2024 · Morioka T ·</w:t>
      </w:r>
      <w:r>
        <w:t xml:space="preserve"> </w:t>
      </w:r>
      <w:r>
        <w:rPr>
          <w:iCs/>
          <w:i/>
        </w:rPr>
        <w:t xml:space="preserve">Diabetes Obes Metab</w:t>
      </w:r>
      <w:r>
        <w:t xml:space="preserve"> </w:t>
      </w:r>
      <w:r>
        <w:t xml:space="preserve">· A randomized, double-blind trial assessing the efficacy and safety of two doses of dulaglutide in Japanese participants with type 2 diabetes (AWARD-JPN). PMID 38715179</w:t>
      </w:r>
    </w:p>
    <w:p>
      <w:pPr>
        <w:numPr>
          <w:ilvl w:val="0"/>
          <w:numId w:val="1377"/>
        </w:numPr>
        <w:pStyle w:val="Compact"/>
      </w:pPr>
      <w:r>
        <w:t xml:space="preserve">2024 · Gao X ·</w:t>
      </w:r>
      <w:r>
        <w:t xml:space="preserve"> </w:t>
      </w:r>
      <w:r>
        <w:rPr>
          <w:iCs/>
          <w:i/>
        </w:rPr>
        <w:t xml:space="preserve">Clin Transl Sci</w:t>
      </w:r>
      <w:r>
        <w:t xml:space="preserve"> </w:t>
      </w:r>
      <w:r>
        <w:t xml:space="preserve">· A pharmacokinetic study comparing the biosimilar HEC14028 and Dulaglutide (Trulicity®) in healthy Chinese subjects. PMID 38651744</w:t>
      </w:r>
    </w:p>
    <w:p>
      <w:pPr>
        <w:numPr>
          <w:ilvl w:val="0"/>
          <w:numId w:val="1377"/>
        </w:numPr>
        <w:pStyle w:val="Compact"/>
      </w:pPr>
      <w:r>
        <w:t xml:space="preserve">2024 · Zhang B ·</w:t>
      </w:r>
      <w:r>
        <w:t xml:space="preserve"> </w:t>
      </w:r>
      <w:r>
        <w:rPr>
          <w:iCs/>
          <w:i/>
        </w:rPr>
        <w:t xml:space="preserve">Diabetes Care</w:t>
      </w:r>
      <w:r>
        <w:t xml:space="preserve"> </w:t>
      </w:r>
      <w:r>
        <w:t xml:space="preserve">· Efficacy and Safety of Mazdutide in Chinese Patients With Type 2 Diabetes: A Randomized, Double-Blind, Placebo-Controlled Phase 2 Trial. PMID 37943529</w:t>
      </w:r>
    </w:p>
    <w:p>
      <w:pPr>
        <w:numPr>
          <w:ilvl w:val="0"/>
          <w:numId w:val="1377"/>
        </w:numPr>
        <w:pStyle w:val="Compact"/>
      </w:pPr>
      <w:r>
        <w:t xml:space="preserve">2024 · Osonoi T ·</w:t>
      </w:r>
      <w:r>
        <w:t xml:space="preserve"> </w:t>
      </w:r>
      <w:r>
        <w:rPr>
          <w:iCs/>
          <w:i/>
        </w:rPr>
        <w:t xml:space="preserve">Diabetes Obes Metab</w:t>
      </w:r>
      <w:r>
        <w:t xml:space="preserve"> </w:t>
      </w:r>
      <w:r>
        <w:t xml:space="preserve">· Glycaemic control, body weight, and safety of tirzepatide versus dulaglutide by baseline glycated haemoglobin level in Japanese patients with type 2 diabetes: A subgroup analysis of the SURPASS J-mono study. PMID 37794628</w:t>
      </w:r>
    </w:p>
    <w:p>
      <w:pPr>
        <w:numPr>
          <w:ilvl w:val="0"/>
          <w:numId w:val="1377"/>
        </w:numPr>
        <w:pStyle w:val="Compact"/>
      </w:pPr>
      <w:r>
        <w:t xml:space="preserve">2023 · Probst L ·</w:t>
      </w:r>
      <w:r>
        <w:t xml:space="preserve"> </w:t>
      </w:r>
      <w:r>
        <w:rPr>
          <w:iCs/>
          <w:i/>
        </w:rPr>
        <w:t xml:space="preserve">JCI Insight</w:t>
      </w:r>
      <w:r>
        <w:t xml:space="preserve"> </w:t>
      </w:r>
      <w:r>
        <w:t xml:space="preserve">· Effects of dulaglutide on alcohol consumption during smoking cessation. PMID 37991022</w:t>
      </w:r>
    </w:p>
    <w:p>
      <w:pPr>
        <w:numPr>
          <w:ilvl w:val="0"/>
          <w:numId w:val="1377"/>
        </w:numPr>
        <w:pStyle w:val="Compact"/>
      </w:pPr>
      <w:r>
        <w:t xml:space="preserve">2023 · Wang W ·</w:t>
      </w:r>
      <w:r>
        <w:t xml:space="preserve"> </w:t>
      </w:r>
      <w:r>
        <w:rPr>
          <w:iCs/>
          <w:i/>
        </w:rPr>
        <w:t xml:space="preserve">Diabetes Obes Metab</w:t>
      </w:r>
      <w:r>
        <w:t xml:space="preserve"> </w:t>
      </w:r>
      <w:r>
        <w:t xml:space="preserve">· Efficacy and safety of adding once-weekly dulaglutide to basal insulin for inadequately controlled type 2 diabetes in Chinese patients (AWARD-CHN3): A randomized, double-blind, placebo-controlled, phase III trial. PMID 37732487</w:t>
      </w:r>
    </w:p>
    <w:p>
      <w:pPr>
        <w:numPr>
          <w:ilvl w:val="0"/>
          <w:numId w:val="1377"/>
        </w:numPr>
        <w:pStyle w:val="Compact"/>
      </w:pPr>
      <w:r>
        <w:t xml:space="preserve">2023 · Kimura T ·</w:t>
      </w:r>
      <w:r>
        <w:t xml:space="preserve"> </w:t>
      </w:r>
      <w:r>
        <w:rPr>
          <w:iCs/>
          <w:i/>
        </w:rPr>
        <w:t xml:space="preserve">Diabetes Obes Metab</w:t>
      </w:r>
      <w:r>
        <w:t xml:space="preserve"> </w:t>
      </w:r>
      <w:r>
        <w:t xml:space="preserve">· Comparison of clinical efficacy and safety of weekly glucagon-like peptide-1 receptor agonists dulaglutide and semaglutide in Japanese patients with type 2 diabetes: Randomized, parallel-group, multicentre, open-label trial (COMING study). PMID 37646192</w:t>
      </w:r>
    </w:p>
    <w:p>
      <w:pPr>
        <w:numPr>
          <w:ilvl w:val="0"/>
          <w:numId w:val="1377"/>
        </w:numPr>
        <w:pStyle w:val="Compact"/>
      </w:pPr>
      <w:r>
        <w:t xml:space="preserve">2023 · Lee EY ·</w:t>
      </w:r>
      <w:r>
        <w:t xml:space="preserve"> </w:t>
      </w:r>
      <w:r>
        <w:rPr>
          <w:iCs/>
          <w:i/>
        </w:rPr>
        <w:t xml:space="preserve">Diabetes Res Clin Pract</w:t>
      </w:r>
      <w:r>
        <w:t xml:space="preserve"> </w:t>
      </w:r>
      <w:r>
        <w:t xml:space="preserve">· Glucometabolic control of once-weekly dulaglutide switched from DPP4 inhibitor versus daily empagliflozin add-on in patients with type 2 diabetes inadequately controlled with metformin, sulfonylurea, and DPP4 inhibitor: A randomised trial. PMID 37595844</w:t>
      </w:r>
    </w:p>
    <w:p>
      <w:pPr>
        <w:numPr>
          <w:ilvl w:val="0"/>
          <w:numId w:val="1377"/>
        </w:numPr>
        <w:pStyle w:val="Compact"/>
      </w:pPr>
      <w:r>
        <w:t xml:space="preserve">2023 · Rosenstock J ·</w:t>
      </w:r>
      <w:r>
        <w:t xml:space="preserve"> </w:t>
      </w:r>
      <w:r>
        <w:rPr>
          <w:iCs/>
          <w:i/>
        </w:rPr>
        <w:t xml:space="preserve">Lancet</w:t>
      </w:r>
      <w:r>
        <w:t xml:space="preserve"> </w:t>
      </w:r>
      <w:r>
        <w:t xml:space="preserve">· Retatrutide, a GIP, GLP-1 and glucagon receptor agonist, for people with type 2 diabetes: a randomised, double-blind, placebo and active-controlled, parallel-group, phase 2 trial conducted in the USA. PMID 37385280</w:t>
      </w:r>
    </w:p>
    <w:p>
      <w:pPr>
        <w:numPr>
          <w:ilvl w:val="0"/>
          <w:numId w:val="1377"/>
        </w:numPr>
        <w:pStyle w:val="Compact"/>
      </w:pPr>
      <w:r>
        <w:t xml:space="preserve">2023 · Frias JP ·</w:t>
      </w:r>
      <w:r>
        <w:t xml:space="preserve"> </w:t>
      </w:r>
      <w:r>
        <w:rPr>
          <w:iCs/>
          <w:i/>
        </w:rPr>
        <w:t xml:space="preserve">Lancet</w:t>
      </w:r>
      <w:r>
        <w:t xml:space="preserve"> </w:t>
      </w:r>
      <w:r>
        <w:t xml:space="preserve">· Efficacy and safety of oral orforglipron in patients with type 2 diabetes: a multicentre, randomised, dose-response, phase 2 study. PMID 37369232</w:t>
      </w:r>
    </w:p>
    <w:p>
      <w:pPr>
        <w:numPr>
          <w:ilvl w:val="0"/>
          <w:numId w:val="1377"/>
        </w:numPr>
        <w:pStyle w:val="Compact"/>
      </w:pPr>
      <w:r>
        <w:t xml:space="preserve">2023 · Gerstein HC ·</w:t>
      </w:r>
      <w:r>
        <w:t xml:space="preserve"> </w:t>
      </w:r>
      <w:r>
        <w:rPr>
          <w:iCs/>
          <w:i/>
        </w:rPr>
        <w:t xml:space="preserve">Diabetes Care</w:t>
      </w:r>
      <w:r>
        <w:t xml:space="preserve"> </w:t>
      </w:r>
      <w:r>
        <w:t xml:space="preserve">· Biomarker Changes Associated With Both Dulaglutide and Cardiovascular Events in the REWIND Randomized Controlled Trial: A Nested Case-Control Post Hoc Analysis. PMID 36897834</w:t>
      </w:r>
    </w:p>
    <w:p>
      <w:pPr>
        <w:numPr>
          <w:ilvl w:val="0"/>
          <w:numId w:val="1377"/>
        </w:numPr>
        <w:pStyle w:val="Compact"/>
      </w:pPr>
      <w:r>
        <w:t xml:space="preserve">2023 · Zhang Q ·</w:t>
      </w:r>
      <w:r>
        <w:t xml:space="preserve"> </w:t>
      </w:r>
      <w:r>
        <w:rPr>
          <w:iCs/>
          <w:i/>
        </w:rPr>
        <w:t xml:space="preserve">Expert Opin Biol Ther</w:t>
      </w:r>
      <w:r>
        <w:t xml:space="preserve"> </w:t>
      </w:r>
      <w:r>
        <w:t xml:space="preserve">· Pharmacokinetic similarity study comparing the biosimilar candidate, LY05008, with its reference product dulaglutide in healthy Chinese male subjects. PMID 36880118</w:t>
      </w:r>
    </w:p>
    <w:p>
      <w:pPr>
        <w:numPr>
          <w:ilvl w:val="0"/>
          <w:numId w:val="1377"/>
        </w:numPr>
        <w:pStyle w:val="Compact"/>
      </w:pPr>
      <w:r>
        <w:t xml:space="preserve">2023 · Iijima T ·</w:t>
      </w:r>
      <w:r>
        <w:t xml:space="preserve"> </w:t>
      </w:r>
      <w:r>
        <w:rPr>
          <w:iCs/>
          <w:i/>
        </w:rPr>
        <w:t xml:space="preserve">J Diabetes Investig</w:t>
      </w:r>
      <w:r>
        <w:t xml:space="preserve"> </w:t>
      </w:r>
      <w:r>
        <w:t xml:space="preserve">· Effects of switching from liraglutide to semaglutide or dulaglutide in patients with type 2 diabetes: A randomized controlled trial. PMID 36871272</w:t>
      </w:r>
    </w:p>
    <w:p>
      <w:pPr>
        <w:numPr>
          <w:ilvl w:val="0"/>
          <w:numId w:val="1377"/>
        </w:numPr>
        <w:pStyle w:val="Compact"/>
      </w:pPr>
      <w:r>
        <w:t xml:space="preserve">2023 · Thivolet C ·</w:t>
      </w:r>
      <w:r>
        <w:t xml:space="preserve"> </w:t>
      </w:r>
      <w:r>
        <w:rPr>
          <w:iCs/>
          <w:i/>
        </w:rPr>
        <w:t xml:space="preserve">Diabetes Metab</w:t>
      </w:r>
      <w:r>
        <w:t xml:space="preserve"> </w:t>
      </w:r>
      <w:r>
        <w:t xml:space="preserve">· Dulaglutide and insulin microsecretion in people with type 1 diabetes (DIAMOND-GLP-1): A randomized double-blind placebo-controlled trial. PMID 36781064</w:t>
      </w:r>
    </w:p>
    <w:p>
      <w:pPr>
        <w:numPr>
          <w:ilvl w:val="0"/>
          <w:numId w:val="1377"/>
        </w:numPr>
        <w:pStyle w:val="Compact"/>
      </w:pPr>
      <w:r>
        <w:t xml:space="preserve">2023 · Zhang Y ·</w:t>
      </w:r>
      <w:r>
        <w:t xml:space="preserve"> </w:t>
      </w:r>
      <w:r>
        <w:rPr>
          <w:iCs/>
          <w:i/>
        </w:rPr>
        <w:t xml:space="preserve">Nutrients</w:t>
      </w:r>
      <w:r>
        <w:t xml:space="preserve"> </w:t>
      </w:r>
      <w:r>
        <w:t xml:space="preserve">· Effects of a Dulaglutide plus Calorie-Restricted Diet versus a Calorie-Restricted Diet on Visceral Fat and Metabolic Profiles in Women with Polycystic Ovary Syndrome: A Randomized Controlled Trial. PMID 36771262</w:t>
      </w:r>
    </w:p>
    <w:p>
      <w:pPr>
        <w:numPr>
          <w:ilvl w:val="0"/>
          <w:numId w:val="1377"/>
        </w:numPr>
        <w:pStyle w:val="Compact"/>
      </w:pPr>
      <w:r>
        <w:t xml:space="preserve">2023 · Su Y ·</w:t>
      </w:r>
      <w:r>
        <w:t xml:space="preserve"> </w:t>
      </w:r>
      <w:r>
        <w:rPr>
          <w:iCs/>
          <w:i/>
        </w:rPr>
        <w:t xml:space="preserve">Front Endocrinol (Lausanne)</w:t>
      </w:r>
      <w:r>
        <w:t xml:space="preserve"> </w:t>
      </w:r>
      <w:r>
        <w:t xml:space="preserve">· Pharmacoeconomic analysis (CER) of Dulaglutide and Liraglutide in the treatment of patients with type 2 diabetes. PMID 36755915</w:t>
      </w:r>
    </w:p>
    <w:p>
      <w:pPr>
        <w:numPr>
          <w:ilvl w:val="0"/>
          <w:numId w:val="1377"/>
        </w:numPr>
        <w:pStyle w:val="Compact"/>
      </w:pPr>
      <w:r>
        <w:t xml:space="preserve">2023 · Takahashi Y ·</w:t>
      </w:r>
      <w:r>
        <w:t xml:space="preserve"> </w:t>
      </w:r>
      <w:r>
        <w:rPr>
          <w:iCs/>
          <w:i/>
        </w:rPr>
        <w:t xml:space="preserve">Diabetes Obes Metab</w:t>
      </w:r>
      <w:r>
        <w:t xml:space="preserve"> </w:t>
      </w:r>
      <w:r>
        <w:t xml:space="preserve">· Improvement of glycaemic control and treatment satisfaction by switching from liraglutide or dulaglutide to subcutaneous semaglutide in patients with type 2 diabetes: A multicentre, prospective, randomized, open-label, parallel-group comparison study (SWITCH-SEMA 1 study). PMID 36722623</w:t>
      </w:r>
    </w:p>
    <w:p>
      <w:pPr>
        <w:numPr>
          <w:ilvl w:val="0"/>
          <w:numId w:val="1377"/>
        </w:numPr>
        <w:pStyle w:val="Compact"/>
      </w:pPr>
      <w:r>
        <w:t xml:space="preserve">2023 · Yabe D ·</w:t>
      </w:r>
      <w:r>
        <w:t xml:space="preserve"> </w:t>
      </w:r>
      <w:r>
        <w:rPr>
          <w:iCs/>
          <w:i/>
        </w:rPr>
        <w:t xml:space="preserve">Diabetes Obes Metab</w:t>
      </w:r>
      <w:r>
        <w:t xml:space="preserve"> </w:t>
      </w:r>
      <w:r>
        <w:t xml:space="preserve">· Change in pharmacodynamic variables following once-weekly tirzepatide treatment versus dulaglutide in Japanese patients with type 2 diabetes (SURPASS J-mono substudy). PMID 36184780</w:t>
      </w:r>
    </w:p>
    <w:p>
      <w:pPr>
        <w:numPr>
          <w:ilvl w:val="0"/>
          <w:numId w:val="1377"/>
        </w:numPr>
        <w:pStyle w:val="Compact"/>
      </w:pPr>
      <w:r>
        <w:t xml:space="preserve">2022 · Urva S ·</w:t>
      </w:r>
      <w:r>
        <w:t xml:space="preserve"> </w:t>
      </w:r>
      <w:r>
        <w:rPr>
          <w:iCs/>
          <w:i/>
        </w:rPr>
        <w:t xml:space="preserve">Lancet</w:t>
      </w:r>
      <w:r>
        <w:t xml:space="preserve"> </w:t>
      </w:r>
      <w:r>
        <w:t xml:space="preserve">· LY3437943, a novel triple GIP, GLP-1, and glucagon receptor agonist in people with type 2 diabetes: a phase 1b, multicentre, double-blind, placebo-controlled, randomised, multiple-ascending dose trial. PMID 36354040</w:t>
      </w:r>
    </w:p>
    <w:p>
      <w:pPr>
        <w:numPr>
          <w:ilvl w:val="0"/>
          <w:numId w:val="1377"/>
        </w:numPr>
        <w:pStyle w:val="Compact"/>
      </w:pPr>
      <w:r>
        <w:t xml:space="preserve">2022 · Branch KRH ·</w:t>
      </w:r>
      <w:r>
        <w:t xml:space="preserve"> </w:t>
      </w:r>
      <w:r>
        <w:rPr>
          <w:iCs/>
          <w:i/>
        </w:rPr>
        <w:t xml:space="preserve">Eur J Heart Fail</w:t>
      </w:r>
      <w:r>
        <w:t xml:space="preserve"> </w:t>
      </w:r>
      <w:r>
        <w:t xml:space="preserve">· Dulaglutide and cardiovascular and heart failure outcomes in patients with and without heart failure: a post-hoc analysis from the REWIND randomized trial. PMID 36073143</w:t>
      </w:r>
    </w:p>
    <w:p>
      <w:pPr>
        <w:numPr>
          <w:ilvl w:val="0"/>
          <w:numId w:val="1377"/>
        </w:numPr>
        <w:pStyle w:val="Compact"/>
      </w:pPr>
      <w:r>
        <w:t xml:space="preserve">2022 · Scheen AJ ·</w:t>
      </w:r>
      <w:r>
        <w:t xml:space="preserve"> </w:t>
      </w:r>
      <w:r>
        <w:rPr>
          <w:iCs/>
          <w:i/>
        </w:rPr>
        <w:t xml:space="preserve">Rev Med Suisse</w:t>
      </w:r>
      <w:r>
        <w:t xml:space="preserve"> </w:t>
      </w:r>
      <w:r>
        <w:t xml:space="preserve">· [Focus on tirzepatide, a dual unimolecular GIP-GLP-1 receptor agonist in type 2 diabetes]. PMID 36004653</w:t>
      </w:r>
    </w:p>
    <w:p>
      <w:pPr>
        <w:numPr>
          <w:ilvl w:val="0"/>
          <w:numId w:val="1377"/>
        </w:numPr>
        <w:pStyle w:val="Compact"/>
      </w:pPr>
      <w:r>
        <w:t xml:space="preserve">2022 · Inagaki N ·</w:t>
      </w:r>
      <w:r>
        <w:t xml:space="preserve"> </w:t>
      </w:r>
      <w:r>
        <w:rPr>
          <w:iCs/>
          <w:i/>
        </w:rPr>
        <w:t xml:space="preserve">Lancet Diabetes Endocrinol</w:t>
      </w:r>
      <w:r>
        <w:t xml:space="preserve"> </w:t>
      </w:r>
      <w:r>
        <w:t xml:space="preserve">· Efficacy and safety of tirzepatide monotherapy compared with dulaglutide in Japanese patients with type 2 diabetes (SURPASS J-mono): a double-blind, multicentre, randomised, phase 3 trial. PMID 35914543</w:t>
      </w:r>
    </w:p>
    <w:p>
      <w:pPr>
        <w:numPr>
          <w:ilvl w:val="0"/>
          <w:numId w:val="1377"/>
        </w:numPr>
        <w:pStyle w:val="Compact"/>
      </w:pPr>
      <w:r>
        <w:t xml:space="preserve">2022 · Jiang H ·</w:t>
      </w:r>
      <w:r>
        <w:t xml:space="preserve"> </w:t>
      </w:r>
      <w:r>
        <w:rPr>
          <w:iCs/>
          <w:i/>
        </w:rPr>
        <w:t xml:space="preserve">Nat Commun</w:t>
      </w:r>
      <w:r>
        <w:t xml:space="preserve"> </w:t>
      </w:r>
      <w:r>
        <w:t xml:space="preserve">· A phase 1b randomised controlled trial of a glucagon-like peptide-1 and glucagon receptor dual agonist IBI362 (LY3305677) in Chinese patients with type 2 diabetes. PMID 35750681</w:t>
      </w:r>
    </w:p>
    <w:p>
      <w:pPr>
        <w:numPr>
          <w:ilvl w:val="0"/>
          <w:numId w:val="1377"/>
        </w:numPr>
        <w:pStyle w:val="Compact"/>
      </w:pPr>
      <w:r>
        <w:t xml:space="preserve">2022 · Arslanian SA ·</w:t>
      </w:r>
      <w:r>
        <w:t xml:space="preserve"> </w:t>
      </w:r>
      <w:r>
        <w:rPr>
          <w:iCs/>
          <w:i/>
        </w:rPr>
        <w:t xml:space="preserve">N Engl J Med</w:t>
      </w:r>
      <w:r>
        <w:t xml:space="preserve"> </w:t>
      </w:r>
      <w:r>
        <w:t xml:space="preserve">· Once-Weekly Dulaglutide for the Treatment of Youths with Type 2 Diabetes. PMID 35658022</w:t>
      </w:r>
    </w:p>
    <w:p>
      <w:pPr>
        <w:numPr>
          <w:ilvl w:val="0"/>
          <w:numId w:val="1377"/>
        </w:numPr>
        <w:pStyle w:val="Compact"/>
      </w:pPr>
      <w:r>
        <w:t xml:space="preserve">2022 · Cox DA ·</w:t>
      </w:r>
      <w:r>
        <w:t xml:space="preserve"> </w:t>
      </w:r>
      <w:r>
        <w:rPr>
          <w:iCs/>
          <w:i/>
        </w:rPr>
        <w:t xml:space="preserve">Diabetes Obes Metab</w:t>
      </w:r>
      <w:r>
        <w:t xml:space="preserve"> </w:t>
      </w:r>
      <w:r>
        <w:t xml:space="preserve">· Effect of expanded dulaglutide weekly doses (3.0 mg and 4.5 mg) on cardiovascular disease risk factors in participants with type 2 diabetes at increased cardiovascular disease risk: a post hoc analysis of the AWARD-11 study. PMID 35546790</w:t>
      </w:r>
    </w:p>
    <w:p>
      <w:pPr>
        <w:numPr>
          <w:ilvl w:val="0"/>
          <w:numId w:val="1377"/>
        </w:numPr>
        <w:pStyle w:val="Compact"/>
      </w:pPr>
      <w:r>
        <w:t xml:space="preserve">2022 · Vukajlovic T ·</w:t>
      </w:r>
      <w:r>
        <w:t xml:space="preserve"> </w:t>
      </w:r>
      <w:r>
        <w:rPr>
          <w:iCs/>
          <w:i/>
        </w:rPr>
        <w:t xml:space="preserve">J Clin Endocrinol Metab</w:t>
      </w:r>
      <w:r>
        <w:t xml:space="preserve"> </w:t>
      </w:r>
      <w:r>
        <w:t xml:space="preserve">· Effect of a 3-Week Treatment with GLP-1 Receptor Agonists on Vasoactive Hormones in Euvolemic Participants. PMID 35134170</w:t>
      </w:r>
    </w:p>
    <w:p>
      <w:pPr>
        <w:numPr>
          <w:ilvl w:val="0"/>
          <w:numId w:val="1377"/>
        </w:numPr>
        <w:pStyle w:val="Compact"/>
      </w:pPr>
      <w:r>
        <w:t xml:space="preserve">2022 · Yabe D ·</w:t>
      </w:r>
      <w:r>
        <w:t xml:space="preserve"> </w:t>
      </w:r>
      <w:r>
        <w:rPr>
          <w:iCs/>
          <w:i/>
        </w:rPr>
        <w:t xml:space="preserve">J Diabetes Investig</w:t>
      </w:r>
      <w:r>
        <w:t xml:space="preserve"> </w:t>
      </w:r>
      <w:r>
        <w:t xml:space="preserve">· Efficacy and safety of oral semaglutide in Japanese patients with type 2 diabetes: A subgroup analysis by baseline variables in the PIONEER 9 and PIONEER 10 trials. PMID 35112504</w:t>
      </w:r>
    </w:p>
    <w:p>
      <w:pPr>
        <w:numPr>
          <w:ilvl w:val="0"/>
          <w:numId w:val="1377"/>
        </w:numPr>
        <w:pStyle w:val="Compact"/>
      </w:pPr>
      <w:r>
        <w:t xml:space="preserve">2022 · Kwan AYM ·</w:t>
      </w:r>
      <w:r>
        <w:t xml:space="preserve"> </w:t>
      </w:r>
      <w:r>
        <w:rPr>
          <w:iCs/>
          <w:i/>
        </w:rPr>
        <w:t xml:space="preserve">Diabetes Care</w:t>
      </w:r>
      <w:r>
        <w:t xml:space="preserve"> </w:t>
      </w:r>
      <w:r>
        <w:t xml:space="preserve">· HbA1c Reduction in Dulaglutide-Treated Patients Irrespective of Duration of Diabetes, Microvascular Disease, and BMI: A Post Hoc Analysis From the REWIND Trial. PMID 35043140</w:t>
      </w:r>
    </w:p>
    <w:p>
      <w:pPr>
        <w:numPr>
          <w:ilvl w:val="0"/>
          <w:numId w:val="1377"/>
        </w:numPr>
        <w:pStyle w:val="Compact"/>
      </w:pPr>
      <w:r>
        <w:t xml:space="preserve">2022 · Raubenheimer PJ ·</w:t>
      </w:r>
      <w:r>
        <w:t xml:space="preserve"> </w:t>
      </w:r>
      <w:r>
        <w:rPr>
          <w:iCs/>
          <w:i/>
        </w:rPr>
        <w:t xml:space="preserve">Diabetes Obes Metab</w:t>
      </w:r>
      <w:r>
        <w:t xml:space="preserve"> </w:t>
      </w:r>
      <w:r>
        <w:t xml:space="preserve">· Dulaglutide and incident atrial fibrillation or flutter in patients with type 2 diabetes: A post hoc analysis from the REWIND randomized trial. PMID 34984808</w:t>
      </w:r>
    </w:p>
    <w:p>
      <w:pPr>
        <w:numPr>
          <w:ilvl w:val="0"/>
          <w:numId w:val="1377"/>
        </w:numPr>
        <w:pStyle w:val="Compact"/>
      </w:pPr>
      <w:r>
        <w:t xml:space="preserve">2022 · Xu J ·</w:t>
      </w:r>
      <w:r>
        <w:t xml:space="preserve"> </w:t>
      </w:r>
      <w:r>
        <w:rPr>
          <w:iCs/>
          <w:i/>
        </w:rPr>
        <w:t xml:space="preserve">Adv Ther</w:t>
      </w:r>
      <w:r>
        <w:t xml:space="preserve"> </w:t>
      </w:r>
      <w:r>
        <w:t xml:space="preserve">· Pharmacokinetics, Pharmacodynamics, and Safety of Dulaglutide After Single or Multiple Doses in Chinese Healthy Subjects and Patients with T2DM: A Randomized, Placebo-Controlled, Phase I Study. PMID 34787823</w:t>
      </w:r>
    </w:p>
    <w:p>
      <w:pPr>
        <w:numPr>
          <w:ilvl w:val="0"/>
          <w:numId w:val="1377"/>
        </w:numPr>
        <w:pStyle w:val="Compact"/>
      </w:pPr>
      <w:r>
        <w:t xml:space="preserve">2022 · Yamada Y ·</w:t>
      </w:r>
      <w:r>
        <w:t xml:space="preserve"> </w:t>
      </w:r>
      <w:r>
        <w:rPr>
          <w:iCs/>
          <w:i/>
        </w:rPr>
        <w:t xml:space="preserve">Diabetes Obes Metab</w:t>
      </w:r>
      <w:r>
        <w:t xml:space="preserve"> </w:t>
      </w:r>
      <w:r>
        <w:t xml:space="preserve">· Efficacy and safety of oral semaglutide by baseline age in Japanese patients with type 2 diabetes: A subgroup analysis of the PIONEER 9 and 10 Japan trials. PMID 34622548</w:t>
      </w:r>
    </w:p>
    <w:p>
      <w:pPr>
        <w:numPr>
          <w:ilvl w:val="0"/>
          <w:numId w:val="1377"/>
        </w:numPr>
        <w:pStyle w:val="Compact"/>
      </w:pPr>
      <w:r>
        <w:t xml:space="preserve">2022 · Pirro V ·</w:t>
      </w:r>
      <w:r>
        <w:t xml:space="preserve"> </w:t>
      </w:r>
      <w:r>
        <w:rPr>
          <w:iCs/>
          <w:i/>
        </w:rPr>
        <w:t xml:space="preserve">J Clin Endocrinol Metab</w:t>
      </w:r>
      <w:r>
        <w:t xml:space="preserve"> </w:t>
      </w:r>
      <w:r>
        <w:t xml:space="preserve">· Effects of Tirzepatide, a Dual GIP and GLP-1 RA, on Lipid and Metabolite Profiles in Subjects With Type 2 Diabetes. PMID 34608929</w:t>
      </w:r>
    </w:p>
    <w:p>
      <w:pPr>
        <w:numPr>
          <w:ilvl w:val="0"/>
          <w:numId w:val="1377"/>
        </w:numPr>
        <w:pStyle w:val="Compact"/>
      </w:pPr>
      <w:r>
        <w:t xml:space="preserve">2022 · Wilson JM ·</w:t>
      </w:r>
      <w:r>
        <w:t xml:space="preserve"> </w:t>
      </w:r>
      <w:r>
        <w:rPr>
          <w:iCs/>
          <w:i/>
        </w:rPr>
        <w:t xml:space="preserve">Diabetes Obes Metab</w:t>
      </w:r>
      <w:r>
        <w:t xml:space="preserve"> </w:t>
      </w:r>
      <w:r>
        <w:t xml:space="preserve">· The dual glucose-dependent insulinotropic polypeptide and glucagon-like peptide-1 receptor agonist tirzepatide improves cardiovascular risk biomarkers in patients with type 2 diabetes: A post hoc analysis. PMID 34542221</w:t>
      </w:r>
    </w:p>
    <w:p>
      <w:pPr>
        <w:numPr>
          <w:ilvl w:val="0"/>
          <w:numId w:val="1377"/>
        </w:numPr>
        <w:pStyle w:val="Compact"/>
      </w:pPr>
      <w:r>
        <w:t xml:space="preserve">2021 · Tuttle KR ·</w:t>
      </w:r>
      <w:r>
        <w:t xml:space="preserve"> </w:t>
      </w:r>
      <w:r>
        <w:rPr>
          <w:iCs/>
          <w:i/>
        </w:rPr>
        <w:t xml:space="preserve">Kidney360</w:t>
      </w:r>
      <w:r>
        <w:t xml:space="preserve"> </w:t>
      </w:r>
      <w:r>
        <w:t xml:space="preserve">· Clinical Outcomes by Albuminuria Status with Dulaglutide versus Insulin Glargine in Participants with Diabetes and CKD: AWARD-7 Exploratory Analysis. PMID 35373017</w:t>
      </w:r>
    </w:p>
    <w:p>
      <w:pPr>
        <w:numPr>
          <w:ilvl w:val="0"/>
          <w:numId w:val="1377"/>
        </w:numPr>
        <w:pStyle w:val="Compact"/>
      </w:pPr>
      <w:r>
        <w:t xml:space="preserve">2021 · Cai TT ·</w:t>
      </w:r>
      <w:r>
        <w:t xml:space="preserve"> </w:t>
      </w:r>
      <w:r>
        <w:rPr>
          <w:iCs/>
          <w:i/>
        </w:rPr>
        <w:t xml:space="preserve">Biomed Res Int</w:t>
      </w:r>
      <w:r>
        <w:t xml:space="preserve"> </w:t>
      </w:r>
      <w:r>
        <w:t xml:space="preserve">· Effects of GLP-1 Receptor Agonists on Bone Mineral Density in Patients with Type 2 Diabetes Mellitus: A 52-Week Clinical Study. PMID 34580638</w:t>
      </w:r>
    </w:p>
    <w:p>
      <w:pPr>
        <w:numPr>
          <w:ilvl w:val="0"/>
          <w:numId w:val="1377"/>
        </w:numPr>
        <w:pStyle w:val="Compact"/>
      </w:pPr>
      <w:r>
        <w:t xml:space="preserve">2021 · Konig M ·</w:t>
      </w:r>
      <w:r>
        <w:t xml:space="preserve"> </w:t>
      </w:r>
      <w:r>
        <w:rPr>
          <w:iCs/>
          <w:i/>
        </w:rPr>
        <w:t xml:space="preserve">Cardiovasc Diabetol</w:t>
      </w:r>
      <w:r>
        <w:t xml:space="preserve"> </w:t>
      </w:r>
      <w:r>
        <w:t xml:space="preserve">· Exploring potential mediators of the cardiovascular benefit of dulaglutide in type 2 diabetes patients in REWIND. PMID 34563178</w:t>
      </w:r>
    </w:p>
    <w:p>
      <w:pPr>
        <w:numPr>
          <w:ilvl w:val="0"/>
          <w:numId w:val="1377"/>
        </w:numPr>
        <w:pStyle w:val="Compact"/>
      </w:pPr>
      <w:r>
        <w:t xml:space="preserve">2021 · Winzeler B ·</w:t>
      </w:r>
      <w:r>
        <w:t xml:space="preserve"> </w:t>
      </w:r>
      <w:r>
        <w:rPr>
          <w:iCs/>
          <w:i/>
        </w:rPr>
        <w:t xml:space="preserve">J Clin Invest</w:t>
      </w:r>
      <w:r>
        <w:t xml:space="preserve"> </w:t>
      </w:r>
      <w:r>
        <w:t xml:space="preserve">· A randomized controlled trial of the GLP-1 receptor agonist dulaglutide in primary polydipsia. PMID 34473645</w:t>
      </w:r>
    </w:p>
    <w:p>
      <w:pPr>
        <w:numPr>
          <w:ilvl w:val="0"/>
          <w:numId w:val="1377"/>
        </w:numPr>
        <w:pStyle w:val="Compact"/>
      </w:pPr>
      <w:r>
        <w:t xml:space="preserve">2021 · Frias JP ·</w:t>
      </w:r>
      <w:r>
        <w:t xml:space="preserve"> </w:t>
      </w:r>
      <w:r>
        <w:rPr>
          <w:iCs/>
          <w:i/>
        </w:rPr>
        <w:t xml:space="preserve">Diabetes Obes Metab</w:t>
      </w:r>
      <w:r>
        <w:t xml:space="preserve"> </w:t>
      </w:r>
      <w:r>
        <w:t xml:space="preserve">· Glycaemic efficacy of an expanded dose range of dulaglutide according to baseline glycated haemoglobin (HbA1c) subgroup: Post hoc analysis of AWARD-11. PMID 34463420</w:t>
      </w:r>
    </w:p>
    <w:p>
      <w:pPr>
        <w:numPr>
          <w:ilvl w:val="0"/>
          <w:numId w:val="1377"/>
        </w:numPr>
        <w:pStyle w:val="Compact"/>
      </w:pPr>
      <w:r>
        <w:t xml:space="preserve">2021 · Bonora E ·</w:t>
      </w:r>
      <w:r>
        <w:t xml:space="preserve"> </w:t>
      </w:r>
      <w:r>
        <w:rPr>
          <w:iCs/>
          <w:i/>
        </w:rPr>
        <w:t xml:space="preserve">Diabetes Obes Metab</w:t>
      </w:r>
      <w:r>
        <w:t xml:space="preserve"> </w:t>
      </w:r>
      <w:r>
        <w:t xml:space="preserve">· Effect of dulaglutide 3.0 and 4.5 mg on weight in patients with type 2 diabetes: Exploratory analyses of AWARD-11. PMID 34189841</w:t>
      </w:r>
    </w:p>
    <w:p>
      <w:pPr>
        <w:numPr>
          <w:ilvl w:val="0"/>
          <w:numId w:val="1377"/>
        </w:numPr>
        <w:pStyle w:val="Compact"/>
      </w:pPr>
      <w:r>
        <w:t xml:space="preserve">2021 · Frias JP ·</w:t>
      </w:r>
      <w:r>
        <w:t xml:space="preserve"> </w:t>
      </w:r>
      <w:r>
        <w:rPr>
          <w:iCs/>
          <w:i/>
        </w:rPr>
        <w:t xml:space="preserve">Diabetes Obes Metab</w:t>
      </w:r>
      <w:r>
        <w:t xml:space="preserve"> </w:t>
      </w:r>
      <w:r>
        <w:t xml:space="preserve">· Efficacy and safety of dulaglutide 3.0 and 4.5 mg in patients aged younger than 65 and 65 years or older: Post hoc analysis of the AWARD-11 trial. PMID 34159708</w:t>
      </w:r>
    </w:p>
    <w:p>
      <w:pPr>
        <w:numPr>
          <w:ilvl w:val="0"/>
          <w:numId w:val="1377"/>
        </w:numPr>
        <w:pStyle w:val="Compact"/>
      </w:pPr>
      <w:r>
        <w:t xml:space="preserve">2021 · Bajaj HS ·</w:t>
      </w:r>
      <w:r>
        <w:t xml:space="preserve"> </w:t>
      </w:r>
      <w:r>
        <w:rPr>
          <w:iCs/>
          <w:i/>
        </w:rPr>
        <w:t xml:space="preserve">Lancet Diabetes Endocrinol</w:t>
      </w:r>
      <w:r>
        <w:t xml:space="preserve"> </w:t>
      </w:r>
      <w:r>
        <w:t xml:space="preserve">· Erectile function in men with type 2 diabetes treated with dulaglutide: an exploratory analysis of the REWIND placebo-controlled randomised trial. PMID 34153269</w:t>
      </w:r>
    </w:p>
    <w:p>
      <w:pPr>
        <w:numPr>
          <w:ilvl w:val="0"/>
          <w:numId w:val="1377"/>
        </w:numPr>
        <w:pStyle w:val="Compact"/>
      </w:pPr>
      <w:r>
        <w:t xml:space="preserve">2021 · Snitker S ·</w:t>
      </w:r>
      <w:r>
        <w:t xml:space="preserve"> </w:t>
      </w:r>
      <w:r>
        <w:rPr>
          <w:iCs/>
          <w:i/>
        </w:rPr>
        <w:t xml:space="preserve">Diabetes Obes Metab</w:t>
      </w:r>
      <w:r>
        <w:t xml:space="preserve"> </w:t>
      </w:r>
      <w:r>
        <w:t xml:space="preserve">· Comparison of the injection-site experience of the starting doses with semaglutide and dulaglutide: A randomized, double-blind trial in healthy subjects. PMID 33591618</w:t>
      </w:r>
    </w:p>
    <w:p>
      <w:pPr>
        <w:numPr>
          <w:ilvl w:val="0"/>
          <w:numId w:val="1377"/>
        </w:numPr>
        <w:pStyle w:val="Compact"/>
      </w:pPr>
      <w:r>
        <w:t xml:space="preserve">2021 · Riddle MC ·</w:t>
      </w:r>
      <w:r>
        <w:t xml:space="preserve"> </w:t>
      </w:r>
      <w:r>
        <w:rPr>
          <w:iCs/>
          <w:i/>
        </w:rPr>
        <w:t xml:space="preserve">J Clin Endocrinol Metab</w:t>
      </w:r>
      <w:r>
        <w:t xml:space="preserve"> </w:t>
      </w:r>
      <w:r>
        <w:t xml:space="preserve">· Efficacy and Safety of Dulaglutide in Older Patients: A post hoc Analysis of the REWIND trial. PMID 33537745</w:t>
      </w:r>
    </w:p>
    <w:p>
      <w:pPr>
        <w:numPr>
          <w:ilvl w:val="0"/>
          <w:numId w:val="1377"/>
        </w:numPr>
        <w:pStyle w:val="Compact"/>
      </w:pPr>
      <w:r>
        <w:t xml:space="preserve">2021 · Frias JP ·</w:t>
      </w:r>
      <w:r>
        <w:t xml:space="preserve"> </w:t>
      </w:r>
      <w:r>
        <w:rPr>
          <w:iCs/>
          <w:i/>
        </w:rPr>
        <w:t xml:space="preserve">Diabetes Care</w:t>
      </w:r>
      <w:r>
        <w:t xml:space="preserve"> </w:t>
      </w:r>
      <w:r>
        <w:t xml:space="preserve">· Efficacy and Safety of Dulaglutide 3.0 mg and 4.5 mg Versus Dulaglutide 1.5 mg in Metformin-Treated Patients With Type 2 Diabetes in a Randomized Controlled Trial (AWARD-11). PMID 33397768</w:t>
      </w:r>
    </w:p>
    <w:p>
      <w:pPr>
        <w:numPr>
          <w:ilvl w:val="0"/>
          <w:numId w:val="1377"/>
        </w:numPr>
        <w:pStyle w:val="Compact"/>
      </w:pPr>
      <w:r>
        <w:t xml:space="preserve">2021 · Tuttolomondo A ·</w:t>
      </w:r>
      <w:r>
        <w:t xml:space="preserve"> </w:t>
      </w:r>
      <w:r>
        <w:rPr>
          <w:iCs/>
          <w:i/>
        </w:rPr>
        <w:t xml:space="preserve">Cardiovasc Diabetol</w:t>
      </w:r>
      <w:r>
        <w:t xml:space="preserve"> </w:t>
      </w:r>
      <w:r>
        <w:t xml:space="preserve">· Efficacy of dulaglutide on vascular health indexes in subjects with type 2 diabetes: a randomized trial. PMID 33397395</w:t>
      </w:r>
    </w:p>
    <w:p>
      <w:pPr>
        <w:numPr>
          <w:ilvl w:val="0"/>
          <w:numId w:val="1377"/>
        </w:numPr>
        <w:pStyle w:val="Compact"/>
      </w:pPr>
      <w:r>
        <w:t xml:space="preserve">2021 · Thomas MK ·</w:t>
      </w:r>
      <w:r>
        <w:t xml:space="preserve"> </w:t>
      </w:r>
      <w:r>
        <w:rPr>
          <w:iCs/>
          <w:i/>
        </w:rPr>
        <w:t xml:space="preserve">J Clin Endocrinol Metab</w:t>
      </w:r>
      <w:r>
        <w:t xml:space="preserve"> </w:t>
      </w:r>
      <w:r>
        <w:t xml:space="preserve">· Dual GIP and GLP-1 Receptor Agonist Tirzepatide Improves Beta-cell Function and Insulin Sensitivity in Type 2 Diabetes. PMID 33236115</w:t>
      </w:r>
    </w:p>
    <w:p>
      <w:pPr>
        <w:numPr>
          <w:ilvl w:val="0"/>
          <w:numId w:val="1377"/>
        </w:numPr>
        <w:pStyle w:val="Compact"/>
      </w:pPr>
      <w:r>
        <w:t xml:space="preserve">2021 · Ferrannini G ·</w:t>
      </w:r>
      <w:r>
        <w:t xml:space="preserve"> </w:t>
      </w:r>
      <w:r>
        <w:rPr>
          <w:iCs/>
          <w:i/>
        </w:rPr>
        <w:t xml:space="preserve">Eur Heart J</w:t>
      </w:r>
      <w:r>
        <w:t xml:space="preserve"> </w:t>
      </w:r>
      <w:r>
        <w:t xml:space="preserve">· Similar cardiovascular outcomes in patients with diabetes and established or high risk for coronary vascular disease treated with dulaglutide with and without baseline metformin. PMID 33197271</w:t>
      </w:r>
    </w:p>
    <w:p>
      <w:pPr>
        <w:numPr>
          <w:ilvl w:val="0"/>
          <w:numId w:val="1377"/>
        </w:numPr>
        <w:pStyle w:val="Compact"/>
      </w:pPr>
      <w:r>
        <w:t xml:space="preserve">2020 · Wilson JM ·</w:t>
      </w:r>
      <w:r>
        <w:t xml:space="preserve"> </w:t>
      </w:r>
      <w:r>
        <w:rPr>
          <w:iCs/>
          <w:i/>
        </w:rPr>
        <w:t xml:space="preserve">Diabetes Obes Metab</w:t>
      </w:r>
      <w:r>
        <w:t xml:space="preserve"> </w:t>
      </w:r>
      <w:r>
        <w:t xml:space="preserve">· The dual glucose-dependent insulinotropic peptide and glucagon-like peptide-1 receptor agonist, tirzepatide, improves lipoprotein biomarkers associated with insulin resistance and cardiovascular risk in patients with type 2 diabetes. PMID 33462955</w:t>
      </w:r>
    </w:p>
    <w:p>
      <w:pPr>
        <w:numPr>
          <w:ilvl w:val="0"/>
          <w:numId w:val="1377"/>
        </w:numPr>
        <w:pStyle w:val="Compact"/>
      </w:pPr>
      <w:r>
        <w:t xml:space="preserve">2020 · Dagenais GR ·</w:t>
      </w:r>
      <w:r>
        <w:t xml:space="preserve"> </w:t>
      </w:r>
      <w:r>
        <w:rPr>
          <w:iCs/>
          <w:i/>
        </w:rPr>
        <w:t xml:space="preserve">Cardiovasc Diabetol</w:t>
      </w:r>
      <w:r>
        <w:t xml:space="preserve"> </w:t>
      </w:r>
      <w:r>
        <w:t xml:space="preserve">· Total cardiovascular or fatal events in people with type 2 diabetes and cardiovascular risk factors treated with dulaglutide in the REWIND trail: a post hoc analysis. PMID 33239067</w:t>
      </w:r>
    </w:p>
    <w:p>
      <w:pPr>
        <w:numPr>
          <w:ilvl w:val="0"/>
          <w:numId w:val="1377"/>
        </w:numPr>
        <w:pStyle w:val="Compact"/>
      </w:pPr>
      <w:r>
        <w:t xml:space="preserve">2020 · Kuchay MS ·</w:t>
      </w:r>
      <w:r>
        <w:t xml:space="preserve"> </w:t>
      </w:r>
      <w:r>
        <w:rPr>
          <w:iCs/>
          <w:i/>
        </w:rPr>
        <w:t xml:space="preserve">Diabetologia</w:t>
      </w:r>
      <w:r>
        <w:t xml:space="preserve"> </w:t>
      </w:r>
      <w:r>
        <w:t xml:space="preserve">· Effect of dulaglutide on liver fat in patients with type 2 diabetes and NAFLD: randomised controlled trial (D-LIFT trial). PMID 32865597</w:t>
      </w:r>
    </w:p>
    <w:p>
      <w:pPr>
        <w:numPr>
          <w:ilvl w:val="0"/>
          <w:numId w:val="1377"/>
        </w:numPr>
        <w:pStyle w:val="Compact"/>
      </w:pPr>
      <w:r>
        <w:t xml:space="preserve">2020 · Winzeler B ·</w:t>
      </w:r>
      <w:r>
        <w:t xml:space="preserve"> </w:t>
      </w:r>
      <w:r>
        <w:rPr>
          <w:iCs/>
          <w:i/>
        </w:rPr>
        <w:t xml:space="preserve">Endocrine</w:t>
      </w:r>
      <w:r>
        <w:t xml:space="preserve"> </w:t>
      </w:r>
      <w:r>
        <w:t xml:space="preserve">· Effects of glucagon-like peptide-1 receptor agonists on fluid intake in healthy volunteers. PMID 32623637</w:t>
      </w:r>
    </w:p>
    <w:p>
      <w:pPr>
        <w:numPr>
          <w:ilvl w:val="0"/>
          <w:numId w:val="1377"/>
        </w:numPr>
        <w:pStyle w:val="Compact"/>
      </w:pPr>
      <w:r>
        <w:t xml:space="preserve">2020 · Cukierman-Yaffe T ·</w:t>
      </w:r>
      <w:r>
        <w:t xml:space="preserve"> </w:t>
      </w:r>
      <w:r>
        <w:rPr>
          <w:iCs/>
          <w:i/>
        </w:rPr>
        <w:t xml:space="preserve">Lancet Neurol</w:t>
      </w:r>
      <w:r>
        <w:t xml:space="preserve"> </w:t>
      </w:r>
      <w:r>
        <w:t xml:space="preserve">· Effect of dulaglutide on cognitive impairment in type 2 diabetes: an exploratory analysis of the REWIND trial. PMID 32562683</w:t>
      </w:r>
    </w:p>
    <w:p>
      <w:pPr>
        <w:numPr>
          <w:ilvl w:val="0"/>
          <w:numId w:val="1377"/>
        </w:numPr>
        <w:pStyle w:val="Compact"/>
      </w:pPr>
      <w:r>
        <w:t xml:space="preserve">2020 · Yabe D ·</w:t>
      </w:r>
      <w:r>
        <w:t xml:space="preserve"> </w:t>
      </w:r>
      <w:r>
        <w:rPr>
          <w:iCs/>
          <w:i/>
        </w:rPr>
        <w:t xml:space="preserve">Lancet Diabetes Endocrinol</w:t>
      </w:r>
      <w:r>
        <w:t xml:space="preserve"> </w:t>
      </w:r>
      <w:r>
        <w:t xml:space="preserve">· Safety and efficacy of oral semaglutide versus dulaglutide in Japanese patients with type 2 diabetes (PIONEER 10): an open-label, randomised, active-controlled, phase 3a trial. PMID 32333876</w:t>
      </w:r>
    </w:p>
    <w:p>
      <w:pPr>
        <w:numPr>
          <w:ilvl w:val="0"/>
          <w:numId w:val="1377"/>
        </w:numPr>
        <w:pStyle w:val="Compact"/>
      </w:pPr>
      <w:r>
        <w:t xml:space="preserve">2020 · An IB ·</w:t>
      </w:r>
      <w:r>
        <w:t xml:space="preserve"> </w:t>
      </w:r>
      <w:r>
        <w:rPr>
          <w:iCs/>
          <w:i/>
        </w:rPr>
        <w:t xml:space="preserve">Diabetes Obes Metab</w:t>
      </w:r>
      <w:r>
        <w:t xml:space="preserve"> </w:t>
      </w:r>
      <w:r>
        <w:t xml:space="preserve">· A glycosylated Fc-fused glucagon-like peptide-1 receptor agonist exhibits equivalent glucose lowering to but fewer gastrointestinal side effects than dulaglutide. PMID 32314505</w:t>
      </w:r>
    </w:p>
    <w:p>
      <w:pPr>
        <w:numPr>
          <w:ilvl w:val="0"/>
          <w:numId w:val="1377"/>
        </w:numPr>
        <w:pStyle w:val="Compact"/>
      </w:pPr>
      <w:r>
        <w:t xml:space="preserve">2020 · Hartman ML ·</w:t>
      </w:r>
      <w:r>
        <w:t xml:space="preserve"> </w:t>
      </w:r>
      <w:r>
        <w:rPr>
          <w:iCs/>
          <w:i/>
        </w:rPr>
        <w:t xml:space="preserve">Diabetes Care</w:t>
      </w:r>
      <w:r>
        <w:t xml:space="preserve"> </w:t>
      </w:r>
      <w:r>
        <w:t xml:space="preserve">· Effects of Novel Dual GIP and GLP-1 Receptor Agonist Tirzepatide on Biomarkers of Nonalcoholic Steatohepatitis in Patients With Type 2 Diabetes. PMID 32291277</w:t>
      </w:r>
    </w:p>
    <w:p>
      <w:pPr>
        <w:numPr>
          <w:ilvl w:val="0"/>
          <w:numId w:val="1377"/>
        </w:numPr>
        <w:pStyle w:val="Compact"/>
      </w:pPr>
      <w:r>
        <w:t xml:space="preserve">2020 · Romera I ·</w:t>
      </w:r>
      <w:r>
        <w:t xml:space="preserve"> </w:t>
      </w:r>
      <w:r>
        <w:rPr>
          <w:iCs/>
          <w:i/>
        </w:rPr>
        <w:t xml:space="preserve">J Diabetes Complications</w:t>
      </w:r>
      <w:r>
        <w:t xml:space="preserve"> </w:t>
      </w:r>
      <w:r>
        <w:t xml:space="preserve">· Once-weekly dulaglutide versus insulin glargine in the early control of fasting serum glucose and HbA1c. PMID 32220551</w:t>
      </w:r>
    </w:p>
    <w:p>
      <w:pPr>
        <w:numPr>
          <w:ilvl w:val="0"/>
          <w:numId w:val="1377"/>
        </w:numPr>
        <w:pStyle w:val="Compact"/>
      </w:pPr>
      <w:r>
        <w:t xml:space="preserve">2020 · Asakura T ·</w:t>
      </w:r>
      <w:r>
        <w:t xml:space="preserve"> </w:t>
      </w:r>
      <w:r>
        <w:rPr>
          <w:iCs/>
          <w:i/>
        </w:rPr>
        <w:t xml:space="preserve">Curr Med Res Opin</w:t>
      </w:r>
      <w:r>
        <w:t xml:space="preserve"> </w:t>
      </w:r>
      <w:r>
        <w:t xml:space="preserve">· Comparative study of dulaglutide single-use pen Ateos versus insulin degludec FlexTouch on learning and mock administration time in Japanese patients with type 2 diabetes mellitus - a post-hoc analysis. PMID 32141343</w:t>
      </w:r>
    </w:p>
    <w:p>
      <w:pPr>
        <w:numPr>
          <w:ilvl w:val="0"/>
          <w:numId w:val="1377"/>
        </w:numPr>
        <w:pStyle w:val="Compact"/>
      </w:pPr>
      <w:r>
        <w:t xml:space="preserve">2020 · Gerstein HC ·</w:t>
      </w:r>
      <w:r>
        <w:t xml:space="preserve"> </w:t>
      </w:r>
      <w:r>
        <w:rPr>
          <w:iCs/>
          <w:i/>
        </w:rPr>
        <w:t xml:space="preserve">Lancet Diabetes Endocrinol</w:t>
      </w:r>
      <w:r>
        <w:t xml:space="preserve"> </w:t>
      </w:r>
      <w:r>
        <w:t xml:space="preserve">· The effect of dulaglutide on stroke: an exploratory analysis of the REWIND trial. PMID 31924562</w:t>
      </w:r>
    </w:p>
    <w:p>
      <w:pPr>
        <w:numPr>
          <w:ilvl w:val="0"/>
          <w:numId w:val="1377"/>
        </w:numPr>
        <w:pStyle w:val="Compact"/>
      </w:pPr>
      <w:r>
        <w:t xml:space="preserve">2020 · DeSouza C ·</w:t>
      </w:r>
      <w:r>
        <w:t xml:space="preserve"> </w:t>
      </w:r>
      <w:r>
        <w:rPr>
          <w:iCs/>
          <w:i/>
        </w:rPr>
        <w:t xml:space="preserve">J Clin Endocrinol Metab</w:t>
      </w:r>
      <w:r>
        <w:t xml:space="preserve"> </w:t>
      </w:r>
      <w:r>
        <w:t xml:space="preserve">· Efficacy and Safety of Semaglutide for Type 2 Diabetes by Race and Ethnicity: A Post Hoc Analysis of the SUSTAIN Trials. PMID 31769496</w:t>
      </w:r>
    </w:p>
    <w:p>
      <w:pPr>
        <w:numPr>
          <w:ilvl w:val="0"/>
          <w:numId w:val="1377"/>
        </w:numPr>
        <w:pStyle w:val="Compact"/>
      </w:pPr>
      <w:r>
        <w:t xml:space="preserve">2020 · Xiao X ·</w:t>
      </w:r>
      <w:r>
        <w:t xml:space="preserve"> </w:t>
      </w:r>
      <w:r>
        <w:rPr>
          <w:iCs/>
          <w:i/>
        </w:rPr>
        <w:t xml:space="preserve">J Diabetes Investig</w:t>
      </w:r>
      <w:r>
        <w:t xml:space="preserve"> </w:t>
      </w:r>
      <w:r>
        <w:t xml:space="preserve">· Achieving the composite end-point of glycated hemoglobin &lt;7.0% without weight gain or hypoglycemia with once-weekly dulaglutide in Chinese patients with type 2 diabetes: A post-hoc analysis. PMID 31758850</w:t>
      </w:r>
    </w:p>
    <w:p>
      <w:pPr>
        <w:numPr>
          <w:ilvl w:val="0"/>
          <w:numId w:val="1377"/>
        </w:numPr>
        <w:pStyle w:val="Compact"/>
      </w:pPr>
      <w:r>
        <w:t xml:space="preserve">2020 · Matza LS ·</w:t>
      </w:r>
      <w:r>
        <w:t xml:space="preserve"> </w:t>
      </w:r>
      <w:r>
        <w:rPr>
          <w:iCs/>
          <w:i/>
        </w:rPr>
        <w:t xml:space="preserve">Diabetes Obes Metab</w:t>
      </w:r>
      <w:r>
        <w:t xml:space="preserve"> </w:t>
      </w:r>
      <w:r>
        <w:t xml:space="preserve">· Assessing patient PREFERence between the dulaglutide pen and the semaglutide pen: A crossover study (PREFER). PMID 31646727</w:t>
      </w:r>
    </w:p>
    <w:p>
      <w:pPr>
        <w:numPr>
          <w:ilvl w:val="0"/>
          <w:numId w:val="1377"/>
        </w:numPr>
        <w:pStyle w:val="Compact"/>
      </w:pPr>
      <w:r>
        <w:t xml:space="preserve">2020 · Fushimi N ·</w:t>
      </w:r>
      <w:r>
        <w:t xml:space="preserve"> </w:t>
      </w:r>
      <w:r>
        <w:rPr>
          <w:iCs/>
          <w:i/>
        </w:rPr>
        <w:t xml:space="preserve">J Diabetes Investig</w:t>
      </w:r>
      <w:r>
        <w:t xml:space="preserve"> </w:t>
      </w:r>
      <w:r>
        <w:t xml:space="preserve">· Dulaglutide-combined basal plus correction insulin therapy contributes to ideal glycemic control in non-critical hospitalized patients. PMID 31168938</w:t>
      </w:r>
    </w:p>
    <w:p>
      <w:pPr>
        <w:numPr>
          <w:ilvl w:val="0"/>
          <w:numId w:val="1377"/>
        </w:numPr>
        <w:pStyle w:val="Compact"/>
      </w:pPr>
      <w:r>
        <w:t xml:space="preserve">2020 · Shi LX ·</w:t>
      </w:r>
      <w:r>
        <w:t xml:space="preserve"> </w:t>
      </w:r>
      <w:r>
        <w:rPr>
          <w:iCs/>
          <w:i/>
        </w:rPr>
        <w:t xml:space="preserve">J Diabetes Investig</w:t>
      </w:r>
      <w:r>
        <w:t xml:space="preserve"> </w:t>
      </w:r>
      <w:r>
        <w:t xml:space="preserve">· Efficacy and safety of dulaglutide monotherapy compared with glimepiride in Chinese patients with type 2 diabetes: Post-hoc analyses of a randomized, double-blind, phase III study. PMID 31102326</w:t>
      </w:r>
    </w:p>
    <w:p>
      <w:pPr>
        <w:numPr>
          <w:ilvl w:val="0"/>
          <w:numId w:val="1377"/>
        </w:numPr>
        <w:pStyle w:val="Compact"/>
      </w:pPr>
      <w:r>
        <w:t xml:space="preserve">2019 · Wang J ·</w:t>
      </w:r>
      <w:r>
        <w:t xml:space="preserve"> </w:t>
      </w:r>
      <w:r>
        <w:rPr>
          <w:iCs/>
          <w:i/>
        </w:rPr>
        <w:t xml:space="preserve">Biomed Res Int</w:t>
      </w:r>
      <w:r>
        <w:t xml:space="preserve"> </w:t>
      </w:r>
      <w:r>
        <w:t xml:space="preserve">· The Effects of Once-Weekly Dulaglutide and Insulin Glargine on Glucose Fluctuation in Poorly Oral-Antidiabetic Controlled Patients with Type 2 Diabetes Mellitus. PMID 31950036</w:t>
      </w:r>
    </w:p>
    <w:p>
      <w:pPr>
        <w:numPr>
          <w:ilvl w:val="0"/>
          <w:numId w:val="1377"/>
        </w:numPr>
        <w:pStyle w:val="Compact"/>
      </w:pPr>
      <w:r>
        <w:t xml:space="preserve">2019 · Blonde L ·</w:t>
      </w:r>
      <w:r>
        <w:t xml:space="preserve"> </w:t>
      </w:r>
      <w:r>
        <w:rPr>
          <w:iCs/>
          <w:i/>
        </w:rPr>
        <w:t xml:space="preserve">Diabetes Care</w:t>
      </w:r>
      <w:r>
        <w:t xml:space="preserve"> </w:t>
      </w:r>
      <w:r>
        <w:t xml:space="preserve">· Switching to iGlarLixi Versus Continuing Daily or Weekly GLP-1 RA in Type 2 Diabetes Inadequately Controlled by GLP-1 RA and Oral Antihyperglycemic Therapy: The LixiLan-G Randomized Clinical Trial. PMID 31530665</w:t>
      </w:r>
    </w:p>
    <w:p>
      <w:pPr>
        <w:numPr>
          <w:ilvl w:val="0"/>
          <w:numId w:val="1377"/>
        </w:numPr>
        <w:pStyle w:val="Compact"/>
      </w:pPr>
      <w:r>
        <w:t xml:space="preserve">2019 · Kutoh E ·</w:t>
      </w:r>
      <w:r>
        <w:t xml:space="preserve"> </w:t>
      </w:r>
      <w:r>
        <w:rPr>
          <w:iCs/>
          <w:i/>
        </w:rPr>
        <w:t xml:space="preserve">Endocr Regul</w:t>
      </w:r>
      <w:r>
        <w:t xml:space="preserve"> </w:t>
      </w:r>
      <w:r>
        <w:t xml:space="preserve">· Efficacy and safety of dulaglutide in patients with absolute insulin deficiency. PMID 31517629</w:t>
      </w:r>
    </w:p>
    <w:p>
      <w:pPr>
        <w:numPr>
          <w:ilvl w:val="0"/>
          <w:numId w:val="1377"/>
        </w:numPr>
        <w:pStyle w:val="Compact"/>
      </w:pPr>
      <w:r>
        <w:t xml:space="preserve">2019 · Gentilella R ·</w:t>
      </w:r>
      <w:r>
        <w:t xml:space="preserve"> </w:t>
      </w:r>
      <w:r>
        <w:rPr>
          <w:iCs/>
          <w:i/>
        </w:rPr>
        <w:t xml:space="preserve">Diabetes Obes Metab</w:t>
      </w:r>
      <w:r>
        <w:t xml:space="preserve"> </w:t>
      </w:r>
      <w:r>
        <w:t xml:space="preserve">· Dulaglutide is an effective treatment for lowering HbA1c in patients with type 2 diabetes regardless of body mass index. PMID 31392822</w:t>
      </w:r>
    </w:p>
    <w:p>
      <w:pPr>
        <w:numPr>
          <w:ilvl w:val="0"/>
          <w:numId w:val="1377"/>
        </w:numPr>
        <w:pStyle w:val="Compact"/>
      </w:pPr>
      <w:r>
        <w:t xml:space="preserve">2019 · Jendle J ·</w:t>
      </w:r>
      <w:r>
        <w:t xml:space="preserve"> </w:t>
      </w:r>
      <w:r>
        <w:rPr>
          <w:iCs/>
          <w:i/>
        </w:rPr>
        <w:t xml:space="preserve">Diabetes Obes Metab</w:t>
      </w:r>
      <w:r>
        <w:t xml:space="preserve"> </w:t>
      </w:r>
      <w:r>
        <w:t xml:space="preserve">· Improved treatment satisfaction in patients with type 2 diabetes treated with once-weekly semaglutide in the SUSTAIN trials. PMID 31215727</w:t>
      </w:r>
    </w:p>
    <w:p>
      <w:pPr>
        <w:numPr>
          <w:ilvl w:val="0"/>
          <w:numId w:val="1377"/>
        </w:numPr>
        <w:pStyle w:val="Compact"/>
      </w:pPr>
      <w:r>
        <w:t xml:space="preserve">2019 · Gerstein HC ·</w:t>
      </w:r>
      <w:r>
        <w:t xml:space="preserve"> </w:t>
      </w:r>
      <w:r>
        <w:rPr>
          <w:iCs/>
          <w:i/>
        </w:rPr>
        <w:t xml:space="preserve">Lancet</w:t>
      </w:r>
      <w:r>
        <w:t xml:space="preserve"> </w:t>
      </w:r>
      <w:r>
        <w:t xml:space="preserve">· Dulaglutide and cardiovascular outcomes in type 2 diabetes (REWIND): a double-blind, randomised placebo-controlled trial. PMID 31189511</w:t>
      </w:r>
    </w:p>
    <w:p>
      <w:pPr>
        <w:numPr>
          <w:ilvl w:val="0"/>
          <w:numId w:val="1377"/>
        </w:numPr>
        <w:pStyle w:val="Compact"/>
      </w:pPr>
      <w:r>
        <w:t xml:space="preserve">2019 · Gerstein HC ·</w:t>
      </w:r>
      <w:r>
        <w:t xml:space="preserve"> </w:t>
      </w:r>
      <w:r>
        <w:rPr>
          <w:iCs/>
          <w:i/>
        </w:rPr>
        <w:t xml:space="preserve">Lancet</w:t>
      </w:r>
      <w:r>
        <w:t xml:space="preserve"> </w:t>
      </w:r>
      <w:r>
        <w:t xml:space="preserve">· Dulaglutide and renal outcomes in type 2 diabetes: an exploratory analysis of the REWIND randomised, placebo-controlled trial. PMID 31189509</w:t>
      </w:r>
    </w:p>
    <w:p>
      <w:pPr>
        <w:numPr>
          <w:ilvl w:val="0"/>
          <w:numId w:val="1377"/>
        </w:numPr>
        <w:pStyle w:val="Compact"/>
      </w:pPr>
      <w:r>
        <w:t xml:space="preserve">2019 · Li H ·</w:t>
      </w:r>
      <w:r>
        <w:t xml:space="preserve"> </w:t>
      </w:r>
      <w:r>
        <w:rPr>
          <w:iCs/>
          <w:i/>
        </w:rPr>
        <w:t xml:space="preserve">J Diabetes Res</w:t>
      </w:r>
      <w:r>
        <w:t xml:space="preserve"> </w:t>
      </w:r>
      <w:r>
        <w:t xml:space="preserve">· A Randomized Study to Compare the Effects of Once-Weekly Dulaglutide Injection and Once-Daily Glimepiride on Glucose Fluctuation of Type 2 Diabetes Mellitus Patients: A 26-Week Follow-Up. PMID 31183384</w:t>
      </w:r>
    </w:p>
    <w:p>
      <w:pPr>
        <w:numPr>
          <w:ilvl w:val="0"/>
          <w:numId w:val="1377"/>
        </w:numPr>
        <w:pStyle w:val="Compact"/>
      </w:pPr>
      <w:r>
        <w:t xml:space="preserve">2019 · Frias JP ·</w:t>
      </w:r>
      <w:r>
        <w:t xml:space="preserve"> </w:t>
      </w:r>
      <w:r>
        <w:rPr>
          <w:iCs/>
          <w:i/>
        </w:rPr>
        <w:t xml:space="preserve">Diabetes Obes Metab</w:t>
      </w:r>
      <w:r>
        <w:t xml:space="preserve"> </w:t>
      </w:r>
      <w:r>
        <w:t xml:space="preserve">· Efficacy and safety of an expanded dulaglutide dose range: A phase 2, placebo-controlled trial in patients with type 2 diabetes using metformin. PMID 31050143</w:t>
      </w:r>
    </w:p>
    <w:p>
      <w:pPr>
        <w:numPr>
          <w:ilvl w:val="0"/>
          <w:numId w:val="1377"/>
        </w:numPr>
        <w:pStyle w:val="Compact"/>
      </w:pPr>
      <w:r>
        <w:t xml:space="preserve">2019 · Tuttle KR ·</w:t>
      </w:r>
      <w:r>
        <w:t xml:space="preserve"> </w:t>
      </w:r>
      <w:r>
        <w:rPr>
          <w:iCs/>
          <w:i/>
        </w:rPr>
        <w:t xml:space="preserve">Diabetes Obes Metab</w:t>
      </w:r>
      <w:r>
        <w:t xml:space="preserve"> </w:t>
      </w:r>
      <w:r>
        <w:t xml:space="preserve">· Body weight and eGFR during dulaglutide treatment in type 2 diabetes and moderate-to-severe chronic kidney disease (AWARD-7). PMID 30762290</w:t>
      </w:r>
    </w:p>
    <w:p>
      <w:pPr>
        <w:numPr>
          <w:ilvl w:val="0"/>
          <w:numId w:val="1377"/>
        </w:numPr>
        <w:pStyle w:val="Compact"/>
      </w:pPr>
      <w:r>
        <w:t xml:space="preserve">2019 · Fuechtenbusch M ·</w:t>
      </w:r>
      <w:r>
        <w:t xml:space="preserve"> </w:t>
      </w:r>
      <w:r>
        <w:rPr>
          <w:iCs/>
          <w:i/>
        </w:rPr>
        <w:t xml:space="preserve">Diabetes Obes Metab</w:t>
      </w:r>
      <w:r>
        <w:t xml:space="preserve"> </w:t>
      </w:r>
      <w:r>
        <w:t xml:space="preserve">· Weight loss in patients with type 2 diabetes receiving once-weekly dulaglutide plus insulin lispro or insulin glargine plus insulin lispro: A post-hoc analysis of the AWARD-4 study across baseline body mass index subgroups. PMID 30737891</w:t>
      </w:r>
    </w:p>
    <w:p>
      <w:pPr>
        <w:numPr>
          <w:ilvl w:val="0"/>
          <w:numId w:val="1377"/>
        </w:numPr>
        <w:pStyle w:val="Compact"/>
      </w:pPr>
      <w:r>
        <w:t xml:space="preserve">2019 · Wang W ·</w:t>
      </w:r>
      <w:r>
        <w:t xml:space="preserve"> </w:t>
      </w:r>
      <w:r>
        <w:rPr>
          <w:iCs/>
          <w:i/>
        </w:rPr>
        <w:t xml:space="preserve">Diabetes Obes Metab</w:t>
      </w:r>
      <w:r>
        <w:t xml:space="preserve"> </w:t>
      </w:r>
      <w:r>
        <w:t xml:space="preserve">· Efficacy and safety of once-weekly dulaglutide versus insulin glargine in mainly Asian patients with type 2 diabetes mellitus on metformin and/or a sulphonylurea: A 52-week open-label, randomized phase III trial. PMID 30129089</w:t>
      </w:r>
    </w:p>
    <w:p>
      <w:pPr>
        <w:numPr>
          <w:ilvl w:val="0"/>
          <w:numId w:val="1377"/>
        </w:numPr>
        <w:pStyle w:val="Compact"/>
      </w:pPr>
      <w:r>
        <w:t xml:space="preserve">2019 · Takase T ·</w:t>
      </w:r>
      <w:r>
        <w:t xml:space="preserve"> </w:t>
      </w:r>
      <w:r>
        <w:rPr>
          <w:iCs/>
          <w:i/>
        </w:rPr>
        <w:t xml:space="preserve">J Diabetes Investig</w:t>
      </w:r>
      <w:r>
        <w:t xml:space="preserve"> </w:t>
      </w:r>
      <w:r>
        <w:t xml:space="preserve">· Improvement in treatment satisfaction after switching from liraglutide to dulaglutide in patients with type 2 diabetes: A randomized controlled trial. PMID 30076787</w:t>
      </w:r>
    </w:p>
    <w:p>
      <w:pPr>
        <w:numPr>
          <w:ilvl w:val="0"/>
          <w:numId w:val="1377"/>
        </w:numPr>
        <w:pStyle w:val="Compact"/>
      </w:pPr>
      <w:r>
        <w:t xml:space="preserve">2019 · Overgaard RV ·</w:t>
      </w:r>
      <w:r>
        <w:t xml:space="preserve"> </w:t>
      </w:r>
      <w:r>
        <w:rPr>
          <w:iCs/>
          <w:i/>
        </w:rPr>
        <w:t xml:space="preserve">Diabetes Obes Metab</w:t>
      </w:r>
      <w:r>
        <w:t xml:space="preserve"> </w:t>
      </w:r>
      <w:r>
        <w:t xml:space="preserve">· Impact on HbA1c and body weight of switching from other GLP-1 receptor agonists to semaglutide: A model-based approach. PMID 30047216</w:t>
      </w:r>
    </w:p>
    <w:p>
      <w:pPr>
        <w:numPr>
          <w:ilvl w:val="0"/>
          <w:numId w:val="1377"/>
        </w:numPr>
        <w:pStyle w:val="Compact"/>
      </w:pPr>
      <w:r>
        <w:t xml:space="preserve">2018 · Coskun T ·</w:t>
      </w:r>
      <w:r>
        <w:t xml:space="preserve"> </w:t>
      </w:r>
      <w:r>
        <w:rPr>
          <w:iCs/>
          <w:i/>
        </w:rPr>
        <w:t xml:space="preserve">Mol Metab</w:t>
      </w:r>
      <w:r>
        <w:t xml:space="preserve"> </w:t>
      </w:r>
      <w:r>
        <w:t xml:space="preserve">· LY3298176, a novel dual GIP and GLP-1 receptor agonist for the treatment of type 2 diabetes mellitus: From discovery to clinical proof of concept. PMID 30473097</w:t>
      </w:r>
    </w:p>
    <w:p>
      <w:pPr>
        <w:numPr>
          <w:ilvl w:val="0"/>
          <w:numId w:val="1377"/>
        </w:numPr>
        <w:pStyle w:val="Compact"/>
      </w:pPr>
      <w:r>
        <w:t xml:space="preserve">2018 · Frias JP ·</w:t>
      </w:r>
      <w:r>
        <w:t xml:space="preserve"> </w:t>
      </w:r>
      <w:r>
        <w:rPr>
          <w:iCs/>
          <w:i/>
        </w:rPr>
        <w:t xml:space="preserve">Lancet</w:t>
      </w:r>
      <w:r>
        <w:t xml:space="preserve"> </w:t>
      </w:r>
      <w:r>
        <w:t xml:space="preserve">· Efficacy and safety of LY3298176, a novel dual GIP and GLP-1 receptor agonist, in patients with type 2 diabetes: a randomised, placebo-controlled and active comparator-controlled phase 2 trial. PMID 30293770</w:t>
      </w:r>
    </w:p>
    <w:p>
      <w:pPr>
        <w:numPr>
          <w:ilvl w:val="0"/>
          <w:numId w:val="1377"/>
        </w:numPr>
        <w:pStyle w:val="Compact"/>
      </w:pPr>
      <w:r>
        <w:t xml:space="preserve">2018 · Tuttle KR ·</w:t>
      </w:r>
      <w:r>
        <w:t xml:space="preserve"> </w:t>
      </w:r>
      <w:r>
        <w:rPr>
          <w:iCs/>
          <w:i/>
        </w:rPr>
        <w:t xml:space="preserve">Lancet Diabetes Endocrinol</w:t>
      </w:r>
      <w:r>
        <w:t xml:space="preserve"> </w:t>
      </w:r>
      <w:r>
        <w:t xml:space="preserve">· Dulaglutide versus insulin glargine in patients with type 2 diabetes and moderate-to-severe chronic kidney disease (AWARD-7): a multicentre, open-label, randomised trial. PMID 29910024</w:t>
      </w:r>
    </w:p>
    <w:p>
      <w:pPr>
        <w:numPr>
          <w:ilvl w:val="0"/>
          <w:numId w:val="1377"/>
        </w:numPr>
        <w:pStyle w:val="Compact"/>
      </w:pPr>
      <w:r>
        <w:t xml:space="preserve">2018 · Chen YH ·</w:t>
      </w:r>
      <w:r>
        <w:t xml:space="preserve"> </w:t>
      </w:r>
      <w:r>
        <w:rPr>
          <w:iCs/>
          <w:i/>
        </w:rPr>
        <w:t xml:space="preserve">Diabetes Obes Metab</w:t>
      </w:r>
      <w:r>
        <w:t xml:space="preserve"> </w:t>
      </w:r>
      <w:r>
        <w:t xml:space="preserve">· Efficacy and safety of dulaglutide monotherapy compared with glimepiride in East-Asian patients with type 2 diabetes in a multicentre, double-blind, randomized, parallel-arm, active comparator, phase III trial. PMID 29708650</w:t>
      </w:r>
    </w:p>
    <w:p>
      <w:pPr>
        <w:numPr>
          <w:ilvl w:val="0"/>
          <w:numId w:val="1377"/>
        </w:numPr>
        <w:pStyle w:val="Compact"/>
      </w:pPr>
      <w:r>
        <w:t xml:space="preserve">2018 · Mathieu C ·</w:t>
      </w:r>
      <w:r>
        <w:t xml:space="preserve"> </w:t>
      </w:r>
      <w:r>
        <w:rPr>
          <w:iCs/>
          <w:i/>
        </w:rPr>
        <w:t xml:space="preserve">Diabetes Obes Metab</w:t>
      </w:r>
      <w:r>
        <w:t xml:space="preserve"> </w:t>
      </w:r>
      <w:r>
        <w:t xml:space="preserve">· Effect of once weekly dulaglutide by baseline beta-cell function in people with type 2 diabetes in the AWARD programme. PMID 29603872</w:t>
      </w:r>
    </w:p>
    <w:p>
      <w:pPr>
        <w:numPr>
          <w:ilvl w:val="0"/>
          <w:numId w:val="1377"/>
        </w:numPr>
        <w:pStyle w:val="Compact"/>
      </w:pPr>
      <w:r>
        <w:t xml:space="preserve">2018 · Asakura T ·</w:t>
      </w:r>
      <w:r>
        <w:t xml:space="preserve"> </w:t>
      </w:r>
      <w:r>
        <w:rPr>
          <w:iCs/>
          <w:i/>
        </w:rPr>
        <w:t xml:space="preserve">Curr Med Res Opin</w:t>
      </w:r>
      <w:r>
        <w:t xml:space="preserve"> </w:t>
      </w:r>
      <w:r>
        <w:t xml:space="preserve">· Comparative usability study of the dulaglutide single-use pen versus the insulin degludec FlexTouch(®) among self-injection-naïve patients with type 2 diabetes mellitus in Japan. PMID 29504812</w:t>
      </w:r>
    </w:p>
    <w:p>
      <w:pPr>
        <w:numPr>
          <w:ilvl w:val="0"/>
          <w:numId w:val="1377"/>
        </w:numPr>
        <w:pStyle w:val="Compact"/>
      </w:pPr>
      <w:r>
        <w:t xml:space="preserve">2018 · Ludvik B ·</w:t>
      </w:r>
      <w:r>
        <w:t xml:space="preserve"> </w:t>
      </w:r>
      <w:r>
        <w:rPr>
          <w:iCs/>
          <w:i/>
        </w:rPr>
        <w:t xml:space="preserve">Lancet Diabetes Endocrinol</w:t>
      </w:r>
      <w:r>
        <w:t xml:space="preserve"> </w:t>
      </w:r>
      <w:r>
        <w:t xml:space="preserve">· Dulaglutide as add-on therapy to SGLT2 inhibitors in patients with inadequately controlled type 2 diabetes (AWARD-10): a 24-week, randomised, double-blind, placebo-controlled trial. PMID 29483060</w:t>
      </w:r>
    </w:p>
    <w:p>
      <w:pPr>
        <w:numPr>
          <w:ilvl w:val="0"/>
          <w:numId w:val="1377"/>
        </w:numPr>
        <w:pStyle w:val="Compact"/>
      </w:pPr>
      <w:r>
        <w:t xml:space="preserve">2018 · Pantalone KM ·</w:t>
      </w:r>
      <w:r>
        <w:t xml:space="preserve"> </w:t>
      </w:r>
      <w:r>
        <w:rPr>
          <w:iCs/>
          <w:i/>
        </w:rPr>
        <w:t xml:space="preserve">Diabetes Obes Metab</w:t>
      </w:r>
      <w:r>
        <w:t xml:space="preserve"> </w:t>
      </w:r>
      <w:r>
        <w:t xml:space="preserve">· Dulaglutide 1.5 mg as an add-on option for patients uncontrolled on insulin: Subgroup analysis by age, duration of diabetes and baseline glycated haemoglobin concentration. PMID 29430801</w:t>
      </w:r>
    </w:p>
    <w:p>
      <w:pPr>
        <w:numPr>
          <w:ilvl w:val="0"/>
          <w:numId w:val="1377"/>
        </w:numPr>
        <w:pStyle w:val="Compact"/>
      </w:pPr>
      <w:r>
        <w:t xml:space="preserve">2018 · Pratley RE ·</w:t>
      </w:r>
      <w:r>
        <w:t xml:space="preserve"> </w:t>
      </w:r>
      <w:r>
        <w:rPr>
          <w:iCs/>
          <w:i/>
        </w:rPr>
        <w:t xml:space="preserve">Lancet Diabetes Endocrinol</w:t>
      </w:r>
      <w:r>
        <w:t xml:space="preserve"> </w:t>
      </w:r>
      <w:r>
        <w:t xml:space="preserve">· Semaglutide versus dulaglutide once weekly in patients with type 2 diabetes (SUSTAIN 7): a randomised, open-label, phase 3b trial. PMID 29397376</w:t>
      </w:r>
    </w:p>
    <w:p>
      <w:pPr>
        <w:numPr>
          <w:ilvl w:val="0"/>
          <w:numId w:val="1377"/>
        </w:numPr>
        <w:pStyle w:val="Compact"/>
      </w:pPr>
      <w:r>
        <w:t xml:space="preserve">2018 · Pozzilli P ·</w:t>
      </w:r>
      <w:r>
        <w:t xml:space="preserve"> </w:t>
      </w:r>
      <w:r>
        <w:rPr>
          <w:iCs/>
          <w:i/>
        </w:rPr>
        <w:t xml:space="preserve">Diabetes Obes Metab</w:t>
      </w:r>
      <w:r>
        <w:t xml:space="preserve"> </w:t>
      </w:r>
      <w:r>
        <w:t xml:space="preserve">· Dulaglutide treatment results in effective glycaemic control in latent autoimmune diabetes in adults (LADA): A post-hoc analysis of the AWARD-2, -4 and -5 Trials. PMID 29377522</w:t>
      </w:r>
    </w:p>
    <w:p>
      <w:pPr>
        <w:numPr>
          <w:ilvl w:val="0"/>
          <w:numId w:val="1377"/>
        </w:numPr>
        <w:pStyle w:val="Compact"/>
      </w:pPr>
      <w:r>
        <w:t xml:space="preserve">2018 · Gallwitz B ·</w:t>
      </w:r>
      <w:r>
        <w:t xml:space="preserve"> </w:t>
      </w:r>
      <w:r>
        <w:rPr>
          <w:iCs/>
          <w:i/>
        </w:rPr>
        <w:t xml:space="preserve">Diabetes Obes Metab</w:t>
      </w:r>
      <w:r>
        <w:t xml:space="preserve"> </w:t>
      </w:r>
      <w:r>
        <w:t xml:space="preserve">· Effect of once-weekly dulaglutide on glycated haemoglobin (HbA1c) and fasting blood glucose in patient subpopulations by gender, duration of diabetes and baseline HbA1c. PMID 28817231</w:t>
      </w:r>
    </w:p>
    <w:p>
      <w:pPr>
        <w:numPr>
          <w:ilvl w:val="0"/>
          <w:numId w:val="1377"/>
        </w:numPr>
        <w:pStyle w:val="Compact"/>
      </w:pPr>
      <w:r>
        <w:t xml:space="preserve">2017 · Yu M ·</w:t>
      </w:r>
      <w:r>
        <w:t xml:space="preserve"> </w:t>
      </w:r>
      <w:r>
        <w:rPr>
          <w:iCs/>
          <w:i/>
        </w:rPr>
        <w:t xml:space="preserve">Clin Ther</w:t>
      </w:r>
      <w:r>
        <w:t xml:space="preserve"> </w:t>
      </w:r>
      <w:r>
        <w:t xml:space="preserve">· Patient-reported Outcomes in Patients with Type 2 Diabetes Treated with Dulaglutide Added to Titrated Insulin Glargine (AWARD-9). PMID 29110972</w:t>
      </w:r>
    </w:p>
    <w:p>
      <w:pPr>
        <w:numPr>
          <w:ilvl w:val="0"/>
          <w:numId w:val="1377"/>
        </w:numPr>
        <w:pStyle w:val="Compact"/>
      </w:pPr>
      <w:r>
        <w:t xml:space="preserve">2017 · Kaneko S ·</w:t>
      </w:r>
      <w:r>
        <w:t xml:space="preserve"> </w:t>
      </w:r>
      <w:r>
        <w:rPr>
          <w:iCs/>
          <w:i/>
        </w:rPr>
        <w:t xml:space="preserve">Endocr J</w:t>
      </w:r>
      <w:r>
        <w:t xml:space="preserve"> </w:t>
      </w:r>
      <w:r>
        <w:t xml:space="preserve">· Efficacy and safety of subgroup analysis stratified by baseline HbA1c in a Japanese phase 3 study of dulaglutide 0.75 mg compared with insulin glargine in patients with type 2 diabetes. PMID 28904247</w:t>
      </w:r>
    </w:p>
    <w:p>
      <w:pPr>
        <w:numPr>
          <w:ilvl w:val="0"/>
          <w:numId w:val="1377"/>
        </w:numPr>
        <w:pStyle w:val="Compact"/>
      </w:pPr>
      <w:r>
        <w:t xml:space="preserve">2017 · Suzuki S ·</w:t>
      </w:r>
      <w:r>
        <w:t xml:space="preserve"> </w:t>
      </w:r>
      <w:r>
        <w:rPr>
          <w:iCs/>
          <w:i/>
        </w:rPr>
        <w:t xml:space="preserve">Health Qual Life Outcomes</w:t>
      </w:r>
      <w:r>
        <w:t xml:space="preserve"> </w:t>
      </w:r>
      <w:r>
        <w:t xml:space="preserve">· Evaluation of the impact of once weekly dulaglutide on patient-reported outcomes in Japanese patients with type 2 diabetes: comparisons with liraglutide, insulin glargine, and placebo in two randomized studies. PMID 28606095</w:t>
      </w:r>
    </w:p>
    <w:p>
      <w:pPr>
        <w:numPr>
          <w:ilvl w:val="0"/>
          <w:numId w:val="1377"/>
        </w:numPr>
        <w:pStyle w:val="Compact"/>
      </w:pPr>
      <w:r>
        <w:t xml:space="preserve">2017 · Onishi Y ·</w:t>
      </w:r>
      <w:r>
        <w:t xml:space="preserve"> </w:t>
      </w:r>
      <w:r>
        <w:rPr>
          <w:iCs/>
          <w:i/>
        </w:rPr>
        <w:t xml:space="preserve">Endocr J</w:t>
      </w:r>
      <w:r>
        <w:t xml:space="preserve"> </w:t>
      </w:r>
      <w:r>
        <w:t xml:space="preserve">· Analysis of efficacy and safety of dulaglutide 0.75 mg stratified by sex in patients with type 2 diabetes in 2 randomized, controlled phase 3 studies in Japan. PMID 28367916</w:t>
      </w:r>
    </w:p>
    <w:p>
      <w:pPr>
        <w:numPr>
          <w:ilvl w:val="0"/>
          <w:numId w:val="1377"/>
        </w:numPr>
        <w:pStyle w:val="Compact"/>
      </w:pPr>
      <w:r>
        <w:t xml:space="preserve">2017 · de la Peña A ·</w:t>
      </w:r>
      <w:r>
        <w:t xml:space="preserve"> </w:t>
      </w:r>
      <w:r>
        <w:rPr>
          <w:iCs/>
          <w:i/>
        </w:rPr>
        <w:t xml:space="preserve">Clin Pharmacokinet</w:t>
      </w:r>
      <w:r>
        <w:t xml:space="preserve"> </w:t>
      </w:r>
      <w:r>
        <w:t xml:space="preserve">· No Dose Adjustment is Recommended for Digoxin, Warfarin, Atorvastatin or a Combination Oral Contraceptive When Coadministered with Dulaglutide. PMID 28357715</w:t>
      </w:r>
    </w:p>
    <w:p>
      <w:pPr>
        <w:numPr>
          <w:ilvl w:val="0"/>
          <w:numId w:val="1377"/>
        </w:numPr>
        <w:pStyle w:val="Compact"/>
      </w:pPr>
      <w:r>
        <w:t xml:space="preserve">2017 · Hamano K ·</w:t>
      </w:r>
      <w:r>
        <w:t xml:space="preserve"> </w:t>
      </w:r>
      <w:r>
        <w:rPr>
          <w:iCs/>
          <w:i/>
        </w:rPr>
        <w:t xml:space="preserve">Endocr J</w:t>
      </w:r>
      <w:r>
        <w:t xml:space="preserve"> </w:t>
      </w:r>
      <w:r>
        <w:t xml:space="preserve">· Efficacy and safety analyses across 4 subgroups combining low and high age and body mass index groups in Japanese phase 3 studies of dulaglutide 0.75 mg after 26 weeks of treatment. PMID 28302958</w:t>
      </w:r>
    </w:p>
    <w:p>
      <w:pPr>
        <w:numPr>
          <w:ilvl w:val="0"/>
          <w:numId w:val="1377"/>
        </w:numPr>
        <w:pStyle w:val="Compact"/>
      </w:pPr>
      <w:r>
        <w:t xml:space="preserve">2017 · Pozzilli P ·</w:t>
      </w:r>
      <w:r>
        <w:t xml:space="preserve"> </w:t>
      </w:r>
      <w:r>
        <w:rPr>
          <w:iCs/>
          <w:i/>
        </w:rPr>
        <w:t xml:space="preserve">Diabetes Obes Metab</w:t>
      </w:r>
      <w:r>
        <w:t xml:space="preserve"> </w:t>
      </w:r>
      <w:r>
        <w:t xml:space="preserve">· Placebo-controlled, randomized trial of the addition of once-weekly glucagon-like peptide-1 receptor agonist dulaglutide to titrated daily insulin glargine in patients with type 2 diabetes (AWARD-9). PMID 28294499</w:t>
      </w:r>
    </w:p>
    <w:p>
      <w:pPr>
        <w:numPr>
          <w:ilvl w:val="0"/>
          <w:numId w:val="1377"/>
        </w:numPr>
        <w:pStyle w:val="Compact"/>
      </w:pPr>
      <w:r>
        <w:t xml:space="preserve">2017 · de la Peña A ·</w:t>
      </w:r>
      <w:r>
        <w:t xml:space="preserve"> </w:t>
      </w:r>
      <w:r>
        <w:rPr>
          <w:iCs/>
          <w:i/>
        </w:rPr>
        <w:t xml:space="preserve">Diabetes Obes Metab</w:t>
      </w:r>
      <w:r>
        <w:t xml:space="preserve"> </w:t>
      </w:r>
      <w:r>
        <w:t xml:space="preserve">· Once-weekly dulaglutide 1.5 mg restores insulin secretion in response to intravenous glucose infusion. PMID 27976833</w:t>
      </w:r>
    </w:p>
    <w:p>
      <w:pPr>
        <w:numPr>
          <w:ilvl w:val="0"/>
          <w:numId w:val="1377"/>
        </w:numPr>
        <w:pStyle w:val="Compact"/>
      </w:pPr>
      <w:r>
        <w:t xml:space="preserve">2017 · Emoto M ·</w:t>
      </w:r>
      <w:r>
        <w:t xml:space="preserve"> </w:t>
      </w:r>
      <w:r>
        <w:rPr>
          <w:iCs/>
          <w:i/>
        </w:rPr>
        <w:t xml:space="preserve">Endocr J</w:t>
      </w:r>
      <w:r>
        <w:t xml:space="preserve"> </w:t>
      </w:r>
      <w:r>
        <w:t xml:space="preserve">· Pancreatic safety in Japanese patients with type 2 diabetes treated with once weekly dulaglutide 0.75 mg up to 52 weeks in phase 3 clinical trials. PMID 27853058</w:t>
      </w:r>
    </w:p>
    <w:p>
      <w:pPr>
        <w:numPr>
          <w:ilvl w:val="0"/>
          <w:numId w:val="1377"/>
        </w:numPr>
        <w:pStyle w:val="Compact"/>
      </w:pPr>
      <w:r>
        <w:t xml:space="preserve">2016 · Davidson JA ·</w:t>
      </w:r>
      <w:r>
        <w:t xml:space="preserve"> </w:t>
      </w:r>
      <w:r>
        <w:rPr>
          <w:iCs/>
          <w:i/>
        </w:rPr>
        <w:t xml:space="preserve">Endocr Pract</w:t>
      </w:r>
      <w:r>
        <w:t xml:space="preserve"> </w:t>
      </w:r>
      <w:r>
        <w:t xml:space="preserve">· EFFICACY AND SAFETY OF DULAGLUTIDE IN HISPANIC/LATINO PATIENTS WITH TYPE 2 DIABETES IN THE AWARD CLINICAL PROGRAM. PMID 27540883</w:t>
      </w:r>
    </w:p>
    <w:p>
      <w:pPr>
        <w:numPr>
          <w:ilvl w:val="0"/>
          <w:numId w:val="1377"/>
        </w:numPr>
        <w:pStyle w:val="Compact"/>
      </w:pPr>
      <w:r>
        <w:t xml:space="preserve">2016 · Inagaki N ·</w:t>
      </w:r>
      <w:r>
        <w:t xml:space="preserve"> </w:t>
      </w:r>
      <w:r>
        <w:rPr>
          <w:iCs/>
          <w:i/>
        </w:rPr>
        <w:t xml:space="preserve">Diabetes Obes Metab</w:t>
      </w:r>
      <w:r>
        <w:t xml:space="preserve"> </w:t>
      </w:r>
      <w:r>
        <w:t xml:space="preserve">· The combination of dulaglutide and biguanide reduced bodyweight in Japanese patients with type 2 diabetes. PMID 27488246</w:t>
      </w:r>
    </w:p>
    <w:p>
      <w:pPr>
        <w:numPr>
          <w:ilvl w:val="0"/>
          <w:numId w:val="1377"/>
        </w:numPr>
        <w:pStyle w:val="Compact"/>
      </w:pPr>
      <w:r>
        <w:t xml:space="preserve">2016 · Jendle J ·</w:t>
      </w:r>
      <w:r>
        <w:t xml:space="preserve"> </w:t>
      </w:r>
      <w:r>
        <w:rPr>
          <w:iCs/>
          <w:i/>
        </w:rPr>
        <w:t xml:space="preserve">Diabetes Obes Metab</w:t>
      </w:r>
      <w:r>
        <w:t xml:space="preserve"> </w:t>
      </w:r>
      <w:r>
        <w:t xml:space="preserve">· Continuous glucose monitoring in patients with type 2 diabetes treated with glucagon-like peptide-1 receptor agonist dulaglutide in combination with prandial insulin lispro: an AWARD-4 substudy. PMID 27279266</w:t>
      </w:r>
    </w:p>
    <w:p>
      <w:pPr>
        <w:numPr>
          <w:ilvl w:val="0"/>
          <w:numId w:val="1377"/>
        </w:numPr>
        <w:pStyle w:val="Compact"/>
      </w:pPr>
      <w:r>
        <w:t xml:space="preserve">2016 · Wysham C ·</w:t>
      </w:r>
      <w:r>
        <w:t xml:space="preserve"> </w:t>
      </w:r>
      <w:r>
        <w:rPr>
          <w:iCs/>
          <w:i/>
        </w:rPr>
        <w:t xml:space="preserve">Diabetes Obes Metab</w:t>
      </w:r>
      <w:r>
        <w:t xml:space="preserve"> </w:t>
      </w:r>
      <w:r>
        <w:t xml:space="preserve">· Baseline factors associated with glycaemic response to treatment with once-weekly dulaglutide in patients with type 2 diabetes. PMID 27265893</w:t>
      </w:r>
    </w:p>
    <w:p>
      <w:pPr>
        <w:numPr>
          <w:ilvl w:val="0"/>
          <w:numId w:val="1377"/>
        </w:numPr>
        <w:pStyle w:val="Compact"/>
      </w:pPr>
      <w:r>
        <w:t xml:space="preserve">2016 · Umpierrez GE ·</w:t>
      </w:r>
      <w:r>
        <w:t xml:space="preserve"> </w:t>
      </w:r>
      <w:r>
        <w:rPr>
          <w:iCs/>
          <w:i/>
        </w:rPr>
        <w:t xml:space="preserve">Diabetes Obes Metab</w:t>
      </w:r>
      <w:r>
        <w:t xml:space="preserve"> </w:t>
      </w:r>
      <w:r>
        <w:t xml:space="preserve">· Relationship between weight change and glycaemic control in patients with type 2 diabetes receiving once-weekly dulaglutide treatment. PMID 26969812</w:t>
      </w:r>
    </w:p>
    <w:p>
      <w:pPr>
        <w:numPr>
          <w:ilvl w:val="0"/>
          <w:numId w:val="1377"/>
        </w:numPr>
        <w:pStyle w:val="Compact"/>
      </w:pPr>
      <w:r>
        <w:t xml:space="preserve">2016 · Milicevic Z ·</w:t>
      </w:r>
      <w:r>
        <w:t xml:space="preserve"> </w:t>
      </w:r>
      <w:r>
        <w:rPr>
          <w:iCs/>
          <w:i/>
        </w:rPr>
        <w:t xml:space="preserve">Diabetes Obes Metab</w:t>
      </w:r>
      <w:r>
        <w:t xml:space="preserve"> </w:t>
      </w:r>
      <w:r>
        <w:t xml:space="preserve">· Low incidence of anti-drug antibodies in patients with type 2 diabetes treated with once-weekly glucagon-like peptide-1 receptor agonist dulaglutide. PMID 26847401</w:t>
      </w:r>
    </w:p>
    <w:p>
      <w:pPr>
        <w:numPr>
          <w:ilvl w:val="0"/>
          <w:numId w:val="1377"/>
        </w:numPr>
        <w:pStyle w:val="Compact"/>
      </w:pPr>
      <w:r>
        <w:t xml:space="preserve">2016 · Dungan KM ·</w:t>
      </w:r>
      <w:r>
        <w:t xml:space="preserve"> </w:t>
      </w:r>
      <w:r>
        <w:rPr>
          <w:iCs/>
          <w:i/>
        </w:rPr>
        <w:t xml:space="preserve">Diabetes Obes Metab</w:t>
      </w:r>
      <w:r>
        <w:t xml:space="preserve"> </w:t>
      </w:r>
      <w:r>
        <w:t xml:space="preserve">· A 24-week study to evaluate the efficacy and safety of once-weekly dulaglutide added on to glimepiride in type 2 diabetes (AWARD-8). PMID 26799540</w:t>
      </w:r>
    </w:p>
    <w:p>
      <w:pPr>
        <w:numPr>
          <w:ilvl w:val="0"/>
          <w:numId w:val="1377"/>
        </w:numPr>
        <w:pStyle w:val="Compact"/>
      </w:pPr>
      <w:r>
        <w:t xml:space="preserve">2016 · Onishi Y ·</w:t>
      </w:r>
      <w:r>
        <w:t xml:space="preserve"> </w:t>
      </w:r>
      <w:r>
        <w:rPr>
          <w:iCs/>
          <w:i/>
        </w:rPr>
        <w:t xml:space="preserve">Endocr J</w:t>
      </w:r>
      <w:r>
        <w:t xml:space="preserve"> </w:t>
      </w:r>
      <w:r>
        <w:t xml:space="preserve">· Subgroup analysis of phase 3 studies of dulaglutide in Japanese patients with type 2 diabetes. PMID 26698689</w:t>
      </w:r>
    </w:p>
    <w:p>
      <w:pPr>
        <w:numPr>
          <w:ilvl w:val="0"/>
          <w:numId w:val="1377"/>
        </w:numPr>
        <w:pStyle w:val="Compact"/>
      </w:pPr>
      <w:r>
        <w:t xml:space="preserve">2016 · Yu M ·</w:t>
      </w:r>
      <w:r>
        <w:t xml:space="preserve"> </w:t>
      </w:r>
      <w:r>
        <w:rPr>
          <w:iCs/>
          <w:i/>
        </w:rPr>
        <w:t xml:space="preserve">Diabetes Obes Metab</w:t>
      </w:r>
      <w:r>
        <w:t xml:space="preserve"> </w:t>
      </w:r>
      <w:r>
        <w:t xml:space="preserve">· Patient-reported outcome results in patients with type 2 diabetes treated with once-weekly dulaglutide: data from the AWARD phase III clinical trial programme. PMID 26691396</w:t>
      </w:r>
    </w:p>
    <w:p>
      <w:pPr>
        <w:numPr>
          <w:ilvl w:val="0"/>
          <w:numId w:val="1377"/>
        </w:numPr>
        <w:pStyle w:val="Compact"/>
      </w:pPr>
      <w:r>
        <w:t xml:space="preserve">2016 · Odawara M ·</w:t>
      </w:r>
      <w:r>
        <w:t xml:space="preserve"> </w:t>
      </w:r>
      <w:r>
        <w:rPr>
          <w:iCs/>
          <w:i/>
        </w:rPr>
        <w:t xml:space="preserve">Diabetes Obes Metab</w:t>
      </w:r>
      <w:r>
        <w:t xml:space="preserve"> </w:t>
      </w:r>
      <w:r>
        <w:t xml:space="preserve">· Once-weekly glucagon-like peptide-1 receptor agonist dulaglutide significantly decreases glycated haemoglobin compared with once-daily liraglutide in Japanese patients with type 2 diabetes: 52 weeks of treatment in a randomized phase III study. PMID 26661514</w:t>
      </w:r>
    </w:p>
    <w:p>
      <w:pPr>
        <w:numPr>
          <w:ilvl w:val="0"/>
          <w:numId w:val="1377"/>
        </w:numPr>
        <w:pStyle w:val="Compact"/>
      </w:pPr>
      <w:r>
        <w:t xml:space="preserve">2016 · Geiser JS ·</w:t>
      </w:r>
      <w:r>
        <w:t xml:space="preserve"> </w:t>
      </w:r>
      <w:r>
        <w:rPr>
          <w:iCs/>
          <w:i/>
        </w:rPr>
        <w:t xml:space="preserve">Clin Pharmacokinet</w:t>
      </w:r>
      <w:r>
        <w:t xml:space="preserve"> </w:t>
      </w:r>
      <w:r>
        <w:t xml:space="preserve">· Clinical Pharmacokinetics of Dulaglutide in Patients with Type 2 Diabetes: Analyses of Data from Clinical Trials. PMID 26507721</w:t>
      </w:r>
    </w:p>
    <w:p>
      <w:pPr>
        <w:numPr>
          <w:ilvl w:val="0"/>
          <w:numId w:val="1377"/>
        </w:numPr>
        <w:pStyle w:val="Compact"/>
      </w:pPr>
      <w:r>
        <w:t xml:space="preserve">2016 · Grunberger G ·</w:t>
      </w:r>
      <w:r>
        <w:t xml:space="preserve"> </w:t>
      </w:r>
      <w:r>
        <w:rPr>
          <w:iCs/>
          <w:i/>
        </w:rPr>
        <w:t xml:space="preserve">Diabet Med</w:t>
      </w:r>
      <w:r>
        <w:t xml:space="preserve"> </w:t>
      </w:r>
      <w:r>
        <w:t xml:space="preserve">· Early fasting glucose measurements can predict later glycaemic response to once weekly dulaglutide. PMID 26179454</w:t>
      </w:r>
    </w:p>
    <w:p>
      <w:pPr>
        <w:numPr>
          <w:ilvl w:val="0"/>
          <w:numId w:val="1377"/>
        </w:numPr>
        <w:pStyle w:val="Compact"/>
      </w:pPr>
      <w:r>
        <w:t xml:space="preserve">2015 · Emoto M ·</w:t>
      </w:r>
      <w:r>
        <w:t xml:space="preserve"> </w:t>
      </w:r>
      <w:r>
        <w:rPr>
          <w:iCs/>
          <w:i/>
        </w:rPr>
        <w:t xml:space="preserve">Endocr J</w:t>
      </w:r>
      <w:r>
        <w:t xml:space="preserve"> </w:t>
      </w:r>
      <w:r>
        <w:t xml:space="preserve">· A 1-year safety study of dulaglutide in Japanese patients with type 2 diabetes on a single oral hypoglycemic agent: an open-label, nonrandomized, phase 3 trial. PMID 26477324</w:t>
      </w:r>
    </w:p>
    <w:p>
      <w:pPr>
        <w:numPr>
          <w:ilvl w:val="0"/>
          <w:numId w:val="1377"/>
        </w:numPr>
        <w:pStyle w:val="Compact"/>
      </w:pPr>
      <w:r>
        <w:t xml:space="preserve">2015 · Usborne A ·</w:t>
      </w:r>
      <w:r>
        <w:t xml:space="preserve"> </w:t>
      </w:r>
      <w:r>
        <w:rPr>
          <w:iCs/>
          <w:i/>
        </w:rPr>
        <w:t xml:space="preserve">Toxicol Pathol</w:t>
      </w:r>
      <w:r>
        <w:t xml:space="preserve"> </w:t>
      </w:r>
      <w:r>
        <w:t xml:space="preserve">· An Investigative Study of Pancreatic Exocrine Biomarkers, Histology, and Histomorphometry in Male Zucker Diabetic Fatty (ZDF) Rats Given Dulaglutide by Subcutaneous Injection Twice Weekly for 13 Weeks. PMID 26269615</w:t>
      </w:r>
    </w:p>
    <w:p>
      <w:pPr>
        <w:numPr>
          <w:ilvl w:val="0"/>
          <w:numId w:val="1377"/>
        </w:numPr>
        <w:pStyle w:val="Compact"/>
      </w:pPr>
      <w:r>
        <w:t xml:space="preserve">2015 · Araki E ·</w:t>
      </w:r>
      <w:r>
        <w:t xml:space="preserve"> </w:t>
      </w:r>
      <w:r>
        <w:rPr>
          <w:iCs/>
          <w:i/>
        </w:rPr>
        <w:t xml:space="preserve">Diabetes Obes Metab</w:t>
      </w:r>
      <w:r>
        <w:t xml:space="preserve"> </w:t>
      </w:r>
      <w:r>
        <w:t xml:space="preserve">· Efficacy and safety of once-weekly dulaglutide in combination with sulphonylurea and/or biguanide compared with once-daily insulin glargine in Japanese patients with type 2 diabetes: a randomized, open-label, phase III, non-inferiority study. PMID 26179754</w:t>
      </w:r>
    </w:p>
    <w:p>
      <w:pPr>
        <w:numPr>
          <w:ilvl w:val="0"/>
          <w:numId w:val="1377"/>
        </w:numPr>
        <w:pStyle w:val="Compact"/>
      </w:pPr>
      <w:r>
        <w:t xml:space="preserve">2015 · Miyagawa J ·</w:t>
      </w:r>
      <w:r>
        <w:t xml:space="preserve"> </w:t>
      </w:r>
      <w:r>
        <w:rPr>
          <w:iCs/>
          <w:i/>
        </w:rPr>
        <w:t xml:space="preserve">Diabetes Obes Metab</w:t>
      </w:r>
      <w:r>
        <w:t xml:space="preserve"> </w:t>
      </w:r>
      <w:r>
        <w:t xml:space="preserve">· Once-weekly glucagon-like peptide-1 receptor agonist dulaglutide is non-inferior to once-daily liraglutide and superior to placebo in Japanese patients with type 2 diabetes: a 26-week randomized phase III study. PMID 26179187</w:t>
      </w:r>
    </w:p>
    <w:p>
      <w:pPr>
        <w:numPr>
          <w:ilvl w:val="0"/>
          <w:numId w:val="1377"/>
        </w:numPr>
        <w:pStyle w:val="Compact"/>
      </w:pPr>
      <w:r>
        <w:t xml:space="preserve">2015 · Reaney M ·</w:t>
      </w:r>
      <w:r>
        <w:t xml:space="preserve"> </w:t>
      </w:r>
      <w:r>
        <w:rPr>
          <w:iCs/>
          <w:i/>
        </w:rPr>
        <w:t xml:space="preserve">Diabetes Obes Metab</w:t>
      </w:r>
      <w:r>
        <w:t xml:space="preserve"> </w:t>
      </w:r>
      <w:r>
        <w:t xml:space="preserve">· Treatment satisfaction in people with type 2 diabetes mellitus treated with once-weekly dulaglutide: data from the AWARD-1 and AWARD-3 clinical trials. PMID 26095190</w:t>
      </w:r>
    </w:p>
    <w:p>
      <w:pPr>
        <w:numPr>
          <w:ilvl w:val="0"/>
          <w:numId w:val="1377"/>
        </w:numPr>
        <w:pStyle w:val="Compact"/>
      </w:pPr>
      <w:r>
        <w:t xml:space="preserve">2015 · Giorgino F ·</w:t>
      </w:r>
      <w:r>
        <w:t xml:space="preserve"> </w:t>
      </w:r>
      <w:r>
        <w:rPr>
          <w:iCs/>
          <w:i/>
        </w:rPr>
        <w:t xml:space="preserve">Diabetes Care</w:t>
      </w:r>
      <w:r>
        <w:t xml:space="preserve"> </w:t>
      </w:r>
      <w:r>
        <w:t xml:space="preserve">· Efficacy and Safety of Once-Weekly Dulaglutide Versus Insulin Glargine in Patients With Type 2 Diabetes on Metformin and Glimepiride (AWARD-2). PMID 26089386</w:t>
      </w:r>
    </w:p>
    <w:p>
      <w:pPr>
        <w:numPr>
          <w:ilvl w:val="0"/>
          <w:numId w:val="1377"/>
        </w:numPr>
        <w:pStyle w:val="Compact"/>
      </w:pPr>
      <w:r>
        <w:t xml:space="preserve">2015 · Blonde L ·</w:t>
      </w:r>
      <w:r>
        <w:t xml:space="preserve"> </w:t>
      </w:r>
      <w:r>
        <w:rPr>
          <w:iCs/>
          <w:i/>
        </w:rPr>
        <w:t xml:space="preserve">Lancet</w:t>
      </w:r>
      <w:r>
        <w:t xml:space="preserve"> </w:t>
      </w:r>
      <w:r>
        <w:t xml:space="preserve">· Once-weekly dulaglutide versus bedtime insulin glargine, both in combination with prandial insulin lispro, in patients with type 2 diabetes (AWARD-4): a randomised, open-label, phase 3, non-inferiority study. PMID 26009229</w:t>
      </w:r>
    </w:p>
    <w:p>
      <w:pPr>
        <w:numPr>
          <w:ilvl w:val="0"/>
          <w:numId w:val="1377"/>
        </w:numPr>
        <w:pStyle w:val="Compact"/>
      </w:pPr>
      <w:r>
        <w:t xml:space="preserve">2015 · Weinstock RS ·</w:t>
      </w:r>
      <w:r>
        <w:t xml:space="preserve"> </w:t>
      </w:r>
      <w:r>
        <w:rPr>
          <w:iCs/>
          <w:i/>
        </w:rPr>
        <w:t xml:space="preserve">Diabetes Obes Metab</w:t>
      </w:r>
      <w:r>
        <w:t xml:space="preserve"> </w:t>
      </w:r>
      <w:r>
        <w:t xml:space="preserve">· Safety and efficacy of once-weekly dulaglutide versus sitagliptin after 2 years in metformin-treated patients with type 2 diabetes (AWARD-5): a randomized, phase III study. PMID 25912221</w:t>
      </w:r>
    </w:p>
    <w:p>
      <w:pPr>
        <w:numPr>
          <w:ilvl w:val="0"/>
          <w:numId w:val="1377"/>
        </w:numPr>
        <w:pStyle w:val="Compact"/>
      </w:pPr>
      <w:r>
        <w:t xml:space="preserve">2015 · Matfin G ·</w:t>
      </w:r>
      <w:r>
        <w:t xml:space="preserve"> </w:t>
      </w:r>
      <w:r>
        <w:rPr>
          <w:iCs/>
          <w:i/>
        </w:rPr>
        <w:t xml:space="preserve">J Diabetes Sci Technol</w:t>
      </w:r>
      <w:r>
        <w:t xml:space="preserve"> </w:t>
      </w:r>
      <w:r>
        <w:t xml:space="preserve">· Safe and Effective Use of the Once Weekly Dulaglutide Single-Dose Pen in Injection-Naïve Patients With Type 2 Diabetes. PMID 25901022</w:t>
      </w:r>
    </w:p>
    <w:p>
      <w:pPr>
        <w:numPr>
          <w:ilvl w:val="0"/>
          <w:numId w:val="1377"/>
        </w:numPr>
        <w:pStyle w:val="Compact"/>
      </w:pPr>
      <w:r>
        <w:t xml:space="preserve">2014 · Terauchi Y ·</w:t>
      </w:r>
      <w:r>
        <w:t xml:space="preserve"> </w:t>
      </w:r>
      <w:r>
        <w:rPr>
          <w:iCs/>
          <w:i/>
        </w:rPr>
        <w:t xml:space="preserve">Endocr J</w:t>
      </w:r>
      <w:r>
        <w:t xml:space="preserve"> </w:t>
      </w:r>
      <w:r>
        <w:t xml:space="preserve">· Monotherapy with the once weekly GLP-1 receptor agonist dulaglutide for 12 weeks in Japanese patients with type 2 diabetes: dose-dependent effects on glycaemic control in a randomised, double-blind, placebo-controlled study. PMID 25029955</w:t>
      </w:r>
    </w:p>
    <w:p>
      <w:pPr>
        <w:numPr>
          <w:ilvl w:val="0"/>
          <w:numId w:val="1377"/>
        </w:numPr>
        <w:pStyle w:val="Compact"/>
      </w:pPr>
      <w:r>
        <w:t xml:space="preserve">2014 · Dungan KM ·</w:t>
      </w:r>
      <w:r>
        <w:t xml:space="preserve"> </w:t>
      </w:r>
      <w:r>
        <w:rPr>
          <w:iCs/>
          <w:i/>
        </w:rPr>
        <w:t xml:space="preserve">Lancet</w:t>
      </w:r>
      <w:r>
        <w:t xml:space="preserve"> </w:t>
      </w:r>
      <w:r>
        <w:t xml:space="preserve">· Once-weekly dulaglutide versus once-daily liraglutide in metformin-treated patients with type 2 diabetes (AWARD-6): a randomised, open-label, phase 3, non-inferiority trial. PMID 25018121</w:t>
      </w:r>
    </w:p>
    <w:p>
      <w:pPr>
        <w:numPr>
          <w:ilvl w:val="0"/>
          <w:numId w:val="1377"/>
        </w:numPr>
        <w:pStyle w:val="Compact"/>
      </w:pPr>
      <w:r>
        <w:t xml:space="preserve">2014 · Ferdinand KC ·</w:t>
      </w:r>
      <w:r>
        <w:t xml:space="preserve"> </w:t>
      </w:r>
      <w:r>
        <w:rPr>
          <w:iCs/>
          <w:i/>
        </w:rPr>
        <w:t xml:space="preserve">Hypertension</w:t>
      </w:r>
      <w:r>
        <w:t xml:space="preserve"> </w:t>
      </w:r>
      <w:r>
        <w:t xml:space="preserve">· Effects of the once-weekly glucagon-like peptide-1 receptor agonist dulaglutide on ambulatory blood pressure and heart rate in patients with type 2 diabetes mellitus. PMID 24980665</w:t>
      </w:r>
    </w:p>
    <w:p>
      <w:pPr>
        <w:numPr>
          <w:ilvl w:val="0"/>
          <w:numId w:val="1377"/>
        </w:numPr>
        <w:pStyle w:val="Compact"/>
      </w:pPr>
      <w:r>
        <w:t xml:space="preserve">2014 · Wysham C ·</w:t>
      </w:r>
      <w:r>
        <w:t xml:space="preserve"> </w:t>
      </w:r>
      <w:r>
        <w:rPr>
          <w:iCs/>
          <w:i/>
        </w:rPr>
        <w:t xml:space="preserve">Diabetes Care</w:t>
      </w:r>
      <w:r>
        <w:t xml:space="preserve"> </w:t>
      </w:r>
      <w:r>
        <w:t xml:space="preserve">· Efficacy and safety of dulaglutide added onto pioglitazone and metformin versus exenatide in type 2 diabetes in a randomized controlled trial (AWARD-1). PMID 24879836</w:t>
      </w:r>
    </w:p>
    <w:p>
      <w:pPr>
        <w:numPr>
          <w:ilvl w:val="0"/>
          <w:numId w:val="1377"/>
        </w:numPr>
        <w:pStyle w:val="Compact"/>
      </w:pPr>
      <w:r>
        <w:t xml:space="preserve">2014 · Umpierrez G ·</w:t>
      </w:r>
      <w:r>
        <w:t xml:space="preserve"> </w:t>
      </w:r>
      <w:r>
        <w:rPr>
          <w:iCs/>
          <w:i/>
        </w:rPr>
        <w:t xml:space="preserve">Diabetes Care</w:t>
      </w:r>
      <w:r>
        <w:t xml:space="preserve"> </w:t>
      </w:r>
      <w:r>
        <w:t xml:space="preserve">· Efficacy and safety of dulaglutide monotherapy versus metformin in type 2 diabetes in a randomized controlled trial (AWARD-3). PMID 24842985</w:t>
      </w:r>
    </w:p>
    <w:p>
      <w:pPr>
        <w:numPr>
          <w:ilvl w:val="0"/>
          <w:numId w:val="1377"/>
        </w:numPr>
        <w:pStyle w:val="Compact"/>
      </w:pPr>
      <w:r>
        <w:t xml:space="preserve">2014 · Skrivanek Z ·</w:t>
      </w:r>
      <w:r>
        <w:t xml:space="preserve"> </w:t>
      </w:r>
      <w:r>
        <w:rPr>
          <w:iCs/>
          <w:i/>
        </w:rPr>
        <w:t xml:space="preserve">Diabetes Obes Metab</w:t>
      </w:r>
      <w:r>
        <w:t xml:space="preserve"> </w:t>
      </w:r>
      <w:r>
        <w:t xml:space="preserve">· Dose-finding results in an adaptive, seamless, randomized trial of once-weekly dulaglutide combined with metformin in type 2 diabetes patients (AWARD-5). PMID 24762094</w:t>
      </w:r>
    </w:p>
    <w:p>
      <w:pPr>
        <w:numPr>
          <w:ilvl w:val="0"/>
          <w:numId w:val="1377"/>
        </w:numPr>
        <w:pStyle w:val="Compact"/>
      </w:pPr>
      <w:r>
        <w:t xml:space="preserve">2014 · Nauck M ·</w:t>
      </w:r>
      <w:r>
        <w:t xml:space="preserve"> </w:t>
      </w:r>
      <w:r>
        <w:rPr>
          <w:iCs/>
          <w:i/>
        </w:rPr>
        <w:t xml:space="preserve">Diabetes Care</w:t>
      </w:r>
      <w:r>
        <w:t xml:space="preserve"> </w:t>
      </w:r>
      <w:r>
        <w:t xml:space="preserve">· Efficacy and safety of dulaglutide versus sitagliptin after 52 weeks in type 2 diabetes in a randomized controlled trial (AWARD-5). PMID 24742660</w:t>
      </w:r>
    </w:p>
    <w:p>
      <w:pPr>
        <w:numPr>
          <w:ilvl w:val="0"/>
          <w:numId w:val="1377"/>
        </w:numPr>
        <w:pStyle w:val="Compact"/>
      </w:pPr>
      <w:r>
        <w:t xml:space="preserve">2012 · Geiger MJ ·</w:t>
      </w:r>
      <w:r>
        <w:t xml:space="preserve"> </w:t>
      </w:r>
      <w:r>
        <w:rPr>
          <w:iCs/>
          <w:i/>
        </w:rPr>
        <w:t xml:space="preserve">J Diabetes Sci Technol</w:t>
      </w:r>
      <w:r>
        <w:t xml:space="preserve"> </w:t>
      </w:r>
      <w:r>
        <w:t xml:space="preserve">· An adaptive, dose-finding, seamless phase 2/3 study of a long-acting glucagon-like peptide-1 analog (dulaglutide): trial design and baseline characteristics. PMID 23294776</w:t>
      </w:r>
    </w:p>
    <w:p>
      <w:pPr>
        <w:numPr>
          <w:ilvl w:val="0"/>
          <w:numId w:val="1377"/>
        </w:numPr>
        <w:pStyle w:val="Compact"/>
      </w:pPr>
      <w:r>
        <w:t xml:space="preserve">2012 · Skrivanek Z ·</w:t>
      </w:r>
      <w:r>
        <w:t xml:space="preserve"> </w:t>
      </w:r>
      <w:r>
        <w:rPr>
          <w:iCs/>
          <w:i/>
        </w:rPr>
        <w:t xml:space="preserve">J Diabetes Sci Technol</w:t>
      </w:r>
      <w:r>
        <w:t xml:space="preserve"> </w:t>
      </w:r>
      <w:r>
        <w:t xml:space="preserve">· Application of adaptive design methodology in development of a long-acting glucagon-like peptide-1 analog (dulaglutide): statistical design and simulations. PMID 23294775</w:t>
      </w:r>
    </w:p>
    <w:p>
      <w:pPr>
        <w:numPr>
          <w:ilvl w:val="0"/>
          <w:numId w:val="1377"/>
        </w:numPr>
        <w:pStyle w:val="Compact"/>
      </w:pPr>
      <w:r>
        <w:t xml:space="preserve">2012 · Grunberger G ·</w:t>
      </w:r>
      <w:r>
        <w:t xml:space="preserve"> </w:t>
      </w:r>
      <w:r>
        <w:rPr>
          <w:iCs/>
          <w:i/>
        </w:rPr>
        <w:t xml:space="preserve">Diabet Med</w:t>
      </w:r>
      <w:r>
        <w:t xml:space="preserve"> </w:t>
      </w:r>
      <w:r>
        <w:t xml:space="preserve">· Monotherapy with the once-weekly GLP-1 analogue dulaglutide for 12 weeks in patients with Type 2 diabetes: dose-dependent effects on glycaemic control in a randomized, double-blind, placebo-controlled study. PMID 22804250</w:t>
      </w:r>
    </w:p>
    <w:bookmarkEnd w:id="3016"/>
    <w:bookmarkStart w:id="3017" w:name="semaglutide-342"/>
    <w:p>
      <w:pPr>
        <w:pStyle w:val="Heading2"/>
      </w:pPr>
      <w:r>
        <w:t xml:space="preserve">Semaglutide (342)</w:t>
      </w:r>
    </w:p>
    <w:p>
      <w:pPr>
        <w:numPr>
          <w:ilvl w:val="0"/>
          <w:numId w:val="1378"/>
        </w:numPr>
        <w:pStyle w:val="Compact"/>
      </w:pPr>
      <w:r>
        <w:t xml:space="preserve">2026 · Zhang Z ·</w:t>
      </w:r>
      <w:r>
        <w:t xml:space="preserve"> </w:t>
      </w:r>
      <w:r>
        <w:rPr>
          <w:iCs/>
          <w:i/>
        </w:rPr>
        <w:t xml:space="preserve">Psychol Med</w:t>
      </w:r>
      <w:r>
        <w:t xml:space="preserve"> </w:t>
      </w:r>
      <w:r>
        <w:t xml:space="preserve">· Semaglutide modulates explore/exploit decision-making in major depressive disorder: A randomized clinical trial. PMID 42904347</w:t>
      </w:r>
    </w:p>
    <w:p>
      <w:pPr>
        <w:numPr>
          <w:ilvl w:val="0"/>
          <w:numId w:val="1378"/>
        </w:numPr>
        <w:pStyle w:val="Compact"/>
      </w:pPr>
      <w:r>
        <w:t xml:space="preserve">2026 · Estica M ·</w:t>
      </w:r>
      <w:r>
        <w:t xml:space="preserve"> </w:t>
      </w:r>
      <w:r>
        <w:rPr>
          <w:iCs/>
          <w:i/>
        </w:rPr>
        <w:t xml:space="preserve">Rev Med Chil</w:t>
      </w:r>
      <w:r>
        <w:t xml:space="preserve"> </w:t>
      </w:r>
      <w:r>
        <w:t xml:space="preserve">· Effectiveness of Weekly Semaglutide Treatment (0.5 or 1 mg) in Chilean Patients with Type 2 Diabetes Mellitus. PMID 42899606</w:t>
      </w:r>
    </w:p>
    <w:p>
      <w:pPr>
        <w:numPr>
          <w:ilvl w:val="0"/>
          <w:numId w:val="1378"/>
        </w:numPr>
        <w:pStyle w:val="Compact"/>
      </w:pPr>
      <w:r>
        <w:t xml:space="preserve">2026 · Gullaksen S ·</w:t>
      </w:r>
      <w:r>
        <w:t xml:space="preserve"> </w:t>
      </w:r>
      <w:r>
        <w:rPr>
          <w:iCs/>
          <w:i/>
        </w:rPr>
        <w:t xml:space="preserve">J Diabetes Complications</w:t>
      </w:r>
      <w:r>
        <w:t xml:space="preserve"> </w:t>
      </w:r>
      <w:r>
        <w:t xml:space="preserve">· Effects of semaglutide and empagliflozin on markers of endothelial function in persons with type 2 diabetes: A post hoc analysis of a randomized clinical trial. PMID 42679726</w:t>
      </w:r>
    </w:p>
    <w:p>
      <w:pPr>
        <w:numPr>
          <w:ilvl w:val="0"/>
          <w:numId w:val="1378"/>
        </w:numPr>
        <w:pStyle w:val="Compact"/>
      </w:pPr>
      <w:r>
        <w:t xml:space="preserve">2026 · Montaser E ·</w:t>
      </w:r>
      <w:r>
        <w:t xml:space="preserve"> </w:t>
      </w:r>
      <w:r>
        <w:rPr>
          <w:iCs/>
          <w:i/>
        </w:rPr>
        <w:t xml:space="preserve">Diabetes Obes Metab</w:t>
      </w:r>
      <w:r>
        <w:t xml:space="preserve"> </w:t>
      </w:r>
      <w:r>
        <w:t xml:space="preserve">· Glycaemic Changes After Semaglutide Discontinuation in Adults With Type 1 Diabetes Using Automated Insulin Delivery: Analysis of the ADJUST-T1D Extension Study. PMID 42675550</w:t>
      </w:r>
    </w:p>
    <w:p>
      <w:pPr>
        <w:numPr>
          <w:ilvl w:val="0"/>
          <w:numId w:val="1378"/>
        </w:numPr>
        <w:pStyle w:val="Compact"/>
      </w:pPr>
      <w:r>
        <w:t xml:space="preserve">2026 · Plutzky J ·</w:t>
      </w:r>
      <w:r>
        <w:t xml:space="preserve"> </w:t>
      </w:r>
      <w:r>
        <w:rPr>
          <w:iCs/>
          <w:i/>
        </w:rPr>
        <w:t xml:space="preserve">Circulation</w:t>
      </w:r>
      <w:r>
        <w:t xml:space="preserve"> </w:t>
      </w:r>
      <w:r>
        <w:t xml:space="preserve">· Effect of Semaglutide on the Inflammatory Biomarker High-Sensitivity CRP in Patients With Established Cardiovascular Disease and Overweight or Obesity in SELECT: A Prespecified Secondary Analysis. PMID 42610271</w:t>
      </w:r>
    </w:p>
    <w:p>
      <w:pPr>
        <w:numPr>
          <w:ilvl w:val="0"/>
          <w:numId w:val="1378"/>
        </w:numPr>
        <w:pStyle w:val="Compact"/>
      </w:pPr>
      <w:r>
        <w:t xml:space="preserve">2026 · Miyake T ·</w:t>
      </w:r>
      <w:r>
        <w:t xml:space="preserve"> </w:t>
      </w:r>
      <w:r>
        <w:rPr>
          <w:iCs/>
          <w:i/>
        </w:rPr>
        <w:t xml:space="preserve">Diabetes Obes Metab</w:t>
      </w:r>
      <w:r>
        <w:t xml:space="preserve"> </w:t>
      </w:r>
      <w:r>
        <w:t xml:space="preserve">· Efficacy of Luseogliflozin Added to Semaglutide in Patients With Metabolic Dysfunction-Associated Steatohepatitis and Type 2 Diabetes Mellitus: A Randomised, Open-Label Trial. PMID 42605535</w:t>
      </w:r>
    </w:p>
    <w:p>
      <w:pPr>
        <w:numPr>
          <w:ilvl w:val="0"/>
          <w:numId w:val="1378"/>
        </w:numPr>
        <w:pStyle w:val="Compact"/>
      </w:pPr>
      <w:r>
        <w:t xml:space="preserve">2026 · Ji L ·</w:t>
      </w:r>
      <w:r>
        <w:t xml:space="preserve"> </w:t>
      </w:r>
      <w:r>
        <w:rPr>
          <w:iCs/>
          <w:i/>
        </w:rPr>
        <w:t xml:space="preserve">Lancet Diabetes Endocrinol</w:t>
      </w:r>
      <w:r>
        <w:t xml:space="preserve"> </w:t>
      </w:r>
      <w:r>
        <w:t xml:space="preserve">· Once-weekly IcoSema versus once-daily insulin glargine U100 in type 2 diabetes management (COMBINE 4): an open-label, multicentre, treat-to-target, randomised, phase 3b trial. PMID 42594928</w:t>
      </w:r>
    </w:p>
    <w:p>
      <w:pPr>
        <w:numPr>
          <w:ilvl w:val="0"/>
          <w:numId w:val="1378"/>
        </w:numPr>
        <w:pStyle w:val="Compact"/>
      </w:pPr>
      <w:r>
        <w:t xml:space="preserve">2026 · Guo L ·</w:t>
      </w:r>
      <w:r>
        <w:t xml:space="preserve"> </w:t>
      </w:r>
      <w:r>
        <w:rPr>
          <w:iCs/>
          <w:i/>
        </w:rPr>
        <w:t xml:space="preserve">Lancet Diabetes Endocrinol</w:t>
      </w:r>
      <w:r>
        <w:t xml:space="preserve"> </w:t>
      </w:r>
      <w:r>
        <w:t xml:space="preserve">· Efficacy and safety of once-weekly semaglutide 2·4 mg in Chinese adults with overweight or obesity (STEP 12): a randomised, double-blind, placebo-controlled, multicentre, phase 3b trial. PMID 42575111</w:t>
      </w:r>
    </w:p>
    <w:p>
      <w:pPr>
        <w:numPr>
          <w:ilvl w:val="0"/>
          <w:numId w:val="1378"/>
        </w:numPr>
        <w:pStyle w:val="Compact"/>
      </w:pPr>
      <w:r>
        <w:t xml:space="preserve">2026 · Mann JFE ·</w:t>
      </w:r>
      <w:r>
        <w:t xml:space="preserve"> </w:t>
      </w:r>
      <w:r>
        <w:rPr>
          <w:iCs/>
          <w:i/>
        </w:rPr>
        <w:t xml:space="preserve">Lancet Diabetes Endocrinol</w:t>
      </w:r>
      <w:r>
        <w:t xml:space="preserve"> </w:t>
      </w:r>
      <w:r>
        <w:t xml:space="preserve">· Effect of semaglutide on kidney outcomes in the SELECT, FLOW, and SOUL trials: a prespecified pooled analysis. PMID 42567173</w:t>
      </w:r>
    </w:p>
    <w:p>
      <w:pPr>
        <w:numPr>
          <w:ilvl w:val="0"/>
          <w:numId w:val="1378"/>
        </w:numPr>
        <w:pStyle w:val="Compact"/>
      </w:pPr>
      <w:r>
        <w:t xml:space="preserve">2026 · Ji L ·</w:t>
      </w:r>
      <w:r>
        <w:t xml:space="preserve"> </w:t>
      </w:r>
      <w:r>
        <w:rPr>
          <w:iCs/>
          <w:i/>
        </w:rPr>
        <w:t xml:space="preserve">Diabetes Obes Metab</w:t>
      </w:r>
      <w:r>
        <w:t xml:space="preserve"> </w:t>
      </w:r>
      <w:r>
        <w:t xml:space="preserve">· Efficacy and Hypoglycaemia Outcomes With Once-Weekly IcoSema Versus Comparators in Individuals With Type 2 Diabetes by Kidney and Liver Function: A Post Hoc Analysis of the COMBINE 1-3 Trials. PMID 42557064</w:t>
      </w:r>
    </w:p>
    <w:p>
      <w:pPr>
        <w:numPr>
          <w:ilvl w:val="0"/>
          <w:numId w:val="1378"/>
        </w:numPr>
        <w:pStyle w:val="Compact"/>
      </w:pPr>
      <w:r>
        <w:t xml:space="preserve">2026 · Schacht JP ·</w:t>
      </w:r>
      <w:r>
        <w:t xml:space="preserve"> </w:t>
      </w:r>
      <w:r>
        <w:rPr>
          <w:iCs/>
          <w:i/>
        </w:rPr>
        <w:t xml:space="preserve">Am J Psychiatry</w:t>
      </w:r>
      <w:r>
        <w:t xml:space="preserve"> </w:t>
      </w:r>
      <w:r>
        <w:t xml:space="preserve">· Oral Semaglutide for Alcohol Use Disorder: A Randomized Clinical Trial. PMID 42522065</w:t>
      </w:r>
    </w:p>
    <w:p>
      <w:pPr>
        <w:numPr>
          <w:ilvl w:val="0"/>
          <w:numId w:val="1378"/>
        </w:numPr>
        <w:pStyle w:val="Compact"/>
      </w:pPr>
      <w:r>
        <w:t xml:space="preserve">2026 · Lake JE ·</w:t>
      </w:r>
      <w:r>
        <w:t xml:space="preserve"> </w:t>
      </w:r>
      <w:r>
        <w:rPr>
          <w:iCs/>
          <w:i/>
        </w:rPr>
        <w:t xml:space="preserve">HIV Med</w:t>
      </w:r>
      <w:r>
        <w:t xml:space="preserve"> </w:t>
      </w:r>
      <w:r>
        <w:t xml:space="preserve">· Semaglutide improves MASLD and MASH in people with HIV: The SLIM LIVER study. PMID 42517548</w:t>
      </w:r>
    </w:p>
    <w:p>
      <w:pPr>
        <w:numPr>
          <w:ilvl w:val="0"/>
          <w:numId w:val="1378"/>
        </w:numPr>
        <w:pStyle w:val="Compact"/>
      </w:pPr>
      <w:r>
        <w:t xml:space="preserve">2026 · Rodbard HW ·</w:t>
      </w:r>
      <w:r>
        <w:t xml:space="preserve"> </w:t>
      </w:r>
      <w:r>
        <w:rPr>
          <w:iCs/>
          <w:i/>
        </w:rPr>
        <w:t xml:space="preserve">Diabetes Obes Metab</w:t>
      </w:r>
      <w:r>
        <w:t xml:space="preserve"> </w:t>
      </w:r>
      <w:r>
        <w:t xml:space="preserve">· Efficacy and Safety of Once-Weekly Semaglutide 2.0 mg as an Add-On to Dose-Reduced Insulin Glargine versus Dose-Titrated Insulin Glargine in People With Type 2 Diabetes and Overweight (SUSTAIN OPTIMIZE). PMID 42504064</w:t>
      </w:r>
    </w:p>
    <w:p>
      <w:pPr>
        <w:numPr>
          <w:ilvl w:val="0"/>
          <w:numId w:val="1378"/>
        </w:numPr>
        <w:pStyle w:val="Compact"/>
      </w:pPr>
      <w:r>
        <w:t xml:space="preserve">2026 · Busetto L ·</w:t>
      </w:r>
      <w:r>
        <w:t xml:space="preserve"> </w:t>
      </w:r>
      <w:r>
        <w:rPr>
          <w:iCs/>
          <w:i/>
        </w:rPr>
        <w:t xml:space="preserve">Diabetes Obes Metab</w:t>
      </w:r>
      <w:r>
        <w:t xml:space="preserve"> </w:t>
      </w:r>
      <w:r>
        <w:t xml:space="preserve">· Efficacy of CagriSema for Reaching Anthropometric Treatment Targets and Cardiometabolic Outcomes: A Secondary, Post hoc Analysis of REDEFINE 1. PMID 42503495</w:t>
      </w:r>
    </w:p>
    <w:p>
      <w:pPr>
        <w:numPr>
          <w:ilvl w:val="0"/>
          <w:numId w:val="1378"/>
        </w:numPr>
        <w:pStyle w:val="Compact"/>
      </w:pPr>
      <w:r>
        <w:t xml:space="preserve">2026 · Timmons JG ·</w:t>
      </w:r>
      <w:r>
        <w:t xml:space="preserve"> </w:t>
      </w:r>
      <w:r>
        <w:rPr>
          <w:iCs/>
          <w:i/>
        </w:rPr>
        <w:t xml:space="preserve">Diabetes Obes Metab</w:t>
      </w:r>
      <w:r>
        <w:t xml:space="preserve"> </w:t>
      </w:r>
      <w:r>
        <w:t xml:space="preserve">· Insulin, Semaglutide and Dapagliflozin in Adults With Type 1 Diabetes: Design and Methods of Triple Therapy for Type 1 Diabetes (TTT1)-An International Phase 3 Clinical Trial. PMID 42473259</w:t>
      </w:r>
    </w:p>
    <w:p>
      <w:pPr>
        <w:numPr>
          <w:ilvl w:val="0"/>
          <w:numId w:val="1378"/>
        </w:numPr>
        <w:pStyle w:val="Compact"/>
      </w:pPr>
      <w:r>
        <w:t xml:space="preserve">2026 · Loomba R ·</w:t>
      </w:r>
      <w:r>
        <w:t xml:space="preserve"> </w:t>
      </w:r>
      <w:r>
        <w:rPr>
          <w:iCs/>
          <w:i/>
        </w:rPr>
        <w:t xml:space="preserve">Lancet Gastroenterol Hepatol</w:t>
      </w:r>
      <w:r>
        <w:t xml:space="preserve"> </w:t>
      </w:r>
      <w:r>
        <w:t xml:space="preserve">· Efficacy and safety of zalfermin co-administered with semaglutide in participants with fibrosis and cirrhosis due to metabolic dysfunction-associated steatohepatitis: a phase 2, dose-ranging, double-blind, randomised controlled trial. PMID 42456707</w:t>
      </w:r>
    </w:p>
    <w:p>
      <w:pPr>
        <w:numPr>
          <w:ilvl w:val="0"/>
          <w:numId w:val="1378"/>
        </w:numPr>
        <w:pStyle w:val="Compact"/>
      </w:pPr>
      <w:r>
        <w:t xml:space="preserve">2026 · Kitamoto T ·</w:t>
      </w:r>
      <w:r>
        <w:t xml:space="preserve"> </w:t>
      </w:r>
      <w:r>
        <w:rPr>
          <w:iCs/>
          <w:i/>
        </w:rPr>
        <w:t xml:space="preserve">Curr Med Res Opin</w:t>
      </w:r>
      <w:r>
        <w:t xml:space="preserve"> </w:t>
      </w:r>
      <w:r>
        <w:t xml:space="preserve">· Tirzepatide compared with semaglutide in obesity disease: a subpopulation analysis applying Japan Society for the Study of Obesity criteria in the global SURMOUNT-5 trial. PMID 42434924</w:t>
      </w:r>
    </w:p>
    <w:p>
      <w:pPr>
        <w:numPr>
          <w:ilvl w:val="0"/>
          <w:numId w:val="1378"/>
        </w:numPr>
        <w:pStyle w:val="Compact"/>
      </w:pPr>
      <w:r>
        <w:t xml:space="preserve">2026 · Rahman E ·</w:t>
      </w:r>
      <w:r>
        <w:t xml:space="preserve"> </w:t>
      </w:r>
      <w:r>
        <w:rPr>
          <w:iCs/>
          <w:i/>
        </w:rPr>
        <w:t xml:space="preserve">Aesthetic Plast Surg</w:t>
      </w:r>
      <w:r>
        <w:t xml:space="preserve"> </w:t>
      </w:r>
      <w:r>
        <w:t xml:space="preserve">· Computational Trial of Prophylactic Biostimulator Interventions to Mitigate Facial Sagging Associated With GLP-1 Receptor Agonist Induced Weight Loss. PMID 42414642</w:t>
      </w:r>
    </w:p>
    <w:p>
      <w:pPr>
        <w:numPr>
          <w:ilvl w:val="0"/>
          <w:numId w:val="1378"/>
        </w:numPr>
        <w:pStyle w:val="Compact"/>
      </w:pPr>
      <w:r>
        <w:t xml:space="preserve">2026 · Ambika Gopalakrishnan U ·</w:t>
      </w:r>
      <w:r>
        <w:t xml:space="preserve"> </w:t>
      </w:r>
      <w:r>
        <w:rPr>
          <w:iCs/>
          <w:i/>
        </w:rPr>
        <w:t xml:space="preserve">Diabetes Obes Metab</w:t>
      </w:r>
      <w:r>
        <w:t xml:space="preserve"> </w:t>
      </w:r>
      <w:r>
        <w:t xml:space="preserve">· Semaglutide Injection Once-Weekly for Weight Management in Adults: Results From A Randomized Phase III, Active-Controlled Study. PMID 42403263</w:t>
      </w:r>
    </w:p>
    <w:p>
      <w:pPr>
        <w:numPr>
          <w:ilvl w:val="0"/>
          <w:numId w:val="1378"/>
        </w:numPr>
        <w:pStyle w:val="Compact"/>
      </w:pPr>
      <w:r>
        <w:t xml:space="preserve">2026 · Strojek K ·</w:t>
      </w:r>
      <w:r>
        <w:t xml:space="preserve"> </w:t>
      </w:r>
      <w:r>
        <w:rPr>
          <w:iCs/>
          <w:i/>
        </w:rPr>
        <w:t xml:space="preserve">Diabetes Obes Metab</w:t>
      </w:r>
      <w:r>
        <w:t xml:space="preserve"> </w:t>
      </w:r>
      <w:r>
        <w:t xml:space="preserve">· Efficacy and Safety of Intensifying Once-Weekly Insulin Icodec Treatment With Once-Weekly Semaglutide in Adults With Type 2 Diabetes: A Single-Arm, Open-Label, Treat-to-Target, Phase 3b Trial (ONWARDS 8). PMID 42387310</w:t>
      </w:r>
    </w:p>
    <w:p>
      <w:pPr>
        <w:numPr>
          <w:ilvl w:val="0"/>
          <w:numId w:val="1378"/>
        </w:numPr>
        <w:pStyle w:val="Compact"/>
      </w:pPr>
      <w:r>
        <w:t xml:space="preserve">2026 · Liu M ·</w:t>
      </w:r>
      <w:r>
        <w:t xml:space="preserve"> </w:t>
      </w:r>
      <w:r>
        <w:rPr>
          <w:iCs/>
          <w:i/>
        </w:rPr>
        <w:t xml:space="preserve">Ann Intern Med</w:t>
      </w:r>
      <w:r>
        <w:t xml:space="preserve"> </w:t>
      </w:r>
      <w:r>
        <w:t xml:space="preserve">· Weekly and Biweekly Treatment With Bofanglutide Versus Semaglutide in Chinese Patients With Type 2 Diabetes : A Phase 2b Randomized Clinical Trial. PMID 42372276</w:t>
      </w:r>
    </w:p>
    <w:p>
      <w:pPr>
        <w:numPr>
          <w:ilvl w:val="0"/>
          <w:numId w:val="1378"/>
        </w:numPr>
        <w:pStyle w:val="Compact"/>
      </w:pPr>
      <w:r>
        <w:t xml:space="preserve">2026 · Wharton S ·</w:t>
      </w:r>
      <w:r>
        <w:t xml:space="preserve"> </w:t>
      </w:r>
      <w:r>
        <w:rPr>
          <w:iCs/>
          <w:i/>
        </w:rPr>
        <w:t xml:space="preserve">Diabetes Obes Metab</w:t>
      </w:r>
      <w:r>
        <w:t xml:space="preserve"> </w:t>
      </w:r>
      <w:r>
        <w:t xml:space="preserve">· Hepatic Safety of Orforglipron in Adults With Obesity or Overweight and/or Type 2 Diabetes: A Pooled Analysis of the Orforglipron Phase 3 Clinical Trials. PMID 42338042</w:t>
      </w:r>
    </w:p>
    <w:p>
      <w:pPr>
        <w:numPr>
          <w:ilvl w:val="0"/>
          <w:numId w:val="1378"/>
        </w:numPr>
        <w:pStyle w:val="Compact"/>
      </w:pPr>
      <w:r>
        <w:t xml:space="preserve">2026 · Ekinci EI ·</w:t>
      </w:r>
      <w:r>
        <w:t xml:space="preserve"> </w:t>
      </w:r>
      <w:r>
        <w:rPr>
          <w:iCs/>
          <w:i/>
        </w:rPr>
        <w:t xml:space="preserve">Diabetes Obes Metab</w:t>
      </w:r>
      <w:r>
        <w:t xml:space="preserve"> </w:t>
      </w:r>
      <w:r>
        <w:t xml:space="preserve">· Dual Glucagon and GLP-1 Receptor Agonist Survodutide Improves Biomarkers of Beta-Cell Function and Insulin Sensitivity in People With Type 2 Diabetes or Living With Overweight/Obesity. PMID 42331726</w:t>
      </w:r>
    </w:p>
    <w:p>
      <w:pPr>
        <w:numPr>
          <w:ilvl w:val="0"/>
          <w:numId w:val="1378"/>
        </w:numPr>
        <w:pStyle w:val="Compact"/>
      </w:pPr>
      <w:r>
        <w:t xml:space="preserve">2026 · Tronieri JS ·</w:t>
      </w:r>
      <w:r>
        <w:t xml:space="preserve"> </w:t>
      </w:r>
      <w:r>
        <w:rPr>
          <w:iCs/>
          <w:i/>
        </w:rPr>
        <w:t xml:space="preserve">Am J Clin Nutr</w:t>
      </w:r>
      <w:r>
        <w:t xml:space="preserve"> </w:t>
      </w:r>
      <w:r>
        <w:t xml:space="preserve">· Short- and long-term effects of semaglutide 2.4 mg on energy intake, appetite, and food reward: a 60-week, double-blind randomized controlled trial. PMID 42323166</w:t>
      </w:r>
    </w:p>
    <w:p>
      <w:pPr>
        <w:numPr>
          <w:ilvl w:val="0"/>
          <w:numId w:val="1378"/>
        </w:numPr>
        <w:pStyle w:val="Compact"/>
      </w:pPr>
      <w:r>
        <w:t xml:space="preserve">2026 · Rahman E ·</w:t>
      </w:r>
      <w:r>
        <w:t xml:space="preserve"> </w:t>
      </w:r>
      <w:r>
        <w:rPr>
          <w:iCs/>
          <w:i/>
        </w:rPr>
        <w:t xml:space="preserve">Aesthetic Plast Surg</w:t>
      </w:r>
      <w:r>
        <w:t xml:space="preserve"> </w:t>
      </w:r>
      <w:r>
        <w:t xml:space="preserve">· A Computational Trial of Dermal Mechanotransduction in GLP-1 Receptor Agonist-Associated Premature Facial Ageing. PMID 42310090</w:t>
      </w:r>
    </w:p>
    <w:p>
      <w:pPr>
        <w:numPr>
          <w:ilvl w:val="0"/>
          <w:numId w:val="1378"/>
        </w:numPr>
        <w:pStyle w:val="Compact"/>
      </w:pPr>
      <w:r>
        <w:t xml:space="preserve">2026 · Heerspink HJL ·</w:t>
      </w:r>
      <w:r>
        <w:t xml:space="preserve"> </w:t>
      </w:r>
      <w:r>
        <w:rPr>
          <w:iCs/>
          <w:i/>
        </w:rPr>
        <w:t xml:space="preserve">Clin J Am Soc Nephrol</w:t>
      </w:r>
      <w:r>
        <w:t xml:space="preserve"> </w:t>
      </w:r>
      <w:r>
        <w:t xml:space="preserve">· Effects of Semaglutide on Body Composition and GFR: A Prespecified Analysis of the SMART Trial. PMID 42308057</w:t>
      </w:r>
    </w:p>
    <w:p>
      <w:pPr>
        <w:numPr>
          <w:ilvl w:val="0"/>
          <w:numId w:val="1378"/>
        </w:numPr>
        <w:pStyle w:val="Compact"/>
      </w:pPr>
      <w:r>
        <w:t xml:space="preserve">2026 · Aroda VR ·</w:t>
      </w:r>
      <w:r>
        <w:t xml:space="preserve"> </w:t>
      </w:r>
      <w:r>
        <w:rPr>
          <w:iCs/>
          <w:i/>
        </w:rPr>
        <w:t xml:space="preserve">Lancet</w:t>
      </w:r>
      <w:r>
        <w:t xml:space="preserve"> </w:t>
      </w:r>
      <w:r>
        <w:t xml:space="preserve">· Elecoglipron, an oral small molecule GLP-1 receptor agonist in adults with type 2 diabetes (SOLSTICE): a multicentre, phase 2b, randomised, placebo-controlled trial. PMID 42259343</w:t>
      </w:r>
    </w:p>
    <w:p>
      <w:pPr>
        <w:numPr>
          <w:ilvl w:val="0"/>
          <w:numId w:val="1378"/>
        </w:numPr>
        <w:pStyle w:val="Compact"/>
      </w:pPr>
      <w:r>
        <w:t xml:space="preserve">2026 · Aroda VR ·</w:t>
      </w:r>
      <w:r>
        <w:t xml:space="preserve"> </w:t>
      </w:r>
      <w:r>
        <w:rPr>
          <w:iCs/>
          <w:i/>
        </w:rPr>
        <w:t xml:space="preserve">Lancet Diabetes Endocrinol</w:t>
      </w:r>
      <w:r>
        <w:t xml:space="preserve"> </w:t>
      </w:r>
      <w:r>
        <w:t xml:space="preserve">· Efficacy and safety of once-weekly cagrilintide-semaglutide (CagriSema) in adults with type 2 diabetes inadequately controlled on diet and exercise (REIMAGINE 1): a randomised, double-blind, placebo-controlled, phase 3a study. PMID 42251860</w:t>
      </w:r>
    </w:p>
    <w:p>
      <w:pPr>
        <w:numPr>
          <w:ilvl w:val="0"/>
          <w:numId w:val="1378"/>
        </w:numPr>
        <w:pStyle w:val="Compact"/>
      </w:pPr>
      <w:r>
        <w:t xml:space="preserve">2026 · Buse JB ·</w:t>
      </w:r>
      <w:r>
        <w:t xml:space="preserve"> </w:t>
      </w:r>
      <w:r>
        <w:rPr>
          <w:iCs/>
          <w:i/>
        </w:rPr>
        <w:t xml:space="preserve">Lancet Diabetes Endocrinol</w:t>
      </w:r>
      <w:r>
        <w:t xml:space="preserve"> </w:t>
      </w:r>
      <w:r>
        <w:t xml:space="preserve">· Cagrilintide-semaglutide (CagriSema) versus semaglutide or cagrilintide in people with type 2 diabetes (REIMAGINE 2): a double-blind, randomised, controlled, phase 3 study. PMID 42251859</w:t>
      </w:r>
    </w:p>
    <w:p>
      <w:pPr>
        <w:numPr>
          <w:ilvl w:val="0"/>
          <w:numId w:val="1378"/>
        </w:numPr>
        <w:pStyle w:val="Compact"/>
      </w:pPr>
      <w:r>
        <w:t xml:space="preserve">2026 · Rosenstock J ·</w:t>
      </w:r>
      <w:r>
        <w:t xml:space="preserve"> </w:t>
      </w:r>
      <w:r>
        <w:rPr>
          <w:iCs/>
          <w:i/>
        </w:rPr>
        <w:t xml:space="preserve">Lancet</w:t>
      </w:r>
      <w:r>
        <w:t xml:space="preserve"> </w:t>
      </w:r>
      <w:r>
        <w:t xml:space="preserve">· Cagrilintide-semaglutide (CagriSema) as an add-on to basal insulin in adults with type 2 diabetes (REIMAGINE 3): a randomised, double-blind, placebo-controlled, multicentre, phase 3 study. PMID 42251856</w:t>
      </w:r>
    </w:p>
    <w:p>
      <w:pPr>
        <w:numPr>
          <w:ilvl w:val="0"/>
          <w:numId w:val="1378"/>
        </w:numPr>
        <w:pStyle w:val="Compact"/>
      </w:pPr>
      <w:r>
        <w:t xml:space="preserve">2026 · Tuttle KR ·</w:t>
      </w:r>
      <w:r>
        <w:t xml:space="preserve"> </w:t>
      </w:r>
      <w:r>
        <w:rPr>
          <w:iCs/>
          <w:i/>
        </w:rPr>
        <w:t xml:space="preserve">J Am Coll Cardiol</w:t>
      </w:r>
      <w:r>
        <w:t xml:space="preserve"> </w:t>
      </w:r>
      <w:r>
        <w:t xml:space="preserve">· Kidney and Survival Benefits of Semaglutide in Diabetes With Chronic Kidney Disease: FLOW Trial Cardiovascular Subgroup Analyses. PMID 42233552</w:t>
      </w:r>
    </w:p>
    <w:p>
      <w:pPr>
        <w:numPr>
          <w:ilvl w:val="0"/>
          <w:numId w:val="1378"/>
        </w:numPr>
        <w:pStyle w:val="Compact"/>
      </w:pPr>
      <w:r>
        <w:t xml:space="preserve">2026 · Nielsen MJF ·</w:t>
      </w:r>
      <w:r>
        <w:t xml:space="preserve"> </w:t>
      </w:r>
      <w:r>
        <w:rPr>
          <w:iCs/>
          <w:i/>
        </w:rPr>
        <w:t xml:space="preserve">Clin Pharmacokinet</w:t>
      </w:r>
      <w:r>
        <w:t xml:space="preserve"> </w:t>
      </w:r>
      <w:r>
        <w:t xml:space="preserve">· Renal or Hepatic Impairment Does Not Affect Pharmacokinetics, Safety, or Tolerability of Subcutaneous Cagrilintide. PMID 42228334</w:t>
      </w:r>
    </w:p>
    <w:p>
      <w:pPr>
        <w:numPr>
          <w:ilvl w:val="0"/>
          <w:numId w:val="1378"/>
        </w:numPr>
        <w:pStyle w:val="Compact"/>
      </w:pPr>
      <w:r>
        <w:t xml:space="preserve">2026 · Plotkin M ·</w:t>
      </w:r>
      <w:r>
        <w:t xml:space="preserve"> </w:t>
      </w:r>
      <w:r>
        <w:rPr>
          <w:iCs/>
          <w:i/>
        </w:rPr>
        <w:t xml:space="preserve">Diabetes Obes Metab</w:t>
      </w:r>
      <w:r>
        <w:t xml:space="preserve"> </w:t>
      </w:r>
      <w:r>
        <w:t xml:space="preserve">· Semaglutide 25 mg Oral Versus Semaglutide 2.4 mg Injectable: An Indirect Treatment Comparison of Weight Loss Outcomes. PMID 42225300</w:t>
      </w:r>
    </w:p>
    <w:p>
      <w:pPr>
        <w:numPr>
          <w:ilvl w:val="0"/>
          <w:numId w:val="1378"/>
        </w:numPr>
        <w:pStyle w:val="Compact"/>
      </w:pPr>
      <w:r>
        <w:t xml:space="preserve">2026 · Ambika Gopalakrishnan U ·</w:t>
      </w:r>
      <w:r>
        <w:t xml:space="preserve"> </w:t>
      </w:r>
      <w:r>
        <w:rPr>
          <w:iCs/>
          <w:i/>
        </w:rPr>
        <w:t xml:space="preserve">Diabetes Obes Metab</w:t>
      </w:r>
      <w:r>
        <w:t xml:space="preserve"> </w:t>
      </w:r>
      <w:r>
        <w:t xml:space="preserve">· Semaglutide Injection in Indian Patients With Type 2 Diabetes Mellitus: A Randomised, Phase III, Active-Controlled Study. PMID 42219226</w:t>
      </w:r>
    </w:p>
    <w:p>
      <w:pPr>
        <w:numPr>
          <w:ilvl w:val="0"/>
          <w:numId w:val="1378"/>
        </w:numPr>
        <w:pStyle w:val="Compact"/>
      </w:pPr>
      <w:r>
        <w:t xml:space="preserve">2026 · Jin P ·</w:t>
      </w:r>
      <w:r>
        <w:t xml:space="preserve"> </w:t>
      </w:r>
      <w:r>
        <w:rPr>
          <w:iCs/>
          <w:i/>
        </w:rPr>
        <w:t xml:space="preserve">Diabetes Obes Metab</w:t>
      </w:r>
      <w:r>
        <w:t xml:space="preserve"> </w:t>
      </w:r>
      <w:r>
        <w:t xml:space="preserve">· Evaluation of the Safety, Efficacy and Pharmacokinetics of BGM0504 in Chinese Adults With Type 2 Diabetes: A Multicentre, Randomised, Controlled and Double-Blind Phase II Trial. PMID 42219225</w:t>
      </w:r>
    </w:p>
    <w:p>
      <w:pPr>
        <w:numPr>
          <w:ilvl w:val="0"/>
          <w:numId w:val="1378"/>
        </w:numPr>
        <w:pStyle w:val="Compact"/>
      </w:pPr>
      <w:r>
        <w:t xml:space="preserve">2026 · Hendershot CS ·</w:t>
      </w:r>
      <w:r>
        <w:t xml:space="preserve"> </w:t>
      </w:r>
      <w:r>
        <w:rPr>
          <w:iCs/>
          <w:i/>
        </w:rPr>
        <w:t xml:space="preserve">JAMA Netw Open</w:t>
      </w:r>
      <w:r>
        <w:t xml:space="preserve"> </w:t>
      </w:r>
      <w:r>
        <w:t xml:space="preserve">· Once-Weekly Semaglutide in Adults With Daily Cigarette Use: A Randomized Clinical Trial. PMID 42189538</w:t>
      </w:r>
    </w:p>
    <w:p>
      <w:pPr>
        <w:numPr>
          <w:ilvl w:val="0"/>
          <w:numId w:val="1378"/>
        </w:numPr>
        <w:pStyle w:val="Compact"/>
      </w:pPr>
      <w:r>
        <w:t xml:space="preserve">2026 · Stanley C ·</w:t>
      </w:r>
      <w:r>
        <w:t xml:space="preserve"> </w:t>
      </w:r>
      <w:r>
        <w:rPr>
          <w:iCs/>
          <w:i/>
        </w:rPr>
        <w:t xml:space="preserve">Nat Med</w:t>
      </w:r>
      <w:r>
        <w:t xml:space="preserve"> </w:t>
      </w:r>
      <w:r>
        <w:t xml:space="preserve">· Semaglutide versus placebo in individuals with poor weight loss after bariatric surgery: a double-blinded, randomized, placebo-controlled trial. PMID 42174253</w:t>
      </w:r>
    </w:p>
    <w:p>
      <w:pPr>
        <w:numPr>
          <w:ilvl w:val="0"/>
          <w:numId w:val="1378"/>
        </w:numPr>
        <w:pStyle w:val="Compact"/>
      </w:pPr>
      <w:r>
        <w:t xml:space="preserve">2026 · Huang YS ·</w:t>
      </w:r>
      <w:r>
        <w:t xml:space="preserve"> </w:t>
      </w:r>
      <w:r>
        <w:rPr>
          <w:iCs/>
          <w:i/>
        </w:rPr>
        <w:t xml:space="preserve">Obes Surg</w:t>
      </w:r>
      <w:r>
        <w:t xml:space="preserve"> </w:t>
      </w:r>
      <w:r>
        <w:t xml:space="preserve">· Early Adjuvant Treatment with Semaglutide After Sleeve Gastrectomy in Patients with Class II-III Obesity: A Prospective Non-Randomized Controlled Study. PMID 42174244</w:t>
      </w:r>
    </w:p>
    <w:p>
      <w:pPr>
        <w:numPr>
          <w:ilvl w:val="0"/>
          <w:numId w:val="1378"/>
        </w:numPr>
        <w:pStyle w:val="Compact"/>
      </w:pPr>
      <w:r>
        <w:t xml:space="preserve">2026 · Helsted MM ·</w:t>
      </w:r>
      <w:r>
        <w:t xml:space="preserve"> </w:t>
      </w:r>
      <w:r>
        <w:rPr>
          <w:iCs/>
          <w:i/>
        </w:rPr>
        <w:t xml:space="preserve">Lancet Diabetes Endocrinol</w:t>
      </w:r>
      <w:r>
        <w:t xml:space="preserve"> </w:t>
      </w:r>
      <w:r>
        <w:t xml:space="preserve">· Effects of a 6-week subcutaneous infusion of native GIP alone or as add-on to semaglutide in people with type 2 diabetes: a single-centre, double-blind, parallel-group, randomised, placebo-controlled trial. PMID 42173109</w:t>
      </w:r>
    </w:p>
    <w:p>
      <w:pPr>
        <w:numPr>
          <w:ilvl w:val="0"/>
          <w:numId w:val="1378"/>
        </w:numPr>
        <w:pStyle w:val="Compact"/>
      </w:pPr>
      <w:r>
        <w:t xml:space="preserve">2026 · Long W ·</w:t>
      </w:r>
      <w:r>
        <w:t xml:space="preserve"> </w:t>
      </w:r>
      <w:r>
        <w:rPr>
          <w:iCs/>
          <w:i/>
        </w:rPr>
        <w:t xml:space="preserve">Pak J Pharm Sci</w:t>
      </w:r>
      <w:r>
        <w:t xml:space="preserve"> </w:t>
      </w:r>
      <w:r>
        <w:t xml:space="preserve">· Short-term comparative effects of semaglutide, either alone or in conjunction with canagliflozin, on early diabetic kidney disease. PMID 42170981</w:t>
      </w:r>
    </w:p>
    <w:p>
      <w:pPr>
        <w:numPr>
          <w:ilvl w:val="0"/>
          <w:numId w:val="1378"/>
        </w:numPr>
        <w:pStyle w:val="Compact"/>
      </w:pPr>
      <w:r>
        <w:t xml:space="preserve">2026 · Corley MJ ·</w:t>
      </w:r>
      <w:r>
        <w:t xml:space="preserve"> </w:t>
      </w:r>
      <w:r>
        <w:rPr>
          <w:iCs/>
          <w:i/>
        </w:rPr>
        <w:t xml:space="preserve">Nat Commun</w:t>
      </w:r>
      <w:r>
        <w:t xml:space="preserve"> </w:t>
      </w:r>
      <w:r>
        <w:t xml:space="preserve">· Semaglutide slows epigenetic aging in a randomized trial of HIV-associated lipohypertrophy. PMID 42156721</w:t>
      </w:r>
    </w:p>
    <w:p>
      <w:pPr>
        <w:numPr>
          <w:ilvl w:val="0"/>
          <w:numId w:val="1378"/>
        </w:numPr>
        <w:pStyle w:val="Compact"/>
      </w:pPr>
      <w:r>
        <w:t xml:space="preserve">2026 · Aronne LJ ·</w:t>
      </w:r>
      <w:r>
        <w:t xml:space="preserve"> </w:t>
      </w:r>
      <w:r>
        <w:rPr>
          <w:iCs/>
          <w:i/>
        </w:rPr>
        <w:t xml:space="preserve">Nat Med</w:t>
      </w:r>
      <w:r>
        <w:t xml:space="preserve"> </w:t>
      </w:r>
      <w:r>
        <w:t xml:space="preserve">· Orforglipron for maintenance of body weight reduction: the double-blind, randomized phase 3b ATTAIN-MAINTAIN trial. PMID 42120723</w:t>
      </w:r>
    </w:p>
    <w:p>
      <w:pPr>
        <w:numPr>
          <w:ilvl w:val="0"/>
          <w:numId w:val="1378"/>
        </w:numPr>
        <w:pStyle w:val="Compact"/>
      </w:pPr>
      <w:r>
        <w:t xml:space="preserve">2026 · Lake JE ·</w:t>
      </w:r>
      <w:r>
        <w:t xml:space="preserve"> </w:t>
      </w:r>
      <w:r>
        <w:rPr>
          <w:iCs/>
          <w:i/>
        </w:rPr>
        <w:t xml:space="preserve">AIDS</w:t>
      </w:r>
      <w:r>
        <w:t xml:space="preserve"> </w:t>
      </w:r>
      <w:r>
        <w:t xml:space="preserve">· Semaglutide improves markers of cardiovascular risk in people with HIV. PMID 42084141</w:t>
      </w:r>
    </w:p>
    <w:p>
      <w:pPr>
        <w:numPr>
          <w:ilvl w:val="0"/>
          <w:numId w:val="1378"/>
        </w:numPr>
        <w:pStyle w:val="Compact"/>
      </w:pPr>
      <w:r>
        <w:t xml:space="preserve">2026 · Klausen MK ·</w:t>
      </w:r>
      <w:r>
        <w:t xml:space="preserve"> </w:t>
      </w:r>
      <w:r>
        <w:rPr>
          <w:iCs/>
          <w:i/>
        </w:rPr>
        <w:t xml:space="preserve">Lancet</w:t>
      </w:r>
      <w:r>
        <w:t xml:space="preserve"> </w:t>
      </w:r>
      <w:r>
        <w:t xml:space="preserve">· Once-weekly semaglutide versus placebo in patients with alcohol use disorder and comorbid obesity: a randomised, double-blind, placebo-controlled trial. PMID 42070571</w:t>
      </w:r>
    </w:p>
    <w:p>
      <w:pPr>
        <w:numPr>
          <w:ilvl w:val="0"/>
          <w:numId w:val="1378"/>
        </w:numPr>
        <w:pStyle w:val="Compact"/>
      </w:pPr>
      <w:r>
        <w:t xml:space="preserve">2026 · Gill H ·</w:t>
      </w:r>
      <w:r>
        <w:t xml:space="preserve"> </w:t>
      </w:r>
      <w:r>
        <w:rPr>
          <w:iCs/>
          <w:i/>
        </w:rPr>
        <w:t xml:space="preserve">JAMA Psychiatry</w:t>
      </w:r>
      <w:r>
        <w:t xml:space="preserve"> </w:t>
      </w:r>
      <w:r>
        <w:t xml:space="preserve">· Semaglutide and Effort-Based Decision-Making in Major Depressive Disorder: A Randomized Clinical Trial. PMID 42054055</w:t>
      </w:r>
    </w:p>
    <w:p>
      <w:pPr>
        <w:numPr>
          <w:ilvl w:val="0"/>
          <w:numId w:val="1378"/>
        </w:numPr>
        <w:pStyle w:val="Compact"/>
      </w:pPr>
      <w:r>
        <w:t xml:space="preserve">2026 · Cronenberger C ·</w:t>
      </w:r>
      <w:r>
        <w:t xml:space="preserve"> </w:t>
      </w:r>
      <w:r>
        <w:rPr>
          <w:iCs/>
          <w:i/>
        </w:rPr>
        <w:t xml:space="preserve">J Clin Pharmacol</w:t>
      </w:r>
      <w:r>
        <w:t xml:space="preserve"> </w:t>
      </w:r>
      <w:r>
        <w:t xml:space="preserve">· Assessment of the Drug-Drug Interaction Potential of Lotiglipron (PF-07081532) with Midazolam, Omeprazole, Dabigatran, Rosuvastatin, and the Oral Contraceptives Levonorgestrel and Ethinyl Estradiol. PMID 42053447</w:t>
      </w:r>
    </w:p>
    <w:p>
      <w:pPr>
        <w:numPr>
          <w:ilvl w:val="0"/>
          <w:numId w:val="1378"/>
        </w:numPr>
        <w:pStyle w:val="Compact"/>
      </w:pPr>
      <w:r>
        <w:t xml:space="preserve">2026 · Johansson E ·</w:t>
      </w:r>
      <w:r>
        <w:t xml:space="preserve"> </w:t>
      </w:r>
      <w:r>
        <w:rPr>
          <w:iCs/>
          <w:i/>
        </w:rPr>
        <w:t xml:space="preserve">J Med Econ</w:t>
      </w:r>
      <w:r>
        <w:t xml:space="preserve"> </w:t>
      </w:r>
      <w:r>
        <w:t xml:space="preserve">· Cost-effectiveness of tirzepatide versus semaglutide for patients with obesity or overweight in the US: evidence from the SURMOUNT-5 head-to-head phase-3 trial. PMID 42012820</w:t>
      </w:r>
    </w:p>
    <w:p>
      <w:pPr>
        <w:numPr>
          <w:ilvl w:val="0"/>
          <w:numId w:val="1378"/>
        </w:numPr>
        <w:pStyle w:val="Compact"/>
      </w:pPr>
      <w:r>
        <w:t xml:space="preserve">2026 · Yamauchi T ·</w:t>
      </w:r>
      <w:r>
        <w:t xml:space="preserve"> </w:t>
      </w:r>
      <w:r>
        <w:rPr>
          <w:iCs/>
          <w:i/>
        </w:rPr>
        <w:t xml:space="preserve">Lancet Diabetes Endocrinol</w:t>
      </w:r>
      <w:r>
        <w:t xml:space="preserve"> </w:t>
      </w:r>
      <w:r>
        <w:t xml:space="preserve">· Efficacy and safety of co-administered cagrilintide and semaglutide versus semaglutide alone in adults with overweight or obesity with or without type 2 diabetes in Japan and Taiwan (REDEFINE 5): a multicentre, randomised, active-controlled, phase 3a trial. PMID 42009015</w:t>
      </w:r>
    </w:p>
    <w:p>
      <w:pPr>
        <w:numPr>
          <w:ilvl w:val="0"/>
          <w:numId w:val="1378"/>
        </w:numPr>
        <w:pStyle w:val="Compact"/>
      </w:pPr>
      <w:r>
        <w:t xml:space="preserve">2026 · Zaccardi F ·</w:t>
      </w:r>
      <w:r>
        <w:t xml:space="preserve"> </w:t>
      </w:r>
      <w:r>
        <w:rPr>
          <w:iCs/>
          <w:i/>
        </w:rPr>
        <w:t xml:space="preserve">Diabetes Obes Metab</w:t>
      </w:r>
      <w:r>
        <w:t xml:space="preserve"> </w:t>
      </w:r>
      <w:r>
        <w:t xml:space="preserve">· Semaglutide Treatment in Young Adults Living With Type 2 Diabetes: A Post Hoc Analysis From the SUSTAIN and PIONEER Clinical Trials. PMID 41994903</w:t>
      </w:r>
    </w:p>
    <w:p>
      <w:pPr>
        <w:numPr>
          <w:ilvl w:val="0"/>
          <w:numId w:val="1378"/>
        </w:numPr>
        <w:pStyle w:val="Compact"/>
      </w:pPr>
      <w:r>
        <w:t xml:space="preserve">2026 · Meyhöfer SM ·</w:t>
      </w:r>
      <w:r>
        <w:t xml:space="preserve"> </w:t>
      </w:r>
      <w:r>
        <w:rPr>
          <w:iCs/>
          <w:i/>
        </w:rPr>
        <w:t xml:space="preserve">Nat Med</w:t>
      </w:r>
      <w:r>
        <w:t xml:space="preserve"> </w:t>
      </w:r>
      <w:r>
        <w:t xml:space="preserve">· Semaglutide on liver fibrosis and heart outcomes in patients at high risk of liver fibrosis: a prespecified analysis of the SELECT randomized trial. PMID 41928037</w:t>
      </w:r>
    </w:p>
    <w:p>
      <w:pPr>
        <w:numPr>
          <w:ilvl w:val="0"/>
          <w:numId w:val="1378"/>
        </w:numPr>
        <w:pStyle w:val="Compact"/>
      </w:pPr>
      <w:r>
        <w:t xml:space="preserve">2026 · Moreno-Pérez Ó ·</w:t>
      </w:r>
      <w:r>
        <w:t xml:space="preserve"> </w:t>
      </w:r>
      <w:r>
        <w:rPr>
          <w:iCs/>
          <w:i/>
        </w:rPr>
        <w:t xml:space="preserve">Cardiovasc Diabetol</w:t>
      </w:r>
      <w:r>
        <w:t xml:space="preserve"> </w:t>
      </w:r>
      <w:r>
        <w:t xml:space="preserve">· Inpatient safety, effectiveness of SGLT2 inhibitors and GLP-1 RAs in type 2 diabetes: ENDOCARE, a pragmatic prospective cohort study. PMID 41913157</w:t>
      </w:r>
    </w:p>
    <w:p>
      <w:pPr>
        <w:numPr>
          <w:ilvl w:val="0"/>
          <w:numId w:val="1378"/>
        </w:numPr>
        <w:pStyle w:val="Compact"/>
      </w:pPr>
      <w:r>
        <w:t xml:space="preserve">2026 · Mulvagh SL ·</w:t>
      </w:r>
      <w:r>
        <w:t xml:space="preserve"> </w:t>
      </w:r>
      <w:r>
        <w:rPr>
          <w:iCs/>
          <w:i/>
        </w:rPr>
        <w:t xml:space="preserve">JAMA Cardiol</w:t>
      </w:r>
      <w:r>
        <w:t xml:space="preserve"> </w:t>
      </w:r>
      <w:r>
        <w:t xml:space="preserve">· Oral Semaglutide and Change in Cardiovascular Risk Factors in High-Risk Type 2 Diabetes: A Post Hoc Secondary Analysis of the SOUL Randomized Clinical Trial. PMID 41879791</w:t>
      </w:r>
    </w:p>
    <w:p>
      <w:pPr>
        <w:numPr>
          <w:ilvl w:val="0"/>
          <w:numId w:val="1378"/>
        </w:numPr>
        <w:pStyle w:val="Compact"/>
      </w:pPr>
      <w:r>
        <w:t xml:space="preserve">2026 · Yang SI ·</w:t>
      </w:r>
      <w:r>
        <w:t xml:space="preserve"> </w:t>
      </w:r>
      <w:r>
        <w:rPr>
          <w:iCs/>
          <w:i/>
        </w:rPr>
        <w:t xml:space="preserve">Nat Commun</w:t>
      </w:r>
      <w:r>
        <w:t xml:space="preserve"> </w:t>
      </w:r>
      <w:r>
        <w:t xml:space="preserve">· Bispecific GLP-1/GLP-2 agonism in advanced type 2 diabetes: preclinical characterization and a randomized, double-blind, placebo-controlled phase I trial. PMID 41876542</w:t>
      </w:r>
    </w:p>
    <w:p>
      <w:pPr>
        <w:numPr>
          <w:ilvl w:val="0"/>
          <w:numId w:val="1378"/>
        </w:numPr>
        <w:pStyle w:val="Compact"/>
      </w:pPr>
      <w:r>
        <w:t xml:space="preserve">2026 · Aronne LJ ·</w:t>
      </w:r>
      <w:r>
        <w:t xml:space="preserve"> </w:t>
      </w:r>
      <w:r>
        <w:rPr>
          <w:iCs/>
          <w:i/>
        </w:rPr>
        <w:t xml:space="preserve">Am J Med</w:t>
      </w:r>
      <w:r>
        <w:t xml:space="preserve"> </w:t>
      </w:r>
      <w:r>
        <w:t xml:space="preserve">· Relationship of early rapid weight loss to efficacy and safety of tirzepatide and semaglutide for obesity: SURMOUNT-5 post hoc analysis. PMID 41865857</w:t>
      </w:r>
    </w:p>
    <w:p>
      <w:pPr>
        <w:numPr>
          <w:ilvl w:val="0"/>
          <w:numId w:val="1378"/>
        </w:numPr>
        <w:pStyle w:val="Compact"/>
      </w:pPr>
      <w:r>
        <w:t xml:space="preserve">2026 · Cummings JL ·</w:t>
      </w:r>
      <w:r>
        <w:t xml:space="preserve"> </w:t>
      </w:r>
      <w:r>
        <w:rPr>
          <w:iCs/>
          <w:i/>
        </w:rPr>
        <w:t xml:space="preserve">Lancet</w:t>
      </w:r>
      <w:r>
        <w:t xml:space="preserve"> </w:t>
      </w:r>
      <w:r>
        <w:t xml:space="preserve">· Efficacy and safety of oral semaglutide 14 mg (flexible dose) in early-stage symptomatic Alzheimer’s disease (evoke and evoke+): two phase 3, randomised, placebo-controlled trials. PMID 41865758</w:t>
      </w:r>
    </w:p>
    <w:p>
      <w:pPr>
        <w:numPr>
          <w:ilvl w:val="0"/>
          <w:numId w:val="1378"/>
        </w:numPr>
        <w:pStyle w:val="Compact"/>
      </w:pPr>
      <w:r>
        <w:t xml:space="preserve">2026 · Scheen A ·</w:t>
      </w:r>
      <w:r>
        <w:t xml:space="preserve"> </w:t>
      </w:r>
      <w:r>
        <w:rPr>
          <w:iCs/>
          <w:i/>
        </w:rPr>
        <w:t xml:space="preserve">Rev Med Liege</w:t>
      </w:r>
      <w:r>
        <w:t xml:space="preserve"> </w:t>
      </w:r>
      <w:r>
        <w:t xml:space="preserve">· [SURPASS CVOT : cardiovascular benefits with tirzepatide versus dulaglutide in type 2 diabetes]. PMID 41815032</w:t>
      </w:r>
    </w:p>
    <w:p>
      <w:pPr>
        <w:numPr>
          <w:ilvl w:val="0"/>
          <w:numId w:val="1378"/>
        </w:numPr>
        <w:pStyle w:val="Compact"/>
      </w:pPr>
      <w:r>
        <w:t xml:space="preserve">2026 · Schrage B ·</w:t>
      </w:r>
      <w:r>
        <w:t xml:space="preserve"> </w:t>
      </w:r>
      <w:r>
        <w:rPr>
          <w:iCs/>
          <w:i/>
        </w:rPr>
        <w:t xml:space="preserve">J Am Coll Cardiol</w:t>
      </w:r>
      <w:r>
        <w:t xml:space="preserve"> </w:t>
      </w:r>
      <w:r>
        <w:t xml:space="preserve">· Emulated Effects of Glucagon-Like Peptide 1 Receptor Agonist Therapy in the General Population. PMID 41811277</w:t>
      </w:r>
    </w:p>
    <w:p>
      <w:pPr>
        <w:numPr>
          <w:ilvl w:val="0"/>
          <w:numId w:val="1378"/>
        </w:numPr>
        <w:pStyle w:val="Compact"/>
      </w:pPr>
      <w:r>
        <w:t xml:space="preserve">2026 · Ganeshalingam AA ·</w:t>
      </w:r>
      <w:r>
        <w:t xml:space="preserve"> </w:t>
      </w:r>
      <w:r>
        <w:rPr>
          <w:iCs/>
          <w:i/>
        </w:rPr>
        <w:t xml:space="preserve">Diabetes Care</w:t>
      </w:r>
      <w:r>
        <w:t xml:space="preserve"> </w:t>
      </w:r>
      <w:r>
        <w:t xml:space="preserve">· Semaglutide Effects on Insulin Sensitivity and β-Cell Function in Patients With Schizophrenia, Prediabetes, and Obesity Treated With Second-Generation Antipsychotics: Findings From the HISTORI Trial, a 30-Week Randomized, Placebo-Controlled Trial With Semaglutide 1.0 mg Weekly. PMID 41778920</w:t>
      </w:r>
    </w:p>
    <w:p>
      <w:pPr>
        <w:numPr>
          <w:ilvl w:val="0"/>
          <w:numId w:val="1378"/>
        </w:numPr>
        <w:pStyle w:val="Compact"/>
      </w:pPr>
      <w:r>
        <w:t xml:space="preserve">2026 · Heymsfield SB ·</w:t>
      </w:r>
      <w:r>
        <w:t xml:space="preserve"> </w:t>
      </w:r>
      <w:r>
        <w:rPr>
          <w:iCs/>
          <w:i/>
        </w:rPr>
        <w:t xml:space="preserve">Nat Med</w:t>
      </w:r>
      <w:r>
        <w:t xml:space="preserve"> </w:t>
      </w:r>
      <w:r>
        <w:t xml:space="preserve">· Bimagrumab plus semaglutide alone or in combination for the treatment of obesity: a randomized phase 2 trial. PMID 41772149</w:t>
      </w:r>
    </w:p>
    <w:p>
      <w:pPr>
        <w:numPr>
          <w:ilvl w:val="0"/>
          <w:numId w:val="1378"/>
        </w:numPr>
        <w:pStyle w:val="Compact"/>
      </w:pPr>
      <w:r>
        <w:t xml:space="preserve">2026 · Rosenstock J ·</w:t>
      </w:r>
      <w:r>
        <w:t xml:space="preserve"> </w:t>
      </w:r>
      <w:r>
        <w:rPr>
          <w:iCs/>
          <w:i/>
        </w:rPr>
        <w:t xml:space="preserve">Lancet</w:t>
      </w:r>
      <w:r>
        <w:t xml:space="preserve"> </w:t>
      </w:r>
      <w:r>
        <w:t xml:space="preserve">· Efficacy and safety of once-daily oral orforglipron compared with oral semaglutide in adults with type 2 diabetes (ACHIEVE-3): a multinational, multicentre, non-inferiority, open-label, randomised, phase 3 trial. PMID 41765029</w:t>
      </w:r>
    </w:p>
    <w:p>
      <w:pPr>
        <w:numPr>
          <w:ilvl w:val="0"/>
          <w:numId w:val="1378"/>
        </w:numPr>
        <w:pStyle w:val="Compact"/>
      </w:pPr>
      <w:r>
        <w:t xml:space="preserve">2026 · Rayner B ·</w:t>
      </w:r>
      <w:r>
        <w:t xml:space="preserve"> </w:t>
      </w:r>
      <w:r>
        <w:rPr>
          <w:iCs/>
          <w:i/>
        </w:rPr>
        <w:t xml:space="preserve">Nephrol Dial Transplant</w:t>
      </w:r>
      <w:r>
        <w:t xml:space="preserve"> </w:t>
      </w:r>
      <w:r>
        <w:t xml:space="preserve">· Effect of semaglutide on COVID-19 and other infections: an analysis from the FLOW randomized clinical trial. PMID 41728915</w:t>
      </w:r>
    </w:p>
    <w:p>
      <w:pPr>
        <w:numPr>
          <w:ilvl w:val="0"/>
          <w:numId w:val="1378"/>
        </w:numPr>
        <w:pStyle w:val="Compact"/>
      </w:pPr>
      <w:r>
        <w:t xml:space="preserve">2026 · Uhrenholt N ·</w:t>
      </w:r>
      <w:r>
        <w:t xml:space="preserve"> </w:t>
      </w:r>
      <w:r>
        <w:rPr>
          <w:iCs/>
          <w:i/>
        </w:rPr>
        <w:t xml:space="preserve">Schizophr Res</w:t>
      </w:r>
      <w:r>
        <w:t xml:space="preserve"> </w:t>
      </w:r>
      <w:r>
        <w:t xml:space="preserve">· Improved quality of life with semaglutide in schizophrenia: Secondary analyses from a randomized controlled trial. PMID 41702353</w:t>
      </w:r>
    </w:p>
    <w:p>
      <w:pPr>
        <w:numPr>
          <w:ilvl w:val="0"/>
          <w:numId w:val="1378"/>
        </w:numPr>
        <w:pStyle w:val="Compact"/>
      </w:pPr>
      <w:r>
        <w:t xml:space="preserve">2026 · Pop-Busui R ·</w:t>
      </w:r>
      <w:r>
        <w:t xml:space="preserve"> </w:t>
      </w:r>
      <w:r>
        <w:rPr>
          <w:iCs/>
          <w:i/>
        </w:rPr>
        <w:t xml:space="preserve">JAMA Intern Med</w:t>
      </w:r>
      <w:r>
        <w:t xml:space="preserve"> </w:t>
      </w:r>
      <w:r>
        <w:t xml:space="preserve">· Oral Semaglutide and Heart Failure Outcomes in Persons With Type 2 Diabetes: A Secondary Analysis of the SOUL Randomized Clinical Trial. PMID 41627802</w:t>
      </w:r>
    </w:p>
    <w:p>
      <w:pPr>
        <w:numPr>
          <w:ilvl w:val="0"/>
          <w:numId w:val="1378"/>
        </w:numPr>
        <w:pStyle w:val="Compact"/>
      </w:pPr>
      <w:r>
        <w:t xml:space="preserve">2026 · Yen Y ·</w:t>
      </w:r>
      <w:r>
        <w:t xml:space="preserve"> </w:t>
      </w:r>
      <w:r>
        <w:rPr>
          <w:iCs/>
          <w:i/>
        </w:rPr>
        <w:t xml:space="preserve">BMC Med</w:t>
      </w:r>
      <w:r>
        <w:t xml:space="preserve"> </w:t>
      </w:r>
      <w:r>
        <w:t xml:space="preserve">· Comparative effectiveness of sleeve gastrectomy and semaglutide for weight loss and metabolic outcomes: a prospective non-randomized study. PMID 41572274</w:t>
      </w:r>
    </w:p>
    <w:p>
      <w:pPr>
        <w:numPr>
          <w:ilvl w:val="0"/>
          <w:numId w:val="1378"/>
        </w:numPr>
        <w:pStyle w:val="Compact"/>
      </w:pPr>
      <w:r>
        <w:t xml:space="preserve">2026 · Bøg M ·</w:t>
      </w:r>
      <w:r>
        <w:t xml:space="preserve"> </w:t>
      </w:r>
      <w:r>
        <w:rPr>
          <w:iCs/>
          <w:i/>
        </w:rPr>
        <w:t xml:space="preserve">Pharmacoeconomics</w:t>
      </w:r>
      <w:r>
        <w:t xml:space="preserve"> </w:t>
      </w:r>
      <w:r>
        <w:t xml:space="preserve">· Development of Cardiovascular Risk Equations in People with Overweight or Obesity and Established Cardiovascular Disease Without Diabetes Based on the SELECT Trial. PMID 41553702</w:t>
      </w:r>
    </w:p>
    <w:p>
      <w:pPr>
        <w:numPr>
          <w:ilvl w:val="0"/>
          <w:numId w:val="1378"/>
        </w:numPr>
        <w:pStyle w:val="Compact"/>
      </w:pPr>
      <w:r>
        <w:t xml:space="preserve">2026 · Ajmera V ·</w:t>
      </w:r>
      <w:r>
        <w:t xml:space="preserve"> </w:t>
      </w:r>
      <w:r>
        <w:rPr>
          <w:iCs/>
          <w:i/>
        </w:rPr>
        <w:t xml:space="preserve">Aliment Pharmacol Ther</w:t>
      </w:r>
      <w:r>
        <w:t xml:space="preserve"> </w:t>
      </w:r>
      <w:r>
        <w:t xml:space="preserve">· Clinical Trial: Semaglutide Versus Placebo in NIT-Assessed MASH-A Multicenter Randomised Placebo-Controlled Trial (SAMARA). PMID 41527269</w:t>
      </w:r>
    </w:p>
    <w:p>
      <w:pPr>
        <w:numPr>
          <w:ilvl w:val="0"/>
          <w:numId w:val="1378"/>
        </w:numPr>
        <w:pStyle w:val="Compact"/>
      </w:pPr>
      <w:r>
        <w:t xml:space="preserve">2026 · Stefanakis K ·</w:t>
      </w:r>
      <w:r>
        <w:t xml:space="preserve"> </w:t>
      </w:r>
      <w:r>
        <w:rPr>
          <w:iCs/>
          <w:i/>
        </w:rPr>
        <w:t xml:space="preserve">Metabolism</w:t>
      </w:r>
      <w:r>
        <w:t xml:space="preserve"> </w:t>
      </w:r>
      <w:r>
        <w:t xml:space="preserve">· Proteomic effects of short-term liraglutide vs. placebo in a blinded crossover RCT: Implications for efficacy, safety, and comparison with semaglutide. PMID 41513169</w:t>
      </w:r>
    </w:p>
    <w:p>
      <w:pPr>
        <w:numPr>
          <w:ilvl w:val="0"/>
          <w:numId w:val="1378"/>
        </w:numPr>
        <w:pStyle w:val="Compact"/>
      </w:pPr>
      <w:r>
        <w:t xml:space="preserve">2026 · Ferrulli A ·</w:t>
      </w:r>
      <w:r>
        <w:t xml:space="preserve"> </w:t>
      </w:r>
      <w:r>
        <w:rPr>
          <w:iCs/>
          <w:i/>
        </w:rPr>
        <w:t xml:space="preserve">Obesity (Silver Spring)</w:t>
      </w:r>
      <w:r>
        <w:t xml:space="preserve"> </w:t>
      </w:r>
      <w:r>
        <w:t xml:space="preserve">· Weight Loss With SGLT2 Inhibitors, Semaglutide, and Transcranial Magnetic Stimulation in Type 2 Diabetes and Obesity. PMID 41451880</w:t>
      </w:r>
    </w:p>
    <w:p>
      <w:pPr>
        <w:numPr>
          <w:ilvl w:val="0"/>
          <w:numId w:val="1378"/>
        </w:numPr>
        <w:pStyle w:val="Compact"/>
      </w:pPr>
      <w:r>
        <w:t xml:space="preserve">2026 · Nicholls SJ ·</w:t>
      </w:r>
      <w:r>
        <w:t xml:space="preserve"> </w:t>
      </w:r>
      <w:r>
        <w:rPr>
          <w:iCs/>
          <w:i/>
        </w:rPr>
        <w:t xml:space="preserve">JAMA Cardiol</w:t>
      </w:r>
      <w:r>
        <w:t xml:space="preserve"> </w:t>
      </w:r>
      <w:r>
        <w:t xml:space="preserve">· Semaglutide and Hospitalizations in Patients With Obesity and Established Cardiovascular Disease: An Exploratory Analysis of the SELECT Randomized Clinical Trial. PMID 41433034</w:t>
      </w:r>
    </w:p>
    <w:p>
      <w:pPr>
        <w:numPr>
          <w:ilvl w:val="0"/>
          <w:numId w:val="1378"/>
        </w:numPr>
        <w:pStyle w:val="Compact"/>
      </w:pPr>
      <w:r>
        <w:t xml:space="preserve">2026 · Karakus KE ·</w:t>
      </w:r>
      <w:r>
        <w:t xml:space="preserve"> </w:t>
      </w:r>
      <w:r>
        <w:rPr>
          <w:iCs/>
          <w:i/>
        </w:rPr>
        <w:t xml:space="preserve">Diabetes Care</w:t>
      </w:r>
      <w:r>
        <w:t xml:space="preserve"> </w:t>
      </w:r>
      <w:r>
        <w:t xml:space="preserve">· Effect of Semaglutide on Insulin Dose Reduction in Adults With Type 1 Diabetes and Obesity Using Automated Insulin Delivery Systems: ADJUST-T1D Post Hoc Analysis. PMID 41429002</w:t>
      </w:r>
    </w:p>
    <w:p>
      <w:pPr>
        <w:numPr>
          <w:ilvl w:val="0"/>
          <w:numId w:val="1378"/>
        </w:numPr>
        <w:pStyle w:val="Compact"/>
      </w:pPr>
      <w:r>
        <w:t xml:space="preserve">2026 · Neves JS ·</w:t>
      </w:r>
      <w:r>
        <w:t xml:space="preserve"> </w:t>
      </w:r>
      <w:r>
        <w:rPr>
          <w:iCs/>
          <w:i/>
        </w:rPr>
        <w:t xml:space="preserve">Diabetologia</w:t>
      </w:r>
      <w:r>
        <w:t xml:space="preserve"> </w:t>
      </w:r>
      <w:r>
        <w:t xml:space="preserve">· Efficacy of tirzepatide versus semaglutide in achieving therapeutic targets in type 2 diabetes: a post hoc analysis of the SURPASS-2 Trial. PMID 41419618</w:t>
      </w:r>
    </w:p>
    <w:p>
      <w:pPr>
        <w:numPr>
          <w:ilvl w:val="0"/>
          <w:numId w:val="1378"/>
        </w:numPr>
        <w:pStyle w:val="Compact"/>
      </w:pPr>
      <w:r>
        <w:t xml:space="preserve">2026 · Mann JFE ·</w:t>
      </w:r>
      <w:r>
        <w:t xml:space="preserve"> </w:t>
      </w:r>
      <w:r>
        <w:rPr>
          <w:iCs/>
          <w:i/>
        </w:rPr>
        <w:t xml:space="preserve">Diabetes Care</w:t>
      </w:r>
      <w:r>
        <w:t xml:space="preserve"> </w:t>
      </w:r>
      <w:r>
        <w:t xml:space="preserve">· Impact of Oral Semaglutide on Kidney Outcomes in People With Type 2 Diabetes: Results From the SOUL Randomized Trial. PMID 41380027</w:t>
      </w:r>
    </w:p>
    <w:p>
      <w:pPr>
        <w:numPr>
          <w:ilvl w:val="0"/>
          <w:numId w:val="1378"/>
        </w:numPr>
        <w:pStyle w:val="Compact"/>
      </w:pPr>
      <w:r>
        <w:t xml:space="preserve">2026 · Sass MR ·</w:t>
      </w:r>
      <w:r>
        <w:t xml:space="preserve"> </w:t>
      </w:r>
      <w:r>
        <w:rPr>
          <w:iCs/>
          <w:i/>
        </w:rPr>
        <w:t xml:space="preserve">JAMA Psychiatry</w:t>
      </w:r>
      <w:r>
        <w:t xml:space="preserve"> </w:t>
      </w:r>
      <w:r>
        <w:t xml:space="preserve">· Semaglutide and Early-Stage Metabolic Abnormalities in Individuals With Schizophrenia Spectrum Disorders: A Randomized Clinical Trial. PMID 41335431</w:t>
      </w:r>
    </w:p>
    <w:p>
      <w:pPr>
        <w:numPr>
          <w:ilvl w:val="0"/>
          <w:numId w:val="1378"/>
        </w:numPr>
        <w:pStyle w:val="Compact"/>
      </w:pPr>
      <w:r>
        <w:t xml:space="preserve">2026 · Verma S ·</w:t>
      </w:r>
      <w:r>
        <w:t xml:space="preserve"> </w:t>
      </w:r>
      <w:r>
        <w:rPr>
          <w:iCs/>
          <w:i/>
        </w:rPr>
        <w:t xml:space="preserve">Hypertension</w:t>
      </w:r>
      <w:r>
        <w:t xml:space="preserve"> </w:t>
      </w:r>
      <w:r>
        <w:t xml:space="preserve">· CagriSema Reduces Blood Pressure in Adults With Overweight or Obesity: REDEFINE 1. PMID 41328546</w:t>
      </w:r>
    </w:p>
    <w:p>
      <w:pPr>
        <w:numPr>
          <w:ilvl w:val="0"/>
          <w:numId w:val="1378"/>
        </w:numPr>
        <w:pStyle w:val="Compact"/>
      </w:pPr>
      <w:r>
        <w:t xml:space="preserve">2026 · Arslanian S ·</w:t>
      </w:r>
      <w:r>
        <w:t xml:space="preserve"> </w:t>
      </w:r>
      <w:r>
        <w:rPr>
          <w:iCs/>
          <w:i/>
        </w:rPr>
        <w:t xml:space="preserve">Diabetes Care</w:t>
      </w:r>
      <w:r>
        <w:t xml:space="preserve"> </w:t>
      </w:r>
      <w:r>
        <w:t xml:space="preserve">· Effect of Semaglutide on Insulin Sensitivity and Cardiometabolic Risk Factors in Adolescents With Obesity: The STEP TEENS Study. PMID 41296499</w:t>
      </w:r>
    </w:p>
    <w:p>
      <w:pPr>
        <w:numPr>
          <w:ilvl w:val="0"/>
          <w:numId w:val="1378"/>
        </w:numPr>
        <w:pStyle w:val="Compact"/>
      </w:pPr>
      <w:r>
        <w:t xml:space="preserve">2026 · Badulescu S ·</w:t>
      </w:r>
      <w:r>
        <w:t xml:space="preserve"> </w:t>
      </w:r>
      <w:r>
        <w:rPr>
          <w:iCs/>
          <w:i/>
        </w:rPr>
        <w:t xml:space="preserve">Med</w:t>
      </w:r>
      <w:r>
        <w:t xml:space="preserve"> </w:t>
      </w:r>
      <w:r>
        <w:t xml:space="preserve">· Semaglutide for the treatment of cognitive dysfunction in major depressive disorder: A randomized clinical trial. PMID 41218611</w:t>
      </w:r>
    </w:p>
    <w:p>
      <w:pPr>
        <w:numPr>
          <w:ilvl w:val="0"/>
          <w:numId w:val="1378"/>
        </w:numPr>
        <w:pStyle w:val="Compact"/>
      </w:pPr>
      <w:r>
        <w:t xml:space="preserve">2026 · Shukla AP ·</w:t>
      </w:r>
      <w:r>
        <w:t xml:space="preserve"> </w:t>
      </w:r>
      <w:r>
        <w:rPr>
          <w:iCs/>
          <w:i/>
        </w:rPr>
        <w:t xml:space="preserve">Diabetes Obes Metab</w:t>
      </w:r>
      <w:r>
        <w:t xml:space="preserve"> </w:t>
      </w:r>
      <w:r>
        <w:t xml:space="preserve">· Improved health-related quality of life with tirzepatide versus semaglutide in adults with obesity or overweight from the SURMOUNT-5 trial. PMID 41187971</w:t>
      </w:r>
    </w:p>
    <w:p>
      <w:pPr>
        <w:numPr>
          <w:ilvl w:val="0"/>
          <w:numId w:val="1378"/>
        </w:numPr>
        <w:pStyle w:val="Compact"/>
      </w:pPr>
      <w:r>
        <w:t xml:space="preserve">2026 · Pasqua MR ·</w:t>
      </w:r>
      <w:r>
        <w:t xml:space="preserve"> </w:t>
      </w:r>
      <w:r>
        <w:rPr>
          <w:iCs/>
          <w:i/>
        </w:rPr>
        <w:t xml:space="preserve">Can J Diabetes</w:t>
      </w:r>
      <w:r>
        <w:t xml:space="preserve"> </w:t>
      </w:r>
      <w:r>
        <w:t xml:space="preserve">· Semaglutide Use With Automated Insulin Delivery in Adults With Type 1 Diabetes: Qualitative Analyses and Patient-reported Outcomes From a Randomized Controlled Trial. PMID 41175929</w:t>
      </w:r>
    </w:p>
    <w:p>
      <w:pPr>
        <w:numPr>
          <w:ilvl w:val="0"/>
          <w:numId w:val="1378"/>
        </w:numPr>
        <w:pStyle w:val="Compact"/>
      </w:pPr>
      <w:r>
        <w:t xml:space="preserve">2026 · Pasqua MR ·</w:t>
      </w:r>
      <w:r>
        <w:t xml:space="preserve"> </w:t>
      </w:r>
      <w:r>
        <w:rPr>
          <w:iCs/>
          <w:i/>
        </w:rPr>
        <w:t xml:space="preserve">Diabetes Obes Metab</w:t>
      </w:r>
      <w:r>
        <w:t xml:space="preserve"> </w:t>
      </w:r>
      <w:r>
        <w:t xml:space="preserve">· Changes to insulin requirements over time with semaglutide in adults with type 1 diabetes on insulin pump therapy: A post-hoc analysis of a double-blinded, randomised, crossover trial. PMID 41144928</w:t>
      </w:r>
    </w:p>
    <w:p>
      <w:pPr>
        <w:numPr>
          <w:ilvl w:val="0"/>
          <w:numId w:val="1378"/>
        </w:numPr>
        <w:pStyle w:val="Compact"/>
      </w:pPr>
      <w:r>
        <w:t xml:space="preserve">2026 · Atieh O ·</w:t>
      </w:r>
      <w:r>
        <w:t xml:space="preserve"> </w:t>
      </w:r>
      <w:r>
        <w:rPr>
          <w:iCs/>
          <w:i/>
        </w:rPr>
        <w:t xml:space="preserve">Clin Infect Dis</w:t>
      </w:r>
      <w:r>
        <w:t xml:space="preserve"> </w:t>
      </w:r>
      <w:r>
        <w:t xml:space="preserve">· Effects of Semaglutide on Cognitive Function in People With HIV: A Randomized, Controlled Trial. PMID 41098140</w:t>
      </w:r>
    </w:p>
    <w:p>
      <w:pPr>
        <w:numPr>
          <w:ilvl w:val="0"/>
          <w:numId w:val="1378"/>
        </w:numPr>
        <w:pStyle w:val="Compact"/>
      </w:pPr>
      <w:r>
        <w:t xml:space="preserve">2026 · Katrevula A ·</w:t>
      </w:r>
      <w:r>
        <w:t xml:space="preserve"> </w:t>
      </w:r>
      <w:r>
        <w:rPr>
          <w:iCs/>
          <w:i/>
        </w:rPr>
        <w:t xml:space="preserve">Indian J Gastroenterol</w:t>
      </w:r>
      <w:r>
        <w:t xml:space="preserve"> </w:t>
      </w:r>
      <w:r>
        <w:t xml:space="preserve">· Oral semaglutide for weight loss and liver fibrosis in overweight and obesity: A randomized controlled trial. PMID 41066034</w:t>
      </w:r>
    </w:p>
    <w:p>
      <w:pPr>
        <w:numPr>
          <w:ilvl w:val="0"/>
          <w:numId w:val="1378"/>
        </w:numPr>
        <w:pStyle w:val="Compact"/>
      </w:pPr>
      <w:r>
        <w:t xml:space="preserve">2026 · Nitze LM ·</w:t>
      </w:r>
      <w:r>
        <w:t xml:space="preserve"> </w:t>
      </w:r>
      <w:r>
        <w:rPr>
          <w:iCs/>
          <w:i/>
        </w:rPr>
        <w:t xml:space="preserve">Aliment Pharmacol Ther</w:t>
      </w:r>
      <w:r>
        <w:t xml:space="preserve"> </w:t>
      </w:r>
      <w:r>
        <w:t xml:space="preserve">· Exploration of Multiple Non-Invasive Tests for Assessing Response to Treatment in a Semaglutide Phase 2b Trial in Patients with MASH. PMID 40985232</w:t>
      </w:r>
    </w:p>
    <w:p>
      <w:pPr>
        <w:numPr>
          <w:ilvl w:val="0"/>
          <w:numId w:val="1378"/>
        </w:numPr>
        <w:pStyle w:val="Compact"/>
      </w:pPr>
      <w:r>
        <w:t xml:space="preserve">2026 · Park B ·</w:t>
      </w:r>
      <w:r>
        <w:t xml:space="preserve"> </w:t>
      </w:r>
      <w:r>
        <w:rPr>
          <w:iCs/>
          <w:i/>
        </w:rPr>
        <w:t xml:space="preserve">Eur Heart J</w:t>
      </w:r>
      <w:r>
        <w:t xml:space="preserve"> </w:t>
      </w:r>
      <w:r>
        <w:t xml:space="preserve">· Semaglutide promotes bone marrow-derived progenitor cell flux towards an anti-inflammatory and pro-regenerative profile in high-risk patients: the SEMA-VR CardioLink-15 trial. PMID 40886061</w:t>
      </w:r>
    </w:p>
    <w:p>
      <w:pPr>
        <w:numPr>
          <w:ilvl w:val="0"/>
          <w:numId w:val="1378"/>
        </w:numPr>
        <w:pStyle w:val="Compact"/>
      </w:pPr>
      <w:r>
        <w:t xml:space="preserve">2025 · Youovop J ·</w:t>
      </w:r>
      <w:r>
        <w:t xml:space="preserve"> </w:t>
      </w:r>
      <w:r>
        <w:rPr>
          <w:iCs/>
          <w:i/>
        </w:rPr>
        <w:t xml:space="preserve">Medicina (Kaunas)</w:t>
      </w:r>
      <w:r>
        <w:t xml:space="preserve"> </w:t>
      </w:r>
      <w:r>
        <w:t xml:space="preserve">· Effects of Dichrostachys glomerata and Cissus quadrangularis Extracts on GLP-1 Secretion and DPP-4 Activity in Overweight and Obese Individuals: A Randomized Controlled Trial. PMID 41597327</w:t>
      </w:r>
    </w:p>
    <w:p>
      <w:pPr>
        <w:numPr>
          <w:ilvl w:val="0"/>
          <w:numId w:val="1378"/>
        </w:numPr>
        <w:pStyle w:val="Compact"/>
      </w:pPr>
      <w:r>
        <w:t xml:space="preserve">2025 · Rossing P ·</w:t>
      </w:r>
      <w:r>
        <w:t xml:space="preserve"> </w:t>
      </w:r>
      <w:r>
        <w:rPr>
          <w:iCs/>
          <w:i/>
        </w:rPr>
        <w:t xml:space="preserve">Cardiovasc Diabetol</w:t>
      </w:r>
      <w:r>
        <w:t xml:space="preserve"> </w:t>
      </w:r>
      <w:r>
        <w:t xml:space="preserve">· Once-weekly semaglutide versus placebo for the treatment of type 2 diabetes and chronic kidney disease in Denmark: A long-term cost-effectiveness analysis based on FLOW. PMID 41422027</w:t>
      </w:r>
    </w:p>
    <w:p>
      <w:pPr>
        <w:numPr>
          <w:ilvl w:val="0"/>
          <w:numId w:val="1378"/>
        </w:numPr>
        <w:pStyle w:val="Compact"/>
      </w:pPr>
      <w:r>
        <w:t xml:space="preserve">2025 · Wang H ·</w:t>
      </w:r>
      <w:r>
        <w:t xml:space="preserve"> </w:t>
      </w:r>
      <w:r>
        <w:rPr>
          <w:iCs/>
          <w:i/>
        </w:rPr>
        <w:t xml:space="preserve">Nat Commun</w:t>
      </w:r>
      <w:r>
        <w:t xml:space="preserve"> </w:t>
      </w:r>
      <w:r>
        <w:t xml:space="preserve">· Glucagon-like peptide-1 receptor agonist in large vessel occlusion treated by reperfusion therapy-a phase 2 randomized trial. PMID 41392086</w:t>
      </w:r>
    </w:p>
    <w:p>
      <w:pPr>
        <w:numPr>
          <w:ilvl w:val="0"/>
          <w:numId w:val="1378"/>
        </w:numPr>
        <w:pStyle w:val="Compact"/>
      </w:pPr>
      <w:r>
        <w:t xml:space="preserve">2025 · Pandey A ·</w:t>
      </w:r>
      <w:r>
        <w:t xml:space="preserve"> </w:t>
      </w:r>
      <w:r>
        <w:rPr>
          <w:iCs/>
          <w:i/>
        </w:rPr>
        <w:t xml:space="preserve">Eur J Heart Fail</w:t>
      </w:r>
      <w:r>
        <w:t xml:space="preserve"> </w:t>
      </w:r>
      <w:r>
        <w:t xml:space="preserve">· Effects of semaglutide in obesity-related heart failure with preserved ejection fraction across the age spectrum: Findings from the STEP-HFpEF programme. PMID 41290376</w:t>
      </w:r>
    </w:p>
    <w:p>
      <w:pPr>
        <w:numPr>
          <w:ilvl w:val="0"/>
          <w:numId w:val="1378"/>
        </w:numPr>
        <w:pStyle w:val="Compact"/>
      </w:pPr>
      <w:r>
        <w:t xml:space="preserve">2025 · Barakat KE ·</w:t>
      </w:r>
      <w:r>
        <w:t xml:space="preserve"> </w:t>
      </w:r>
      <w:r>
        <w:rPr>
          <w:iCs/>
          <w:i/>
        </w:rPr>
        <w:t xml:space="preserve">Obes Surg</w:t>
      </w:r>
      <w:r>
        <w:t xml:space="preserve"> </w:t>
      </w:r>
      <w:r>
        <w:t xml:space="preserve">· Adjunctive Semaglutide in Patients Undergoing Intragastric Balloon for Weight Loss: 12-Month Prospective Comparative Study. PMID 41212463</w:t>
      </w:r>
    </w:p>
    <w:p>
      <w:pPr>
        <w:numPr>
          <w:ilvl w:val="0"/>
          <w:numId w:val="1378"/>
        </w:numPr>
        <w:pStyle w:val="Compact"/>
      </w:pPr>
      <w:r>
        <w:t xml:space="preserve">2025 · Kattinakere Sreedhara S ·</w:t>
      </w:r>
      <w:r>
        <w:t xml:space="preserve"> </w:t>
      </w:r>
      <w:r>
        <w:rPr>
          <w:iCs/>
          <w:i/>
        </w:rPr>
        <w:t xml:space="preserve">BMJ Open Diabetes Res Care</w:t>
      </w:r>
      <w:r>
        <w:t xml:space="preserve"> </w:t>
      </w:r>
      <w:r>
        <w:t xml:space="preserve">· Using real-world data to predict findings of an ongoing phase IV trial: glycemic control of semaglutide versus standard of care. PMID 41161770</w:t>
      </w:r>
    </w:p>
    <w:p>
      <w:pPr>
        <w:numPr>
          <w:ilvl w:val="0"/>
          <w:numId w:val="1378"/>
        </w:numPr>
        <w:pStyle w:val="Compact"/>
      </w:pPr>
      <w:r>
        <w:t xml:space="preserve">2025 · Deanfield J ·</w:t>
      </w:r>
      <w:r>
        <w:t xml:space="preserve"> </w:t>
      </w:r>
      <w:r>
        <w:rPr>
          <w:iCs/>
          <w:i/>
        </w:rPr>
        <w:t xml:space="preserve">Lancet</w:t>
      </w:r>
      <w:r>
        <w:t xml:space="preserve"> </w:t>
      </w:r>
      <w:r>
        <w:t xml:space="preserve">· Semaglutide and cardiovascular outcomes by baseline and changes in adiposity measurements: a prespecified analysis of the SELECT trial. PMID 41138739</w:t>
      </w:r>
    </w:p>
    <w:p>
      <w:pPr>
        <w:numPr>
          <w:ilvl w:val="0"/>
          <w:numId w:val="1378"/>
        </w:numPr>
        <w:pStyle w:val="Compact"/>
      </w:pPr>
      <w:r>
        <w:t xml:space="preserve">2025 · Buse JB ·</w:t>
      </w:r>
      <w:r>
        <w:t xml:space="preserve"> </w:t>
      </w:r>
      <w:r>
        <w:rPr>
          <w:iCs/>
          <w:i/>
        </w:rPr>
        <w:t xml:space="preserve">BMJ Open Diabetes Res Care</w:t>
      </w:r>
      <w:r>
        <w:t xml:space="preserve"> </w:t>
      </w:r>
      <w:r>
        <w:t xml:space="preserve">· Long-term comparative effectiveness of once-weekly semaglutide versus alternative treatments in a real-world US adult population with type 2 diabetes: a randomized pragmatic clinical trial. PMID 41093600</w:t>
      </w:r>
    </w:p>
    <w:p>
      <w:pPr>
        <w:numPr>
          <w:ilvl w:val="0"/>
          <w:numId w:val="1378"/>
        </w:numPr>
        <w:pStyle w:val="Compact"/>
      </w:pPr>
      <w:r>
        <w:t xml:space="preserve">2025 · Borlaug BA ·</w:t>
      </w:r>
      <w:r>
        <w:t xml:space="preserve"> </w:t>
      </w:r>
      <w:r>
        <w:rPr>
          <w:iCs/>
          <w:i/>
        </w:rPr>
        <w:t xml:space="preserve">JACC Heart Fail</w:t>
      </w:r>
      <w:r>
        <w:t xml:space="preserve"> </w:t>
      </w:r>
      <w:r>
        <w:t xml:space="preserve">· Semaglutide and Exercise Function in Obesity-Related HFpEF: Insights From the STEP-HFpEF Program. PMID 41045908</w:t>
      </w:r>
    </w:p>
    <w:p>
      <w:pPr>
        <w:numPr>
          <w:ilvl w:val="0"/>
          <w:numId w:val="1378"/>
        </w:numPr>
        <w:pStyle w:val="Compact"/>
      </w:pPr>
      <w:r>
        <w:t xml:space="preserve">2025 · Lingvay I ·</w:t>
      </w:r>
      <w:r>
        <w:t xml:space="preserve"> </w:t>
      </w:r>
      <w:r>
        <w:rPr>
          <w:iCs/>
          <w:i/>
        </w:rPr>
        <w:t xml:space="preserve">Lancet Diabetes Endocrinol</w:t>
      </w:r>
      <w:r>
        <w:t xml:space="preserve"> </w:t>
      </w:r>
      <w:r>
        <w:t xml:space="preserve">· Once-weekly semaglutide 7·2 mg in adults with obesity and type 2 diabetes (STEP UP T2D): a randomised, controlled, phase 3b trial. PMID 40961953</w:t>
      </w:r>
    </w:p>
    <w:p>
      <w:pPr>
        <w:numPr>
          <w:ilvl w:val="0"/>
          <w:numId w:val="1378"/>
        </w:numPr>
        <w:pStyle w:val="Compact"/>
      </w:pPr>
      <w:r>
        <w:t xml:space="preserve">2025 · Wharton S ·</w:t>
      </w:r>
      <w:r>
        <w:t xml:space="preserve"> </w:t>
      </w:r>
      <w:r>
        <w:rPr>
          <w:iCs/>
          <w:i/>
        </w:rPr>
        <w:t xml:space="preserve">Lancet Diabetes Endocrinol</w:t>
      </w:r>
      <w:r>
        <w:t xml:space="preserve"> </w:t>
      </w:r>
      <w:r>
        <w:t xml:space="preserve">· Once-weekly semaglutide 7·2 mg in adults with obesity (STEP UP): a randomised, controlled, phase 3b trial. PMID 40961952</w:t>
      </w:r>
    </w:p>
    <w:p>
      <w:pPr>
        <w:numPr>
          <w:ilvl w:val="0"/>
          <w:numId w:val="1378"/>
        </w:numPr>
        <w:pStyle w:val="Compact"/>
      </w:pPr>
      <w:r>
        <w:t xml:space="preserve">2025 · Pandey A ·</w:t>
      </w:r>
      <w:r>
        <w:t xml:space="preserve"> </w:t>
      </w:r>
      <w:r>
        <w:rPr>
          <w:iCs/>
          <w:i/>
        </w:rPr>
        <w:t xml:space="preserve">JACC Heart Fail</w:t>
      </w:r>
      <w:r>
        <w:t xml:space="preserve"> </w:t>
      </w:r>
      <w:r>
        <w:t xml:space="preserve">· Frailty and Effects of Semaglutide in Obesity-Related HFpEF: Findings From the STEP-HFpEF Program. PMID 40956259</w:t>
      </w:r>
    </w:p>
    <w:p>
      <w:pPr>
        <w:numPr>
          <w:ilvl w:val="0"/>
          <w:numId w:val="1378"/>
        </w:numPr>
        <w:pStyle w:val="Compact"/>
      </w:pPr>
      <w:r>
        <w:t xml:space="preserve">2025 · Wharton S ·</w:t>
      </w:r>
      <w:r>
        <w:t xml:space="preserve"> </w:t>
      </w:r>
      <w:r>
        <w:rPr>
          <w:iCs/>
          <w:i/>
        </w:rPr>
        <w:t xml:space="preserve">N Engl J Med</w:t>
      </w:r>
      <w:r>
        <w:t xml:space="preserve"> </w:t>
      </w:r>
      <w:r>
        <w:t xml:space="preserve">· Oral Semaglutide at a Dose of 25 mg in Adults with Overweight or Obesity. PMID 40934115</w:t>
      </w:r>
    </w:p>
    <w:p>
      <w:pPr>
        <w:numPr>
          <w:ilvl w:val="0"/>
          <w:numId w:val="1378"/>
        </w:numPr>
        <w:pStyle w:val="Compact"/>
      </w:pPr>
      <w:r>
        <w:t xml:space="preserve">2025 · Ganeshalingam AA ·</w:t>
      </w:r>
      <w:r>
        <w:t xml:space="preserve"> </w:t>
      </w:r>
      <w:r>
        <w:rPr>
          <w:iCs/>
          <w:i/>
        </w:rPr>
        <w:t xml:space="preserve">JAMA Psychiatry</w:t>
      </w:r>
      <w:r>
        <w:t xml:space="preserve"> </w:t>
      </w:r>
      <w:r>
        <w:t xml:space="preserve">· Semaglutide Treatment of Antipsychotic-Treated Patients With Schizophrenia, Prediabetes, and Obesity: The HISTORI Randomized Clinical Trial. PMID 40900607</w:t>
      </w:r>
    </w:p>
    <w:p>
      <w:pPr>
        <w:numPr>
          <w:ilvl w:val="0"/>
          <w:numId w:val="1378"/>
        </w:numPr>
        <w:pStyle w:val="Compact"/>
      </w:pPr>
      <w:r>
        <w:t xml:space="preserve">2025 · Verma S ·</w:t>
      </w:r>
      <w:r>
        <w:t xml:space="preserve"> </w:t>
      </w:r>
      <w:r>
        <w:rPr>
          <w:iCs/>
          <w:i/>
        </w:rPr>
        <w:t xml:space="preserve">J Am Coll Cardiol</w:t>
      </w:r>
      <w:r>
        <w:t xml:space="preserve"> </w:t>
      </w:r>
      <w:r>
        <w:t xml:space="preserve">· Sex Differences in Effectiveness of Semaglutide in Patients With Peripheral Artery Disease: The STRIDE Trial. PMID 40892617</w:t>
      </w:r>
    </w:p>
    <w:p>
      <w:pPr>
        <w:numPr>
          <w:ilvl w:val="0"/>
          <w:numId w:val="1378"/>
        </w:numPr>
        <w:pStyle w:val="Compact"/>
      </w:pPr>
      <w:r>
        <w:t xml:space="preserve">2025 · Ji L ·</w:t>
      </w:r>
      <w:r>
        <w:t xml:space="preserve"> </w:t>
      </w:r>
      <w:r>
        <w:rPr>
          <w:iCs/>
          <w:i/>
        </w:rPr>
        <w:t xml:space="preserve">Diabetes Obes Metab</w:t>
      </w:r>
      <w:r>
        <w:t xml:space="preserve"> </w:t>
      </w:r>
      <w:r>
        <w:t xml:space="preserve">· Efficacy and safety of oral semaglutide in Chinese participants with type 2 diabetes: Subgroup analyses by baseline characteristics in the PIONEER 11 and 12 randomised controlled trials. PMID 40843773</w:t>
      </w:r>
    </w:p>
    <w:p>
      <w:pPr>
        <w:numPr>
          <w:ilvl w:val="0"/>
          <w:numId w:val="1378"/>
        </w:numPr>
        <w:pStyle w:val="Compact"/>
      </w:pPr>
      <w:r>
        <w:t xml:space="preserve">2025 · Lim S ·</w:t>
      </w:r>
      <w:r>
        <w:t xml:space="preserve"> </w:t>
      </w:r>
      <w:r>
        <w:rPr>
          <w:iCs/>
          <w:i/>
        </w:rPr>
        <w:t xml:space="preserve">Lancet Diabetes Endocrinol</w:t>
      </w:r>
      <w:r>
        <w:t xml:space="preserve"> </w:t>
      </w:r>
      <w:r>
        <w:t xml:space="preserve">· Once-weekly semaglutide 2·4 mg in an Asian population with obesity, defined as BMI ≥25 kg/m(2), in South Korea and Thailand (STEP 11): a randomised, double-blind, placebo-controlled, phase 3 trial. PMID 40825340</w:t>
      </w:r>
    </w:p>
    <w:p>
      <w:pPr>
        <w:numPr>
          <w:ilvl w:val="0"/>
          <w:numId w:val="1378"/>
        </w:numPr>
        <w:pStyle w:val="Compact"/>
      </w:pPr>
      <w:r>
        <w:t xml:space="preserve">2025 · Kadowaki T ·</w:t>
      </w:r>
      <w:r>
        <w:t xml:space="preserve"> </w:t>
      </w:r>
      <w:r>
        <w:rPr>
          <w:iCs/>
          <w:i/>
        </w:rPr>
        <w:t xml:space="preserve">JAMA Intern Med</w:t>
      </w:r>
      <w:r>
        <w:t xml:space="preserve"> </w:t>
      </w:r>
      <w:r>
        <w:t xml:space="preserve">· Oral Semaglutide in an East Asian Population With Overweight or Obesity, With or Without Type 2 Diabetes: The OASIS 2 Randomized Clinical Trial. PMID 40758358</w:t>
      </w:r>
    </w:p>
    <w:p>
      <w:pPr>
        <w:numPr>
          <w:ilvl w:val="0"/>
          <w:numId w:val="1378"/>
        </w:numPr>
        <w:pStyle w:val="Compact"/>
      </w:pPr>
      <w:r>
        <w:t xml:space="preserve">2025 · Rossing P ·</w:t>
      </w:r>
      <w:r>
        <w:t xml:space="preserve"> </w:t>
      </w:r>
      <w:r>
        <w:rPr>
          <w:iCs/>
          <w:i/>
        </w:rPr>
        <w:t xml:space="preserve">Diabetes Care</w:t>
      </w:r>
      <w:r>
        <w:t xml:space="preserve"> </w:t>
      </w:r>
      <w:r>
        <w:t xml:space="preserve">· Effects of Semaglutide With or Without Concomitant Mineralocorticoid Receptor Antagonist Use in Participants With Type 2 Diabetes and Chronic Kidney Disease: A FLOW Trial Prespecified Secondary Analysis. PMID 40730031</w:t>
      </w:r>
    </w:p>
    <w:p>
      <w:pPr>
        <w:numPr>
          <w:ilvl w:val="0"/>
          <w:numId w:val="1378"/>
        </w:numPr>
        <w:pStyle w:val="Compact"/>
      </w:pPr>
      <w:r>
        <w:t xml:space="preserve">2025 · Chen H ·</w:t>
      </w:r>
      <w:r>
        <w:t xml:space="preserve"> </w:t>
      </w:r>
      <w:r>
        <w:rPr>
          <w:iCs/>
          <w:i/>
        </w:rPr>
        <w:t xml:space="preserve">Reprod Biol Endocrinol</w:t>
      </w:r>
      <w:r>
        <w:t xml:space="preserve"> </w:t>
      </w:r>
      <w:r>
        <w:t xml:space="preserve">· Effects of combined metformin and semaglutide therapy on body weight, metabolic parameters, and reproductive outcomes in overweight/obese women with polycystic ovary syndrome: a prospective, randomized, controlled, open-label clinical trial. PMID 40713699</w:t>
      </w:r>
    </w:p>
    <w:p>
      <w:pPr>
        <w:numPr>
          <w:ilvl w:val="0"/>
          <w:numId w:val="1378"/>
        </w:numPr>
        <w:pStyle w:val="Compact"/>
      </w:pPr>
      <w:r>
        <w:t xml:space="preserve">2025 · Zhou J ·</w:t>
      </w:r>
      <w:r>
        <w:t xml:space="preserve"> </w:t>
      </w:r>
      <w:r>
        <w:rPr>
          <w:iCs/>
          <w:i/>
        </w:rPr>
        <w:t xml:space="preserve">Diabetes Obes Metab</w:t>
      </w:r>
      <w:r>
        <w:t xml:space="preserve"> </w:t>
      </w:r>
      <w:r>
        <w:t xml:space="preserve">· Effect of semaglutide versus placebo on cardiorenal outcomes by prior cardiovascular disease and baseline body mass index: Pooled post hoc analysis of SUSTAIN 6 and PIONEER 6. PMID 40704485</w:t>
      </w:r>
    </w:p>
    <w:p>
      <w:pPr>
        <w:numPr>
          <w:ilvl w:val="0"/>
          <w:numId w:val="1378"/>
        </w:numPr>
        <w:pStyle w:val="Compact"/>
      </w:pPr>
      <w:r>
        <w:t xml:space="preserve">2025 · Eldor R ·</w:t>
      </w:r>
      <w:r>
        <w:t xml:space="preserve"> </w:t>
      </w:r>
      <w:r>
        <w:rPr>
          <w:iCs/>
          <w:i/>
        </w:rPr>
        <w:t xml:space="preserve">Diabetes Care</w:t>
      </w:r>
      <w:r>
        <w:t xml:space="preserve"> </w:t>
      </w:r>
      <w:r>
        <w:t xml:space="preserve">· Gradual Titration of Semaglutide Results in Better Treatment Adherence and Fewer Adverse Events: A Randomized Controlled Open-Label Pilot Study Examining a 16-Week Flexible Titration Regimen Versus Label-Recommended 8-Week Semaglutide Titration Regimen. PMID 40673973</w:t>
      </w:r>
    </w:p>
    <w:p>
      <w:pPr>
        <w:numPr>
          <w:ilvl w:val="0"/>
          <w:numId w:val="1378"/>
        </w:numPr>
        <w:pStyle w:val="Compact"/>
      </w:pPr>
      <w:r>
        <w:t xml:space="preserve">2025 · Tóth LI ·</w:t>
      </w:r>
      <w:r>
        <w:t xml:space="preserve"> </w:t>
      </w:r>
      <w:r>
        <w:rPr>
          <w:iCs/>
          <w:i/>
        </w:rPr>
        <w:t xml:space="preserve">Int J Mol Sci</w:t>
      </w:r>
      <w:r>
        <w:t xml:space="preserve"> </w:t>
      </w:r>
      <w:r>
        <w:t xml:space="preserve">· Semaglutide Improves Lipid Subfraction Profiles in Type 2 Diabetes: Insights from a One-Year Follow-Up Study. PMID 40649729</w:t>
      </w:r>
    </w:p>
    <w:p>
      <w:pPr>
        <w:numPr>
          <w:ilvl w:val="0"/>
          <w:numId w:val="1378"/>
        </w:numPr>
        <w:pStyle w:val="Compact"/>
      </w:pPr>
      <w:r>
        <w:t xml:space="preserve">2025 · Wulff BS ·</w:t>
      </w:r>
      <w:r>
        <w:t xml:space="preserve"> </w:t>
      </w:r>
      <w:r>
        <w:rPr>
          <w:iCs/>
          <w:i/>
        </w:rPr>
        <w:t xml:space="preserve">Obesity (Silver Spring)</w:t>
      </w:r>
      <w:r>
        <w:t xml:space="preserve"> </w:t>
      </w:r>
      <w:r>
        <w:t xml:space="preserve">· Long-acting PYY(3) (-36) analogue with semaglutide for obesity: from preclinical assessment through randomized clinical studies. PMID 40629530</w:t>
      </w:r>
    </w:p>
    <w:p>
      <w:pPr>
        <w:numPr>
          <w:ilvl w:val="0"/>
          <w:numId w:val="1378"/>
        </w:numPr>
        <w:pStyle w:val="Compact"/>
      </w:pPr>
      <w:r>
        <w:t xml:space="preserve">2025 · Shah VN ·</w:t>
      </w:r>
      <w:r>
        <w:t xml:space="preserve"> </w:t>
      </w:r>
      <w:r>
        <w:rPr>
          <w:iCs/>
          <w:i/>
        </w:rPr>
        <w:t xml:space="preserve">NEJM Evid</w:t>
      </w:r>
      <w:r>
        <w:t xml:space="preserve"> </w:t>
      </w:r>
      <w:r>
        <w:t xml:space="preserve">· Semaglutide in Adults with Type 1 Diabetes and Obesity. PMID 40550013</w:t>
      </w:r>
    </w:p>
    <w:p>
      <w:pPr>
        <w:numPr>
          <w:ilvl w:val="0"/>
          <w:numId w:val="1378"/>
        </w:numPr>
        <w:pStyle w:val="Compact"/>
      </w:pPr>
      <w:r>
        <w:t xml:space="preserve">2025 · Garvey WT ·</w:t>
      </w:r>
      <w:r>
        <w:t xml:space="preserve"> </w:t>
      </w:r>
      <w:r>
        <w:rPr>
          <w:iCs/>
          <w:i/>
        </w:rPr>
        <w:t xml:space="preserve">N Engl J Med</w:t>
      </w:r>
      <w:r>
        <w:t xml:space="preserve"> </w:t>
      </w:r>
      <w:r>
        <w:t xml:space="preserve">· Coadministered Cagrilintide and Semaglutide in Adults with Overweight or Obesity. PMID 40544433</w:t>
      </w:r>
    </w:p>
    <w:p>
      <w:pPr>
        <w:numPr>
          <w:ilvl w:val="0"/>
          <w:numId w:val="1378"/>
        </w:numPr>
        <w:pStyle w:val="Compact"/>
      </w:pPr>
      <w:r>
        <w:t xml:space="preserve">2025 · Davies MJ ·</w:t>
      </w:r>
      <w:r>
        <w:t xml:space="preserve"> </w:t>
      </w:r>
      <w:r>
        <w:rPr>
          <w:iCs/>
          <w:i/>
        </w:rPr>
        <w:t xml:space="preserve">N Engl J Med</w:t>
      </w:r>
      <w:r>
        <w:t xml:space="preserve"> </w:t>
      </w:r>
      <w:r>
        <w:t xml:space="preserve">· Cagrilintide-Semaglutide in Adults with Overweight or Obesity and Type 2 Diabetes. PMID 40544432</w:t>
      </w:r>
    </w:p>
    <w:p>
      <w:pPr>
        <w:numPr>
          <w:ilvl w:val="0"/>
          <w:numId w:val="1378"/>
        </w:numPr>
        <w:pStyle w:val="Compact"/>
      </w:pPr>
      <w:r>
        <w:t xml:space="preserve">2025 · Rasouli N ·</w:t>
      </w:r>
      <w:r>
        <w:t xml:space="preserve"> </w:t>
      </w:r>
      <w:r>
        <w:rPr>
          <w:iCs/>
          <w:i/>
        </w:rPr>
        <w:t xml:space="preserve">Diabetes Care</w:t>
      </w:r>
      <w:r>
        <w:t xml:space="preserve"> </w:t>
      </w:r>
      <w:r>
        <w:t xml:space="preserve">· Benefit of Semaglutide in Symptomatic Peripheral Artery Disease by Baseline Type 2 Diabetes Characteristics: Insights From STRIDE, a Randomized, Placebo-Controlled, Double-Blind Trial. PMID 40543068</w:t>
      </w:r>
    </w:p>
    <w:p>
      <w:pPr>
        <w:numPr>
          <w:ilvl w:val="0"/>
          <w:numId w:val="1378"/>
        </w:numPr>
        <w:pStyle w:val="Compact"/>
      </w:pPr>
      <w:r>
        <w:t xml:space="preserve">2025 · Ciudin A ·</w:t>
      </w:r>
      <w:r>
        <w:t xml:space="preserve"> </w:t>
      </w:r>
      <w:r>
        <w:rPr>
          <w:iCs/>
          <w:i/>
        </w:rPr>
        <w:t xml:space="preserve">Diabetes Obes Metab</w:t>
      </w:r>
      <w:r>
        <w:t xml:space="preserve"> </w:t>
      </w:r>
      <w:r>
        <w:t xml:space="preserve">· Indirect comparative efficacy and safety of tirzepatide 10 and 15 mg versus semaglutide 2.4 mg for the management of obesity and overweight in patients with type 2 diabetes. PMID 40537987</w:t>
      </w:r>
    </w:p>
    <w:p>
      <w:pPr>
        <w:numPr>
          <w:ilvl w:val="0"/>
          <w:numId w:val="1378"/>
        </w:numPr>
        <w:pStyle w:val="Compact"/>
      </w:pPr>
      <w:r>
        <w:t xml:space="preserve">2025 · Siskind D ·</w:t>
      </w:r>
      <w:r>
        <w:t xml:space="preserve"> </w:t>
      </w:r>
      <w:r>
        <w:rPr>
          <w:iCs/>
          <w:i/>
        </w:rPr>
        <w:t xml:space="preserve">Lancet Psychiatry</w:t>
      </w:r>
      <w:r>
        <w:t xml:space="preserve"> </w:t>
      </w:r>
      <w:r>
        <w:t xml:space="preserve">· Efficacy and safety of semaglutide versus placebo for people with schizophrenia on clozapine with obesity (COaST): a phase 2, multi-centre, participant and investigator- blinded, randomised controlled trial in Australia. PMID 40506208</w:t>
      </w:r>
    </w:p>
    <w:p>
      <w:pPr>
        <w:numPr>
          <w:ilvl w:val="0"/>
          <w:numId w:val="1378"/>
        </w:numPr>
        <w:pStyle w:val="Compact"/>
      </w:pPr>
      <w:r>
        <w:t xml:space="preserve">2025 · Mathieu C ·</w:t>
      </w:r>
      <w:r>
        <w:t xml:space="preserve"> </w:t>
      </w:r>
      <w:r>
        <w:rPr>
          <w:iCs/>
          <w:i/>
        </w:rPr>
        <w:t xml:space="preserve">Lancet Diabetes Endocrinol</w:t>
      </w:r>
      <w:r>
        <w:t xml:space="preserve"> </w:t>
      </w:r>
      <w:r>
        <w:t xml:space="preserve">· Once‑weekly IcoSema versus once‑weekly insulin icodec in type 2 diabetes management (COMBINE 1): an open‑label, multicentre, treat‑to‑target, randomised, phase 3a trial. PMID 40482671</w:t>
      </w:r>
    </w:p>
    <w:p>
      <w:pPr>
        <w:numPr>
          <w:ilvl w:val="0"/>
          <w:numId w:val="1378"/>
        </w:numPr>
        <w:pStyle w:val="Compact"/>
      </w:pPr>
      <w:r>
        <w:t xml:space="preserve">2025 · Billings LK ·</w:t>
      </w:r>
      <w:r>
        <w:t xml:space="preserve"> </w:t>
      </w:r>
      <w:r>
        <w:rPr>
          <w:iCs/>
          <w:i/>
        </w:rPr>
        <w:t xml:space="preserve">Lancet Diabetes Endocrinol</w:t>
      </w:r>
      <w:r>
        <w:t xml:space="preserve"> </w:t>
      </w:r>
      <w:r>
        <w:t xml:space="preserve">· Once-weekly IcoSema versus multiple daily insulin injections in type 2 diabetes management (COMBINE 3): an open-label, multicentre, treat-to-target, non-inferiority, randomised, phase 3a trial. PMID 40482670</w:t>
      </w:r>
    </w:p>
    <w:p>
      <w:pPr>
        <w:numPr>
          <w:ilvl w:val="0"/>
          <w:numId w:val="1378"/>
        </w:numPr>
        <w:pStyle w:val="Compact"/>
      </w:pPr>
      <w:r>
        <w:t xml:space="preserve">2025 · von Huth Smith L ·</w:t>
      </w:r>
      <w:r>
        <w:t xml:space="preserve"> </w:t>
      </w:r>
      <w:r>
        <w:rPr>
          <w:iCs/>
          <w:i/>
        </w:rPr>
        <w:t xml:space="preserve">Clin Obes</w:t>
      </w:r>
      <w:r>
        <w:t xml:space="preserve"> </w:t>
      </w:r>
      <w:r>
        <w:t xml:space="preserve">· Impact of weight on daily activities questionnaire in patients with overweight or obesity: Psychometric evaluation using data from the OASIS 1 trial. PMID 40452267</w:t>
      </w:r>
    </w:p>
    <w:p>
      <w:pPr>
        <w:numPr>
          <w:ilvl w:val="0"/>
          <w:numId w:val="1378"/>
        </w:numPr>
        <w:pStyle w:val="Compact"/>
      </w:pPr>
      <w:r>
        <w:t xml:space="preserve">2025 · Bouhajib M ·</w:t>
      </w:r>
      <w:r>
        <w:t xml:space="preserve"> </w:t>
      </w:r>
      <w:r>
        <w:rPr>
          <w:iCs/>
          <w:i/>
        </w:rPr>
        <w:t xml:space="preserve">J Basic Clin Physiol Pharmacol</w:t>
      </w:r>
      <w:r>
        <w:t xml:space="preserve"> </w:t>
      </w:r>
      <w:r>
        <w:t xml:space="preserve">· The pharmacokinetics and comparative bioavailabilty of oral and subcutaneous semaglutide in healthy volunteers. PMID 40425315</w:t>
      </w:r>
    </w:p>
    <w:p>
      <w:pPr>
        <w:numPr>
          <w:ilvl w:val="0"/>
          <w:numId w:val="1378"/>
        </w:numPr>
        <w:pStyle w:val="Compact"/>
      </w:pPr>
      <w:r>
        <w:t xml:space="preserve">2025 · Aronne LJ ·</w:t>
      </w:r>
      <w:r>
        <w:t xml:space="preserve"> </w:t>
      </w:r>
      <w:r>
        <w:rPr>
          <w:iCs/>
          <w:i/>
        </w:rPr>
        <w:t xml:space="preserve">N Engl J Med</w:t>
      </w:r>
      <w:r>
        <w:t xml:space="preserve"> </w:t>
      </w:r>
      <w:r>
        <w:t xml:space="preserve">· Tirzepatide as Compared with Semaglutide for the Treatment of Obesity. PMID 40353578</w:t>
      </w:r>
    </w:p>
    <w:p>
      <w:pPr>
        <w:numPr>
          <w:ilvl w:val="0"/>
          <w:numId w:val="1378"/>
        </w:numPr>
        <w:pStyle w:val="Compact"/>
      </w:pPr>
      <w:r>
        <w:t xml:space="preserve">2025 · James S ·</w:t>
      </w:r>
      <w:r>
        <w:t xml:space="preserve"> </w:t>
      </w:r>
      <w:r>
        <w:rPr>
          <w:iCs/>
          <w:i/>
        </w:rPr>
        <w:t xml:space="preserve">Am Heart J</w:t>
      </w:r>
      <w:r>
        <w:t xml:space="preserve"> </w:t>
      </w:r>
      <w:r>
        <w:t xml:space="preserve">· Effect of once-weekly subcutaneous semaglutide on arterial inflammation in people with type 2 diabetes and cardiovascular disease using PET-MRI: Primary results of a randomized, double-blind, placebo-controlled trial. PMID 40345413</w:t>
      </w:r>
    </w:p>
    <w:p>
      <w:pPr>
        <w:numPr>
          <w:ilvl w:val="0"/>
          <w:numId w:val="1378"/>
        </w:numPr>
        <w:pStyle w:val="Compact"/>
      </w:pPr>
      <w:r>
        <w:t xml:space="preserve">2025 · Yu H ·</w:t>
      </w:r>
      <w:r>
        <w:t xml:space="preserve"> </w:t>
      </w:r>
      <w:r>
        <w:rPr>
          <w:iCs/>
          <w:i/>
        </w:rPr>
        <w:t xml:space="preserve">Br J Clin Pharmacol</w:t>
      </w:r>
      <w:r>
        <w:t xml:space="preserve"> </w:t>
      </w:r>
      <w:r>
        <w:t xml:space="preserve">· Pharmacokinetic-pharmacodynamic (PK/PD) modelling of cotadutide effect in patients with chronic kidney disease and type 2 diabetes mellitus. PMID 40344607</w:t>
      </w:r>
    </w:p>
    <w:p>
      <w:pPr>
        <w:numPr>
          <w:ilvl w:val="0"/>
          <w:numId w:val="1378"/>
        </w:numPr>
        <w:pStyle w:val="Compact"/>
      </w:pPr>
      <w:r>
        <w:t xml:space="preserve">2025 · Jensterle M ·</w:t>
      </w:r>
      <w:r>
        <w:t xml:space="preserve"> </w:t>
      </w:r>
      <w:r>
        <w:rPr>
          <w:iCs/>
          <w:i/>
        </w:rPr>
        <w:t xml:space="preserve">J Clin Endocrinol Metab</w:t>
      </w:r>
      <w:r>
        <w:t xml:space="preserve"> </w:t>
      </w:r>
      <w:r>
        <w:t xml:space="preserve">· Semaglutide and Taste in Women With Obesity and Polycystic Ovary Syndrome: A Randomized Placebo-Controlled Study. PMID 40341357</w:t>
      </w:r>
    </w:p>
    <w:p>
      <w:pPr>
        <w:numPr>
          <w:ilvl w:val="0"/>
          <w:numId w:val="1378"/>
        </w:numPr>
        <w:pStyle w:val="Compact"/>
      </w:pPr>
      <w:r>
        <w:t xml:space="preserve">2025 · Hankosky ER ·</w:t>
      </w:r>
      <w:r>
        <w:t xml:space="preserve"> </w:t>
      </w:r>
      <w:r>
        <w:rPr>
          <w:iCs/>
          <w:i/>
        </w:rPr>
        <w:t xml:space="preserve">Diabetes Obes Metab</w:t>
      </w:r>
      <w:r>
        <w:t xml:space="preserve"> </w:t>
      </w:r>
      <w:r>
        <w:t xml:space="preserve">· Tirzepatide 10 and 15 mg versus semaglutide 2.4 mg in people with obesity or overweight with type 2 diabetes: An indirect treatment comparison. PMID 40321113</w:t>
      </w:r>
    </w:p>
    <w:p>
      <w:pPr>
        <w:numPr>
          <w:ilvl w:val="0"/>
          <w:numId w:val="1378"/>
        </w:numPr>
        <w:pStyle w:val="Compact"/>
      </w:pPr>
      <w:r>
        <w:t xml:space="preserve">2025 · Sanyal AJ ·</w:t>
      </w:r>
      <w:r>
        <w:t xml:space="preserve"> </w:t>
      </w:r>
      <w:r>
        <w:rPr>
          <w:iCs/>
          <w:i/>
        </w:rPr>
        <w:t xml:space="preserve">N Engl J Med</w:t>
      </w:r>
      <w:r>
        <w:t xml:space="preserve"> </w:t>
      </w:r>
      <w:r>
        <w:t xml:space="preserve">· Phase 3 Trial of Semaglutide in Metabolic Dysfunction-Associated Steatohepatitis. PMID 40305708</w:t>
      </w:r>
    </w:p>
    <w:p>
      <w:pPr>
        <w:numPr>
          <w:ilvl w:val="0"/>
          <w:numId w:val="1378"/>
        </w:numPr>
        <w:pStyle w:val="Compact"/>
      </w:pPr>
      <w:r>
        <w:t xml:space="preserve">2025 · Golub IS ·</w:t>
      </w:r>
      <w:r>
        <w:t xml:space="preserve"> </w:t>
      </w:r>
      <w:r>
        <w:rPr>
          <w:iCs/>
          <w:i/>
        </w:rPr>
        <w:t xml:space="preserve">Nutr Metab Cardiovasc Dis</w:t>
      </w:r>
      <w:r>
        <w:t xml:space="preserve"> </w:t>
      </w:r>
      <w:r>
        <w:t xml:space="preserve">· The impact of semaglutide on liver fat assessed by serial cardiac CT scans in patients with type 2 diabetes: Results from STOP trial. PMID 40287313</w:t>
      </w:r>
    </w:p>
    <w:p>
      <w:pPr>
        <w:numPr>
          <w:ilvl w:val="0"/>
          <w:numId w:val="1378"/>
        </w:numPr>
        <w:pStyle w:val="Compact"/>
      </w:pPr>
      <w:r>
        <w:t xml:space="preserve">2025 · Aroda VR ·</w:t>
      </w:r>
      <w:r>
        <w:t xml:space="preserve"> </w:t>
      </w:r>
      <w:r>
        <w:rPr>
          <w:iCs/>
          <w:i/>
        </w:rPr>
        <w:t xml:space="preserve">Diabetes Care</w:t>
      </w:r>
      <w:r>
        <w:t xml:space="preserve"> </w:t>
      </w:r>
      <w:r>
        <w:t xml:space="preserve">· High-Dose Semaglutide (Up to 16 mg) in People With Type 2 Diabetes and Overweight or Obesity: A Randomized, Placebo-Controlled, Phase 2 Trial. PMID 40279144</w:t>
      </w:r>
    </w:p>
    <w:p>
      <w:pPr>
        <w:numPr>
          <w:ilvl w:val="0"/>
          <w:numId w:val="1378"/>
        </w:numPr>
        <w:pStyle w:val="Compact"/>
      </w:pPr>
      <w:r>
        <w:t xml:space="preserve">2025 · Gullaksen S ·</w:t>
      </w:r>
      <w:r>
        <w:t xml:space="preserve"> </w:t>
      </w:r>
      <w:r>
        <w:rPr>
          <w:iCs/>
          <w:i/>
        </w:rPr>
        <w:t xml:space="preserve">J Diabetes Complications</w:t>
      </w:r>
      <w:r>
        <w:t xml:space="preserve"> </w:t>
      </w:r>
      <w:r>
        <w:t xml:space="preserve">· Semaglutide, central retinal thickness and continuous glucose monitoring in persons with type 2 diabetes: A post-hoc analysis from a randomised trial. PMID 40239470</w:t>
      </w:r>
    </w:p>
    <w:p>
      <w:pPr>
        <w:numPr>
          <w:ilvl w:val="0"/>
          <w:numId w:val="1378"/>
        </w:numPr>
        <w:pStyle w:val="Compact"/>
      </w:pPr>
      <w:r>
        <w:t xml:space="preserve">2025 · Kadowaki T ·</w:t>
      </w:r>
      <w:r>
        <w:t xml:space="preserve"> </w:t>
      </w:r>
      <w:r>
        <w:rPr>
          <w:iCs/>
          <w:i/>
        </w:rPr>
        <w:t xml:space="preserve">Obes Res Clin Pract</w:t>
      </w:r>
      <w:r>
        <w:t xml:space="preserve"> </w:t>
      </w:r>
      <w:r>
        <w:t xml:space="preserve">· Effect of once-weekly subcutaneous semaglutide on abdominal visceral fat area in Japanese adults with overweight and obesity: A post hoc analysis of the STEP 6 trial. PMID 40189961</w:t>
      </w:r>
    </w:p>
    <w:p>
      <w:pPr>
        <w:numPr>
          <w:ilvl w:val="0"/>
          <w:numId w:val="1378"/>
        </w:numPr>
        <w:pStyle w:val="Compact"/>
      </w:pPr>
      <w:r>
        <w:t xml:space="preserve">2025 · Bonaca MP ·</w:t>
      </w:r>
      <w:r>
        <w:t xml:space="preserve"> </w:t>
      </w:r>
      <w:r>
        <w:rPr>
          <w:iCs/>
          <w:i/>
        </w:rPr>
        <w:t xml:space="preserve">Lancet</w:t>
      </w:r>
      <w:r>
        <w:t xml:space="preserve"> </w:t>
      </w:r>
      <w:r>
        <w:t xml:space="preserve">· Semaglutide and walking capacity in people with symptomatic peripheral artery disease and type 2 diabetes (STRIDE): a phase 3b, double-blind, randomised, placebo-controlled trial. PMID 40169145</w:t>
      </w:r>
    </w:p>
    <w:p>
      <w:pPr>
        <w:numPr>
          <w:ilvl w:val="0"/>
          <w:numId w:val="1378"/>
        </w:numPr>
        <w:pStyle w:val="Compact"/>
      </w:pPr>
      <w:r>
        <w:t xml:space="preserve">2025 · McGuire DK ·</w:t>
      </w:r>
      <w:r>
        <w:t xml:space="preserve"> </w:t>
      </w:r>
      <w:r>
        <w:rPr>
          <w:iCs/>
          <w:i/>
        </w:rPr>
        <w:t xml:space="preserve">N Engl J Med</w:t>
      </w:r>
      <w:r>
        <w:t xml:space="preserve"> </w:t>
      </w:r>
      <w:r>
        <w:t xml:space="preserve">· Oral Semaglutide and Cardiovascular Outcomes in High-Risk Type 2 Diabetes. PMID 40162642</w:t>
      </w:r>
    </w:p>
    <w:p>
      <w:pPr>
        <w:numPr>
          <w:ilvl w:val="0"/>
          <w:numId w:val="1378"/>
        </w:numPr>
        <w:pStyle w:val="Compact"/>
      </w:pPr>
      <w:r>
        <w:t xml:space="preserve">2025 · Marx N ·</w:t>
      </w:r>
      <w:r>
        <w:t xml:space="preserve"> </w:t>
      </w:r>
      <w:r>
        <w:rPr>
          <w:iCs/>
          <w:i/>
        </w:rPr>
        <w:t xml:space="preserve">Circulation</w:t>
      </w:r>
      <w:r>
        <w:t xml:space="preserve"> </w:t>
      </w:r>
      <w:r>
        <w:t xml:space="preserve">· Oral Semaglutide and Cardiovascular Outcomes in People With Type 2 Diabetes, According to SGLT2i Use: Prespecified Analyses of the SOUL Randomized Trial. PMID 40156843</w:t>
      </w:r>
    </w:p>
    <w:p>
      <w:pPr>
        <w:numPr>
          <w:ilvl w:val="0"/>
          <w:numId w:val="1378"/>
        </w:numPr>
        <w:pStyle w:val="Compact"/>
      </w:pPr>
      <w:r>
        <w:t xml:space="preserve">2025 · Bergman BK ·</w:t>
      </w:r>
      <w:r>
        <w:t xml:space="preserve"> </w:t>
      </w:r>
      <w:r>
        <w:rPr>
          <w:iCs/>
          <w:i/>
        </w:rPr>
        <w:t xml:space="preserve">Diabetes Obes Metab</w:t>
      </w:r>
      <w:r>
        <w:t xml:space="preserve"> </w:t>
      </w:r>
      <w:r>
        <w:t xml:space="preserve">· Time spent in glycaemic control with sustained body weight reduction with tirzepatide: A post hoc analysis of the SURPASS clinical trial programme. PMID 40083081</w:t>
      </w:r>
    </w:p>
    <w:p>
      <w:pPr>
        <w:numPr>
          <w:ilvl w:val="0"/>
          <w:numId w:val="1378"/>
        </w:numPr>
        <w:pStyle w:val="Compact"/>
      </w:pPr>
      <w:r>
        <w:t xml:space="preserve">2025 · Gu W ·</w:t>
      </w:r>
      <w:r>
        <w:t xml:space="preserve"> </w:t>
      </w:r>
      <w:r>
        <w:rPr>
          <w:iCs/>
          <w:i/>
        </w:rPr>
        <w:t xml:space="preserve">Diabetes Obes Metab</w:t>
      </w:r>
      <w:r>
        <w:t xml:space="preserve"> </w:t>
      </w:r>
      <w:r>
        <w:t xml:space="preserve">· Efficacy and safety of once-weekly semaglutide 2.4 mg for weight management in participants from China: A prespecified analysis of the STEP 7 randomized clinical trial. PMID 40069849</w:t>
      </w:r>
    </w:p>
    <w:p>
      <w:pPr>
        <w:numPr>
          <w:ilvl w:val="0"/>
          <w:numId w:val="1378"/>
        </w:numPr>
        <w:pStyle w:val="Compact"/>
      </w:pPr>
      <w:r>
        <w:t xml:space="preserve">2025 · Kushner RF ·</w:t>
      </w:r>
      <w:r>
        <w:t xml:space="preserve"> </w:t>
      </w:r>
      <w:r>
        <w:rPr>
          <w:iCs/>
          <w:i/>
        </w:rPr>
        <w:t xml:space="preserve">Obesity (Silver Spring)</w:t>
      </w:r>
      <w:r>
        <w:t xml:space="preserve"> </w:t>
      </w:r>
      <w:r>
        <w:t xml:space="preserve">· Safety profile of semaglutide versus placebo in the SELECT study: a randomized controlled trial. PMID 39948761</w:t>
      </w:r>
    </w:p>
    <w:p>
      <w:pPr>
        <w:numPr>
          <w:ilvl w:val="0"/>
          <w:numId w:val="1378"/>
        </w:numPr>
        <w:pStyle w:val="Compact"/>
      </w:pPr>
      <w:r>
        <w:t xml:space="preserve">2025 · Hendershot CS ·</w:t>
      </w:r>
      <w:r>
        <w:t xml:space="preserve"> </w:t>
      </w:r>
      <w:r>
        <w:rPr>
          <w:iCs/>
          <w:i/>
        </w:rPr>
        <w:t xml:space="preserve">JAMA Psychiatry</w:t>
      </w:r>
      <w:r>
        <w:t xml:space="preserve"> </w:t>
      </w:r>
      <w:r>
        <w:t xml:space="preserve">· Once-Weekly Semaglutide in Adults With Alcohol Use Disorder: A Randomized Clinical Trial. PMID 39937469</w:t>
      </w:r>
    </w:p>
    <w:p>
      <w:pPr>
        <w:numPr>
          <w:ilvl w:val="0"/>
          <w:numId w:val="1378"/>
        </w:numPr>
        <w:pStyle w:val="Compact"/>
      </w:pPr>
      <w:r>
        <w:t xml:space="preserve">2025 · McEwan P ·</w:t>
      </w:r>
      <w:r>
        <w:t xml:space="preserve"> </w:t>
      </w:r>
      <w:r>
        <w:rPr>
          <w:iCs/>
          <w:i/>
        </w:rPr>
        <w:t xml:space="preserve">J Med Econ</w:t>
      </w:r>
      <w:r>
        <w:t xml:space="preserve"> </w:t>
      </w:r>
      <w:r>
        <w:t xml:space="preserve">· Cost-effectiveness of semaglutide in people with obesity and cardiovascular disease without diabetes. PMID 39882599</w:t>
      </w:r>
    </w:p>
    <w:p>
      <w:pPr>
        <w:numPr>
          <w:ilvl w:val="0"/>
          <w:numId w:val="1378"/>
        </w:numPr>
        <w:pStyle w:val="Compact"/>
      </w:pPr>
      <w:r>
        <w:t xml:space="preserve">2025 · Petković-Dabić J ·</w:t>
      </w:r>
      <w:r>
        <w:t xml:space="preserve"> </w:t>
      </w:r>
      <w:r>
        <w:rPr>
          <w:iCs/>
          <w:i/>
        </w:rPr>
        <w:t xml:space="preserve">Biomolecules</w:t>
      </w:r>
      <w:r>
        <w:t xml:space="preserve"> </w:t>
      </w:r>
      <w:r>
        <w:t xml:space="preserve">· Effects of Semaglutide Treatment on Psoriatic Lesions in Obese Patients with Type 2 Diabetes Mellitus: An Open-Label, Randomized Clinical Trial. PMID 39858442</w:t>
      </w:r>
    </w:p>
    <w:p>
      <w:pPr>
        <w:numPr>
          <w:ilvl w:val="0"/>
          <w:numId w:val="1378"/>
        </w:numPr>
        <w:pStyle w:val="Compact"/>
      </w:pPr>
      <w:r>
        <w:t xml:space="preserve">2025 · Davies MJ ·</w:t>
      </w:r>
      <w:r>
        <w:t xml:space="preserve"> </w:t>
      </w:r>
      <w:r>
        <w:rPr>
          <w:iCs/>
          <w:i/>
        </w:rPr>
        <w:t xml:space="preserve">Lancet Diabetes Endocrinol</w:t>
      </w:r>
      <w:r>
        <w:t xml:space="preserve"> </w:t>
      </w:r>
      <w:r>
        <w:t xml:space="preserve">· Semaglutide in obesity-related heart failure with preserved ejection fraction and type 2 diabetes across baseline HbA(1c) levels (STEP-HFpEF DM): a prespecified analysis of heart failure and metabolic outcomes from a randomised, placebo-controlled trial. PMID 39848268</w:t>
      </w:r>
    </w:p>
    <w:p>
      <w:pPr>
        <w:numPr>
          <w:ilvl w:val="0"/>
          <w:numId w:val="1378"/>
        </w:numPr>
        <w:pStyle w:val="Compact"/>
      </w:pPr>
      <w:r>
        <w:t xml:space="preserve">2025 · Lingvay I ·</w:t>
      </w:r>
      <w:r>
        <w:t xml:space="preserve"> </w:t>
      </w:r>
      <w:r>
        <w:rPr>
          <w:iCs/>
          <w:i/>
        </w:rPr>
        <w:t xml:space="preserve">Diabetologia</w:t>
      </w:r>
      <w:r>
        <w:t xml:space="preserve"> </w:t>
      </w:r>
      <w:r>
        <w:t xml:space="preserve">· Once-weekly IcoSema versus once-weekly semaglutide in adults with type 2 diabetes: the COMBINE 2 randomised clinical trial. PMID 39820580</w:t>
      </w:r>
    </w:p>
    <w:p>
      <w:pPr>
        <w:numPr>
          <w:ilvl w:val="0"/>
          <w:numId w:val="1378"/>
        </w:numPr>
        <w:pStyle w:val="Compact"/>
      </w:pPr>
      <w:r>
        <w:t xml:space="preserve">2025 · Razavi AC ·</w:t>
      </w:r>
      <w:r>
        <w:t xml:space="preserve"> </w:t>
      </w:r>
      <w:r>
        <w:rPr>
          <w:iCs/>
          <w:i/>
        </w:rPr>
        <w:t xml:space="preserve">JACC Cardiovasc Imaging</w:t>
      </w:r>
      <w:r>
        <w:t xml:space="preserve"> </w:t>
      </w:r>
      <w:r>
        <w:t xml:space="preserve">· Allocation of Semaglutide According to Coronary Artery Calcium and BMI: Applying the SELECT Trial to MESA. PMID 39797878</w:t>
      </w:r>
    </w:p>
    <w:p>
      <w:pPr>
        <w:numPr>
          <w:ilvl w:val="0"/>
          <w:numId w:val="1378"/>
        </w:numPr>
        <w:pStyle w:val="Compact"/>
      </w:pPr>
      <w:r>
        <w:t xml:space="preserve">2025 · Pasqua MR ·</w:t>
      </w:r>
      <w:r>
        <w:t xml:space="preserve"> </w:t>
      </w:r>
      <w:r>
        <w:rPr>
          <w:iCs/>
          <w:i/>
        </w:rPr>
        <w:t xml:space="preserve">Nat Med</w:t>
      </w:r>
      <w:r>
        <w:t xml:space="preserve"> </w:t>
      </w:r>
      <w:r>
        <w:t xml:space="preserve">· Subcutaneous weekly semaglutide with automated insulin delivery in type 1 diabetes: a double-blind, randomized, crossover trial. PMID 39794615</w:t>
      </w:r>
    </w:p>
    <w:p>
      <w:pPr>
        <w:numPr>
          <w:ilvl w:val="0"/>
          <w:numId w:val="1378"/>
        </w:numPr>
        <w:pStyle w:val="Compact"/>
      </w:pPr>
      <w:r>
        <w:t xml:space="preserve">2025 · Cummings JL ·</w:t>
      </w:r>
      <w:r>
        <w:t xml:space="preserve"> </w:t>
      </w:r>
      <w:r>
        <w:rPr>
          <w:iCs/>
          <w:i/>
        </w:rPr>
        <w:t xml:space="preserve">Alzheimers Res Ther</w:t>
      </w:r>
      <w:r>
        <w:t xml:space="preserve"> </w:t>
      </w:r>
      <w:r>
        <w:t xml:space="preserve">· evoke and evoke+: design of two large-scale, double-blind, placebo-controlled, phase 3 studies evaluating efficacy, safety, and tolerability of semaglutide in early-stage symptomatic Alzheimer’s disease. PMID 39780249</w:t>
      </w:r>
    </w:p>
    <w:p>
      <w:pPr>
        <w:numPr>
          <w:ilvl w:val="0"/>
          <w:numId w:val="1378"/>
        </w:numPr>
        <w:pStyle w:val="Compact"/>
      </w:pPr>
      <w:r>
        <w:t xml:space="preserve">2025 · Mather KJ ·</w:t>
      </w:r>
      <w:r>
        <w:t xml:space="preserve"> </w:t>
      </w:r>
      <w:r>
        <w:rPr>
          <w:iCs/>
          <w:i/>
        </w:rPr>
        <w:t xml:space="preserve">Diabetes Obes Metab</w:t>
      </w:r>
      <w:r>
        <w:t xml:space="preserve"> </w:t>
      </w:r>
      <w:r>
        <w:t xml:space="preserve">· Greater improvement in insulin sensitivity per unit weight loss associated with tirzepatide versus semaglutide: An exploratory analysis. PMID 39762971</w:t>
      </w:r>
    </w:p>
    <w:p>
      <w:pPr>
        <w:numPr>
          <w:ilvl w:val="0"/>
          <w:numId w:val="1378"/>
        </w:numPr>
        <w:pStyle w:val="Compact"/>
      </w:pPr>
      <w:r>
        <w:t xml:space="preserve">2025 · Tchang BG ·</w:t>
      </w:r>
      <w:r>
        <w:t xml:space="preserve"> </w:t>
      </w:r>
      <w:r>
        <w:rPr>
          <w:iCs/>
          <w:i/>
        </w:rPr>
        <w:t xml:space="preserve">Obesity (Silver Spring)</w:t>
      </w:r>
      <w:r>
        <w:t xml:space="preserve"> </w:t>
      </w:r>
      <w:r>
        <w:t xml:space="preserve">· Effect of semaglutide 2.4 mg on use of antihypertensive and lipid-lowering treatment in five randomized controlled STEP trials. PMID 39756397</w:t>
      </w:r>
    </w:p>
    <w:p>
      <w:pPr>
        <w:numPr>
          <w:ilvl w:val="0"/>
          <w:numId w:val="1378"/>
        </w:numPr>
        <w:pStyle w:val="Compact"/>
      </w:pPr>
      <w:r>
        <w:t xml:space="preserve">2025 · Armstrong MJ ·</w:t>
      </w:r>
      <w:r>
        <w:t xml:space="preserve"> </w:t>
      </w:r>
      <w:r>
        <w:rPr>
          <w:iCs/>
          <w:i/>
        </w:rPr>
        <w:t xml:space="preserve">Diabetes Obes Metab</w:t>
      </w:r>
      <w:r>
        <w:t xml:space="preserve"> </w:t>
      </w:r>
      <w:r>
        <w:t xml:space="preserve">· Similar weight loss with semaglutide regardless of diabetes and cardiometabolic risk parameters in individuals with metabolic dysfunction-associated steatotic liver disease: Post hoc analysis of three randomised controlled trials. PMID 39609879</w:t>
      </w:r>
    </w:p>
    <w:p>
      <w:pPr>
        <w:numPr>
          <w:ilvl w:val="0"/>
          <w:numId w:val="1378"/>
        </w:numPr>
        <w:pStyle w:val="Compact"/>
      </w:pPr>
      <w:r>
        <w:t xml:space="preserve">2025 · Rodriguez P ·</w:t>
      </w:r>
      <w:r>
        <w:t xml:space="preserve"> </w:t>
      </w:r>
      <w:r>
        <w:rPr>
          <w:iCs/>
          <w:i/>
        </w:rPr>
        <w:t xml:space="preserve">Diabetes Obes Metab</w:t>
      </w:r>
      <w:r>
        <w:t xml:space="preserve"> </w:t>
      </w:r>
      <w:r>
        <w:t xml:space="preserve">· De-intensification of basal-bolus therapy by replacing prandial insulin with once-weekly subcutaneous semaglutide in individuals with well-controlled type 2 diabetes: A single-centre, open-label randomised trial (TRANSITION-T2D). PMID 39532398</w:t>
      </w:r>
    </w:p>
    <w:p>
      <w:pPr>
        <w:numPr>
          <w:ilvl w:val="0"/>
          <w:numId w:val="1378"/>
        </w:numPr>
        <w:pStyle w:val="Compact"/>
      </w:pPr>
      <w:r>
        <w:t xml:space="preserve">2025 · Gregorič N ·</w:t>
      </w:r>
      <w:r>
        <w:t xml:space="preserve"> </w:t>
      </w:r>
      <w:r>
        <w:rPr>
          <w:iCs/>
          <w:i/>
        </w:rPr>
        <w:t xml:space="preserve">Diabetes Obes Metab</w:t>
      </w:r>
      <w:r>
        <w:t xml:space="preserve"> </w:t>
      </w:r>
      <w:r>
        <w:t xml:space="preserve">· Semaglutide improved sperm morphology in obese men with type 2 diabetes mellitus and functional hypogonadism. PMID 39511836</w:t>
      </w:r>
    </w:p>
    <w:p>
      <w:pPr>
        <w:numPr>
          <w:ilvl w:val="0"/>
          <w:numId w:val="1378"/>
        </w:numPr>
        <w:pStyle w:val="Compact"/>
      </w:pPr>
      <w:r>
        <w:t xml:space="preserve">2025 · Apperloo EM ·</w:t>
      </w:r>
      <w:r>
        <w:t xml:space="preserve"> </w:t>
      </w:r>
      <w:r>
        <w:rPr>
          <w:iCs/>
          <w:i/>
        </w:rPr>
        <w:t xml:space="preserve">Nat Med</w:t>
      </w:r>
      <w:r>
        <w:t xml:space="preserve"> </w:t>
      </w:r>
      <w:r>
        <w:t xml:space="preserve">· Semaglutide in patients with overweight or obesity and chronic kidney disease without diabetes: a randomized double-blind placebo-controlled clinical trial. PMID 39455729</w:t>
      </w:r>
    </w:p>
    <w:p>
      <w:pPr>
        <w:numPr>
          <w:ilvl w:val="0"/>
          <w:numId w:val="1378"/>
        </w:numPr>
        <w:pStyle w:val="Compact"/>
      </w:pPr>
      <w:r>
        <w:t xml:space="preserve">2025 · Mahaffey KW ·</w:t>
      </w:r>
      <w:r>
        <w:t xml:space="preserve"> </w:t>
      </w:r>
      <w:r>
        <w:rPr>
          <w:iCs/>
          <w:i/>
        </w:rPr>
        <w:t xml:space="preserve">Eur Heart J</w:t>
      </w:r>
      <w:r>
        <w:t xml:space="preserve"> </w:t>
      </w:r>
      <w:r>
        <w:t xml:space="preserve">· Cardiovascular outcomes with semaglutide by severity of chronic kidney disease in type 2 diabetes: the FLOW trial. PMID 39211948</w:t>
      </w:r>
    </w:p>
    <w:p>
      <w:pPr>
        <w:numPr>
          <w:ilvl w:val="0"/>
          <w:numId w:val="1378"/>
        </w:numPr>
        <w:pStyle w:val="Compact"/>
      </w:pPr>
      <w:r>
        <w:t xml:space="preserve">2025 · Ditzenberger GL ·</w:t>
      </w:r>
      <w:r>
        <w:t xml:space="preserve"> </w:t>
      </w:r>
      <w:r>
        <w:rPr>
          <w:iCs/>
          <w:i/>
        </w:rPr>
        <w:t xml:space="preserve">Clin Infect Dis</w:t>
      </w:r>
      <w:r>
        <w:t xml:space="preserve"> </w:t>
      </w:r>
      <w:r>
        <w:t xml:space="preserve">· Effects of Semaglutide on Muscle Structure and Function in the SLIM LIVER Study. PMID 39046173</w:t>
      </w:r>
    </w:p>
    <w:p>
      <w:pPr>
        <w:numPr>
          <w:ilvl w:val="0"/>
          <w:numId w:val="1378"/>
        </w:numPr>
        <w:pStyle w:val="Compact"/>
      </w:pPr>
      <w:r>
        <w:t xml:space="preserve">2025 · Apperloo EM ·</w:t>
      </w:r>
      <w:r>
        <w:t xml:space="preserve"> </w:t>
      </w:r>
      <w:r>
        <w:rPr>
          <w:iCs/>
          <w:i/>
        </w:rPr>
        <w:t xml:space="preserve">Nephrol Dial Transplant</w:t>
      </w:r>
      <w:r>
        <w:t xml:space="preserve"> </w:t>
      </w:r>
      <w:r>
        <w:t xml:space="preserve">· Effect of semaglutide on kidney function across different levels of baseline HbA1c, blood pressure, body weight and albuminuria in SUSTAIN 6 and PIONEER 6. PMID 38955363</w:t>
      </w:r>
    </w:p>
    <w:p>
      <w:pPr>
        <w:numPr>
          <w:ilvl w:val="0"/>
          <w:numId w:val="1378"/>
        </w:numPr>
        <w:pStyle w:val="Compact"/>
      </w:pPr>
      <w:r>
        <w:t xml:space="preserve">2025 · Nomoto H ·</w:t>
      </w:r>
      <w:r>
        <w:t xml:space="preserve"> </w:t>
      </w:r>
      <w:r>
        <w:rPr>
          <w:iCs/>
          <w:i/>
        </w:rPr>
        <w:t xml:space="preserve">J Clin Endocrinol Metab</w:t>
      </w:r>
      <w:r>
        <w:t xml:space="preserve"> </w:t>
      </w:r>
      <w:r>
        <w:t xml:space="preserve">· Improvement of β-Cell Function After Switching From DPP-4 Inhibitors to Oral Semaglutide: SWITCH-SEMA2 Post Hoc Analysis. PMID 38695547</w:t>
      </w:r>
    </w:p>
    <w:p>
      <w:pPr>
        <w:numPr>
          <w:ilvl w:val="0"/>
          <w:numId w:val="1378"/>
        </w:numPr>
        <w:pStyle w:val="Compact"/>
      </w:pPr>
      <w:r>
        <w:t xml:space="preserve">2025 · Harrison SA ·</w:t>
      </w:r>
      <w:r>
        <w:t xml:space="preserve"> </w:t>
      </w:r>
      <w:r>
        <w:rPr>
          <w:iCs/>
          <w:i/>
        </w:rPr>
        <w:t xml:space="preserve">Clin Gastroenterol Hepatol</w:t>
      </w:r>
      <w:r>
        <w:t xml:space="preserve"> </w:t>
      </w:r>
      <w:r>
        <w:t xml:space="preserve">· Safety and Efficacy of Efruxifermin in Combination With a GLP-1 Receptor Agonist in Patients With NASH/MASH and Type 2 Diabetes in a Randomized Phase 2 Study. PMID 38447814</w:t>
      </w:r>
    </w:p>
    <w:p>
      <w:pPr>
        <w:numPr>
          <w:ilvl w:val="0"/>
          <w:numId w:val="1378"/>
        </w:numPr>
        <w:pStyle w:val="Compact"/>
      </w:pPr>
      <w:r>
        <w:t xml:space="preserve">2024 · Kadowaki T ·</w:t>
      </w:r>
      <w:r>
        <w:t xml:space="preserve"> </w:t>
      </w:r>
      <w:r>
        <w:rPr>
          <w:iCs/>
          <w:i/>
        </w:rPr>
        <w:t xml:space="preserve">Obes Res Clin Pract</w:t>
      </w:r>
      <w:r>
        <w:t xml:space="preserve"> </w:t>
      </w:r>
      <w:r>
        <w:t xml:space="preserve">· Clinical characteristics affecting weight loss in an East Asian population receiving semaglutide: A STEP 6 subgroup analysis. PMID 39824696</w:t>
      </w:r>
    </w:p>
    <w:p>
      <w:pPr>
        <w:numPr>
          <w:ilvl w:val="0"/>
          <w:numId w:val="1378"/>
        </w:numPr>
        <w:pStyle w:val="Compact"/>
      </w:pPr>
      <w:r>
        <w:t xml:space="preserve">2024 · Westergaard L ·</w:t>
      </w:r>
      <w:r>
        <w:t xml:space="preserve"> </w:t>
      </w:r>
      <w:r>
        <w:rPr>
          <w:iCs/>
          <w:i/>
        </w:rPr>
        <w:t xml:space="preserve">Clin Drug Investig</w:t>
      </w:r>
      <w:r>
        <w:t xml:space="preserve"> </w:t>
      </w:r>
      <w:r>
        <w:t xml:space="preserve">· Pharmacokinetic Properties of a Once-Weekly Fixed-Ratio Combination of Insulin Icodec and Semaglutide Compared with Separate Administration of Each Component in Individuals with Type 2 Diabetes Mellitus. PMID 39488821</w:t>
      </w:r>
    </w:p>
    <w:p>
      <w:pPr>
        <w:numPr>
          <w:ilvl w:val="0"/>
          <w:numId w:val="1378"/>
        </w:numPr>
        <w:pStyle w:val="Compact"/>
      </w:pPr>
      <w:r>
        <w:t xml:space="preserve">2024 · Bliddal H ·</w:t>
      </w:r>
      <w:r>
        <w:t xml:space="preserve"> </w:t>
      </w:r>
      <w:r>
        <w:rPr>
          <w:iCs/>
          <w:i/>
        </w:rPr>
        <w:t xml:space="preserve">N Engl J Med</w:t>
      </w:r>
      <w:r>
        <w:t xml:space="preserve"> </w:t>
      </w:r>
      <w:r>
        <w:t xml:space="preserve">· Once-Weekly Semaglutide in Persons with Obesity and Knee Osteoarthritis. PMID 39476339</w:t>
      </w:r>
    </w:p>
    <w:p>
      <w:pPr>
        <w:numPr>
          <w:ilvl w:val="0"/>
          <w:numId w:val="1378"/>
        </w:numPr>
        <w:pStyle w:val="Compact"/>
      </w:pPr>
      <w:r>
        <w:t xml:space="preserve">2024 · Saravanan P ·</w:t>
      </w:r>
      <w:r>
        <w:t xml:space="preserve"> </w:t>
      </w:r>
      <w:r>
        <w:rPr>
          <w:iCs/>
          <w:i/>
        </w:rPr>
        <w:t xml:space="preserve">Adv Ther</w:t>
      </w:r>
      <w:r>
        <w:t xml:space="preserve"> </w:t>
      </w:r>
      <w:r>
        <w:t xml:space="preserve">· PIONEER REAL UK: A Multi-Centre, Prospective, Real-World Study of Once-Daily Oral Semaglutide Use in Adults with Type 2 Diabetes. PMID 39316289</w:t>
      </w:r>
    </w:p>
    <w:p>
      <w:pPr>
        <w:numPr>
          <w:ilvl w:val="0"/>
          <w:numId w:val="1378"/>
        </w:numPr>
        <w:pStyle w:val="Compact"/>
      </w:pPr>
      <w:r>
        <w:t xml:space="preserve">2024 · Ji L ·</w:t>
      </w:r>
      <w:r>
        <w:t xml:space="preserve"> </w:t>
      </w:r>
      <w:r>
        <w:rPr>
          <w:iCs/>
          <w:i/>
        </w:rPr>
        <w:t xml:space="preserve">Diabetes Obes Metab</w:t>
      </w:r>
      <w:r>
        <w:t xml:space="preserve"> </w:t>
      </w:r>
      <w:r>
        <w:t xml:space="preserve">· Impact of baseline characteristics on the efficacy of once-weekly subcutaneous semaglutide among participants with type 2 diabetes: A post hoc analysis of SUSTAIN China. PMID 39279647</w:t>
      </w:r>
    </w:p>
    <w:p>
      <w:pPr>
        <w:numPr>
          <w:ilvl w:val="0"/>
          <w:numId w:val="1378"/>
        </w:numPr>
        <w:pStyle w:val="Compact"/>
      </w:pPr>
      <w:r>
        <w:t xml:space="preserve">2024 · Gabe MBN ·</w:t>
      </w:r>
      <w:r>
        <w:t xml:space="preserve"> </w:t>
      </w:r>
      <w:r>
        <w:rPr>
          <w:iCs/>
          <w:i/>
        </w:rPr>
        <w:t xml:space="preserve">Diabetes Obes Metab</w:t>
      </w:r>
      <w:r>
        <w:t xml:space="preserve"> </w:t>
      </w:r>
      <w:r>
        <w:t xml:space="preserve">· Cagrilintide is not associated with clinically relevant QTc prolongation: A thorough QT study in healthy participants. PMID 39279639</w:t>
      </w:r>
    </w:p>
    <w:p>
      <w:pPr>
        <w:numPr>
          <w:ilvl w:val="0"/>
          <w:numId w:val="1378"/>
        </w:numPr>
        <w:pStyle w:val="Compact"/>
      </w:pPr>
      <w:r>
        <w:t xml:space="preserve">2024 · Wadden TA ·</w:t>
      </w:r>
      <w:r>
        <w:t xml:space="preserve"> </w:t>
      </w:r>
      <w:r>
        <w:rPr>
          <w:iCs/>
          <w:i/>
        </w:rPr>
        <w:t xml:space="preserve">JAMA Intern Med</w:t>
      </w:r>
      <w:r>
        <w:t xml:space="preserve"> </w:t>
      </w:r>
      <w:r>
        <w:t xml:space="preserve">· Psychiatric Safety of Semaglutide for Weight Management in People Without Known Major Psychopathology: Post Hoc Analysis of the STEP 1, 2, 3, and 5 Trials. PMID 39226070</w:t>
      </w:r>
    </w:p>
    <w:p>
      <w:pPr>
        <w:numPr>
          <w:ilvl w:val="0"/>
          <w:numId w:val="1378"/>
        </w:numPr>
        <w:pStyle w:val="Compact"/>
      </w:pPr>
      <w:r>
        <w:t xml:space="preserve">2024 · Kosiborod MN ·</w:t>
      </w:r>
      <w:r>
        <w:t xml:space="preserve"> </w:t>
      </w:r>
      <w:r>
        <w:rPr>
          <w:iCs/>
          <w:i/>
        </w:rPr>
        <w:t xml:space="preserve">Lancet</w:t>
      </w:r>
      <w:r>
        <w:t xml:space="preserve"> </w:t>
      </w:r>
      <w:r>
        <w:t xml:space="preserve">· Semaglutide versus placebo in patients with heart failure and mildly reduced or preserved ejection fraction: a pooled analysis of the SELECT, FLOW, STEP-HFpEF, and STEP-HFpEF DM randomised trials. PMID 39222642</w:t>
      </w:r>
    </w:p>
    <w:p>
      <w:pPr>
        <w:numPr>
          <w:ilvl w:val="0"/>
          <w:numId w:val="1378"/>
        </w:numPr>
        <w:pStyle w:val="Compact"/>
      </w:pPr>
      <w:r>
        <w:t xml:space="preserve">2024 · Selvarajah V ·</w:t>
      </w:r>
      <w:r>
        <w:t xml:space="preserve"> </w:t>
      </w:r>
      <w:r>
        <w:rPr>
          <w:iCs/>
          <w:i/>
        </w:rPr>
        <w:t xml:space="preserve">Kidney Int</w:t>
      </w:r>
      <w:r>
        <w:t xml:space="preserve"> </w:t>
      </w:r>
      <w:r>
        <w:t xml:space="preserve">· A randomized phase 2b trial examined the effects of the glucagon-like peptide-1 and glucagon receptor agonist cotadutide on kidney outcomes in patients with diabetic kidney disease. PMID 39218393</w:t>
      </w:r>
    </w:p>
    <w:p>
      <w:pPr>
        <w:numPr>
          <w:ilvl w:val="0"/>
          <w:numId w:val="1378"/>
        </w:numPr>
        <w:pStyle w:val="Compact"/>
      </w:pPr>
      <w:r>
        <w:t xml:space="preserve">2024 · Solomon SD ·</w:t>
      </w:r>
      <w:r>
        <w:t xml:space="preserve"> </w:t>
      </w:r>
      <w:r>
        <w:rPr>
          <w:iCs/>
          <w:i/>
        </w:rPr>
        <w:t xml:space="preserve">J Am Coll Cardiol</w:t>
      </w:r>
      <w:r>
        <w:t xml:space="preserve"> </w:t>
      </w:r>
      <w:r>
        <w:t xml:space="preserve">· Effect of Semaglutide on Cardiac Structure and Function in Patients With Obesity-Related Heart Failure. PMID 39217567</w:t>
      </w:r>
    </w:p>
    <w:p>
      <w:pPr>
        <w:numPr>
          <w:ilvl w:val="0"/>
          <w:numId w:val="1378"/>
        </w:numPr>
        <w:pStyle w:val="Compact"/>
      </w:pPr>
      <w:r>
        <w:t xml:space="preserve">2024 · Verma S ·</w:t>
      </w:r>
      <w:r>
        <w:t xml:space="preserve"> </w:t>
      </w:r>
      <w:r>
        <w:rPr>
          <w:iCs/>
          <w:i/>
        </w:rPr>
        <w:t xml:space="preserve">J Am Coll Cardiol</w:t>
      </w:r>
      <w:r>
        <w:t xml:space="preserve"> </w:t>
      </w:r>
      <w:r>
        <w:t xml:space="preserve">· Atrial Fibrillation and Semaglutide Effects in Obesity-Related Heart Failure With Preserved Ejection Fraction: STEP-HFpEF Program. PMID 39217565</w:t>
      </w:r>
    </w:p>
    <w:p>
      <w:pPr>
        <w:numPr>
          <w:ilvl w:val="0"/>
          <w:numId w:val="1378"/>
        </w:numPr>
        <w:pStyle w:val="Compact"/>
      </w:pPr>
      <w:r>
        <w:t xml:space="preserve">2024 · Verma S ·</w:t>
      </w:r>
      <w:r>
        <w:t xml:space="preserve"> </w:t>
      </w:r>
      <w:r>
        <w:rPr>
          <w:iCs/>
          <w:i/>
        </w:rPr>
        <w:t xml:space="preserve">J Am Coll Cardiol</w:t>
      </w:r>
      <w:r>
        <w:t xml:space="preserve"> </w:t>
      </w:r>
      <w:r>
        <w:t xml:space="preserve">· Inflammation in Obesity-Related HFpEF: The STEP-HFpEF Program. PMID 39217564</w:t>
      </w:r>
    </w:p>
    <w:p>
      <w:pPr>
        <w:numPr>
          <w:ilvl w:val="0"/>
          <w:numId w:val="1378"/>
        </w:numPr>
        <w:pStyle w:val="Compact"/>
      </w:pPr>
      <w:r>
        <w:t xml:space="preserve">2024 · Scirica BM ·</w:t>
      </w:r>
      <w:r>
        <w:t xml:space="preserve"> </w:t>
      </w:r>
      <w:r>
        <w:rPr>
          <w:iCs/>
          <w:i/>
        </w:rPr>
        <w:t xml:space="preserve">J Am Coll Cardiol</w:t>
      </w:r>
      <w:r>
        <w:t xml:space="preserve"> </w:t>
      </w:r>
      <w:r>
        <w:t xml:space="preserve">· The Effect of Semaglutide on Mortality and COVID-19-Related Deaths: An Analysis From the SELECT Trial. PMID 39217559</w:t>
      </w:r>
    </w:p>
    <w:p>
      <w:pPr>
        <w:numPr>
          <w:ilvl w:val="0"/>
          <w:numId w:val="1378"/>
        </w:numPr>
        <w:pStyle w:val="Compact"/>
      </w:pPr>
      <w:r>
        <w:t xml:space="preserve">2024 · Pratley RE ·</w:t>
      </w:r>
      <w:r>
        <w:t xml:space="preserve"> </w:t>
      </w:r>
      <w:r>
        <w:rPr>
          <w:iCs/>
          <w:i/>
        </w:rPr>
        <w:t xml:space="preserve">J Am Coll Cardiol</w:t>
      </w:r>
      <w:r>
        <w:t xml:space="preserve"> </w:t>
      </w:r>
      <w:r>
        <w:t xml:space="preserve">· Effects of Semaglutide on Heart Failure Outcomes in Diabetes and Chronic Kidney Disease in the FLOW Trial. PMID 39217553</w:t>
      </w:r>
    </w:p>
    <w:p>
      <w:pPr>
        <w:numPr>
          <w:ilvl w:val="0"/>
          <w:numId w:val="1378"/>
        </w:numPr>
        <w:pStyle w:val="Compact"/>
      </w:pPr>
      <w:r>
        <w:t xml:space="preserve">2024 · Younis IR ·</w:t>
      </w:r>
      <w:r>
        <w:t xml:space="preserve"> </w:t>
      </w:r>
      <w:r>
        <w:rPr>
          <w:iCs/>
          <w:i/>
        </w:rPr>
        <w:t xml:space="preserve">J Clin Pharmacol</w:t>
      </w:r>
      <w:r>
        <w:t xml:space="preserve"> </w:t>
      </w:r>
      <w:r>
        <w:t xml:space="preserve">· Pharmacokinetics and Safety of Cilofexor and Firsocostat in Healthy Japanese and Non-Japanese Participants. PMID 39213138</w:t>
      </w:r>
    </w:p>
    <w:p>
      <w:pPr>
        <w:numPr>
          <w:ilvl w:val="0"/>
          <w:numId w:val="1378"/>
        </w:numPr>
        <w:pStyle w:val="Compact"/>
      </w:pPr>
      <w:r>
        <w:t xml:space="preserve">2024 · Wang J ·</w:t>
      </w:r>
      <w:r>
        <w:t xml:space="preserve"> </w:t>
      </w:r>
      <w:r>
        <w:rPr>
          <w:iCs/>
          <w:i/>
        </w:rPr>
        <w:t xml:space="preserve">Diabetes Obes Metab</w:t>
      </w:r>
      <w:r>
        <w:t xml:space="preserve"> </w:t>
      </w:r>
      <w:r>
        <w:t xml:space="preserve">· Effect of semaglutide on primary prevention of diabetic kidney disease in people with type 2 diabetes: A post hoc analysis of the SUSTAIN 6 randomized controlled trial. PMID 39188242</w:t>
      </w:r>
    </w:p>
    <w:p>
      <w:pPr>
        <w:numPr>
          <w:ilvl w:val="0"/>
          <w:numId w:val="1378"/>
        </w:numPr>
        <w:pStyle w:val="Compact"/>
      </w:pPr>
      <w:r>
        <w:t xml:space="preserve">2024 · Deanfield J ·</w:t>
      </w:r>
      <w:r>
        <w:t xml:space="preserve"> </w:t>
      </w:r>
      <w:r>
        <w:rPr>
          <w:iCs/>
          <w:i/>
        </w:rPr>
        <w:t xml:space="preserve">Lancet</w:t>
      </w:r>
      <w:r>
        <w:t xml:space="preserve"> </w:t>
      </w:r>
      <w:r>
        <w:t xml:space="preserve">· Semaglutide and cardiovascular outcomes in patients with obesity and prevalent heart failure: a prespecified analysis of the SELECT trial. PMID 39181597</w:t>
      </w:r>
    </w:p>
    <w:p>
      <w:pPr>
        <w:numPr>
          <w:ilvl w:val="0"/>
          <w:numId w:val="1378"/>
        </w:numPr>
        <w:pStyle w:val="Compact"/>
      </w:pPr>
      <w:r>
        <w:t xml:space="preserve">2024 · El-Nayir M ·</w:t>
      </w:r>
      <w:r>
        <w:t xml:space="preserve"> </w:t>
      </w:r>
      <w:r>
        <w:rPr>
          <w:iCs/>
          <w:i/>
        </w:rPr>
        <w:t xml:space="preserve">Trials</w:t>
      </w:r>
      <w:r>
        <w:t xml:space="preserve"> </w:t>
      </w:r>
      <w:r>
        <w:t xml:space="preserve">· Patient and public involvement and engagement in the ASCEND PLUS trial: reflections from the design of a streamlined and decentralised clinical trial. PMID 39175005</w:t>
      </w:r>
    </w:p>
    <w:p>
      <w:pPr>
        <w:numPr>
          <w:ilvl w:val="0"/>
          <w:numId w:val="1378"/>
        </w:numPr>
        <w:pStyle w:val="Compact"/>
      </w:pPr>
      <w:r>
        <w:t xml:space="preserve">2024 · Liu X ·</w:t>
      </w:r>
      <w:r>
        <w:t xml:space="preserve"> </w:t>
      </w:r>
      <w:r>
        <w:rPr>
          <w:iCs/>
          <w:i/>
        </w:rPr>
        <w:t xml:space="preserve">J Diabetes Investig</w:t>
      </w:r>
      <w:r>
        <w:t xml:space="preserve"> </w:t>
      </w:r>
      <w:r>
        <w:t xml:space="preserve">· Application of the integrated data platform combined with dietary management for adults with diabetes: A prospective randomized controlled trial. PMID 39171608</w:t>
      </w:r>
    </w:p>
    <w:p>
      <w:pPr>
        <w:numPr>
          <w:ilvl w:val="0"/>
          <w:numId w:val="1378"/>
        </w:numPr>
        <w:pStyle w:val="Compact"/>
      </w:pPr>
      <w:r>
        <w:t xml:space="preserve">2024 · Manubolu VS ·</w:t>
      </w:r>
      <w:r>
        <w:t xml:space="preserve"> </w:t>
      </w:r>
      <w:r>
        <w:rPr>
          <w:iCs/>
          <w:i/>
        </w:rPr>
        <w:t xml:space="preserve">J Am Coll Cardiol</w:t>
      </w:r>
      <w:r>
        <w:t xml:space="preserve"> </w:t>
      </w:r>
      <w:r>
        <w:t xml:space="preserve">· Effect of Semaglutide on Epicardial Adipose Tissue in Type 2 Diabetes: Insights From the STOP (Semaglutide Treatment effect On coronary atherosclerosis Progression) Randomized Trial. PMID 39168573</w:t>
      </w:r>
    </w:p>
    <w:p>
      <w:pPr>
        <w:numPr>
          <w:ilvl w:val="0"/>
          <w:numId w:val="1378"/>
        </w:numPr>
        <w:pStyle w:val="Compact"/>
      </w:pPr>
      <w:r>
        <w:t xml:space="preserve">2024 · Yang W ·</w:t>
      </w:r>
      <w:r>
        <w:t xml:space="preserve"> </w:t>
      </w:r>
      <w:r>
        <w:rPr>
          <w:iCs/>
          <w:i/>
        </w:rPr>
        <w:t xml:space="preserve">Medicine (Baltimore)</w:t>
      </w:r>
      <w:r>
        <w:t xml:space="preserve"> </w:t>
      </w:r>
      <w:r>
        <w:t xml:space="preserve">· Real world study of GLP-1 receptor agonists in overweight or obese type 2 diabetes by using repeated measurement analysis of variance. PMID 39121301</w:t>
      </w:r>
    </w:p>
    <w:p>
      <w:pPr>
        <w:numPr>
          <w:ilvl w:val="0"/>
          <w:numId w:val="1378"/>
        </w:numPr>
        <w:pStyle w:val="Compact"/>
      </w:pPr>
      <w:r>
        <w:t xml:space="preserve">2024 · McGowan BM ·</w:t>
      </w:r>
      <w:r>
        <w:t xml:space="preserve"> </w:t>
      </w:r>
      <w:r>
        <w:rPr>
          <w:iCs/>
          <w:i/>
        </w:rPr>
        <w:t xml:space="preserve">Lancet Diabetes Endocrinol</w:t>
      </w:r>
      <w:r>
        <w:t xml:space="preserve"> </w:t>
      </w:r>
      <w:r>
        <w:t xml:space="preserve">· Efficacy and safety of once-weekly semaglutide 2·4 mg versus placebo in people with obesity and prediabetes (STEP 10): a randomised, double-blind, placebo-controlled, multicentre phase 3 trial. PMID 39089293</w:t>
      </w:r>
    </w:p>
    <w:p>
      <w:pPr>
        <w:numPr>
          <w:ilvl w:val="0"/>
          <w:numId w:val="1378"/>
        </w:numPr>
        <w:pStyle w:val="Compact"/>
      </w:pPr>
      <w:r>
        <w:t xml:space="preserve">2024 · Gabe MBN ·</w:t>
      </w:r>
      <w:r>
        <w:t xml:space="preserve"> </w:t>
      </w:r>
      <w:r>
        <w:rPr>
          <w:iCs/>
          <w:i/>
        </w:rPr>
        <w:t xml:space="preserve">Diabetes Obes Metab</w:t>
      </w:r>
      <w:r>
        <w:t xml:space="preserve"> </w:t>
      </w:r>
      <w:r>
        <w:t xml:space="preserve">· Effect of oral semaglutide on energy intake, appetite, control of eating and gastric emptying in adults living with obesity: A randomized controlled trial. PMID 39082206</w:t>
      </w:r>
    </w:p>
    <w:p>
      <w:pPr>
        <w:numPr>
          <w:ilvl w:val="0"/>
          <w:numId w:val="1378"/>
        </w:numPr>
        <w:pStyle w:val="Compact"/>
      </w:pPr>
      <w:r>
        <w:t xml:space="preserve">2024 · Vernstrøm L ·</w:t>
      </w:r>
      <w:r>
        <w:t xml:space="preserve"> </w:t>
      </w:r>
      <w:r>
        <w:rPr>
          <w:iCs/>
          <w:i/>
        </w:rPr>
        <w:t xml:space="preserve">Diabetologia</w:t>
      </w:r>
      <w:r>
        <w:t xml:space="preserve"> </w:t>
      </w:r>
      <w:r>
        <w:t xml:space="preserve">· Effects of semaglutide, empagliflozin and their combination on renal diffusion-weighted MRI and total kidney volume in patients with type 2 diabetes: a post hoc analysis from a 32 week randomised trial. PMID 39078489</w:t>
      </w:r>
    </w:p>
    <w:p>
      <w:pPr>
        <w:numPr>
          <w:ilvl w:val="0"/>
          <w:numId w:val="1378"/>
        </w:numPr>
        <w:pStyle w:val="Compact"/>
      </w:pPr>
      <w:r>
        <w:t xml:space="preserve">2024 · Anyiam O ·</w:t>
      </w:r>
      <w:r>
        <w:t xml:space="preserve"> </w:t>
      </w:r>
      <w:r>
        <w:rPr>
          <w:iCs/>
          <w:i/>
        </w:rPr>
        <w:t xml:space="preserve">Clin Nutr</w:t>
      </w:r>
      <w:r>
        <w:t xml:space="preserve"> </w:t>
      </w:r>
      <w:r>
        <w:t xml:space="preserve">· Metabolic effects of very-low calorie diet, Semaglutide, or combination of the two, in individuals with type 2 diabetes mellitus. PMID 38996661</w:t>
      </w:r>
    </w:p>
    <w:p>
      <w:pPr>
        <w:numPr>
          <w:ilvl w:val="0"/>
          <w:numId w:val="1378"/>
        </w:numPr>
        <w:pStyle w:val="Compact"/>
      </w:pPr>
      <w:r>
        <w:t xml:space="preserve">2024 · Wang W ·</w:t>
      </w:r>
      <w:r>
        <w:t xml:space="preserve"> </w:t>
      </w:r>
      <w:r>
        <w:rPr>
          <w:iCs/>
          <w:i/>
        </w:rPr>
        <w:t xml:space="preserve">Diabetologia</w:t>
      </w:r>
      <w:r>
        <w:t xml:space="preserve"> </w:t>
      </w:r>
      <w:r>
        <w:t xml:space="preserve">· Efficacy and safety of oral semaglutide monotherapy vs placebo in a predominantly Chinese population with type 2 diabetes (PIONEER 11): a double-blind, Phase IIIa, randomised trial. PMID 38985162</w:t>
      </w:r>
    </w:p>
    <w:p>
      <w:pPr>
        <w:numPr>
          <w:ilvl w:val="0"/>
          <w:numId w:val="1378"/>
        </w:numPr>
        <w:pStyle w:val="Compact"/>
      </w:pPr>
      <w:r>
        <w:t xml:space="preserve">2024 · Ji L ·</w:t>
      </w:r>
      <w:r>
        <w:t xml:space="preserve"> </w:t>
      </w:r>
      <w:r>
        <w:rPr>
          <w:iCs/>
          <w:i/>
        </w:rPr>
        <w:t xml:space="preserve">Diabetologia</w:t>
      </w:r>
      <w:r>
        <w:t xml:space="preserve"> </w:t>
      </w:r>
      <w:r>
        <w:t xml:space="preserve">· Efficacy and safety of oral semaglutide vs sitagliptin in a predominantly Chinese population with type 2 diabetes uncontrolled with metformin: PIONEER 12, a double-blind, Phase IIIa, randomised trial. PMID 38985161</w:t>
      </w:r>
    </w:p>
    <w:p>
      <w:pPr>
        <w:numPr>
          <w:ilvl w:val="0"/>
          <w:numId w:val="1378"/>
        </w:numPr>
        <w:pStyle w:val="Compact"/>
      </w:pPr>
      <w:r>
        <w:t xml:space="preserve">2024 · Eckard AR ·</w:t>
      </w:r>
      <w:r>
        <w:t xml:space="preserve"> </w:t>
      </w:r>
      <w:r>
        <w:rPr>
          <w:iCs/>
          <w:i/>
        </w:rPr>
        <w:t xml:space="preserve">Lancet Diabetes Endocrinol</w:t>
      </w:r>
      <w:r>
        <w:t xml:space="preserve"> </w:t>
      </w:r>
      <w:r>
        <w:t xml:space="preserve">· Once-weekly semaglutide in people with HIV-associated lipohypertrophy: a randomised, double-blind, placebo-controlled phase 2b single-centre clinical trial. PMID 38964353</w:t>
      </w:r>
    </w:p>
    <w:p>
      <w:pPr>
        <w:numPr>
          <w:ilvl w:val="0"/>
          <w:numId w:val="1378"/>
        </w:numPr>
        <w:pStyle w:val="Compact"/>
      </w:pPr>
      <w:r>
        <w:t xml:space="preserve">2024 · Mann JFE ·</w:t>
      </w:r>
      <w:r>
        <w:t xml:space="preserve"> </w:t>
      </w:r>
      <w:r>
        <w:rPr>
          <w:iCs/>
          <w:i/>
        </w:rPr>
        <w:t xml:space="preserve">Nat Med</w:t>
      </w:r>
      <w:r>
        <w:t xml:space="preserve"> </w:t>
      </w:r>
      <w:r>
        <w:t xml:space="preserve">· Effects of semaglutide with and without concomitant SGLT2 inhibitor use in participants with type 2 diabetes and chronic kidney disease in the FLOW trial. PMID 38914124</w:t>
      </w:r>
    </w:p>
    <w:p>
      <w:pPr>
        <w:numPr>
          <w:ilvl w:val="0"/>
          <w:numId w:val="1378"/>
        </w:numPr>
        <w:pStyle w:val="Compact"/>
      </w:pPr>
      <w:r>
        <w:t xml:space="preserve">2024 · Schou M ·</w:t>
      </w:r>
      <w:r>
        <w:t xml:space="preserve"> </w:t>
      </w:r>
      <w:r>
        <w:rPr>
          <w:iCs/>
          <w:i/>
        </w:rPr>
        <w:t xml:space="preserve">J Am Coll Cardiol</w:t>
      </w:r>
      <w:r>
        <w:t xml:space="preserve"> </w:t>
      </w:r>
      <w:r>
        <w:t xml:space="preserve">· Semaglutide and NYHA Functional Class in Obesity-Related Heart Failure With Preserved Ejection Fraction: The STEP-HFpEF Program. PMID 38913004</w:t>
      </w:r>
    </w:p>
    <w:p>
      <w:pPr>
        <w:numPr>
          <w:ilvl w:val="0"/>
          <w:numId w:val="1378"/>
        </w:numPr>
        <w:pStyle w:val="Compact"/>
      </w:pPr>
      <w:r>
        <w:t xml:space="preserve">2024 · Verma S ·</w:t>
      </w:r>
      <w:r>
        <w:t xml:space="preserve"> </w:t>
      </w:r>
      <w:r>
        <w:rPr>
          <w:iCs/>
          <w:i/>
        </w:rPr>
        <w:t xml:space="preserve">J Am Coll Cardiol</w:t>
      </w:r>
      <w:r>
        <w:t xml:space="preserve"> </w:t>
      </w:r>
      <w:r>
        <w:t xml:space="preserve">· Efficacy of Semaglutide by Sex in Obesity-Related Heart Failure With Preserved Ejection Fraction: STEP-HFpEF Trials. PMID 38913003</w:t>
      </w:r>
    </w:p>
    <w:p>
      <w:pPr>
        <w:numPr>
          <w:ilvl w:val="0"/>
          <w:numId w:val="1378"/>
        </w:numPr>
        <w:pStyle w:val="Compact"/>
      </w:pPr>
      <w:r>
        <w:t xml:space="preserve">2024 · Lingvay I ·</w:t>
      </w:r>
      <w:r>
        <w:t xml:space="preserve"> </w:t>
      </w:r>
      <w:r>
        <w:rPr>
          <w:iCs/>
          <w:i/>
        </w:rPr>
        <w:t xml:space="preserve">Diabetes Care</w:t>
      </w:r>
      <w:r>
        <w:t xml:space="preserve"> </w:t>
      </w:r>
      <w:r>
        <w:t xml:space="preserve">· Semaglutide and Cardiovascular Outcomes by Baseline HbA1c and Change in HbA1c in People With Overweight or Obesity but Without Diabetes in SELECT. PMID 38907684</w:t>
      </w:r>
    </w:p>
    <w:p>
      <w:pPr>
        <w:numPr>
          <w:ilvl w:val="0"/>
          <w:numId w:val="1378"/>
        </w:numPr>
        <w:pStyle w:val="Compact"/>
      </w:pPr>
      <w:r>
        <w:t xml:space="preserve">2024 · Kahn SE ·</w:t>
      </w:r>
      <w:r>
        <w:t xml:space="preserve"> </w:t>
      </w:r>
      <w:r>
        <w:rPr>
          <w:iCs/>
          <w:i/>
        </w:rPr>
        <w:t xml:space="preserve">Diabetes Care</w:t>
      </w:r>
      <w:r>
        <w:t xml:space="preserve"> </w:t>
      </w:r>
      <w:r>
        <w:t xml:space="preserve">· Effect of Semaglutide on Regression and Progression of Glycemia in People With Overweight or Obesity but Without Diabetes in the SELECT Trial. PMID 38907683</w:t>
      </w:r>
    </w:p>
    <w:p>
      <w:pPr>
        <w:numPr>
          <w:ilvl w:val="0"/>
          <w:numId w:val="1378"/>
        </w:numPr>
        <w:pStyle w:val="Compact"/>
      </w:pPr>
      <w:r>
        <w:t xml:space="preserve">2024 · Petrie MC ·</w:t>
      </w:r>
      <w:r>
        <w:t xml:space="preserve"> </w:t>
      </w:r>
      <w:r>
        <w:rPr>
          <w:iCs/>
          <w:i/>
        </w:rPr>
        <w:t xml:space="preserve">J Am Coll Cardiol</w:t>
      </w:r>
      <w:r>
        <w:t xml:space="preserve"> </w:t>
      </w:r>
      <w:r>
        <w:t xml:space="preserve">· Semaglutide and NT-proBNP in Obesity-Related HFpEF: Insights From the STEP-HFpEF Program. PMID 38819334</w:t>
      </w:r>
    </w:p>
    <w:p>
      <w:pPr>
        <w:numPr>
          <w:ilvl w:val="0"/>
          <w:numId w:val="1378"/>
        </w:numPr>
        <w:pStyle w:val="Compact"/>
      </w:pPr>
      <w:r>
        <w:t xml:space="preserve">2024 · Xie P ·</w:t>
      </w:r>
      <w:r>
        <w:t xml:space="preserve"> </w:t>
      </w:r>
      <w:r>
        <w:rPr>
          <w:iCs/>
          <w:i/>
        </w:rPr>
        <w:t xml:space="preserve">Diabetes Obes Metab</w:t>
      </w:r>
      <w:r>
        <w:t xml:space="preserve"> </w:t>
      </w:r>
      <w:r>
        <w:t xml:space="preserve">· A phase 1, randomized, double-blind, placebo-controlled trial investigating the pharmacokinetics, pharmacodynamics, safety and tolerability of oral semaglutide in healthy Chinese subjects. PMID 38808476</w:t>
      </w:r>
    </w:p>
    <w:p>
      <w:pPr>
        <w:numPr>
          <w:ilvl w:val="0"/>
          <w:numId w:val="1378"/>
        </w:numPr>
        <w:pStyle w:val="Compact"/>
      </w:pPr>
      <w:r>
        <w:t xml:space="preserve">2024 · Colhoun HM ·</w:t>
      </w:r>
      <w:r>
        <w:t xml:space="preserve"> </w:t>
      </w:r>
      <w:r>
        <w:rPr>
          <w:iCs/>
          <w:i/>
        </w:rPr>
        <w:t xml:space="preserve">Nat Med</w:t>
      </w:r>
      <w:r>
        <w:t xml:space="preserve"> </w:t>
      </w:r>
      <w:r>
        <w:t xml:space="preserve">· Long-term kidney outcomes of semaglutide in obesity and cardiovascular disease in the SELECT trial. PMID 38796653</w:t>
      </w:r>
    </w:p>
    <w:p>
      <w:pPr>
        <w:numPr>
          <w:ilvl w:val="0"/>
          <w:numId w:val="1378"/>
        </w:numPr>
        <w:pStyle w:val="Compact"/>
      </w:pPr>
      <w:r>
        <w:t xml:space="preserve">2024 · Mather KJ ·</w:t>
      </w:r>
      <w:r>
        <w:t xml:space="preserve"> </w:t>
      </w:r>
      <w:r>
        <w:rPr>
          <w:iCs/>
          <w:i/>
        </w:rPr>
        <w:t xml:space="preserve">J Clin Endocrinol Metab</w:t>
      </w:r>
      <w:r>
        <w:t xml:space="preserve"> </w:t>
      </w:r>
      <w:r>
        <w:t xml:space="preserve">· Effects of Tirzepatide vs Semaglutide on β-Cell Function, Insulin Sensitivity, and Glucose Control During a Meal Test. PMID 38795393</w:t>
      </w:r>
    </w:p>
    <w:p>
      <w:pPr>
        <w:numPr>
          <w:ilvl w:val="0"/>
          <w:numId w:val="1378"/>
        </w:numPr>
        <w:pStyle w:val="Compact"/>
      </w:pPr>
      <w:r>
        <w:t xml:space="preserve">2024 · Perkovic V ·</w:t>
      </w:r>
      <w:r>
        <w:t xml:space="preserve"> </w:t>
      </w:r>
      <w:r>
        <w:rPr>
          <w:iCs/>
          <w:i/>
        </w:rPr>
        <w:t xml:space="preserve">N Engl J Med</w:t>
      </w:r>
      <w:r>
        <w:t xml:space="preserve"> </w:t>
      </w:r>
      <w:r>
        <w:t xml:space="preserve">· Effects of Semaglutide on Chronic Kidney Disease in Patients with Type 2 Diabetes. PMID 38785209</w:t>
      </w:r>
    </w:p>
    <w:p>
      <w:pPr>
        <w:numPr>
          <w:ilvl w:val="0"/>
          <w:numId w:val="1378"/>
        </w:numPr>
        <w:pStyle w:val="Compact"/>
      </w:pPr>
      <w:r>
        <w:t xml:space="preserve">2024 · Osumili B ·</w:t>
      </w:r>
      <w:r>
        <w:t xml:space="preserve"> </w:t>
      </w:r>
      <w:r>
        <w:rPr>
          <w:iCs/>
          <w:i/>
        </w:rPr>
        <w:t xml:space="preserve">Diabetes Res Clin Pract</w:t>
      </w:r>
      <w:r>
        <w:t xml:space="preserve"> </w:t>
      </w:r>
      <w:r>
        <w:t xml:space="preserve">· Tirzepatide 5, 10 and 15 mg versus injectable semaglutide 0.5 mg for the treatment of type 2 diabetes: An adjusted indirect treatment comparison. PMID 38777128</w:t>
      </w:r>
    </w:p>
    <w:p>
      <w:pPr>
        <w:numPr>
          <w:ilvl w:val="0"/>
          <w:numId w:val="1378"/>
        </w:numPr>
        <w:pStyle w:val="Compact"/>
      </w:pPr>
      <w:r>
        <w:t xml:space="preserve">2024 · Ryan DH ·</w:t>
      </w:r>
      <w:r>
        <w:t xml:space="preserve"> </w:t>
      </w:r>
      <w:r>
        <w:rPr>
          <w:iCs/>
          <w:i/>
        </w:rPr>
        <w:t xml:space="preserve">Nat Med</w:t>
      </w:r>
      <w:r>
        <w:t xml:space="preserve"> </w:t>
      </w:r>
      <w:r>
        <w:t xml:space="preserve">· Long-term weight loss effects of semaglutide in obesity without diabetes in the SELECT trial. PMID 38740993</w:t>
      </w:r>
    </w:p>
    <w:p>
      <w:pPr>
        <w:numPr>
          <w:ilvl w:val="0"/>
          <w:numId w:val="1378"/>
        </w:numPr>
        <w:pStyle w:val="Compact"/>
      </w:pPr>
      <w:r>
        <w:t xml:space="preserve">2024 · Shah SJ ·</w:t>
      </w:r>
      <w:r>
        <w:t xml:space="preserve"> </w:t>
      </w:r>
      <w:r>
        <w:rPr>
          <w:iCs/>
          <w:i/>
        </w:rPr>
        <w:t xml:space="preserve">Eur Heart J</w:t>
      </w:r>
      <w:r>
        <w:t xml:space="preserve"> </w:t>
      </w:r>
      <w:r>
        <w:t xml:space="preserve">· Semaglutide and diuretic use in obesity-related heart failure with preserved ejection fraction: a pooled analysis of the STEP-HFpEF and STEP-HFpEF-DM trials. PMID 38739118</w:t>
      </w:r>
    </w:p>
    <w:p>
      <w:pPr>
        <w:numPr>
          <w:ilvl w:val="0"/>
          <w:numId w:val="1378"/>
        </w:numPr>
        <w:pStyle w:val="Compact"/>
      </w:pPr>
      <w:r>
        <w:t xml:space="preserve">2024 · Rubino D ·</w:t>
      </w:r>
      <w:r>
        <w:t xml:space="preserve"> </w:t>
      </w:r>
      <w:r>
        <w:rPr>
          <w:iCs/>
          <w:i/>
        </w:rPr>
        <w:t xml:space="preserve">Diabetes Obes Metab</w:t>
      </w:r>
      <w:r>
        <w:t xml:space="preserve"> </w:t>
      </w:r>
      <w:r>
        <w:t xml:space="preserve">· Effect of semaglutide 2.4 mg on physical functioning and weight- and health-related quality of life in adults with overweight or obesity: Patient-reported outcomes from the STEP 1-4 trials. PMID 38698650</w:t>
      </w:r>
    </w:p>
    <w:p>
      <w:pPr>
        <w:numPr>
          <w:ilvl w:val="0"/>
          <w:numId w:val="1378"/>
        </w:numPr>
        <w:pStyle w:val="Compact"/>
      </w:pPr>
      <w:r>
        <w:t xml:space="preserve">2024 · Zeitler P ·</w:t>
      </w:r>
      <w:r>
        <w:t xml:space="preserve"> </w:t>
      </w:r>
      <w:r>
        <w:rPr>
          <w:iCs/>
          <w:i/>
        </w:rPr>
        <w:t xml:space="preserve">Diabetes Care</w:t>
      </w:r>
      <w:r>
        <w:t xml:space="preserve"> </w:t>
      </w:r>
      <w:r>
        <w:t xml:space="preserve">· Early-Onset Type 2 Diabetes and Tirzepatide Treatment: A Post Hoc Analysis From the SURPASS Clinical Trial Program. PMID 38639997</w:t>
      </w:r>
    </w:p>
    <w:p>
      <w:pPr>
        <w:numPr>
          <w:ilvl w:val="0"/>
          <w:numId w:val="1378"/>
        </w:numPr>
        <w:pStyle w:val="Compact"/>
      </w:pPr>
      <w:r>
        <w:t xml:space="preserve">2024 · Butler J ·</w:t>
      </w:r>
      <w:r>
        <w:t xml:space="preserve"> </w:t>
      </w:r>
      <w:r>
        <w:rPr>
          <w:iCs/>
          <w:i/>
        </w:rPr>
        <w:t xml:space="preserve">Lancet</w:t>
      </w:r>
      <w:r>
        <w:t xml:space="preserve"> </w:t>
      </w:r>
      <w:r>
        <w:t xml:space="preserve">· Semaglutide versus placebo in people with obesity-related heart failure with preserved ejection fraction: a pooled analysis of the STEP-HFpEF and STEP-HFpEF DM randomised trials. PMID 38599221</w:t>
      </w:r>
    </w:p>
    <w:p>
      <w:pPr>
        <w:numPr>
          <w:ilvl w:val="0"/>
          <w:numId w:val="1378"/>
        </w:numPr>
        <w:pStyle w:val="Compact"/>
      </w:pPr>
      <w:r>
        <w:t xml:space="preserve">2024 · Kosiborod MN ·</w:t>
      </w:r>
      <w:r>
        <w:t xml:space="preserve"> </w:t>
      </w:r>
      <w:r>
        <w:rPr>
          <w:iCs/>
          <w:i/>
        </w:rPr>
        <w:t xml:space="preserve">N Engl J Med</w:t>
      </w:r>
      <w:r>
        <w:t xml:space="preserve"> </w:t>
      </w:r>
      <w:r>
        <w:t xml:space="preserve">· Semaglutide in Patients with Obesity-Related Heart Failure and Type 2 Diabetes. PMID 38587233</w:t>
      </w:r>
    </w:p>
    <w:p>
      <w:pPr>
        <w:numPr>
          <w:ilvl w:val="0"/>
          <w:numId w:val="1378"/>
        </w:numPr>
        <w:pStyle w:val="Compact"/>
      </w:pPr>
      <w:r>
        <w:t xml:space="preserve">2024 · Weber EJ ·</w:t>
      </w:r>
      <w:r>
        <w:t xml:space="preserve"> </w:t>
      </w:r>
      <w:r>
        <w:rPr>
          <w:iCs/>
          <w:i/>
        </w:rPr>
        <w:t xml:space="preserve">Clin Pharmacol Drug Dev</w:t>
      </w:r>
      <w:r>
        <w:t xml:space="preserve"> </w:t>
      </w:r>
      <w:r>
        <w:t xml:space="preserve">· Evaluation of the Effects of Meal Type and Acid-Reducing Agents on the Pharmacokinetics of Cilofexor, a Selective Nonsteroidal Farnesoid X Receptor Agonist. PMID 38346861</w:t>
      </w:r>
    </w:p>
    <w:p>
      <w:pPr>
        <w:numPr>
          <w:ilvl w:val="0"/>
          <w:numId w:val="1378"/>
        </w:numPr>
        <w:pStyle w:val="Compact"/>
      </w:pPr>
      <w:r>
        <w:t xml:space="preserve">2024 · Mu Y ·</w:t>
      </w:r>
      <w:r>
        <w:t xml:space="preserve"> </w:t>
      </w:r>
      <w:r>
        <w:rPr>
          <w:iCs/>
          <w:i/>
        </w:rPr>
        <w:t xml:space="preserve">Lancet Diabetes Endocrinol</w:t>
      </w:r>
      <w:r>
        <w:t xml:space="preserve"> </w:t>
      </w:r>
      <w:r>
        <w:t xml:space="preserve">· Efficacy and safety of once weekly semaglutide 2·4 mg for weight management in a predominantly east Asian population with overweight or obesity (STEP 7): a double-blind, multicentre, randomised controlled trial. PMID 38330988</w:t>
      </w:r>
    </w:p>
    <w:p>
      <w:pPr>
        <w:numPr>
          <w:ilvl w:val="0"/>
          <w:numId w:val="1378"/>
        </w:numPr>
        <w:pStyle w:val="Compact"/>
      </w:pPr>
      <w:r>
        <w:t xml:space="preserve">2024 · Frias JP ·</w:t>
      </w:r>
      <w:r>
        <w:t xml:space="preserve"> </w:t>
      </w:r>
      <w:r>
        <w:rPr>
          <w:iCs/>
          <w:i/>
        </w:rPr>
        <w:t xml:space="preserve">J Clin Endocrinol Metab</w:t>
      </w:r>
      <w:r>
        <w:t xml:space="preserve"> </w:t>
      </w:r>
      <w:r>
        <w:t xml:space="preserve">· Tirzepatide Improved Markers of Islet Cell Function and Insulin Sensitivity in People With T2D (SURPASS-2). PMID 38252888</w:t>
      </w:r>
    </w:p>
    <w:p>
      <w:pPr>
        <w:numPr>
          <w:ilvl w:val="0"/>
          <w:numId w:val="1378"/>
        </w:numPr>
        <w:pStyle w:val="Compact"/>
      </w:pPr>
      <w:r>
        <w:t xml:space="preserve">2024 · Vernstrøm L ·</w:t>
      </w:r>
      <w:r>
        <w:t xml:space="preserve"> </w:t>
      </w:r>
      <w:r>
        <w:rPr>
          <w:iCs/>
          <w:i/>
        </w:rPr>
        <w:t xml:space="preserve">Diabetes Obes Metab</w:t>
      </w:r>
      <w:r>
        <w:t xml:space="preserve"> </w:t>
      </w:r>
      <w:r>
        <w:t xml:space="preserve">· Separate and combined effects of empagliflozin and semaglutide on vascular function: A 32-week randomized trial. PMID 38240066</w:t>
      </w:r>
    </w:p>
    <w:p>
      <w:pPr>
        <w:numPr>
          <w:ilvl w:val="0"/>
          <w:numId w:val="1378"/>
        </w:numPr>
        <w:pStyle w:val="Compact"/>
      </w:pPr>
      <w:r>
        <w:t xml:space="preserve">2024 · Gullaksen S ·</w:t>
      </w:r>
      <w:r>
        <w:t xml:space="preserve"> </w:t>
      </w:r>
      <w:r>
        <w:rPr>
          <w:iCs/>
          <w:i/>
        </w:rPr>
        <w:t xml:space="preserve">J Diabetes Complications</w:t>
      </w:r>
      <w:r>
        <w:t xml:space="preserve"> </w:t>
      </w:r>
      <w:r>
        <w:t xml:space="preserve">· The effects of semaglutide, empagliflozin and their combination on the kidney sodium signal from magnetic resonance imaging: A prespecified, secondary analysis from a randomized, clinical trial. PMID 38219335</w:t>
      </w:r>
    </w:p>
    <w:p>
      <w:pPr>
        <w:numPr>
          <w:ilvl w:val="0"/>
          <w:numId w:val="1378"/>
        </w:numPr>
        <w:pStyle w:val="Compact"/>
      </w:pPr>
      <w:r>
        <w:t xml:space="preserve">2024 · Dwibedi C ·</w:t>
      </w:r>
      <w:r>
        <w:t xml:space="preserve"> </w:t>
      </w:r>
      <w:r>
        <w:rPr>
          <w:iCs/>
          <w:i/>
        </w:rPr>
        <w:t xml:space="preserve">Nat Metab</w:t>
      </w:r>
      <w:r>
        <w:t xml:space="preserve"> </w:t>
      </w:r>
      <w:r>
        <w:t xml:space="preserve">· Randomized open-label trial of semaglutide and dapagliflozin in patients with type 2 diabetes of different pathophysiology. PMID 38177805</w:t>
      </w:r>
    </w:p>
    <w:p>
      <w:pPr>
        <w:numPr>
          <w:ilvl w:val="0"/>
          <w:numId w:val="1378"/>
        </w:numPr>
        <w:pStyle w:val="Compact"/>
      </w:pPr>
      <w:r>
        <w:t xml:space="preserve">2024 · Ratziu V ·</w:t>
      </w:r>
      <w:r>
        <w:t xml:space="preserve"> </w:t>
      </w:r>
      <w:r>
        <w:rPr>
          <w:iCs/>
          <w:i/>
        </w:rPr>
        <w:t xml:space="preserve">Hepatology</w:t>
      </w:r>
      <w:r>
        <w:t xml:space="preserve"> </w:t>
      </w:r>
      <w:r>
        <w:t xml:space="preserve">· Artificial intelligence scoring of liver biopsies in a phase II trial of semaglutide in nonalcoholic steatohepatitis. PMID 38112484</w:t>
      </w:r>
    </w:p>
    <w:p>
      <w:pPr>
        <w:numPr>
          <w:ilvl w:val="0"/>
          <w:numId w:val="1378"/>
        </w:numPr>
        <w:pStyle w:val="Compact"/>
      </w:pPr>
      <w:r>
        <w:t xml:space="preserve">2024 · Blüher M ·</w:t>
      </w:r>
      <w:r>
        <w:t xml:space="preserve"> </w:t>
      </w:r>
      <w:r>
        <w:rPr>
          <w:iCs/>
          <w:i/>
        </w:rPr>
        <w:t xml:space="preserve">Diabetologia</w:t>
      </w:r>
      <w:r>
        <w:t xml:space="preserve"> </w:t>
      </w:r>
      <w:r>
        <w:t xml:space="preserve">· Dose-response effects on HbA(1c) and bodyweight reduction of survodutide, a dual glucagon/GLP-1 receptor agonist, compared with placebo and open-label semaglutide in people with type 2 diabetes: a randomised clinical trial. PMID 38095657</w:t>
      </w:r>
    </w:p>
    <w:p>
      <w:pPr>
        <w:numPr>
          <w:ilvl w:val="0"/>
          <w:numId w:val="1378"/>
        </w:numPr>
        <w:pStyle w:val="Compact"/>
      </w:pPr>
      <w:r>
        <w:t xml:space="preserve">2024 · Mathur W ·</w:t>
      </w:r>
      <w:r>
        <w:t xml:space="preserve"> </w:t>
      </w:r>
      <w:r>
        <w:rPr>
          <w:iCs/>
          <w:i/>
        </w:rPr>
        <w:t xml:space="preserve">Obes Surg</w:t>
      </w:r>
      <w:r>
        <w:t xml:space="preserve"> </w:t>
      </w:r>
      <w:r>
        <w:t xml:space="preserve">· Effect of Swallow Balloon Therapy with the Combination of Semaglutide Oral Formulation: a Randomised Double-Blind Single-Centre Study. PMID 38091192</w:t>
      </w:r>
    </w:p>
    <w:p>
      <w:pPr>
        <w:numPr>
          <w:ilvl w:val="0"/>
          <w:numId w:val="1378"/>
        </w:numPr>
        <w:pStyle w:val="Compact"/>
      </w:pPr>
      <w:r>
        <w:t xml:space="preserve">2024 · Furusawa S ·</w:t>
      </w:r>
      <w:r>
        <w:t xml:space="preserve"> </w:t>
      </w:r>
      <w:r>
        <w:rPr>
          <w:iCs/>
          <w:i/>
        </w:rPr>
        <w:t xml:space="preserve">Diabetes Obes Metab</w:t>
      </w:r>
      <w:r>
        <w:t xml:space="preserve"> </w:t>
      </w:r>
      <w:r>
        <w:t xml:space="preserve">· Glycaemic control efficacy of switching from dipeptidyl peptidase-4 inhibitors to oral semaglutide in subjects with type 2 diabetes: A multicentre, prospective, randomized, open-label, parallel-group comparison study (SWITCH-SEMA 2 study). PMID 38073422</w:t>
      </w:r>
    </w:p>
    <w:p>
      <w:pPr>
        <w:numPr>
          <w:ilvl w:val="0"/>
          <w:numId w:val="1378"/>
        </w:numPr>
        <w:pStyle w:val="Compact"/>
      </w:pPr>
      <w:r>
        <w:t xml:space="preserve">2024 · Niu S ·</w:t>
      </w:r>
      <w:r>
        <w:t xml:space="preserve"> </w:t>
      </w:r>
      <w:r>
        <w:rPr>
          <w:iCs/>
          <w:i/>
        </w:rPr>
        <w:t xml:space="preserve">Diabetes Obes Metab</w:t>
      </w:r>
      <w:r>
        <w:t xml:space="preserve"> </w:t>
      </w:r>
      <w:r>
        <w:t xml:space="preserve">· 5-Year simulation of diabetes-related complications in people treated with tirzepatide or semaglutide versus insulin glargine. PMID 37867175</w:t>
      </w:r>
    </w:p>
    <w:p>
      <w:pPr>
        <w:numPr>
          <w:ilvl w:val="0"/>
          <w:numId w:val="1378"/>
        </w:numPr>
        <w:pStyle w:val="Compact"/>
      </w:pPr>
      <w:r>
        <w:t xml:space="preserve">2024 · Patel H ·</w:t>
      </w:r>
      <w:r>
        <w:t xml:space="preserve"> </w:t>
      </w:r>
      <w:r>
        <w:rPr>
          <w:iCs/>
          <w:i/>
        </w:rPr>
        <w:t xml:space="preserve">Diabetes Obes Metab</w:t>
      </w:r>
      <w:r>
        <w:t xml:space="preserve"> </w:t>
      </w:r>
      <w:r>
        <w:t xml:space="preserve">· Gastrointestinal adverse events and weight reduction in people with type 2 diabetes treated with tirzepatide in the SURPASS clinical trials. PMID 37853960</w:t>
      </w:r>
    </w:p>
    <w:p>
      <w:pPr>
        <w:numPr>
          <w:ilvl w:val="0"/>
          <w:numId w:val="1378"/>
        </w:numPr>
        <w:pStyle w:val="Compact"/>
      </w:pPr>
      <w:r>
        <w:t xml:space="preserve">2024 · Ji L ·</w:t>
      </w:r>
      <w:r>
        <w:t xml:space="preserve"> </w:t>
      </w:r>
      <w:r>
        <w:rPr>
          <w:iCs/>
          <w:i/>
        </w:rPr>
        <w:t xml:space="preserve">Diabetes Obes Metab</w:t>
      </w:r>
      <w:r>
        <w:t xml:space="preserve"> </w:t>
      </w:r>
      <w:r>
        <w:t xml:space="preserve">· Proportion of participants with type 2 diabetes achieving a metabolic composite endpoint with once-weekly semaglutide treatment versus comparators: Post hoc pooled analysis from SUSTAIN 1-5, 7-10 and SUSTAIN China. PMID 37822270</w:t>
      </w:r>
    </w:p>
    <w:p>
      <w:pPr>
        <w:numPr>
          <w:ilvl w:val="0"/>
          <w:numId w:val="1378"/>
        </w:numPr>
        <w:pStyle w:val="Compact"/>
      </w:pPr>
      <w:r>
        <w:t xml:space="preserve">2024 · Sivalingam S ·</w:t>
      </w:r>
      <w:r>
        <w:t xml:space="preserve"> </w:t>
      </w:r>
      <w:r>
        <w:rPr>
          <w:iCs/>
          <w:i/>
        </w:rPr>
        <w:t xml:space="preserve">Diabetes Obes Metab</w:t>
      </w:r>
      <w:r>
        <w:t xml:space="preserve"> </w:t>
      </w:r>
      <w:r>
        <w:t xml:space="preserve">· Albuminuria-lowering effect of adding semaglutide on top of empagliflozin in individuals with type 2 diabetes: A randomized and placebo-controlled study. PMID 37722966</w:t>
      </w:r>
    </w:p>
    <w:p>
      <w:pPr>
        <w:numPr>
          <w:ilvl w:val="0"/>
          <w:numId w:val="1378"/>
        </w:numPr>
        <w:pStyle w:val="Compact"/>
      </w:pPr>
      <w:r>
        <w:t xml:space="preserve">2024 · Rahbek MT ·</w:t>
      </w:r>
      <w:r>
        <w:t xml:space="preserve"> </w:t>
      </w:r>
      <w:r>
        <w:rPr>
          <w:iCs/>
          <w:i/>
        </w:rPr>
        <w:t xml:space="preserve">Pharmacoepidemiol Drug Saf</w:t>
      </w:r>
      <w:r>
        <w:t xml:space="preserve"> </w:t>
      </w:r>
      <w:r>
        <w:t xml:space="preserve">· A case for screening real-world data for collateral drug benefits: Glucagon-like peptide 1 receptor agonists and bile acid diarrhea. PMID 37559355</w:t>
      </w:r>
    </w:p>
    <w:p>
      <w:pPr>
        <w:numPr>
          <w:ilvl w:val="0"/>
          <w:numId w:val="1378"/>
        </w:numPr>
        <w:pStyle w:val="Compact"/>
      </w:pPr>
      <w:r>
        <w:t xml:space="preserve">2024 · Cirnigliaro CM ·</w:t>
      </w:r>
      <w:r>
        <w:t xml:space="preserve"> </w:t>
      </w:r>
      <w:r>
        <w:rPr>
          <w:iCs/>
          <w:i/>
        </w:rPr>
        <w:t xml:space="preserve">J Spinal Cord Med</w:t>
      </w:r>
      <w:r>
        <w:t xml:space="preserve"> </w:t>
      </w:r>
      <w:r>
        <w:t xml:space="preserve">· Preliminary observations on the administration of a glucagon-like peptide-1 receptor agonist on body weight and select carbohydrate endpoints in persons with spinal cord injury: A controlled case series. PMID 37158751</w:t>
      </w:r>
    </w:p>
    <w:p>
      <w:pPr>
        <w:numPr>
          <w:ilvl w:val="0"/>
          <w:numId w:val="1378"/>
        </w:numPr>
        <w:pStyle w:val="Compact"/>
      </w:pPr>
      <w:r>
        <w:t xml:space="preserve">2023 · Lincoff AM ·</w:t>
      </w:r>
      <w:r>
        <w:t xml:space="preserve"> </w:t>
      </w:r>
      <w:r>
        <w:rPr>
          <w:iCs/>
          <w:i/>
        </w:rPr>
        <w:t xml:space="preserve">N Engl J Med</w:t>
      </w:r>
      <w:r>
        <w:t xml:space="preserve"> </w:t>
      </w:r>
      <w:r>
        <w:t xml:space="preserve">· Semaglutide and Cardiovascular Outcomes in Obesity without Diabetes. PMID 37952131</w:t>
      </w:r>
    </w:p>
    <w:p>
      <w:pPr>
        <w:numPr>
          <w:ilvl w:val="0"/>
          <w:numId w:val="1378"/>
        </w:numPr>
        <w:pStyle w:val="Compact"/>
      </w:pPr>
      <w:r>
        <w:t xml:space="preserve">2023 · Coelho C ·</w:t>
      </w:r>
      <w:r>
        <w:t xml:space="preserve"> </w:t>
      </w:r>
      <w:r>
        <w:rPr>
          <w:iCs/>
          <w:i/>
        </w:rPr>
        <w:t xml:space="preserve">Int J Obes (Lond)</w:t>
      </w:r>
      <w:r>
        <w:t xml:space="preserve"> </w:t>
      </w:r>
      <w:r>
        <w:t xml:space="preserve">· Laparoscopic adjustable gastric banding with liraglutide in adults with obesity and type 2 diabetes (GLIDE): a pilot randomised placebo controlled trial. PMID 37696925</w:t>
      </w:r>
    </w:p>
    <w:p>
      <w:pPr>
        <w:numPr>
          <w:ilvl w:val="0"/>
          <w:numId w:val="1378"/>
        </w:numPr>
        <w:pStyle w:val="Compact"/>
      </w:pPr>
      <w:r>
        <w:t xml:space="preserve">2023 · Kimura T ·</w:t>
      </w:r>
      <w:r>
        <w:t xml:space="preserve"> </w:t>
      </w:r>
      <w:r>
        <w:rPr>
          <w:iCs/>
          <w:i/>
        </w:rPr>
        <w:t xml:space="preserve">Diabetes Obes Metab</w:t>
      </w:r>
      <w:r>
        <w:t xml:space="preserve"> </w:t>
      </w:r>
      <w:r>
        <w:t xml:space="preserve">· Comparison of clinical efficacy and safety of weekly glucagon-like peptide-1 receptor agonists dulaglutide and semaglutide in Japanese patients with type 2 diabetes: Randomized, parallel-group, multicentre, open-label trial (COMING study). PMID 37646192</w:t>
      </w:r>
    </w:p>
    <w:p>
      <w:pPr>
        <w:numPr>
          <w:ilvl w:val="0"/>
          <w:numId w:val="1378"/>
        </w:numPr>
        <w:pStyle w:val="Compact"/>
      </w:pPr>
      <w:r>
        <w:t xml:space="preserve">2023 · Kosiborod MN ·</w:t>
      </w:r>
      <w:r>
        <w:t xml:space="preserve"> </w:t>
      </w:r>
      <w:r>
        <w:rPr>
          <w:iCs/>
          <w:i/>
        </w:rPr>
        <w:t xml:space="preserve">N Engl J Med</w:t>
      </w:r>
      <w:r>
        <w:t xml:space="preserve"> </w:t>
      </w:r>
      <w:r>
        <w:t xml:space="preserve">· Semaglutide in Patients with Heart Failure with Preserved Ejection Fraction and Obesity. PMID 37622681</w:t>
      </w:r>
    </w:p>
    <w:p>
      <w:pPr>
        <w:numPr>
          <w:ilvl w:val="0"/>
          <w:numId w:val="1378"/>
        </w:numPr>
        <w:pStyle w:val="Compact"/>
      </w:pPr>
      <w:r>
        <w:t xml:space="preserve">2023 · Wilkinson L ·</w:t>
      </w:r>
      <w:r>
        <w:t xml:space="preserve"> </w:t>
      </w:r>
      <w:r>
        <w:rPr>
          <w:iCs/>
          <w:i/>
        </w:rPr>
        <w:t xml:space="preserve">Obesity (Silver Spring)</w:t>
      </w:r>
      <w:r>
        <w:t xml:space="preserve"> </w:t>
      </w:r>
      <w:r>
        <w:t xml:space="preserve">· Effect of semaglutide 2.4 mg once weekly on 10-year type 2 diabetes risk in adults with overweight or obesity. PMID 37605636</w:t>
      </w:r>
    </w:p>
    <w:p>
      <w:pPr>
        <w:numPr>
          <w:ilvl w:val="0"/>
          <w:numId w:val="1378"/>
        </w:numPr>
        <w:pStyle w:val="Compact"/>
      </w:pPr>
      <w:r>
        <w:t xml:space="preserve">2023 · Aroda VR ·</w:t>
      </w:r>
      <w:r>
        <w:t xml:space="preserve"> </w:t>
      </w:r>
      <w:r>
        <w:rPr>
          <w:iCs/>
          <w:i/>
        </w:rPr>
        <w:t xml:space="preserve">Lancet</w:t>
      </w:r>
      <w:r>
        <w:t xml:space="preserve"> </w:t>
      </w:r>
      <w:r>
        <w:t xml:space="preserve">· Efficacy and safety of once-daily oral semaglutide 25 mg and 50 mg compared with 14 mg in adults with type 2 diabetes (PIONEER PLUS): a multicentre, randomised, phase 3b trial. PMID 37385279</w:t>
      </w:r>
    </w:p>
    <w:p>
      <w:pPr>
        <w:numPr>
          <w:ilvl w:val="0"/>
          <w:numId w:val="1378"/>
        </w:numPr>
        <w:pStyle w:val="Compact"/>
      </w:pPr>
      <w:r>
        <w:t xml:space="preserve">2023 · Knop FK ·</w:t>
      </w:r>
      <w:r>
        <w:t xml:space="preserve"> </w:t>
      </w:r>
      <w:r>
        <w:rPr>
          <w:iCs/>
          <w:i/>
        </w:rPr>
        <w:t xml:space="preserve">Lancet</w:t>
      </w:r>
      <w:r>
        <w:t xml:space="preserve"> </w:t>
      </w:r>
      <w:r>
        <w:t xml:space="preserve">· Oral semaglutide 50 mg taken once per day in adults with overweight or obesity (OASIS 1): a randomised, double-blind, placebo-controlled, phase 3 trial. PMID 37385278</w:t>
      </w:r>
    </w:p>
    <w:p>
      <w:pPr>
        <w:numPr>
          <w:ilvl w:val="0"/>
          <w:numId w:val="1378"/>
        </w:numPr>
        <w:pStyle w:val="Compact"/>
      </w:pPr>
      <w:r>
        <w:t xml:space="preserve">2023 · Frias JP ·</w:t>
      </w:r>
      <w:r>
        <w:t xml:space="preserve"> </w:t>
      </w:r>
      <w:r>
        <w:rPr>
          <w:iCs/>
          <w:i/>
        </w:rPr>
        <w:t xml:space="preserve">Lancet</w:t>
      </w:r>
      <w:r>
        <w:t xml:space="preserve"> </w:t>
      </w:r>
      <w:r>
        <w:t xml:space="preserve">· Efficacy and safety of oral orforglipron in patients with type 2 diabetes: a multicentre, randomised, dose-response, phase 2 study. PMID 37369232</w:t>
      </w:r>
    </w:p>
    <w:p>
      <w:pPr>
        <w:numPr>
          <w:ilvl w:val="0"/>
          <w:numId w:val="1378"/>
        </w:numPr>
        <w:pStyle w:val="Compact"/>
      </w:pPr>
      <w:r>
        <w:t xml:space="preserve">2023 · Guo W ·</w:t>
      </w:r>
      <w:r>
        <w:t xml:space="preserve"> </w:t>
      </w:r>
      <w:r>
        <w:rPr>
          <w:iCs/>
          <w:i/>
        </w:rPr>
        <w:t xml:space="preserve">Mol Metab</w:t>
      </w:r>
      <w:r>
        <w:t xml:space="preserve"> </w:t>
      </w:r>
      <w:r>
        <w:t xml:space="preserve">· Discovery of ecnoglutide - A novel, long-acting, cAMP-biased glucagon-like peptide-1 (GLP-1) analog. PMID 37364710</w:t>
      </w:r>
    </w:p>
    <w:p>
      <w:pPr>
        <w:numPr>
          <w:ilvl w:val="0"/>
          <w:numId w:val="1378"/>
        </w:numPr>
        <w:pStyle w:val="Compact"/>
      </w:pPr>
      <w:r>
        <w:t xml:space="preserve">2023 · Frias JP ·</w:t>
      </w:r>
      <w:r>
        <w:t xml:space="preserve"> </w:t>
      </w:r>
      <w:r>
        <w:rPr>
          <w:iCs/>
          <w:i/>
        </w:rPr>
        <w:t xml:space="preserve">Lancet</w:t>
      </w:r>
      <w:r>
        <w:t xml:space="preserve"> </w:t>
      </w:r>
      <w:r>
        <w:t xml:space="preserve">· Efficacy and safety of co-administered once-weekly cagrilintide 2·4 mg with once-weekly semaglutide 2·4 mg in type 2 diabetes: a multicentre, randomised, double-blind, active-controlled, phase 2 trial. PMID 37364590</w:t>
      </w:r>
    </w:p>
    <w:p>
      <w:pPr>
        <w:numPr>
          <w:ilvl w:val="0"/>
          <w:numId w:val="1378"/>
        </w:numPr>
        <w:pStyle w:val="Compact"/>
      </w:pPr>
      <w:r>
        <w:t xml:space="preserve">2023 · Romero-Gómez M ·</w:t>
      </w:r>
      <w:r>
        <w:t xml:space="preserve"> </w:t>
      </w:r>
      <w:r>
        <w:rPr>
          <w:iCs/>
          <w:i/>
        </w:rPr>
        <w:t xml:space="preserve">J Hepatol</w:t>
      </w:r>
      <w:r>
        <w:t xml:space="preserve"> </w:t>
      </w:r>
      <w:r>
        <w:t xml:space="preserve">· A phase IIa active-comparator-controlled study to evaluate the efficacy and safety of efinopegdutide in patients with non-alcoholic fatty liver disease. PMID 37355043</w:t>
      </w:r>
    </w:p>
    <w:p>
      <w:pPr>
        <w:numPr>
          <w:ilvl w:val="0"/>
          <w:numId w:val="1378"/>
        </w:numPr>
        <w:pStyle w:val="Compact"/>
      </w:pPr>
      <w:r>
        <w:t xml:space="preserve">2023 · Romero-Gómez M ·</w:t>
      </w:r>
      <w:r>
        <w:t xml:space="preserve"> </w:t>
      </w:r>
      <w:r>
        <w:rPr>
          <w:iCs/>
          <w:i/>
        </w:rPr>
        <w:t xml:space="preserve">Aliment Pharmacol Ther</w:t>
      </w:r>
      <w:r>
        <w:t xml:space="preserve"> </w:t>
      </w:r>
      <w:r>
        <w:t xml:space="preserve">· Improved health-related quality of life with semaglutide in people with non-alcoholic steatohepatitis: A randomised trial. PMID 37328931</w:t>
      </w:r>
    </w:p>
    <w:p>
      <w:pPr>
        <w:numPr>
          <w:ilvl w:val="0"/>
          <w:numId w:val="1378"/>
        </w:numPr>
        <w:pStyle w:val="Compact"/>
      </w:pPr>
      <w:r>
        <w:t xml:space="preserve">2023 · Ingersen A ·</w:t>
      </w:r>
      <w:r>
        <w:t xml:space="preserve"> </w:t>
      </w:r>
      <w:r>
        <w:rPr>
          <w:iCs/>
          <w:i/>
        </w:rPr>
        <w:t xml:space="preserve">J Clin Endocrinol Metab</w:t>
      </w:r>
      <w:r>
        <w:t xml:space="preserve"> </w:t>
      </w:r>
      <w:r>
        <w:t xml:space="preserve">· Effects of Aerobic Training and Semaglutide Treatment on Pancreatic β-Cell Secretory Function in Patients With Type 2 Diabetes. PMID 37265222</w:t>
      </w:r>
    </w:p>
    <w:p>
      <w:pPr>
        <w:numPr>
          <w:ilvl w:val="0"/>
          <w:numId w:val="1378"/>
        </w:numPr>
        <w:pStyle w:val="Compact"/>
      </w:pPr>
      <w:r>
        <w:t xml:space="preserve">2023 · Kelly AS ·</w:t>
      </w:r>
      <w:r>
        <w:t xml:space="preserve"> </w:t>
      </w:r>
      <w:r>
        <w:rPr>
          <w:iCs/>
          <w:i/>
        </w:rPr>
        <w:t xml:space="preserve">Obesity (Silver Spring)</w:t>
      </w:r>
      <w:r>
        <w:t xml:space="preserve"> </w:t>
      </w:r>
      <w:r>
        <w:t xml:space="preserve">· Reducing BMI below the obesity threshold in adolescents treated with once-weekly subcutaneous semaglutide 2.4 mg. PMID 37196421</w:t>
      </w:r>
    </w:p>
    <w:p>
      <w:pPr>
        <w:numPr>
          <w:ilvl w:val="0"/>
          <w:numId w:val="1378"/>
        </w:numPr>
        <w:pStyle w:val="Compact"/>
      </w:pPr>
      <w:r>
        <w:t xml:space="preserve">2023 · Gullaksen S ·</w:t>
      </w:r>
      <w:r>
        <w:t xml:space="preserve"> </w:t>
      </w:r>
      <w:r>
        <w:rPr>
          <w:iCs/>
          <w:i/>
        </w:rPr>
        <w:t xml:space="preserve">J Diabetes Complications</w:t>
      </w:r>
      <w:r>
        <w:t xml:space="preserve"> </w:t>
      </w:r>
      <w:r>
        <w:t xml:space="preserve">· Effects of semaglutide and empagliflozin on oxygenation, vascular autoregulation, and central thickness of the retina in people with type 2 diabetes: A prespecified secondary analysis of a randomised clinical trial. PMID 37062189</w:t>
      </w:r>
    </w:p>
    <w:p>
      <w:pPr>
        <w:numPr>
          <w:ilvl w:val="0"/>
          <w:numId w:val="1378"/>
        </w:numPr>
        <w:pStyle w:val="Compact"/>
      </w:pPr>
      <w:r>
        <w:t xml:space="preserve">2023 · Bjorner JB ·</w:t>
      </w:r>
      <w:r>
        <w:t xml:space="preserve"> </w:t>
      </w:r>
      <w:r>
        <w:rPr>
          <w:iCs/>
          <w:i/>
        </w:rPr>
        <w:t xml:space="preserve">Diabetes Obes Metab</w:t>
      </w:r>
      <w:r>
        <w:t xml:space="preserve"> </w:t>
      </w:r>
      <w:r>
        <w:t xml:space="preserve">· The improved health utility of once-weekly subcutaneous semaglutide 2.4 mg compared with placebo in the STEP 1-4 obesity trials. PMID 37055712</w:t>
      </w:r>
    </w:p>
    <w:p>
      <w:pPr>
        <w:numPr>
          <w:ilvl w:val="0"/>
          <w:numId w:val="1378"/>
        </w:numPr>
        <w:pStyle w:val="Compact"/>
      </w:pPr>
      <w:r>
        <w:t xml:space="preserve">2023 · Loomba R ·</w:t>
      </w:r>
      <w:r>
        <w:t xml:space="preserve"> </w:t>
      </w:r>
      <w:r>
        <w:rPr>
          <w:iCs/>
          <w:i/>
        </w:rPr>
        <w:t xml:space="preserve">Lancet Gastroenterol Hepatol</w:t>
      </w:r>
      <w:r>
        <w:t xml:space="preserve"> </w:t>
      </w:r>
      <w:r>
        <w:t xml:space="preserve">· Semaglutide 2·4 mg once weekly in patients with non-alcoholic steatohepatitis-related cirrhosis: a randomised, placebo-controlled phase 2 trial. PMID 36934740</w:t>
      </w:r>
    </w:p>
    <w:p>
      <w:pPr>
        <w:numPr>
          <w:ilvl w:val="0"/>
          <w:numId w:val="1378"/>
        </w:numPr>
        <w:pStyle w:val="Compact"/>
      </w:pPr>
      <w:r>
        <w:t xml:space="preserve">2023 · van Hout M ·</w:t>
      </w:r>
      <w:r>
        <w:t xml:space="preserve"> </w:t>
      </w:r>
      <w:r>
        <w:rPr>
          <w:iCs/>
          <w:i/>
        </w:rPr>
        <w:t xml:space="preserve">Clin Pharmacokinet</w:t>
      </w:r>
      <w:r>
        <w:t xml:space="preserve"> </w:t>
      </w:r>
      <w:r>
        <w:t xml:space="preserve">· Effect of Various Dosing Schedules on the Pharmacokinetics of Oral Semaglutide: A Randomised Trial in Healthy Subjects. PMID 36932262</w:t>
      </w:r>
    </w:p>
    <w:p>
      <w:pPr>
        <w:numPr>
          <w:ilvl w:val="0"/>
          <w:numId w:val="1378"/>
        </w:numPr>
        <w:pStyle w:val="Compact"/>
      </w:pPr>
      <w:r>
        <w:t xml:space="preserve">2023 · Kolotkin RL ·</w:t>
      </w:r>
      <w:r>
        <w:t xml:space="preserve"> </w:t>
      </w:r>
      <w:r>
        <w:rPr>
          <w:iCs/>
          <w:i/>
        </w:rPr>
        <w:t xml:space="preserve">Clin Obes</w:t>
      </w:r>
      <w:r>
        <w:t xml:space="preserve"> </w:t>
      </w:r>
      <w:r>
        <w:t xml:space="preserve">· Effect of once-weekly subcutaneous semaglutide 2.4 mg on weight- and health-related quality of life in an East Asian population: Patient-reported outcomes from the STEP 6 trial. PMID 36905345</w:t>
      </w:r>
    </w:p>
    <w:p>
      <w:pPr>
        <w:numPr>
          <w:ilvl w:val="0"/>
          <w:numId w:val="1378"/>
        </w:numPr>
        <w:pStyle w:val="Compact"/>
      </w:pPr>
      <w:r>
        <w:t xml:space="preserve">2023 · McGowan BM ·</w:t>
      </w:r>
      <w:r>
        <w:t xml:space="preserve"> </w:t>
      </w:r>
      <w:r>
        <w:rPr>
          <w:iCs/>
          <w:i/>
        </w:rPr>
        <w:t xml:space="preserve">Obesity (Silver Spring)</w:t>
      </w:r>
      <w:r>
        <w:t xml:space="preserve"> </w:t>
      </w:r>
      <w:r>
        <w:t xml:space="preserve">· Impact of BMI and comorbidities on efficacy of once-weekly semaglutide: Post hoc analyses of the STEP 1 randomized trial. PMID 36876594</w:t>
      </w:r>
    </w:p>
    <w:p>
      <w:pPr>
        <w:numPr>
          <w:ilvl w:val="0"/>
          <w:numId w:val="1378"/>
        </w:numPr>
        <w:pStyle w:val="Compact"/>
      </w:pPr>
      <w:r>
        <w:t xml:space="preserve">2023 · Iijima T ·</w:t>
      </w:r>
      <w:r>
        <w:t xml:space="preserve"> </w:t>
      </w:r>
      <w:r>
        <w:rPr>
          <w:iCs/>
          <w:i/>
        </w:rPr>
        <w:t xml:space="preserve">J Diabetes Investig</w:t>
      </w:r>
      <w:r>
        <w:t xml:space="preserve"> </w:t>
      </w:r>
      <w:r>
        <w:t xml:space="preserve">· Effects of switching from liraglutide to semaglutide or dulaglutide in patients with type 2 diabetes: A randomized controlled trial. PMID 36871272</w:t>
      </w:r>
    </w:p>
    <w:p>
      <w:pPr>
        <w:numPr>
          <w:ilvl w:val="0"/>
          <w:numId w:val="1378"/>
        </w:numPr>
        <w:pStyle w:val="Compact"/>
      </w:pPr>
      <w:r>
        <w:t xml:space="preserve">2023 · Heise T ·</w:t>
      </w:r>
      <w:r>
        <w:t xml:space="preserve"> </w:t>
      </w:r>
      <w:r>
        <w:rPr>
          <w:iCs/>
          <w:i/>
        </w:rPr>
        <w:t xml:space="preserve">Diabetes Care</w:t>
      </w:r>
      <w:r>
        <w:t xml:space="preserve"> </w:t>
      </w:r>
      <w:r>
        <w:t xml:space="preserve">· Tirzepatide Reduces Appetite, Energy Intake, and Fat Mass in People With Type 2 Diabetes. PMID 36857477</w:t>
      </w:r>
    </w:p>
    <w:p>
      <w:pPr>
        <w:numPr>
          <w:ilvl w:val="0"/>
          <w:numId w:val="1378"/>
        </w:numPr>
        <w:pStyle w:val="Compact"/>
      </w:pPr>
      <w:r>
        <w:t xml:space="preserve">2023 · Gullaksen S ·</w:t>
      </w:r>
      <w:r>
        <w:t xml:space="preserve"> </w:t>
      </w:r>
      <w:r>
        <w:rPr>
          <w:iCs/>
          <w:i/>
        </w:rPr>
        <w:t xml:space="preserve">Diabetologia</w:t>
      </w:r>
      <w:r>
        <w:t xml:space="preserve"> </w:t>
      </w:r>
      <w:r>
        <w:t xml:space="preserve">· Separate and combined effects of semaglutide and empagliflozin on kidney oxygenation and perfusion in people with type 2 diabetes: a randomised trial. PMID 36746803</w:t>
      </w:r>
    </w:p>
    <w:p>
      <w:pPr>
        <w:numPr>
          <w:ilvl w:val="0"/>
          <w:numId w:val="1378"/>
        </w:numPr>
        <w:pStyle w:val="Compact"/>
      </w:pPr>
      <w:r>
        <w:t xml:space="preserve">2023 · Takahashi Y ·</w:t>
      </w:r>
      <w:r>
        <w:t xml:space="preserve"> </w:t>
      </w:r>
      <w:r>
        <w:rPr>
          <w:iCs/>
          <w:i/>
        </w:rPr>
        <w:t xml:space="preserve">Diabetes Obes Metab</w:t>
      </w:r>
      <w:r>
        <w:t xml:space="preserve"> </w:t>
      </w:r>
      <w:r>
        <w:t xml:space="preserve">· Improvement of glycaemic control and treatment satisfaction by switching from liraglutide or dulaglutide to subcutaneous semaglutide in patients with type 2 diabetes: A multicentre, prospective, randomized, open-label, parallel-group comparison study (SWITCH-SEMA 1 study). PMID 36722623</w:t>
      </w:r>
    </w:p>
    <w:p>
      <w:pPr>
        <w:numPr>
          <w:ilvl w:val="0"/>
          <w:numId w:val="1378"/>
        </w:numPr>
        <w:pStyle w:val="Compact"/>
      </w:pPr>
      <w:r>
        <w:t xml:space="preserve">2023 · Wharton S ·</w:t>
      </w:r>
      <w:r>
        <w:t xml:space="preserve"> </w:t>
      </w:r>
      <w:r>
        <w:rPr>
          <w:iCs/>
          <w:i/>
        </w:rPr>
        <w:t xml:space="preserve">Obesity (Silver Spring)</w:t>
      </w:r>
      <w:r>
        <w:t xml:space="preserve"> </w:t>
      </w:r>
      <w:r>
        <w:t xml:space="preserve">· Two-year effect of semaglutide 2.4 mg on control of eating in adults with overweight/obesity: STEP 5. PMID 36655300</w:t>
      </w:r>
    </w:p>
    <w:p>
      <w:pPr>
        <w:numPr>
          <w:ilvl w:val="0"/>
          <w:numId w:val="1378"/>
        </w:numPr>
        <w:pStyle w:val="Compact"/>
      </w:pPr>
      <w:r>
        <w:t xml:space="preserve">2023 · Lingvay I ·</w:t>
      </w:r>
      <w:r>
        <w:t xml:space="preserve"> </w:t>
      </w:r>
      <w:r>
        <w:rPr>
          <w:iCs/>
          <w:i/>
        </w:rPr>
        <w:t xml:space="preserve">Diabetes Obes Metab</w:t>
      </w:r>
      <w:r>
        <w:t xml:space="preserve"> </w:t>
      </w:r>
      <w:r>
        <w:t xml:space="preserve">· Achievement of glycaemic targets with weight loss and without hypoglycaemia in type 2 diabetes with the once-weekly glucose-dependent insulinotropic polypeptide and glucagon-like peptide-1 receptor agonist tirzepatide: A post hoc analysis of the SURPASS-1 to -5 studies. PMID 36514843</w:t>
      </w:r>
    </w:p>
    <w:p>
      <w:pPr>
        <w:numPr>
          <w:ilvl w:val="0"/>
          <w:numId w:val="1378"/>
        </w:numPr>
        <w:pStyle w:val="Compact"/>
      </w:pPr>
      <w:r>
        <w:t xml:space="preserve">2023 · Jensterle M ·</w:t>
      </w:r>
      <w:r>
        <w:t xml:space="preserve"> </w:t>
      </w:r>
      <w:r>
        <w:rPr>
          <w:iCs/>
          <w:i/>
        </w:rPr>
        <w:t xml:space="preserve">Diabetes Obes Metab</w:t>
      </w:r>
      <w:r>
        <w:t xml:space="preserve"> </w:t>
      </w:r>
      <w:r>
        <w:t xml:space="preserve">· Semaglutide delays 4-hour gastric emptying in women with polycystic ovary syndrome and obesity. PMID 36511825</w:t>
      </w:r>
    </w:p>
    <w:p>
      <w:pPr>
        <w:numPr>
          <w:ilvl w:val="0"/>
          <w:numId w:val="1378"/>
        </w:numPr>
        <w:pStyle w:val="Compact"/>
      </w:pPr>
      <w:r>
        <w:t xml:space="preserve">2023 · Lingvay I ·</w:t>
      </w:r>
      <w:r>
        <w:t xml:space="preserve"> </w:t>
      </w:r>
      <w:r>
        <w:rPr>
          <w:iCs/>
          <w:i/>
        </w:rPr>
        <w:t xml:space="preserve">Obesity (Silver Spring)</w:t>
      </w:r>
      <w:r>
        <w:t xml:space="preserve"> </w:t>
      </w:r>
      <w:r>
        <w:t xml:space="preserve">· Semaglutide for cardiovascular event reduction in people with overweight or obesity: SELECT study baseline characteristics. PMID 36502289</w:t>
      </w:r>
    </w:p>
    <w:p>
      <w:pPr>
        <w:numPr>
          <w:ilvl w:val="0"/>
          <w:numId w:val="1378"/>
        </w:numPr>
        <w:pStyle w:val="Compact"/>
      </w:pPr>
      <w:r>
        <w:t xml:space="preserve">2022 · Amaro A ·</w:t>
      </w:r>
      <w:r>
        <w:t xml:space="preserve"> </w:t>
      </w:r>
      <w:r>
        <w:rPr>
          <w:iCs/>
          <w:i/>
        </w:rPr>
        <w:t xml:space="preserve">Postgrad Med</w:t>
      </w:r>
      <w:r>
        <w:t xml:space="preserve"> </w:t>
      </w:r>
      <w:r>
        <w:t xml:space="preserve">· Cardiometabolic risk factors efficacy of semaglutide in the STEP program. PMID 36691308</w:t>
      </w:r>
    </w:p>
    <w:p>
      <w:pPr>
        <w:numPr>
          <w:ilvl w:val="0"/>
          <w:numId w:val="1378"/>
        </w:numPr>
        <w:pStyle w:val="Compact"/>
      </w:pPr>
      <w:r>
        <w:t xml:space="preserve">2022 · Weghuber D ·</w:t>
      </w:r>
      <w:r>
        <w:t xml:space="preserve"> </w:t>
      </w:r>
      <w:r>
        <w:rPr>
          <w:iCs/>
          <w:i/>
        </w:rPr>
        <w:t xml:space="preserve">N Engl J Med</w:t>
      </w:r>
      <w:r>
        <w:t xml:space="preserve"> </w:t>
      </w:r>
      <w:r>
        <w:t xml:space="preserve">· Once-Weekly Semaglutide in Adolescents with Obesity. PMID 36322838</w:t>
      </w:r>
    </w:p>
    <w:p>
      <w:pPr>
        <w:numPr>
          <w:ilvl w:val="0"/>
          <w:numId w:val="1378"/>
        </w:numPr>
        <w:pStyle w:val="Compact"/>
      </w:pPr>
      <w:r>
        <w:t xml:space="preserve">2022 · Garvey WT ·</w:t>
      </w:r>
      <w:r>
        <w:t xml:space="preserve"> </w:t>
      </w:r>
      <w:r>
        <w:rPr>
          <w:iCs/>
          <w:i/>
        </w:rPr>
        <w:t xml:space="preserve">Nat Med</w:t>
      </w:r>
      <w:r>
        <w:t xml:space="preserve"> </w:t>
      </w:r>
      <w:r>
        <w:t xml:space="preserve">· Two-year effects of semaglutide in adults with overweight or obesity: the STEP 5 trial. PMID 36216945</w:t>
      </w:r>
    </w:p>
    <w:p>
      <w:pPr>
        <w:numPr>
          <w:ilvl w:val="0"/>
          <w:numId w:val="1378"/>
        </w:numPr>
        <w:pStyle w:val="Compact"/>
      </w:pPr>
      <w:r>
        <w:t xml:space="preserve">2022 · Ghusn W ·</w:t>
      </w:r>
      <w:r>
        <w:t xml:space="preserve"> </w:t>
      </w:r>
      <w:r>
        <w:rPr>
          <w:iCs/>
          <w:i/>
        </w:rPr>
        <w:t xml:space="preserve">JAMA Netw Open</w:t>
      </w:r>
      <w:r>
        <w:t xml:space="preserve"> </w:t>
      </w:r>
      <w:r>
        <w:t xml:space="preserve">· Weight Loss Outcomes Associated With Semaglutide Treatment for Patients With Overweight or Obesity. PMID 36121652</w:t>
      </w:r>
    </w:p>
    <w:p>
      <w:pPr>
        <w:numPr>
          <w:ilvl w:val="0"/>
          <w:numId w:val="1378"/>
        </w:numPr>
        <w:pStyle w:val="Compact"/>
      </w:pPr>
      <w:r>
        <w:t xml:space="preserve">2022 · Scheen AJ ·</w:t>
      </w:r>
      <w:r>
        <w:t xml:space="preserve"> </w:t>
      </w:r>
      <w:r>
        <w:rPr>
          <w:iCs/>
          <w:i/>
        </w:rPr>
        <w:t xml:space="preserve">Rev Med Suisse</w:t>
      </w:r>
      <w:r>
        <w:t xml:space="preserve"> </w:t>
      </w:r>
      <w:r>
        <w:t xml:space="preserve">· [Focus on tirzepatide, a dual unimolecular GIP-GLP-1 receptor agonist in type 2 diabetes]. PMID 36004653</w:t>
      </w:r>
    </w:p>
    <w:p>
      <w:pPr>
        <w:numPr>
          <w:ilvl w:val="0"/>
          <w:numId w:val="1378"/>
        </w:numPr>
        <w:pStyle w:val="Compact"/>
      </w:pPr>
      <w:r>
        <w:t xml:space="preserve">2022 · Snitker S ·</w:t>
      </w:r>
      <w:r>
        <w:t xml:space="preserve"> </w:t>
      </w:r>
      <w:r>
        <w:rPr>
          <w:iCs/>
          <w:i/>
        </w:rPr>
        <w:t xml:space="preserve">Diabetes Obes Metab</w:t>
      </w:r>
      <w:r>
        <w:t xml:space="preserve"> </w:t>
      </w:r>
      <w:r>
        <w:t xml:space="preserve">· Ease-of-use and acceptability of the novel semaglutide 2.4 mg single-dose pen-injector in people with overweight or obesity in the STEP 8 phase III trial. PMID 35791625</w:t>
      </w:r>
    </w:p>
    <w:p>
      <w:pPr>
        <w:numPr>
          <w:ilvl w:val="0"/>
          <w:numId w:val="1378"/>
        </w:numPr>
        <w:pStyle w:val="Compact"/>
      </w:pPr>
      <w:r>
        <w:t xml:space="preserve">2022 · Strain WD ·</w:t>
      </w:r>
      <w:r>
        <w:t xml:space="preserve"> </w:t>
      </w:r>
      <w:r>
        <w:rPr>
          <w:iCs/>
          <w:i/>
        </w:rPr>
        <w:t xml:space="preserve">Stroke</w:t>
      </w:r>
      <w:r>
        <w:t xml:space="preserve"> </w:t>
      </w:r>
      <w:r>
        <w:t xml:space="preserve">· Effects of Semaglutide on Stroke Subtypes in Type 2 Diabetes: Post Hoc Analysis of the Randomized SUSTAIN 6 and PIONEER 6. PMID 35582947</w:t>
      </w:r>
    </w:p>
    <w:p>
      <w:pPr>
        <w:numPr>
          <w:ilvl w:val="0"/>
          <w:numId w:val="1378"/>
        </w:numPr>
        <w:pStyle w:val="Compact"/>
      </w:pPr>
      <w:r>
        <w:t xml:space="preserve">2022 · Kellerer M ·</w:t>
      </w:r>
      <w:r>
        <w:t xml:space="preserve"> </w:t>
      </w:r>
      <w:r>
        <w:rPr>
          <w:iCs/>
          <w:i/>
        </w:rPr>
        <w:t xml:space="preserve">Diabetes Obes Metab</w:t>
      </w:r>
      <w:r>
        <w:t xml:space="preserve"> </w:t>
      </w:r>
      <w:r>
        <w:t xml:space="preserve">· Effect of once-weekly semaglutide versus thrice-daily insulin aspart, both as add-on to metformin and optimized insulin glargine treatment in participants with type 2 diabetes (SUSTAIN 11): A randomized, open-label, multinational, phase 3b trial. PMID 35546450</w:t>
      </w:r>
    </w:p>
    <w:p>
      <w:pPr>
        <w:numPr>
          <w:ilvl w:val="0"/>
          <w:numId w:val="1378"/>
        </w:numPr>
        <w:pStyle w:val="Compact"/>
      </w:pPr>
      <w:r>
        <w:t xml:space="preserve">2022 · Heise T ·</w:t>
      </w:r>
      <w:r>
        <w:t xml:space="preserve"> </w:t>
      </w:r>
      <w:r>
        <w:rPr>
          <w:iCs/>
          <w:i/>
        </w:rPr>
        <w:t xml:space="preserve">Lancet Diabetes Endocrinol</w:t>
      </w:r>
      <w:r>
        <w:t xml:space="preserve"> </w:t>
      </w:r>
      <w:r>
        <w:t xml:space="preserve">· Effects of subcutaneous tirzepatide versus placebo or semaglutide on pancreatic islet function and insulin sensitivity in adults with type 2 diabetes: a multicentre, randomised, double-blind, parallel-arm, phase 1 clinical trial. PMID 35468322</w:t>
      </w:r>
    </w:p>
    <w:p>
      <w:pPr>
        <w:numPr>
          <w:ilvl w:val="0"/>
          <w:numId w:val="1378"/>
        </w:numPr>
        <w:pStyle w:val="Compact"/>
      </w:pPr>
      <w:r>
        <w:t xml:space="preserve">2022 · Wilding JPH ·</w:t>
      </w:r>
      <w:r>
        <w:t xml:space="preserve"> </w:t>
      </w:r>
      <w:r>
        <w:rPr>
          <w:iCs/>
          <w:i/>
        </w:rPr>
        <w:t xml:space="preserve">Diabetes Obes Metab</w:t>
      </w:r>
      <w:r>
        <w:t xml:space="preserve"> </w:t>
      </w:r>
      <w:r>
        <w:t xml:space="preserve">· Weight regain and cardiometabolic effects after withdrawal of semaglutide: The STEP 1 trial extension. PMID 35441470</w:t>
      </w:r>
    </w:p>
    <w:p>
      <w:pPr>
        <w:numPr>
          <w:ilvl w:val="0"/>
          <w:numId w:val="1378"/>
        </w:numPr>
        <w:pStyle w:val="Compact"/>
      </w:pPr>
      <w:r>
        <w:t xml:space="preserve">2022 · Alkhouri N ·</w:t>
      </w:r>
      <w:r>
        <w:t xml:space="preserve"> </w:t>
      </w:r>
      <w:r>
        <w:rPr>
          <w:iCs/>
          <w:i/>
        </w:rPr>
        <w:t xml:space="preserve">J Hepatol</w:t>
      </w:r>
      <w:r>
        <w:t xml:space="preserve"> </w:t>
      </w:r>
      <w:r>
        <w:t xml:space="preserve">· Safety and efficacy of combination therapy with semaglutide, cilofexor and firsocostat in patients with non-alcoholic steatohepatitis: A randomised, open-label phase II trial. PMID 35439567</w:t>
      </w:r>
    </w:p>
    <w:p>
      <w:pPr>
        <w:numPr>
          <w:ilvl w:val="0"/>
          <w:numId w:val="1378"/>
        </w:numPr>
        <w:pStyle w:val="Compact"/>
      </w:pPr>
      <w:r>
        <w:t xml:space="preserve">2022 · Stafford S ·</w:t>
      </w:r>
      <w:r>
        <w:t xml:space="preserve"> </w:t>
      </w:r>
      <w:r>
        <w:rPr>
          <w:iCs/>
          <w:i/>
        </w:rPr>
        <w:t xml:space="preserve">Appl Health Econ Health Policy</w:t>
      </w:r>
      <w:r>
        <w:t xml:space="preserve"> </w:t>
      </w:r>
      <w:r>
        <w:t xml:space="preserve">· Cost-Effectiveness of Once-Weekly Semaglutide 1 mg versus Canagliflozin 300 mg in Patients with Type 2 Diabetes Mellitus in a Canadian Setting. PMID 35344191</w:t>
      </w:r>
    </w:p>
    <w:p>
      <w:pPr>
        <w:numPr>
          <w:ilvl w:val="0"/>
          <w:numId w:val="1378"/>
        </w:numPr>
        <w:pStyle w:val="Compact"/>
      </w:pPr>
      <w:r>
        <w:t xml:space="preserve">2022 · Yabe D ·</w:t>
      </w:r>
      <w:r>
        <w:t xml:space="preserve"> </w:t>
      </w:r>
      <w:r>
        <w:rPr>
          <w:iCs/>
          <w:i/>
        </w:rPr>
        <w:t xml:space="preserve">J Diabetes Investig</w:t>
      </w:r>
      <w:r>
        <w:t xml:space="preserve"> </w:t>
      </w:r>
      <w:r>
        <w:t xml:space="preserve">· Efficacy and safety of once-weekly semaglutide in Japanese individuals with type 2 diabetes by baseline age and body mass index. PMID 35174649</w:t>
      </w:r>
    </w:p>
    <w:p>
      <w:pPr>
        <w:numPr>
          <w:ilvl w:val="0"/>
          <w:numId w:val="1378"/>
        </w:numPr>
        <w:pStyle w:val="Compact"/>
      </w:pPr>
      <w:r>
        <w:t xml:space="preserve">2022 · Kadowaki T ·</w:t>
      </w:r>
      <w:r>
        <w:t xml:space="preserve"> </w:t>
      </w:r>
      <w:r>
        <w:rPr>
          <w:iCs/>
          <w:i/>
        </w:rPr>
        <w:t xml:space="preserve">Lancet Diabetes Endocrinol</w:t>
      </w:r>
      <w:r>
        <w:t xml:space="preserve"> </w:t>
      </w:r>
      <w:r>
        <w:t xml:space="preserve">· Semaglutide once a week in adults with overweight or obesity, with or without type 2 diabetes in an east Asian population (STEP 6): a randomised, double-blind, double-dummy, placebo-controlled, phase 3a trial. PMID 35131037</w:t>
      </w:r>
    </w:p>
    <w:p>
      <w:pPr>
        <w:numPr>
          <w:ilvl w:val="0"/>
          <w:numId w:val="1378"/>
        </w:numPr>
        <w:pStyle w:val="Compact"/>
      </w:pPr>
      <w:r>
        <w:t xml:space="preserve">2022 · Yabe D ·</w:t>
      </w:r>
      <w:r>
        <w:t xml:space="preserve"> </w:t>
      </w:r>
      <w:r>
        <w:rPr>
          <w:iCs/>
          <w:i/>
        </w:rPr>
        <w:t xml:space="preserve">J Diabetes Investig</w:t>
      </w:r>
      <w:r>
        <w:t xml:space="preserve"> </w:t>
      </w:r>
      <w:r>
        <w:t xml:space="preserve">· Efficacy and safety of oral semaglutide in Japanese patients with type 2 diabetes: A subgroup analysis by baseline variables in the PIONEER 9 and PIONEER 10 trials. PMID 35112504</w:t>
      </w:r>
    </w:p>
    <w:p>
      <w:pPr>
        <w:numPr>
          <w:ilvl w:val="0"/>
          <w:numId w:val="1378"/>
        </w:numPr>
        <w:pStyle w:val="Compact"/>
      </w:pPr>
      <w:r>
        <w:t xml:space="preserve">2022 · Rubino DM ·</w:t>
      </w:r>
      <w:r>
        <w:t xml:space="preserve"> </w:t>
      </w:r>
      <w:r>
        <w:rPr>
          <w:iCs/>
          <w:i/>
        </w:rPr>
        <w:t xml:space="preserve">JAMA</w:t>
      </w:r>
      <w:r>
        <w:t xml:space="preserve"> </w:t>
      </w:r>
      <w:r>
        <w:t xml:space="preserve">· Effect of Weekly Subcutaneous Semaglutide vs Daily Liraglutide on Body Weight in Adults With Overweight or Obesity Without Diabetes: The STEP 8 Randomized Clinical Trial. PMID 35015037</w:t>
      </w:r>
    </w:p>
    <w:p>
      <w:pPr>
        <w:numPr>
          <w:ilvl w:val="0"/>
          <w:numId w:val="1378"/>
        </w:numPr>
        <w:pStyle w:val="Compact"/>
      </w:pPr>
      <w:r>
        <w:t xml:space="preserve">2022 · Meier JJ ·</w:t>
      </w:r>
      <w:r>
        <w:t xml:space="preserve"> </w:t>
      </w:r>
      <w:r>
        <w:rPr>
          <w:iCs/>
          <w:i/>
        </w:rPr>
        <w:t xml:space="preserve">Diabetes Obes Metab</w:t>
      </w:r>
      <w:r>
        <w:t xml:space="preserve"> </w:t>
      </w:r>
      <w:r>
        <w:t xml:space="preserve">· Effect of upper gastrointestinal disease on the pharmacokinetics of oral semaglutide in subjects with type 2 diabetes. PMID 34957654</w:t>
      </w:r>
    </w:p>
    <w:p>
      <w:pPr>
        <w:numPr>
          <w:ilvl w:val="0"/>
          <w:numId w:val="1378"/>
        </w:numPr>
        <w:pStyle w:val="Compact"/>
      </w:pPr>
      <w:r>
        <w:t xml:space="preserve">2022 · Shaman AM ·</w:t>
      </w:r>
      <w:r>
        <w:t xml:space="preserve"> </w:t>
      </w:r>
      <w:r>
        <w:rPr>
          <w:iCs/>
          <w:i/>
        </w:rPr>
        <w:t xml:space="preserve">Circulation</w:t>
      </w:r>
      <w:r>
        <w:t xml:space="preserve"> </w:t>
      </w:r>
      <w:r>
        <w:t xml:space="preserve">· Effect of the Glucagon-Like Peptide-1 Receptor Agonists Semaglutide and Liraglutide on Kidney Outcomes in Patients With Type 2 Diabetes: Pooled Analysis of SUSTAIN 6 and LEADER. PMID 34903039</w:t>
      </w:r>
    </w:p>
    <w:p>
      <w:pPr>
        <w:numPr>
          <w:ilvl w:val="0"/>
          <w:numId w:val="1378"/>
        </w:numPr>
        <w:pStyle w:val="Compact"/>
      </w:pPr>
      <w:r>
        <w:t xml:space="preserve">2022 · Yamada Y ·</w:t>
      </w:r>
      <w:r>
        <w:t xml:space="preserve"> </w:t>
      </w:r>
      <w:r>
        <w:rPr>
          <w:iCs/>
          <w:i/>
        </w:rPr>
        <w:t xml:space="preserve">Diabetes Obes Metab</w:t>
      </w:r>
      <w:r>
        <w:t xml:space="preserve"> </w:t>
      </w:r>
      <w:r>
        <w:t xml:space="preserve">· Efficacy and safety of oral semaglutide by baseline age in Japanese patients with type 2 diabetes: A subgroup analysis of the PIONEER 9 and 10 Japan trials. PMID 34622548</w:t>
      </w:r>
    </w:p>
    <w:p>
      <w:pPr>
        <w:numPr>
          <w:ilvl w:val="0"/>
          <w:numId w:val="1378"/>
        </w:numPr>
        <w:pStyle w:val="Compact"/>
      </w:pPr>
      <w:r>
        <w:t xml:space="preserve">2022 · Wharton S ·</w:t>
      </w:r>
      <w:r>
        <w:t xml:space="preserve"> </w:t>
      </w:r>
      <w:r>
        <w:rPr>
          <w:iCs/>
          <w:i/>
        </w:rPr>
        <w:t xml:space="preserve">Diabetes Obes Metab</w:t>
      </w:r>
      <w:r>
        <w:t xml:space="preserve"> </w:t>
      </w:r>
      <w:r>
        <w:t xml:space="preserve">· Gastrointestinal tolerability of once-weekly semaglutide 2.4 mg in adults with overweight or obesity, and the relationship between gastrointestinal adverse events and weight loss. PMID 34514682</w:t>
      </w:r>
    </w:p>
    <w:p>
      <w:pPr>
        <w:numPr>
          <w:ilvl w:val="0"/>
          <w:numId w:val="1378"/>
        </w:numPr>
        <w:pStyle w:val="Compact"/>
      </w:pPr>
      <w:r>
        <w:t xml:space="preserve">2021 · Paquot N ·</w:t>
      </w:r>
      <w:r>
        <w:t xml:space="preserve"> </w:t>
      </w:r>
      <w:r>
        <w:rPr>
          <w:iCs/>
          <w:i/>
        </w:rPr>
        <w:t xml:space="preserve">Rev Med Liege</w:t>
      </w:r>
      <w:r>
        <w:t xml:space="preserve"> </w:t>
      </w:r>
      <w:r>
        <w:t xml:space="preserve">· [Oral semaglutide, first oral GLP-1 receptor agonist (Rybelsus®)]. PMID 34881835</w:t>
      </w:r>
    </w:p>
    <w:p>
      <w:pPr>
        <w:numPr>
          <w:ilvl w:val="0"/>
          <w:numId w:val="1378"/>
        </w:numPr>
        <w:pStyle w:val="Compact"/>
      </w:pPr>
      <w:r>
        <w:t xml:space="preserve">2021 · Overgaard RV ·</w:t>
      </w:r>
      <w:r>
        <w:t xml:space="preserve"> </w:t>
      </w:r>
      <w:r>
        <w:rPr>
          <w:iCs/>
          <w:i/>
        </w:rPr>
        <w:t xml:space="preserve">Cell Rep Med</w:t>
      </w:r>
      <w:r>
        <w:t xml:space="preserve"> </w:t>
      </w:r>
      <w:r>
        <w:t xml:space="preserve">· Levels of circulating semaglutide determine reductions in HbA1c and body weight in people with type 2 diabetes. PMID 34622228</w:t>
      </w:r>
    </w:p>
    <w:p>
      <w:pPr>
        <w:numPr>
          <w:ilvl w:val="0"/>
          <w:numId w:val="1378"/>
        </w:numPr>
        <w:pStyle w:val="Compact"/>
      </w:pPr>
      <w:r>
        <w:t xml:space="preserve">2021 · Flint A ·</w:t>
      </w:r>
      <w:r>
        <w:t xml:space="preserve"> </w:t>
      </w:r>
      <w:r>
        <w:rPr>
          <w:iCs/>
          <w:i/>
        </w:rPr>
        <w:t xml:space="preserve">Aliment Pharmacol Ther</w:t>
      </w:r>
      <w:r>
        <w:t xml:space="preserve"> </w:t>
      </w:r>
      <w:r>
        <w:t xml:space="preserve">· Randomised clinical trial: semaglutide versus placebo reduced liver steatosis but not liver stiffness in subjects with non-alcoholic fatty liver disease assessed by magnetic resonance imaging. PMID 34570916</w:t>
      </w:r>
    </w:p>
    <w:p>
      <w:pPr>
        <w:numPr>
          <w:ilvl w:val="0"/>
          <w:numId w:val="1378"/>
        </w:numPr>
        <w:pStyle w:val="Compact"/>
      </w:pPr>
      <w:r>
        <w:t xml:space="preserve">2021 · Araki E ·</w:t>
      </w:r>
      <w:r>
        <w:t xml:space="preserve"> </w:t>
      </w:r>
      <w:r>
        <w:rPr>
          <w:iCs/>
          <w:i/>
        </w:rPr>
        <w:t xml:space="preserve">Diabetes Obes Metab</w:t>
      </w:r>
      <w:r>
        <w:t xml:space="preserve"> </w:t>
      </w:r>
      <w:r>
        <w:t xml:space="preserve">· Efficacy and safety of oral semaglutide in Japanese patients with type 2 diabetes: A post hoc subgroup analysis of the PIONEER 1, 3, 4 and 8 trials. PMID 34472698</w:t>
      </w:r>
    </w:p>
    <w:p>
      <w:pPr>
        <w:numPr>
          <w:ilvl w:val="0"/>
          <w:numId w:val="1378"/>
        </w:numPr>
        <w:pStyle w:val="Compact"/>
      </w:pPr>
      <w:r>
        <w:t xml:space="preserve">2021 · Frías JP ·</w:t>
      </w:r>
      <w:r>
        <w:t xml:space="preserve"> </w:t>
      </w:r>
      <w:r>
        <w:rPr>
          <w:iCs/>
          <w:i/>
        </w:rPr>
        <w:t xml:space="preserve">Lancet Diabetes Endocrinol</w:t>
      </w:r>
      <w:r>
        <w:t xml:space="preserve"> </w:t>
      </w:r>
      <w:r>
        <w:t xml:space="preserve">· Efficacy and safety of once-weekly semaglutide 2·0 mg versus 1·0 mg in patients with type 2 diabetes (SUSTAIN FORTE): a double-blind, randomised, phase 3B trial. PMID 34293304</w:t>
      </w:r>
    </w:p>
    <w:p>
      <w:pPr>
        <w:numPr>
          <w:ilvl w:val="0"/>
          <w:numId w:val="1378"/>
        </w:numPr>
        <w:pStyle w:val="Compact"/>
      </w:pPr>
      <w:r>
        <w:t xml:space="preserve">2021 · Hauge C ·</w:t>
      </w:r>
      <w:r>
        <w:t xml:space="preserve"> </w:t>
      </w:r>
      <w:r>
        <w:rPr>
          <w:iCs/>
          <w:i/>
        </w:rPr>
        <w:t xml:space="preserve">Expert Opin Drug Metab Toxicol</w:t>
      </w:r>
      <w:r>
        <w:t xml:space="preserve"> </w:t>
      </w:r>
      <w:r>
        <w:t xml:space="preserve">· Effect of oral semaglutide on the pharmacokinetics of thyroxine after dosing of levothyroxine and the influence of co-administered tablets on the pharmacokinetics of oral semaglutide in healthy subjects: an open-label, one-sequence crossover, single-center, multiple-dose, two-part trial. PMID 34289755</w:t>
      </w:r>
    </w:p>
    <w:p>
      <w:pPr>
        <w:numPr>
          <w:ilvl w:val="0"/>
          <w:numId w:val="1378"/>
        </w:numPr>
        <w:pStyle w:val="Compact"/>
      </w:pPr>
      <w:r>
        <w:t xml:space="preserve">2021 · Jensterle M ·</w:t>
      </w:r>
      <w:r>
        <w:t xml:space="preserve"> </w:t>
      </w:r>
      <w:r>
        <w:rPr>
          <w:iCs/>
          <w:i/>
        </w:rPr>
        <w:t xml:space="preserve">Diabetes Res Clin Pract</w:t>
      </w:r>
      <w:r>
        <w:t xml:space="preserve"> </w:t>
      </w:r>
      <w:r>
        <w:t xml:space="preserve">· Semaglutide reduces fat accumulation in the tongue: A randomized single-blind, pilot study. PMID 34217774</w:t>
      </w:r>
    </w:p>
    <w:p>
      <w:pPr>
        <w:numPr>
          <w:ilvl w:val="0"/>
          <w:numId w:val="1378"/>
        </w:numPr>
        <w:pStyle w:val="Compact"/>
      </w:pPr>
      <w:r>
        <w:t xml:space="preserve">2021 · Frías JP ·</w:t>
      </w:r>
      <w:r>
        <w:t xml:space="preserve"> </w:t>
      </w:r>
      <w:r>
        <w:rPr>
          <w:iCs/>
          <w:i/>
        </w:rPr>
        <w:t xml:space="preserve">N Engl J Med</w:t>
      </w:r>
      <w:r>
        <w:t xml:space="preserve"> </w:t>
      </w:r>
      <w:r>
        <w:t xml:space="preserve">· Tirzepatide versus Semaglutide Once Weekly in Patients with Type 2 Diabetes. PMID 34170647</w:t>
      </w:r>
    </w:p>
    <w:p>
      <w:pPr>
        <w:numPr>
          <w:ilvl w:val="0"/>
          <w:numId w:val="1378"/>
        </w:numPr>
        <w:pStyle w:val="Compact"/>
      </w:pPr>
      <w:r>
        <w:t xml:space="preserve">2021 · Dichtel LE ·</w:t>
      </w:r>
      <w:r>
        <w:t xml:space="preserve"> </w:t>
      </w:r>
      <w:r>
        <w:rPr>
          <w:iCs/>
          <w:i/>
        </w:rPr>
        <w:t xml:space="preserve">Hepatology</w:t>
      </w:r>
      <w:r>
        <w:t xml:space="preserve"> </w:t>
      </w:r>
      <w:r>
        <w:t xml:space="preserve">· The Glucagon-Like Peptide-1 Receptor Agonist, Semaglutide, for the Treatment of Nonalcoholic Steatohepatitis. PMID 33960005</w:t>
      </w:r>
    </w:p>
    <w:p>
      <w:pPr>
        <w:numPr>
          <w:ilvl w:val="0"/>
          <w:numId w:val="1378"/>
        </w:numPr>
        <w:pStyle w:val="Compact"/>
      </w:pPr>
      <w:r>
        <w:t xml:space="preserve">2021 · Enebo LB ·</w:t>
      </w:r>
      <w:r>
        <w:t xml:space="preserve"> </w:t>
      </w:r>
      <w:r>
        <w:rPr>
          <w:iCs/>
          <w:i/>
        </w:rPr>
        <w:t xml:space="preserve">Lancet</w:t>
      </w:r>
      <w:r>
        <w:t xml:space="preserve"> </w:t>
      </w:r>
      <w:r>
        <w:t xml:space="preserve">· Safety, tolerability, pharmacokinetics, and pharmacodynamics of concomitant administration of multiple doses of cagrilintide with semaglutide 2·4 mg for weight management: a randomised, controlled, phase 1b trial. PMID 33894838</w:t>
      </w:r>
    </w:p>
    <w:p>
      <w:pPr>
        <w:numPr>
          <w:ilvl w:val="0"/>
          <w:numId w:val="1378"/>
        </w:numPr>
        <w:pStyle w:val="Compact"/>
      </w:pPr>
      <w:r>
        <w:t xml:space="preserve">2021 · Jordy AB ·</w:t>
      </w:r>
      <w:r>
        <w:t xml:space="preserve"> </w:t>
      </w:r>
      <w:r>
        <w:rPr>
          <w:iCs/>
          <w:i/>
        </w:rPr>
        <w:t xml:space="preserve">Clin Pharmacokinet</w:t>
      </w:r>
      <w:r>
        <w:t xml:space="preserve"> </w:t>
      </w:r>
      <w:r>
        <w:t xml:space="preserve">· Effect of Oral Semaglutide on the Pharmacokinetics of Levonorgestrel and Ethinylestradiol in Healthy Postmenopausal Women and Furosemide and Rosuvastatin in Healthy Subjects. PMID 33782832</w:t>
      </w:r>
    </w:p>
    <w:p>
      <w:pPr>
        <w:numPr>
          <w:ilvl w:val="0"/>
          <w:numId w:val="1378"/>
        </w:numPr>
        <w:pStyle w:val="Compact"/>
      </w:pPr>
      <w:r>
        <w:t xml:space="preserve">2021 · Rubino D ·</w:t>
      </w:r>
      <w:r>
        <w:t xml:space="preserve"> </w:t>
      </w:r>
      <w:r>
        <w:rPr>
          <w:iCs/>
          <w:i/>
        </w:rPr>
        <w:t xml:space="preserve">JAMA</w:t>
      </w:r>
      <w:r>
        <w:t xml:space="preserve"> </w:t>
      </w:r>
      <w:r>
        <w:t xml:space="preserve">· Effect of Continued Weekly Subcutaneous Semaglutide vs Placebo on Weight Loss Maintenance in Adults With Overweight or Obesity: The STEP 4 Randomized Clinical Trial. PMID 33755728</w:t>
      </w:r>
    </w:p>
    <w:p>
      <w:pPr>
        <w:numPr>
          <w:ilvl w:val="0"/>
          <w:numId w:val="1378"/>
        </w:numPr>
        <w:pStyle w:val="Compact"/>
      </w:pPr>
      <w:r>
        <w:t xml:space="preserve">2021 · Baekdal TA ·</w:t>
      </w:r>
      <w:r>
        <w:t xml:space="preserve"> </w:t>
      </w:r>
      <w:r>
        <w:rPr>
          <w:iCs/>
          <w:i/>
        </w:rPr>
        <w:t xml:space="preserve">Clin Pharmacol Drug Dev</w:t>
      </w:r>
      <w:r>
        <w:t xml:space="preserve"> </w:t>
      </w:r>
      <w:r>
        <w:t xml:space="preserve">· Relationship Between Oral Semaglutide Tablet Erosion and Pharmacokinetics: A Pharmacoscintigraphic Study. PMID 33750044</w:t>
      </w:r>
    </w:p>
    <w:p>
      <w:pPr>
        <w:numPr>
          <w:ilvl w:val="0"/>
          <w:numId w:val="1378"/>
        </w:numPr>
        <w:pStyle w:val="Compact"/>
      </w:pPr>
      <w:r>
        <w:t xml:space="preserve">2021 · Dahl K ·</w:t>
      </w:r>
      <w:r>
        <w:t xml:space="preserve"> </w:t>
      </w:r>
      <w:r>
        <w:rPr>
          <w:iCs/>
          <w:i/>
        </w:rPr>
        <w:t xml:space="preserve">Diabetes Obes Metab</w:t>
      </w:r>
      <w:r>
        <w:t xml:space="preserve"> </w:t>
      </w:r>
      <w:r>
        <w:t xml:space="preserve">· Oral semaglutide improves postprandial glucose and lipid metabolism, and delays gastric emptying, in subjects with type 2 diabetes. PMID 33710717</w:t>
      </w:r>
    </w:p>
    <w:p>
      <w:pPr>
        <w:numPr>
          <w:ilvl w:val="0"/>
          <w:numId w:val="1378"/>
        </w:numPr>
        <w:pStyle w:val="Compact"/>
      </w:pPr>
      <w:r>
        <w:t xml:space="preserve">2021 · Davies M ·</w:t>
      </w:r>
      <w:r>
        <w:t xml:space="preserve"> </w:t>
      </w:r>
      <w:r>
        <w:rPr>
          <w:iCs/>
          <w:i/>
        </w:rPr>
        <w:t xml:space="preserve">Lancet</w:t>
      </w:r>
      <w:r>
        <w:t xml:space="preserve"> </w:t>
      </w:r>
      <w:r>
        <w:t xml:space="preserve">· Semaglutide 2·4 mg once a week in adults with overweight or obesity, and type 2 diabetes (STEP 2): a randomised, double-blind, double-dummy, placebo-controlled, phase 3 trial. PMID 33667417</w:t>
      </w:r>
    </w:p>
    <w:p>
      <w:pPr>
        <w:numPr>
          <w:ilvl w:val="0"/>
          <w:numId w:val="1378"/>
        </w:numPr>
        <w:pStyle w:val="Compact"/>
      </w:pPr>
      <w:r>
        <w:t xml:space="preserve">2021 · Wadden TA ·</w:t>
      </w:r>
      <w:r>
        <w:t xml:space="preserve"> </w:t>
      </w:r>
      <w:r>
        <w:rPr>
          <w:iCs/>
          <w:i/>
        </w:rPr>
        <w:t xml:space="preserve">JAMA</w:t>
      </w:r>
      <w:r>
        <w:t xml:space="preserve"> </w:t>
      </w:r>
      <w:r>
        <w:t xml:space="preserve">· Effect of Subcutaneous Semaglutide vs Placebo as an Adjunct to Intensive Behavioral Therapy on Body Weight in Adults With Overweight or Obesity: The STEP 3 Randomized Clinical Trial. PMID 33625476</w:t>
      </w:r>
    </w:p>
    <w:p>
      <w:pPr>
        <w:numPr>
          <w:ilvl w:val="0"/>
          <w:numId w:val="1378"/>
        </w:numPr>
        <w:pStyle w:val="Compact"/>
      </w:pPr>
      <w:r>
        <w:t xml:space="preserve">2021 · Snitker S ·</w:t>
      </w:r>
      <w:r>
        <w:t xml:space="preserve"> </w:t>
      </w:r>
      <w:r>
        <w:rPr>
          <w:iCs/>
          <w:i/>
        </w:rPr>
        <w:t xml:space="preserve">Diabetes Obes Metab</w:t>
      </w:r>
      <w:r>
        <w:t xml:space="preserve"> </w:t>
      </w:r>
      <w:r>
        <w:t xml:space="preserve">· Comparison of the injection-site experience of the starting doses with semaglutide and dulaglutide: A randomized, double-blind trial in healthy subjects. PMID 33591618</w:t>
      </w:r>
    </w:p>
    <w:p>
      <w:pPr>
        <w:numPr>
          <w:ilvl w:val="0"/>
          <w:numId w:val="1378"/>
        </w:numPr>
        <w:pStyle w:val="Compact"/>
      </w:pPr>
      <w:r>
        <w:t xml:space="preserve">2021 · Wilding JPH ·</w:t>
      </w:r>
      <w:r>
        <w:t xml:space="preserve"> </w:t>
      </w:r>
      <w:r>
        <w:rPr>
          <w:iCs/>
          <w:i/>
        </w:rPr>
        <w:t xml:space="preserve">N Engl J Med</w:t>
      </w:r>
      <w:r>
        <w:t xml:space="preserve"> </w:t>
      </w:r>
      <w:r>
        <w:t xml:space="preserve">· Once-Weekly Semaglutide in Adults with Overweight or Obesity. PMID 33567185</w:t>
      </w:r>
    </w:p>
    <w:p>
      <w:pPr>
        <w:numPr>
          <w:ilvl w:val="0"/>
          <w:numId w:val="1378"/>
        </w:numPr>
        <w:pStyle w:val="Compact"/>
      </w:pPr>
      <w:r>
        <w:t xml:space="preserve">2021 · Birudaraju D ·</w:t>
      </w:r>
      <w:r>
        <w:t xml:space="preserve"> </w:t>
      </w:r>
      <w:r>
        <w:rPr>
          <w:iCs/>
          <w:i/>
        </w:rPr>
        <w:t xml:space="preserve">J Diabetes Complications</w:t>
      </w:r>
      <w:r>
        <w:t xml:space="preserve"> </w:t>
      </w:r>
      <w:r>
        <w:t xml:space="preserve">· Prevalence of normal coronary arteries by coronary computed tomography angiography (CCTA) in patients with type 2 diabetes mellitus from Semaglutide Treatment on Coronary Plaque Progression (STOP) trial. PMID 33419635</w:t>
      </w:r>
    </w:p>
    <w:p>
      <w:pPr>
        <w:numPr>
          <w:ilvl w:val="0"/>
          <w:numId w:val="1378"/>
        </w:numPr>
        <w:pStyle w:val="Compact"/>
      </w:pPr>
      <w:r>
        <w:t xml:space="preserve">2021 · Friedrichsen M ·</w:t>
      </w:r>
      <w:r>
        <w:t xml:space="preserve"> </w:t>
      </w:r>
      <w:r>
        <w:rPr>
          <w:iCs/>
          <w:i/>
        </w:rPr>
        <w:t xml:space="preserve">Diabetes Obes Metab</w:t>
      </w:r>
      <w:r>
        <w:t xml:space="preserve"> </w:t>
      </w:r>
      <w:r>
        <w:t xml:space="preserve">· The effect of semaglutide 2.4 mg once weekly on energy intake, appetite, control of eating, and gastric emptying in adults with obesity. PMID 33269530</w:t>
      </w:r>
    </w:p>
    <w:p>
      <w:pPr>
        <w:numPr>
          <w:ilvl w:val="0"/>
          <w:numId w:val="1378"/>
        </w:numPr>
        <w:pStyle w:val="Compact"/>
      </w:pPr>
      <w:r>
        <w:t xml:space="preserve">2021 · Newsome PN ·</w:t>
      </w:r>
      <w:r>
        <w:t xml:space="preserve"> </w:t>
      </w:r>
      <w:r>
        <w:rPr>
          <w:iCs/>
          <w:i/>
        </w:rPr>
        <w:t xml:space="preserve">N Engl J Med</w:t>
      </w:r>
      <w:r>
        <w:t xml:space="preserve"> </w:t>
      </w:r>
      <w:r>
        <w:t xml:space="preserve">· A Placebo-Controlled Trial of Subcutaneous Semaglutide in Nonalcoholic Steatohepatitis. PMID 33185364</w:t>
      </w:r>
    </w:p>
    <w:p>
      <w:pPr>
        <w:numPr>
          <w:ilvl w:val="0"/>
          <w:numId w:val="1378"/>
        </w:numPr>
        <w:pStyle w:val="Compact"/>
      </w:pPr>
      <w:r>
        <w:t xml:space="preserve">2021 · Gibbons C ·</w:t>
      </w:r>
      <w:r>
        <w:t xml:space="preserve"> </w:t>
      </w:r>
      <w:r>
        <w:rPr>
          <w:iCs/>
          <w:i/>
        </w:rPr>
        <w:t xml:space="preserve">Diabetes Obes Metab</w:t>
      </w:r>
      <w:r>
        <w:t xml:space="preserve"> </w:t>
      </w:r>
      <w:r>
        <w:t xml:space="preserve">· Effects of oral semaglutide on energy intake, food preference, appetite, control of eating and body weight in subjects with type 2 diabetes. PMID 33184979</w:t>
      </w:r>
    </w:p>
    <w:p>
      <w:pPr>
        <w:numPr>
          <w:ilvl w:val="0"/>
          <w:numId w:val="1378"/>
        </w:numPr>
        <w:pStyle w:val="Compact"/>
      </w:pPr>
      <w:r>
        <w:t xml:space="preserve">2021 · Shi A ·</w:t>
      </w:r>
      <w:r>
        <w:t xml:space="preserve"> </w:t>
      </w:r>
      <w:r>
        <w:rPr>
          <w:iCs/>
          <w:i/>
        </w:rPr>
        <w:t xml:space="preserve">Adv Ther</w:t>
      </w:r>
      <w:r>
        <w:t xml:space="preserve"> </w:t>
      </w:r>
      <w:r>
        <w:t xml:space="preserve">· Pharmacokinetics, Safety and Tolerability of Once-Weekly Subcutaneous Semaglutide in Healthy Chinese Subjects: A Double-Blind, Phase 1, Randomized Controlled Trial. PMID 33159658</w:t>
      </w:r>
    </w:p>
    <w:p>
      <w:pPr>
        <w:numPr>
          <w:ilvl w:val="0"/>
          <w:numId w:val="1378"/>
        </w:numPr>
        <w:pStyle w:val="Compact"/>
      </w:pPr>
      <w:r>
        <w:t xml:space="preserve">2021 · Ji L ·</w:t>
      </w:r>
      <w:r>
        <w:t xml:space="preserve"> </w:t>
      </w:r>
      <w:r>
        <w:rPr>
          <w:iCs/>
          <w:i/>
        </w:rPr>
        <w:t xml:space="preserve">Diabetes Obes Metab</w:t>
      </w:r>
      <w:r>
        <w:t xml:space="preserve"> </w:t>
      </w:r>
      <w:r>
        <w:t xml:space="preserve">· Efficacy and safety of once-weekly semaglutide versus once-daily sitagliptin as add-on to metformin in patients with type 2 diabetes in SUSTAIN China: A 30-week, double-blind, phase 3a, randomized trial. PMID 33074557</w:t>
      </w:r>
    </w:p>
    <w:p>
      <w:pPr>
        <w:numPr>
          <w:ilvl w:val="0"/>
          <w:numId w:val="1378"/>
        </w:numPr>
        <w:pStyle w:val="Compact"/>
      </w:pPr>
      <w:r>
        <w:t xml:space="preserve">2020 · Rodbard HW ·</w:t>
      </w:r>
      <w:r>
        <w:t xml:space="preserve"> </w:t>
      </w:r>
      <w:r>
        <w:rPr>
          <w:iCs/>
          <w:i/>
        </w:rPr>
        <w:t xml:space="preserve">Am J Manag Care</w:t>
      </w:r>
      <w:r>
        <w:t xml:space="preserve"> </w:t>
      </w:r>
      <w:r>
        <w:t xml:space="preserve">· Efficacy of oral semaglutide: overview of the PIONEER clinical trial program and implications for managed care. PMID 33439582</w:t>
      </w:r>
    </w:p>
    <w:p>
      <w:pPr>
        <w:numPr>
          <w:ilvl w:val="0"/>
          <w:numId w:val="1378"/>
        </w:numPr>
        <w:pStyle w:val="Compact"/>
      </w:pPr>
      <w:r>
        <w:t xml:space="preserve">2020 · Buse JB ·</w:t>
      </w:r>
      <w:r>
        <w:t xml:space="preserve"> </w:t>
      </w:r>
      <w:r>
        <w:rPr>
          <w:iCs/>
          <w:i/>
        </w:rPr>
        <w:t xml:space="preserve">BMJ Open Diabetes Res Care</w:t>
      </w:r>
      <w:r>
        <w:t xml:space="preserve"> </w:t>
      </w:r>
      <w:r>
        <w:t xml:space="preserve">· Long-term efficacy and safety of oral semaglutide and the effect of switching from sitagliptin to oral semaglutide in patients with type 2 diabetes: a 52-week, randomized, open-label extension of the PIONEER 7 trial. PMID 33318068</w:t>
      </w:r>
    </w:p>
    <w:p>
      <w:pPr>
        <w:numPr>
          <w:ilvl w:val="0"/>
          <w:numId w:val="1378"/>
        </w:numPr>
        <w:pStyle w:val="Compact"/>
      </w:pPr>
      <w:r>
        <w:t xml:space="preserve">2020 · Mann JFE ·</w:t>
      </w:r>
      <w:r>
        <w:t xml:space="preserve"> </w:t>
      </w:r>
      <w:r>
        <w:rPr>
          <w:iCs/>
          <w:i/>
        </w:rPr>
        <w:t xml:space="preserve">Lancet Diabetes Endocrinol</w:t>
      </w:r>
      <w:r>
        <w:t xml:space="preserve"> </w:t>
      </w:r>
      <w:r>
        <w:t xml:space="preserve">· Effects of once-weekly subcutaneous semaglutide on kidney function and safety in patients with type 2 diabetes: a post-hoc analysis of the SUSTAIN 1-7 randomised controlled trials. PMID 32971040</w:t>
      </w:r>
    </w:p>
    <w:p>
      <w:pPr>
        <w:numPr>
          <w:ilvl w:val="0"/>
          <w:numId w:val="1378"/>
        </w:numPr>
        <w:pStyle w:val="Compact"/>
      </w:pPr>
      <w:r>
        <w:t xml:space="preserve">2020 · Verma S ·</w:t>
      </w:r>
      <w:r>
        <w:t xml:space="preserve"> </w:t>
      </w:r>
      <w:r>
        <w:rPr>
          <w:iCs/>
          <w:i/>
        </w:rPr>
        <w:t xml:space="preserve">Diabetes Obes Metab</w:t>
      </w:r>
      <w:r>
        <w:t xml:space="preserve"> </w:t>
      </w:r>
      <w:r>
        <w:t xml:space="preserve">· Impact of microvascular disease on cardiovascular outcomes in type 2 diabetes: Results from the LEADER and SUSTAIN 6 clinical trials. PMID 32643857</w:t>
      </w:r>
    </w:p>
    <w:p>
      <w:pPr>
        <w:numPr>
          <w:ilvl w:val="0"/>
          <w:numId w:val="1378"/>
        </w:numPr>
        <w:pStyle w:val="Compact"/>
      </w:pPr>
      <w:r>
        <w:t xml:space="preserve">2020 · Kushner RF ·</w:t>
      </w:r>
      <w:r>
        <w:t xml:space="preserve"> </w:t>
      </w:r>
      <w:r>
        <w:rPr>
          <w:iCs/>
          <w:i/>
        </w:rPr>
        <w:t xml:space="preserve">Obesity (Silver Spring)</w:t>
      </w:r>
      <w:r>
        <w:t xml:space="preserve"> </w:t>
      </w:r>
      <w:r>
        <w:t xml:space="preserve">· Semaglutide 2.4 mg for the Treatment of Obesity: Key Elements of the STEP Trials 1 to 5. PMID 32441473</w:t>
      </w:r>
    </w:p>
    <w:p>
      <w:pPr>
        <w:numPr>
          <w:ilvl w:val="0"/>
          <w:numId w:val="1378"/>
        </w:numPr>
        <w:pStyle w:val="Compact"/>
      </w:pPr>
      <w:r>
        <w:t xml:space="preserve">2020 · Leiter LA ·</w:t>
      </w:r>
      <w:r>
        <w:t xml:space="preserve"> </w:t>
      </w:r>
      <w:r>
        <w:rPr>
          <w:iCs/>
          <w:i/>
        </w:rPr>
        <w:t xml:space="preserve">Diabetes Obes Metab</w:t>
      </w:r>
      <w:r>
        <w:t xml:space="preserve"> </w:t>
      </w:r>
      <w:r>
        <w:t xml:space="preserve">· The effect of glucagon-like peptide-1 receptor agonists liraglutide and semaglutide on cardiovascular and renal outcomes across baseline blood pressure categories: Analysis of the LEADER and SUSTAIN 6 trials. PMID 32372454</w:t>
      </w:r>
    </w:p>
    <w:p>
      <w:pPr>
        <w:numPr>
          <w:ilvl w:val="0"/>
          <w:numId w:val="1378"/>
        </w:numPr>
        <w:pStyle w:val="Compact"/>
      </w:pPr>
      <w:r>
        <w:t xml:space="preserve">2020 · Yabe D ·</w:t>
      </w:r>
      <w:r>
        <w:t xml:space="preserve"> </w:t>
      </w:r>
      <w:r>
        <w:rPr>
          <w:iCs/>
          <w:i/>
        </w:rPr>
        <w:t xml:space="preserve">Lancet Diabetes Endocrinol</w:t>
      </w:r>
      <w:r>
        <w:t xml:space="preserve"> </w:t>
      </w:r>
      <w:r>
        <w:t xml:space="preserve">· Safety and efficacy of oral semaglutide versus dulaglutide in Japanese patients with type 2 diabetes (PIONEER 10): an open-label, randomised, active-controlled, phase 3a trial. PMID 32333876</w:t>
      </w:r>
    </w:p>
    <w:p>
      <w:pPr>
        <w:numPr>
          <w:ilvl w:val="0"/>
          <w:numId w:val="1378"/>
        </w:numPr>
        <w:pStyle w:val="Compact"/>
      </w:pPr>
      <w:r>
        <w:t xml:space="preserve">2020 · Yamada Y ·</w:t>
      </w:r>
      <w:r>
        <w:t xml:space="preserve"> </w:t>
      </w:r>
      <w:r>
        <w:rPr>
          <w:iCs/>
          <w:i/>
        </w:rPr>
        <w:t xml:space="preserve">Lancet Diabetes Endocrinol</w:t>
      </w:r>
      <w:r>
        <w:t xml:space="preserve"> </w:t>
      </w:r>
      <w:r>
        <w:t xml:space="preserve">· Dose-response, efficacy, and safety of oral semaglutide monotherapy in Japanese patients with type 2 diabetes (PIONEER 9): a 52-week, phase 2/3a, randomised, controlled trial. PMID 32333875</w:t>
      </w:r>
    </w:p>
    <w:p>
      <w:pPr>
        <w:numPr>
          <w:ilvl w:val="0"/>
          <w:numId w:val="1378"/>
        </w:numPr>
        <w:pStyle w:val="Compact"/>
      </w:pPr>
      <w:r>
        <w:t xml:space="preserve">2020 · Jódar E ·</w:t>
      </w:r>
      <w:r>
        <w:t xml:space="preserve"> </w:t>
      </w:r>
      <w:r>
        <w:rPr>
          <w:iCs/>
          <w:i/>
        </w:rPr>
        <w:t xml:space="preserve">Diabetes Obes Metab</w:t>
      </w:r>
      <w:r>
        <w:t xml:space="preserve"> </w:t>
      </w:r>
      <w:r>
        <w:t xml:space="preserve">· Semaglutide improves health-related quality of life versus placebo when added to standard of care in patients with type 2 diabetes at high cardiovascular risk (SUSTAIN 6). PMID 32227613</w:t>
      </w:r>
    </w:p>
    <w:p>
      <w:pPr>
        <w:numPr>
          <w:ilvl w:val="0"/>
          <w:numId w:val="1378"/>
        </w:numPr>
        <w:pStyle w:val="Compact"/>
      </w:pPr>
      <w:r>
        <w:t xml:space="preserve">2020 · Doggrell SA ·</w:t>
      </w:r>
      <w:r>
        <w:t xml:space="preserve"> </w:t>
      </w:r>
      <w:r>
        <w:rPr>
          <w:iCs/>
          <w:i/>
        </w:rPr>
        <w:t xml:space="preserve">Expert Opin Biol Ther</w:t>
      </w:r>
      <w:r>
        <w:t xml:space="preserve"> </w:t>
      </w:r>
      <w:r>
        <w:t xml:space="preserve">· Will oral semaglutide be used to reduce cardiovascular risk in subjects with type 2 diabetes instead of subcutaneous semaglutide?. PMID 32005073</w:t>
      </w:r>
    </w:p>
    <w:p>
      <w:pPr>
        <w:numPr>
          <w:ilvl w:val="0"/>
          <w:numId w:val="1378"/>
        </w:numPr>
        <w:pStyle w:val="Compact"/>
      </w:pPr>
      <w:r>
        <w:t xml:space="preserve">2020 · McCrimmon RJ ·</w:t>
      </w:r>
      <w:r>
        <w:t xml:space="preserve"> </w:t>
      </w:r>
      <w:r>
        <w:rPr>
          <w:iCs/>
          <w:i/>
        </w:rPr>
        <w:t xml:space="preserve">Diabetologia</w:t>
      </w:r>
      <w:r>
        <w:t xml:space="preserve"> </w:t>
      </w:r>
      <w:r>
        <w:t xml:space="preserve">· Effects of once-weekly semaglutide vs once-daily canagliflozin on body composition in type 2 diabetes: a substudy of the SUSTAIN 8 randomised controlled clinical trial. PMID 31897524</w:t>
      </w:r>
    </w:p>
    <w:p>
      <w:pPr>
        <w:numPr>
          <w:ilvl w:val="0"/>
          <w:numId w:val="1378"/>
        </w:numPr>
        <w:pStyle w:val="Compact"/>
      </w:pPr>
      <w:r>
        <w:t xml:space="preserve">2020 · DeSouza C ·</w:t>
      </w:r>
      <w:r>
        <w:t xml:space="preserve"> </w:t>
      </w:r>
      <w:r>
        <w:rPr>
          <w:iCs/>
          <w:i/>
        </w:rPr>
        <w:t xml:space="preserve">J Clin Endocrinol Metab</w:t>
      </w:r>
      <w:r>
        <w:t xml:space="preserve"> </w:t>
      </w:r>
      <w:r>
        <w:t xml:space="preserve">· Efficacy and Safety of Semaglutide for Type 2 Diabetes by Race and Ethnicity: A Post Hoc Analysis of the SUSTAIN Trials. PMID 31769496</w:t>
      </w:r>
    </w:p>
    <w:p>
      <w:pPr>
        <w:numPr>
          <w:ilvl w:val="0"/>
          <w:numId w:val="1378"/>
        </w:numPr>
        <w:pStyle w:val="Compact"/>
      </w:pPr>
      <w:r>
        <w:t xml:space="preserve">2020 · Matza LS ·</w:t>
      </w:r>
      <w:r>
        <w:t xml:space="preserve"> </w:t>
      </w:r>
      <w:r>
        <w:rPr>
          <w:iCs/>
          <w:i/>
        </w:rPr>
        <w:t xml:space="preserve">Diabetes Obes Metab</w:t>
      </w:r>
      <w:r>
        <w:t xml:space="preserve"> </w:t>
      </w:r>
      <w:r>
        <w:t xml:space="preserve">· Assessing patient PREFERence between the dulaglutide pen and the semaglutide pen: A crossover study (PREFER). PMID 31646727</w:t>
      </w:r>
    </w:p>
    <w:p>
      <w:pPr>
        <w:numPr>
          <w:ilvl w:val="0"/>
          <w:numId w:val="1378"/>
        </w:numPr>
        <w:pStyle w:val="Compact"/>
      </w:pPr>
      <w:r>
        <w:t xml:space="preserve">2020 · Capehorn MS ·</w:t>
      </w:r>
      <w:r>
        <w:t xml:space="preserve"> </w:t>
      </w:r>
      <w:r>
        <w:rPr>
          <w:iCs/>
          <w:i/>
        </w:rPr>
        <w:t xml:space="preserve">Diabetes Metab</w:t>
      </w:r>
      <w:r>
        <w:t xml:space="preserve"> </w:t>
      </w:r>
      <w:r>
        <w:t xml:space="preserve">· Efficacy and safety of once-weekly semaglutide 1.0mg vs once-daily liraglutide 1.2mg as add-on to 1-3 oral antidiabetic drugs in subjects with type 2 diabetes (SUSTAIN 10). PMID 31539622</w:t>
      </w:r>
    </w:p>
    <w:p>
      <w:pPr>
        <w:numPr>
          <w:ilvl w:val="0"/>
          <w:numId w:val="1378"/>
        </w:numPr>
        <w:pStyle w:val="Compact"/>
      </w:pPr>
      <w:r>
        <w:t xml:space="preserve">2019 · Lingvay I ·</w:t>
      </w:r>
      <w:r>
        <w:t xml:space="preserve"> </w:t>
      </w:r>
      <w:r>
        <w:rPr>
          <w:iCs/>
          <w:i/>
        </w:rPr>
        <w:t xml:space="preserve">Lancet Diabetes Endocrinol</w:t>
      </w:r>
      <w:r>
        <w:t xml:space="preserve"> </w:t>
      </w:r>
      <w:r>
        <w:t xml:space="preserve">· Efficacy and safety of once-weekly semaglutide versus daily canagliflozin as add-on to metformin in patients with type 2 diabetes (SUSTAIN 8): a double-blind, phase 3b, randomised controlled trial. PMID 31540867</w:t>
      </w:r>
    </w:p>
    <w:p>
      <w:pPr>
        <w:numPr>
          <w:ilvl w:val="0"/>
          <w:numId w:val="1378"/>
        </w:numPr>
        <w:pStyle w:val="Compact"/>
      </w:pPr>
      <w:r>
        <w:t xml:space="preserve">2019 · Zinman B ·</w:t>
      </w:r>
      <w:r>
        <w:t xml:space="preserve"> </w:t>
      </w:r>
      <w:r>
        <w:rPr>
          <w:iCs/>
          <w:i/>
        </w:rPr>
        <w:t xml:space="preserve">Diabetes Care</w:t>
      </w:r>
      <w:r>
        <w:t xml:space="preserve"> </w:t>
      </w:r>
      <w:r>
        <w:t xml:space="preserve">· Efficacy, Safety, and Tolerability of Oral Semaglutide Versus Placebo Added to Insulin With or Without Metformin in Patients With Type 2 Diabetes: The PIONEER 8 Trial. PMID 31530667</w:t>
      </w:r>
    </w:p>
    <w:p>
      <w:pPr>
        <w:numPr>
          <w:ilvl w:val="0"/>
          <w:numId w:val="1378"/>
        </w:numPr>
        <w:pStyle w:val="Compact"/>
      </w:pPr>
      <w:r>
        <w:t xml:space="preserve">2019 · Rodbard HW ·</w:t>
      </w:r>
      <w:r>
        <w:t xml:space="preserve"> </w:t>
      </w:r>
      <w:r>
        <w:rPr>
          <w:iCs/>
          <w:i/>
        </w:rPr>
        <w:t xml:space="preserve">Diabetes Care</w:t>
      </w:r>
      <w:r>
        <w:t xml:space="preserve"> </w:t>
      </w:r>
      <w:r>
        <w:t xml:space="preserve">· Oral Semaglutide Versus Empagliflozin in Patients With Type 2 Diabetes Uncontrolled on Metformin: The PIONEER 2 Trial. PMID 31530666</w:t>
      </w:r>
    </w:p>
    <w:p>
      <w:pPr>
        <w:numPr>
          <w:ilvl w:val="0"/>
          <w:numId w:val="1378"/>
        </w:numPr>
        <w:pStyle w:val="Compact"/>
      </w:pPr>
      <w:r>
        <w:t xml:space="preserve">2019 · Jendle J ·</w:t>
      </w:r>
      <w:r>
        <w:t xml:space="preserve"> </w:t>
      </w:r>
      <w:r>
        <w:rPr>
          <w:iCs/>
          <w:i/>
        </w:rPr>
        <w:t xml:space="preserve">Diabetes Obes Metab</w:t>
      </w:r>
      <w:r>
        <w:t xml:space="preserve"> </w:t>
      </w:r>
      <w:r>
        <w:t xml:space="preserve">· Improved treatment satisfaction in patients with type 2 diabetes treated with once-weekly semaglutide in the SUSTAIN trials. PMID 31215727</w:t>
      </w:r>
    </w:p>
    <w:p>
      <w:pPr>
        <w:numPr>
          <w:ilvl w:val="0"/>
          <w:numId w:val="1378"/>
        </w:numPr>
        <w:pStyle w:val="Compact"/>
      </w:pPr>
      <w:r>
        <w:t xml:space="preserve">2019 · Pieber TR ·</w:t>
      </w:r>
      <w:r>
        <w:t xml:space="preserve"> </w:t>
      </w:r>
      <w:r>
        <w:rPr>
          <w:iCs/>
          <w:i/>
        </w:rPr>
        <w:t xml:space="preserve">Lancet Diabetes Endocrinol</w:t>
      </w:r>
      <w:r>
        <w:t xml:space="preserve"> </w:t>
      </w:r>
      <w:r>
        <w:t xml:space="preserve">· Efficacy and safety of oral semaglutide with flexible dose adjustment versus sitagliptin in type 2 diabetes (PIONEER 7): a multicentre, open-label, randomised, phase 3a trial. PMID 31189520</w:t>
      </w:r>
    </w:p>
    <w:p>
      <w:pPr>
        <w:numPr>
          <w:ilvl w:val="0"/>
          <w:numId w:val="1378"/>
        </w:numPr>
        <w:pStyle w:val="Compact"/>
      </w:pPr>
      <w:r>
        <w:t xml:space="preserve">2019 · Mosenzon O ·</w:t>
      </w:r>
      <w:r>
        <w:t xml:space="preserve"> </w:t>
      </w:r>
      <w:r>
        <w:rPr>
          <w:iCs/>
          <w:i/>
        </w:rPr>
        <w:t xml:space="preserve">Lancet Diabetes Endocrinol</w:t>
      </w:r>
      <w:r>
        <w:t xml:space="preserve"> </w:t>
      </w:r>
      <w:r>
        <w:t xml:space="preserve">· Efficacy and safety of oral semaglutide in patients with type 2 diabetes and moderate renal impairment (PIONEER 5): a placebo-controlled, randomised, phase 3a trial. PMID 31189517</w:t>
      </w:r>
    </w:p>
    <w:p>
      <w:pPr>
        <w:numPr>
          <w:ilvl w:val="0"/>
          <w:numId w:val="1378"/>
        </w:numPr>
        <w:pStyle w:val="Compact"/>
      </w:pPr>
      <w:r>
        <w:t xml:space="preserve">2019 · Pratley R ·</w:t>
      </w:r>
      <w:r>
        <w:t xml:space="preserve"> </w:t>
      </w:r>
      <w:r>
        <w:rPr>
          <w:iCs/>
          <w:i/>
        </w:rPr>
        <w:t xml:space="preserve">Lancet</w:t>
      </w:r>
      <w:r>
        <w:t xml:space="preserve"> </w:t>
      </w:r>
      <w:r>
        <w:t xml:space="preserve">· Oral semaglutide versus subcutaneous liraglutide and placebo in type 2 diabetes (PIONEER 4): a randomised, double-blind, phase 3a trial. PMID 31186120</w:t>
      </w:r>
    </w:p>
    <w:p>
      <w:pPr>
        <w:numPr>
          <w:ilvl w:val="0"/>
          <w:numId w:val="1378"/>
        </w:numPr>
        <w:pStyle w:val="Compact"/>
      </w:pPr>
      <w:r>
        <w:t xml:space="preserve">2019 · Husain M ·</w:t>
      </w:r>
      <w:r>
        <w:t xml:space="preserve"> </w:t>
      </w:r>
      <w:r>
        <w:rPr>
          <w:iCs/>
          <w:i/>
        </w:rPr>
        <w:t xml:space="preserve">N Engl J Med</w:t>
      </w:r>
      <w:r>
        <w:t xml:space="preserve"> </w:t>
      </w:r>
      <w:r>
        <w:t xml:space="preserve">· Oral Semaglutide and Cardiovascular Outcomes in Patients with Type 2 Diabetes. PMID 31185157</w:t>
      </w:r>
    </w:p>
    <w:p>
      <w:pPr>
        <w:numPr>
          <w:ilvl w:val="0"/>
          <w:numId w:val="1378"/>
        </w:numPr>
        <w:pStyle w:val="Compact"/>
      </w:pPr>
      <w:r>
        <w:t xml:space="preserve">2019 · Bækdal TA ·</w:t>
      </w:r>
      <w:r>
        <w:t xml:space="preserve"> </w:t>
      </w:r>
      <w:r>
        <w:rPr>
          <w:iCs/>
          <w:i/>
        </w:rPr>
        <w:t xml:space="preserve">Clin Pharmacokinet</w:t>
      </w:r>
      <w:r>
        <w:t xml:space="preserve"> </w:t>
      </w:r>
      <w:r>
        <w:t xml:space="preserve">· Effect of Oral Semaglutide on the Pharmacokinetics of Lisinopril, Warfarin, Digoxin, and Metformin in Healthy Subjects. PMID 30945118</w:t>
      </w:r>
    </w:p>
    <w:p>
      <w:pPr>
        <w:numPr>
          <w:ilvl w:val="0"/>
          <w:numId w:val="1378"/>
        </w:numPr>
        <w:pStyle w:val="Compact"/>
      </w:pPr>
      <w:r>
        <w:t xml:space="preserve">2019 · Rosenstock J ·</w:t>
      </w:r>
      <w:r>
        <w:t xml:space="preserve"> </w:t>
      </w:r>
      <w:r>
        <w:rPr>
          <w:iCs/>
          <w:i/>
        </w:rPr>
        <w:t xml:space="preserve">JAMA</w:t>
      </w:r>
      <w:r>
        <w:t xml:space="preserve"> </w:t>
      </w:r>
      <w:r>
        <w:t xml:space="preserve">· Effect of Additional Oral Semaglutide vs Sitagliptin on Glycated Hemoglobin in Adults With Type 2 Diabetes Uncontrolled With Metformin Alone or With Sulfonylurea: The PIONEER 3 Randomized Clinical Trial. PMID 30903796</w:t>
      </w:r>
    </w:p>
    <w:p>
      <w:pPr>
        <w:numPr>
          <w:ilvl w:val="0"/>
          <w:numId w:val="1378"/>
        </w:numPr>
        <w:pStyle w:val="Compact"/>
      </w:pPr>
      <w:r>
        <w:t xml:space="preserve">2019 · Zinman B ·</w:t>
      </w:r>
      <w:r>
        <w:t xml:space="preserve"> </w:t>
      </w:r>
      <w:r>
        <w:rPr>
          <w:iCs/>
          <w:i/>
        </w:rPr>
        <w:t xml:space="preserve">Lancet Diabetes Endocrinol</w:t>
      </w:r>
      <w:r>
        <w:t xml:space="preserve"> </w:t>
      </w:r>
      <w:r>
        <w:t xml:space="preserve">· Semaglutide once weekly as add-on to SGLT-2 inhibitor therapy in type 2 diabetes (SUSTAIN 9): a randomised, placebo-controlled trial. PMID 30833170</w:t>
      </w:r>
    </w:p>
    <w:p>
      <w:pPr>
        <w:numPr>
          <w:ilvl w:val="0"/>
          <w:numId w:val="1378"/>
        </w:numPr>
        <w:pStyle w:val="Compact"/>
      </w:pPr>
      <w:r>
        <w:t xml:space="preserve">2019 · Granhall C ·</w:t>
      </w:r>
      <w:r>
        <w:t xml:space="preserve"> </w:t>
      </w:r>
      <w:r>
        <w:rPr>
          <w:iCs/>
          <w:i/>
        </w:rPr>
        <w:t xml:space="preserve">Clin Pharmacokinet</w:t>
      </w:r>
      <w:r>
        <w:t xml:space="preserve"> </w:t>
      </w:r>
      <w:r>
        <w:t xml:space="preserve">· Safety and Pharmacokinetics of Single and Multiple Ascending Doses of the Novel Oral Human GLP-1 Analogue, Oral Semaglutide, in Healthy Subjects and Subjects with Type 2 Diabetes. PMID 30565096</w:t>
      </w:r>
    </w:p>
    <w:p>
      <w:pPr>
        <w:numPr>
          <w:ilvl w:val="0"/>
          <w:numId w:val="1378"/>
        </w:numPr>
        <w:pStyle w:val="Compact"/>
      </w:pPr>
      <w:r>
        <w:t xml:space="preserve">2019 · Overgaard RV ·</w:t>
      </w:r>
      <w:r>
        <w:t xml:space="preserve"> </w:t>
      </w:r>
      <w:r>
        <w:rPr>
          <w:iCs/>
          <w:i/>
        </w:rPr>
        <w:t xml:space="preserve">Diabetes Obes Metab</w:t>
      </w:r>
      <w:r>
        <w:t xml:space="preserve"> </w:t>
      </w:r>
      <w:r>
        <w:t xml:space="preserve">· Impact on HbA1c and body weight of switching from other GLP-1 receptor agonists to semaglutide: A model-based approach. PMID 30047216</w:t>
      </w:r>
    </w:p>
    <w:p>
      <w:pPr>
        <w:numPr>
          <w:ilvl w:val="0"/>
          <w:numId w:val="1378"/>
        </w:numPr>
        <w:pStyle w:val="Compact"/>
      </w:pPr>
      <w:r>
        <w:t xml:space="preserve">2018 · Buckley ST ·</w:t>
      </w:r>
      <w:r>
        <w:t xml:space="preserve"> </w:t>
      </w:r>
      <w:r>
        <w:rPr>
          <w:iCs/>
          <w:i/>
        </w:rPr>
        <w:t xml:space="preserve">Sci Transl Med</w:t>
      </w:r>
      <w:r>
        <w:t xml:space="preserve"> </w:t>
      </w:r>
      <w:r>
        <w:t xml:space="preserve">· Transcellular stomach absorption of a derivatized glucagon-like peptide-1 receptor agonist. PMID 30429357</w:t>
      </w:r>
    </w:p>
    <w:p>
      <w:pPr>
        <w:numPr>
          <w:ilvl w:val="0"/>
          <w:numId w:val="1378"/>
        </w:numPr>
        <w:pStyle w:val="Compact"/>
      </w:pPr>
      <w:r>
        <w:t xml:space="preserve">2018 · O’Neil PM ·</w:t>
      </w:r>
      <w:r>
        <w:t xml:space="preserve"> </w:t>
      </w:r>
      <w:r>
        <w:rPr>
          <w:iCs/>
          <w:i/>
        </w:rPr>
        <w:t xml:space="preserve">Lancet</w:t>
      </w:r>
      <w:r>
        <w:t xml:space="preserve"> </w:t>
      </w:r>
      <w:r>
        <w:t xml:space="preserve">· Efficacy and safety of semaglutide compared with liraglutide and placebo for weight loss in patients with obesity: a randomised, double-blind, placebo and active controlled, dose-ranging, phase 2 trial. PMID 30122305</w:t>
      </w:r>
    </w:p>
    <w:p>
      <w:pPr>
        <w:numPr>
          <w:ilvl w:val="0"/>
          <w:numId w:val="1378"/>
        </w:numPr>
        <w:pStyle w:val="Compact"/>
      </w:pPr>
      <w:r>
        <w:t xml:space="preserve">2018 · Lingvay I ·</w:t>
      </w:r>
      <w:r>
        <w:t xml:space="preserve"> </w:t>
      </w:r>
      <w:r>
        <w:rPr>
          <w:iCs/>
          <w:i/>
        </w:rPr>
        <w:t xml:space="preserve">Diabetes Care</w:t>
      </w:r>
      <w:r>
        <w:t xml:space="preserve"> </w:t>
      </w:r>
      <w:r>
        <w:t xml:space="preserve">· A 26-Week Randomized Controlled Trial of Semaglutide Once Daily Versus Liraglutide and Placebo in Patients With Type 2 Diabetes Suboptimally Controlled on Diet and Exercise With or Without Metformin. PMID 30026333</w:t>
      </w:r>
    </w:p>
    <w:p>
      <w:pPr>
        <w:numPr>
          <w:ilvl w:val="0"/>
          <w:numId w:val="1378"/>
        </w:numPr>
        <w:pStyle w:val="Compact"/>
      </w:pPr>
      <w:r>
        <w:t xml:space="preserve">2018 · Bækdal TA ·</w:t>
      </w:r>
      <w:r>
        <w:t xml:space="preserve"> </w:t>
      </w:r>
      <w:r>
        <w:rPr>
          <w:iCs/>
          <w:i/>
        </w:rPr>
        <w:t xml:space="preserve">Expert Opin Drug Metab Toxicol</w:t>
      </w:r>
      <w:r>
        <w:t xml:space="preserve"> </w:t>
      </w:r>
      <w:r>
        <w:t xml:space="preserve">· A randomized study investigating the effect of omeprazole on the pharmacokinetics of oral semaglutide. PMID 29897249</w:t>
      </w:r>
    </w:p>
    <w:p>
      <w:pPr>
        <w:numPr>
          <w:ilvl w:val="0"/>
          <w:numId w:val="1378"/>
        </w:numPr>
        <w:pStyle w:val="Compact"/>
      </w:pPr>
      <w:r>
        <w:t xml:space="preserve">2018 · Korsatko S ·</w:t>
      </w:r>
      <w:r>
        <w:t xml:space="preserve"> </w:t>
      </w:r>
      <w:r>
        <w:rPr>
          <w:iCs/>
          <w:i/>
        </w:rPr>
        <w:t xml:space="preserve">Diabetes Obes Metab</w:t>
      </w:r>
      <w:r>
        <w:t xml:space="preserve"> </w:t>
      </w:r>
      <w:r>
        <w:t xml:space="preserve">· Effect of once-weekly semaglutide on the counterregulatory response to hypoglycaemia in people with type 2 diabetes: A randomized, placebo-controlled, double-blind, crossover trial. PMID 29893488</w:t>
      </w:r>
    </w:p>
    <w:p>
      <w:pPr>
        <w:numPr>
          <w:ilvl w:val="0"/>
          <w:numId w:val="1378"/>
        </w:numPr>
        <w:pStyle w:val="Compact"/>
      </w:pPr>
      <w:r>
        <w:t xml:space="preserve">2018 · Ahrén B ·</w:t>
      </w:r>
      <w:r>
        <w:t xml:space="preserve"> </w:t>
      </w:r>
      <w:r>
        <w:rPr>
          <w:iCs/>
          <w:i/>
        </w:rPr>
        <w:t xml:space="preserve">Diabetes Obes Metab</w:t>
      </w:r>
      <w:r>
        <w:t xml:space="preserve"> </w:t>
      </w:r>
      <w:r>
        <w:t xml:space="preserve">· Semaglutide induces weight loss in subjects with type 2 diabetes regardless of baseline BMI or gastrointestinal adverse events in the SUSTAIN 1 to 5 trials. PMID 29766634</w:t>
      </w:r>
    </w:p>
    <w:p>
      <w:pPr>
        <w:numPr>
          <w:ilvl w:val="0"/>
          <w:numId w:val="1378"/>
        </w:numPr>
        <w:pStyle w:val="Compact"/>
      </w:pPr>
      <w:r>
        <w:t xml:space="preserve">2018 · Baekdal TA ·</w:t>
      </w:r>
      <w:r>
        <w:t xml:space="preserve"> </w:t>
      </w:r>
      <w:r>
        <w:rPr>
          <w:iCs/>
          <w:i/>
        </w:rPr>
        <w:t xml:space="preserve">J Clin Pharmacol</w:t>
      </w:r>
      <w:r>
        <w:t xml:space="preserve"> </w:t>
      </w:r>
      <w:r>
        <w:t xml:space="preserve">· Pharmacokinetics, Safety, and Tolerability of Oral Semaglutide in Subjects With Hepatic Impairment. PMID 29693715</w:t>
      </w:r>
    </w:p>
    <w:p>
      <w:pPr>
        <w:numPr>
          <w:ilvl w:val="0"/>
          <w:numId w:val="1378"/>
        </w:numPr>
        <w:pStyle w:val="Compact"/>
      </w:pPr>
      <w:r>
        <w:t xml:space="preserve">2018 · Rodbard HW ·</w:t>
      </w:r>
      <w:r>
        <w:t xml:space="preserve"> </w:t>
      </w:r>
      <w:r>
        <w:rPr>
          <w:iCs/>
          <w:i/>
        </w:rPr>
        <w:t xml:space="preserve">J Clin Endocrinol Metab</w:t>
      </w:r>
      <w:r>
        <w:t xml:space="preserve"> </w:t>
      </w:r>
      <w:r>
        <w:t xml:space="preserve">· Semaglutide Added to Basal Insulin in Type 2 Diabetes (SUSTAIN 5): A Randomized, Controlled Trial. PMID 29688502</w:t>
      </w:r>
    </w:p>
    <w:p>
      <w:pPr>
        <w:numPr>
          <w:ilvl w:val="0"/>
          <w:numId w:val="1378"/>
        </w:numPr>
        <w:pStyle w:val="Compact"/>
      </w:pPr>
      <w:r>
        <w:t xml:space="preserve">2018 · Warren M ·</w:t>
      </w:r>
      <w:r>
        <w:t xml:space="preserve"> </w:t>
      </w:r>
      <w:r>
        <w:rPr>
          <w:iCs/>
          <w:i/>
        </w:rPr>
        <w:t xml:space="preserve">Diabetes Obes Metab</w:t>
      </w:r>
      <w:r>
        <w:t xml:space="preserve"> </w:t>
      </w:r>
      <w:r>
        <w:t xml:space="preserve">· Semaglutide as a therapeutic option for elderly patients with type 2 diabetes: Pooled analysis of the SUSTAIN 1-5 trials. PMID 29687620</w:t>
      </w:r>
    </w:p>
    <w:p>
      <w:pPr>
        <w:numPr>
          <w:ilvl w:val="0"/>
          <w:numId w:val="1378"/>
        </w:numPr>
        <w:pStyle w:val="Compact"/>
      </w:pPr>
      <w:r>
        <w:t xml:space="preserve">2018 · Granhall C ·</w:t>
      </w:r>
      <w:r>
        <w:t xml:space="preserve"> </w:t>
      </w:r>
      <w:r>
        <w:rPr>
          <w:iCs/>
          <w:i/>
        </w:rPr>
        <w:t xml:space="preserve">Clin Pharmacokinet</w:t>
      </w:r>
      <w:r>
        <w:t xml:space="preserve"> </w:t>
      </w:r>
      <w:r>
        <w:t xml:space="preserve">· Pharmacokinetics, Safety and Tolerability of Oral Semaglutide in Subjects with Renal Impairment. PMID 29623579</w:t>
      </w:r>
    </w:p>
    <w:p>
      <w:pPr>
        <w:numPr>
          <w:ilvl w:val="0"/>
          <w:numId w:val="1378"/>
        </w:numPr>
        <w:pStyle w:val="Compact"/>
      </w:pPr>
      <w:r>
        <w:t xml:space="preserve">2018 · Ikushima I ·</w:t>
      </w:r>
      <w:r>
        <w:t xml:space="preserve"> </w:t>
      </w:r>
      <w:r>
        <w:rPr>
          <w:iCs/>
          <w:i/>
        </w:rPr>
        <w:t xml:space="preserve">Adv Ther</w:t>
      </w:r>
      <w:r>
        <w:t xml:space="preserve"> </w:t>
      </w:r>
      <w:r>
        <w:t xml:space="preserve">· A Randomized Trial Investigating the Pharmacokinetics, Pharmacodynamics, and Safety of Subcutaneous Semaglutide Once-Weekly in Healthy Male Japanese and Caucasian Subjects. PMID 29536338</w:t>
      </w:r>
    </w:p>
    <w:p>
      <w:pPr>
        <w:numPr>
          <w:ilvl w:val="0"/>
          <w:numId w:val="1378"/>
        </w:numPr>
        <w:pStyle w:val="Compact"/>
      </w:pPr>
      <w:r>
        <w:t xml:space="preserve">2018 · Kaneko M ·</w:t>
      </w:r>
      <w:r>
        <w:t xml:space="preserve"> </w:t>
      </w:r>
      <w:r>
        <w:rPr>
          <w:iCs/>
          <w:i/>
        </w:rPr>
        <w:t xml:space="preserve">Ann Pharmacother</w:t>
      </w:r>
      <w:r>
        <w:t xml:space="preserve"> </w:t>
      </w:r>
      <w:r>
        <w:t xml:space="preserve">· Assessment of Cardiovascular Risk With Glucagon-Like Peptide 1 Receptor Agonists in Patients With Type 2 Diabetes Using an Alternative Measure to the Hazard Ratio. PMID 29424239</w:t>
      </w:r>
    </w:p>
    <w:p>
      <w:pPr>
        <w:numPr>
          <w:ilvl w:val="0"/>
          <w:numId w:val="1378"/>
        </w:numPr>
        <w:pStyle w:val="Compact"/>
      </w:pPr>
      <w:r>
        <w:t xml:space="preserve">2018 · Pratley RE ·</w:t>
      </w:r>
      <w:r>
        <w:t xml:space="preserve"> </w:t>
      </w:r>
      <w:r>
        <w:rPr>
          <w:iCs/>
          <w:i/>
        </w:rPr>
        <w:t xml:space="preserve">Lancet Diabetes Endocrinol</w:t>
      </w:r>
      <w:r>
        <w:t xml:space="preserve"> </w:t>
      </w:r>
      <w:r>
        <w:t xml:space="preserve">· Semaglutide versus dulaglutide once weekly in patients with type 2 diabetes (SUSTAIN 7): a randomised, open-label, phase 3b trial. PMID 29397376</w:t>
      </w:r>
    </w:p>
    <w:p>
      <w:pPr>
        <w:numPr>
          <w:ilvl w:val="0"/>
          <w:numId w:val="1378"/>
        </w:numPr>
        <w:pStyle w:val="Compact"/>
      </w:pPr>
      <w:r>
        <w:t xml:space="preserve">2018 · Kaku K ·</w:t>
      </w:r>
      <w:r>
        <w:t xml:space="preserve"> </w:t>
      </w:r>
      <w:r>
        <w:rPr>
          <w:iCs/>
          <w:i/>
        </w:rPr>
        <w:t xml:space="preserve">Diabetes Obes Metab</w:t>
      </w:r>
      <w:r>
        <w:t xml:space="preserve"> </w:t>
      </w:r>
      <w:r>
        <w:t xml:space="preserve">· Safety and efficacy of once-weekly semaglutide vs additional oral antidiabetic drugs in Japanese people with inadequately controlled type 2 diabetes: A randomized trial. PMID 29322610</w:t>
      </w:r>
    </w:p>
    <w:p>
      <w:pPr>
        <w:numPr>
          <w:ilvl w:val="0"/>
          <w:numId w:val="1378"/>
        </w:numPr>
        <w:pStyle w:val="Compact"/>
      </w:pPr>
      <w:r>
        <w:t xml:space="preserve">2018 · Ahmann AJ ·</w:t>
      </w:r>
      <w:r>
        <w:t xml:space="preserve"> </w:t>
      </w:r>
      <w:r>
        <w:rPr>
          <w:iCs/>
          <w:i/>
        </w:rPr>
        <w:t xml:space="preserve">Diabetes Care</w:t>
      </w:r>
      <w:r>
        <w:t xml:space="preserve"> </w:t>
      </w:r>
      <w:r>
        <w:t xml:space="preserve">· Efficacy and Safety of Once-Weekly Semaglutide Versus Exenatide ER in Subjects With Type 2 Diabetes (SUSTAIN 3): A 56-Week, Open-Label, Randomized Clinical Trial. PMID 29246950</w:t>
      </w:r>
    </w:p>
    <w:p>
      <w:pPr>
        <w:numPr>
          <w:ilvl w:val="0"/>
          <w:numId w:val="1378"/>
        </w:numPr>
        <w:pStyle w:val="Compact"/>
      </w:pPr>
      <w:r>
        <w:t xml:space="preserve">2018 · Jensen L ·</w:t>
      </w:r>
      <w:r>
        <w:t xml:space="preserve"> </w:t>
      </w:r>
      <w:r>
        <w:rPr>
          <w:iCs/>
          <w:i/>
        </w:rPr>
        <w:t xml:space="preserve">Diabetes Obes Metab</w:t>
      </w:r>
      <w:r>
        <w:t xml:space="preserve"> </w:t>
      </w:r>
      <w:r>
        <w:t xml:space="preserve">· Pharmacokinetics and tolerability of semaglutide in people with hepatic impairment. PMID 29205786</w:t>
      </w:r>
    </w:p>
    <w:p>
      <w:pPr>
        <w:numPr>
          <w:ilvl w:val="0"/>
          <w:numId w:val="1378"/>
        </w:numPr>
        <w:pStyle w:val="Compact"/>
      </w:pPr>
      <w:r>
        <w:t xml:space="preserve">2018 · Vilsbøll T ·</w:t>
      </w:r>
      <w:r>
        <w:t xml:space="preserve"> </w:t>
      </w:r>
      <w:r>
        <w:rPr>
          <w:iCs/>
          <w:i/>
        </w:rPr>
        <w:t xml:space="preserve">Diabetes Obes Metab</w:t>
      </w:r>
      <w:r>
        <w:t xml:space="preserve"> </w:t>
      </w:r>
      <w:r>
        <w:t xml:space="preserve">· Semaglutide, reduction in glycated haemoglobin and the risk of diabetic retinopathy. PMID 29178519</w:t>
      </w:r>
    </w:p>
    <w:p>
      <w:pPr>
        <w:numPr>
          <w:ilvl w:val="0"/>
          <w:numId w:val="1378"/>
        </w:numPr>
        <w:pStyle w:val="Compact"/>
      </w:pPr>
      <w:r>
        <w:t xml:space="preserve">2018 · Hjerpsted JB ·</w:t>
      </w:r>
      <w:r>
        <w:t xml:space="preserve"> </w:t>
      </w:r>
      <w:r>
        <w:rPr>
          <w:iCs/>
          <w:i/>
        </w:rPr>
        <w:t xml:space="preserve">Diabetes Obes Metab</w:t>
      </w:r>
      <w:r>
        <w:t xml:space="preserve"> </w:t>
      </w:r>
      <w:r>
        <w:t xml:space="preserve">· Semaglutide improves postprandial glucose and lipid metabolism, and delays first-hour gastric emptying in subjects with obesity. PMID 28941314</w:t>
      </w:r>
    </w:p>
    <w:p>
      <w:pPr>
        <w:numPr>
          <w:ilvl w:val="0"/>
          <w:numId w:val="1378"/>
        </w:numPr>
        <w:pStyle w:val="Compact"/>
      </w:pPr>
      <w:r>
        <w:t xml:space="preserve">2018 · Seino Y ·</w:t>
      </w:r>
      <w:r>
        <w:t xml:space="preserve"> </w:t>
      </w:r>
      <w:r>
        <w:rPr>
          <w:iCs/>
          <w:i/>
        </w:rPr>
        <w:t xml:space="preserve">Diabetes Obes Metab</w:t>
      </w:r>
      <w:r>
        <w:t xml:space="preserve"> </w:t>
      </w:r>
      <w:r>
        <w:t xml:space="preserve">· Safety and efficacy of semaglutide once weekly vs sitagliptin once daily, both as monotherapy in Japanese people with type 2 diabetes. PMID 28786547</w:t>
      </w:r>
    </w:p>
    <w:p>
      <w:pPr>
        <w:numPr>
          <w:ilvl w:val="0"/>
          <w:numId w:val="1378"/>
        </w:numPr>
        <w:pStyle w:val="Compact"/>
      </w:pPr>
      <w:r>
        <w:t xml:space="preserve">2017 · Davies M ·</w:t>
      </w:r>
      <w:r>
        <w:t xml:space="preserve"> </w:t>
      </w:r>
      <w:r>
        <w:rPr>
          <w:iCs/>
          <w:i/>
        </w:rPr>
        <w:t xml:space="preserve">JAMA</w:t>
      </w:r>
      <w:r>
        <w:t xml:space="preserve"> </w:t>
      </w:r>
      <w:r>
        <w:t xml:space="preserve">· Effect of Oral Semaglutide Compared With Placebo and Subcutaneous Semaglutide on Glycemic Control in Patients With Type 2 Diabetes: A Randomized Clinical Trial. PMID 29049653</w:t>
      </w:r>
    </w:p>
    <w:p>
      <w:pPr>
        <w:numPr>
          <w:ilvl w:val="0"/>
          <w:numId w:val="1378"/>
        </w:numPr>
        <w:pStyle w:val="Compact"/>
      </w:pPr>
      <w:r>
        <w:t xml:space="preserve">2017 · Kapitza C ·</w:t>
      </w:r>
      <w:r>
        <w:t xml:space="preserve"> </w:t>
      </w:r>
      <w:r>
        <w:rPr>
          <w:iCs/>
          <w:i/>
        </w:rPr>
        <w:t xml:space="preserve">Diabetologia</w:t>
      </w:r>
      <w:r>
        <w:t xml:space="preserve"> </w:t>
      </w:r>
      <w:r>
        <w:t xml:space="preserve">· Effects of semaglutide on beta cell function and glycaemic control in participants with type 2 diabetes: a randomised, double-blind, placebo-controlled trial. PMID 28526920</w:t>
      </w:r>
    </w:p>
    <w:p>
      <w:pPr>
        <w:numPr>
          <w:ilvl w:val="0"/>
          <w:numId w:val="1378"/>
        </w:numPr>
        <w:pStyle w:val="Compact"/>
      </w:pPr>
      <w:r>
        <w:t xml:space="preserve">2017 · Ahrén B ·</w:t>
      </w:r>
      <w:r>
        <w:t xml:space="preserve"> </w:t>
      </w:r>
      <w:r>
        <w:rPr>
          <w:iCs/>
          <w:i/>
        </w:rPr>
        <w:t xml:space="preserve">Lancet Diabetes Endocrinol</w:t>
      </w:r>
      <w:r>
        <w:t xml:space="preserve"> </w:t>
      </w:r>
      <w:r>
        <w:t xml:space="preserve">· Efficacy and safety of once-weekly semaglutide versus once-daily sitagliptin as an add-on to metformin, thiazolidinediones, or both, in patients with type 2 diabetes (SUSTAIN 2): a 56-week, double-blind, phase 3a, randomised trial. PMID 28385659</w:t>
      </w:r>
    </w:p>
    <w:p>
      <w:pPr>
        <w:numPr>
          <w:ilvl w:val="0"/>
          <w:numId w:val="1378"/>
        </w:numPr>
        <w:pStyle w:val="Compact"/>
      </w:pPr>
      <w:r>
        <w:t xml:space="preserve">2017 · Hausner H ·</w:t>
      </w:r>
      <w:r>
        <w:t xml:space="preserve"> </w:t>
      </w:r>
      <w:r>
        <w:rPr>
          <w:iCs/>
          <w:i/>
        </w:rPr>
        <w:t xml:space="preserve">Clin Pharmacokinet</w:t>
      </w:r>
      <w:r>
        <w:t xml:space="preserve"> </w:t>
      </w:r>
      <w:r>
        <w:t xml:space="preserve">· Effect of Semaglutide on the Pharmacokinetics of Metformin, Warfarin, Atorvastatin and Digoxin in Healthy Subjects. PMID 28349387</w:t>
      </w:r>
    </w:p>
    <w:p>
      <w:pPr>
        <w:numPr>
          <w:ilvl w:val="0"/>
          <w:numId w:val="1378"/>
        </w:numPr>
        <w:pStyle w:val="Compact"/>
      </w:pPr>
      <w:r>
        <w:t xml:space="preserve">2017 · Marbury TC ·</w:t>
      </w:r>
      <w:r>
        <w:t xml:space="preserve"> </w:t>
      </w:r>
      <w:r>
        <w:rPr>
          <w:iCs/>
          <w:i/>
        </w:rPr>
        <w:t xml:space="preserve">Clin Pharmacokinet</w:t>
      </w:r>
      <w:r>
        <w:t xml:space="preserve"> </w:t>
      </w:r>
      <w:r>
        <w:t xml:space="preserve">· Pharmacokinetics and Tolerability of a Single Dose of Semaglutide, a Human Glucagon-Like Peptide-1 Analog, in Subjects With and Without Renal Impairment. PMID 28349386</w:t>
      </w:r>
    </w:p>
    <w:p>
      <w:pPr>
        <w:numPr>
          <w:ilvl w:val="0"/>
          <w:numId w:val="1378"/>
        </w:numPr>
        <w:pStyle w:val="Compact"/>
      </w:pPr>
      <w:r>
        <w:t xml:space="preserve">2017 · Aroda VR ·</w:t>
      </w:r>
      <w:r>
        <w:t xml:space="preserve"> </w:t>
      </w:r>
      <w:r>
        <w:rPr>
          <w:iCs/>
          <w:i/>
        </w:rPr>
        <w:t xml:space="preserve">Lancet Diabetes Endocrinol</w:t>
      </w:r>
      <w:r>
        <w:t xml:space="preserve"> </w:t>
      </w:r>
      <w:r>
        <w:t xml:space="preserve">· Efficacy and safety of once-weekly semaglutide versus once-daily insulin glargine as add-on to metformin (with or without sulfonylureas) in insulin-naive patients with type 2 diabetes (SUSTAIN 4): a randomised, open-label, parallel-group, multicentre, multinational, phase 3a trial. PMID 28344112</w:t>
      </w:r>
    </w:p>
    <w:p>
      <w:pPr>
        <w:numPr>
          <w:ilvl w:val="0"/>
          <w:numId w:val="1378"/>
        </w:numPr>
        <w:pStyle w:val="Compact"/>
      </w:pPr>
      <w:r>
        <w:t xml:space="preserve">2017 · Ebell MH ·</w:t>
      </w:r>
      <w:r>
        <w:t xml:space="preserve"> </w:t>
      </w:r>
      <w:r>
        <w:rPr>
          <w:iCs/>
          <w:i/>
        </w:rPr>
        <w:t xml:space="preserve">Am Fam Physician</w:t>
      </w:r>
      <w:r>
        <w:t xml:space="preserve"> </w:t>
      </w:r>
      <w:r>
        <w:t xml:space="preserve">· Semaglutide Reduces CV Events in High-Risk Patients with Type 2 Diabetes Mellitus. PMID 28318215</w:t>
      </w:r>
    </w:p>
    <w:p>
      <w:pPr>
        <w:numPr>
          <w:ilvl w:val="0"/>
          <w:numId w:val="1378"/>
        </w:numPr>
        <w:pStyle w:val="Compact"/>
      </w:pPr>
      <w:r>
        <w:t xml:space="preserve">2017 · Blundell J ·</w:t>
      </w:r>
      <w:r>
        <w:t xml:space="preserve"> </w:t>
      </w:r>
      <w:r>
        <w:rPr>
          <w:iCs/>
          <w:i/>
        </w:rPr>
        <w:t xml:space="preserve">Diabetes Obes Metab</w:t>
      </w:r>
      <w:r>
        <w:t xml:space="preserve"> </w:t>
      </w:r>
      <w:r>
        <w:t xml:space="preserve">· Effects of once-weekly semaglutide on appetite, energy intake, control of eating, food preference and body weight in subjects with obesity. PMID 28266779</w:t>
      </w:r>
    </w:p>
    <w:p>
      <w:pPr>
        <w:numPr>
          <w:ilvl w:val="0"/>
          <w:numId w:val="1378"/>
        </w:numPr>
        <w:pStyle w:val="Compact"/>
      </w:pPr>
      <w:r>
        <w:t xml:space="preserve">2017 · Sorli C ·</w:t>
      </w:r>
      <w:r>
        <w:t xml:space="preserve"> </w:t>
      </w:r>
      <w:r>
        <w:rPr>
          <w:iCs/>
          <w:i/>
        </w:rPr>
        <w:t xml:space="preserve">Lancet Diabetes Endocrinol</w:t>
      </w:r>
      <w:r>
        <w:t xml:space="preserve"> </w:t>
      </w:r>
      <w:r>
        <w:t xml:space="preserve">· Efficacy and safety of once-weekly semaglutide monotherapy versus placebo in patients with type 2 diabetes (SUSTAIN 1): a double-blind, randomised, placebo-controlled, parallel-group, multinational, multicentre phase 3a trial. PMID 28110911</w:t>
      </w:r>
    </w:p>
    <w:p>
      <w:pPr>
        <w:numPr>
          <w:ilvl w:val="0"/>
          <w:numId w:val="1378"/>
        </w:numPr>
        <w:pStyle w:val="Compact"/>
      </w:pPr>
      <w:r>
        <w:t xml:space="preserve">2016 · Marso SP ·</w:t>
      </w:r>
      <w:r>
        <w:t xml:space="preserve"> </w:t>
      </w:r>
      <w:r>
        <w:rPr>
          <w:iCs/>
          <w:i/>
        </w:rPr>
        <w:t xml:space="preserve">N Engl J Med</w:t>
      </w:r>
      <w:r>
        <w:t xml:space="preserve"> </w:t>
      </w:r>
      <w:r>
        <w:t xml:space="preserve">· Semaglutide and Cardiovascular Outcomes in Patients with Type 2 Diabetes. PMID 27633186</w:t>
      </w:r>
    </w:p>
    <w:p>
      <w:pPr>
        <w:numPr>
          <w:ilvl w:val="0"/>
          <w:numId w:val="1378"/>
        </w:numPr>
        <w:pStyle w:val="Compact"/>
      </w:pPr>
      <w:r>
        <w:t xml:space="preserve">2016 · Nauck MA ·</w:t>
      </w:r>
      <w:r>
        <w:t xml:space="preserve"> </w:t>
      </w:r>
      <w:r>
        <w:rPr>
          <w:iCs/>
          <w:i/>
        </w:rPr>
        <w:t xml:space="preserve">Diabetes Care</w:t>
      </w:r>
      <w:r>
        <w:t xml:space="preserve"> </w:t>
      </w:r>
      <w:r>
        <w:t xml:space="preserve">· A Phase 2, Randomized, Dose-Finding Study of the Novel Once-Weekly Human GLP-1 Analog, Semaglutide, Compared With Placebo and Open-Label Liraglutide in Patients With Type 2 Diabetes. PMID 26358288</w:t>
      </w:r>
    </w:p>
    <w:bookmarkEnd w:id="3017"/>
    <w:bookmarkStart w:id="3018" w:name="tirzepatide-144"/>
    <w:p>
      <w:pPr>
        <w:pStyle w:val="Heading2"/>
      </w:pPr>
      <w:r>
        <w:t xml:space="preserve">Tirzepatide (144)</w:t>
      </w:r>
    </w:p>
    <w:p>
      <w:pPr>
        <w:numPr>
          <w:ilvl w:val="0"/>
          <w:numId w:val="1379"/>
        </w:numPr>
        <w:pStyle w:val="Compact"/>
      </w:pPr>
      <w:r>
        <w:t xml:space="preserve">2026 · Falcon B ·</w:t>
      </w:r>
      <w:r>
        <w:t xml:space="preserve"> </w:t>
      </w:r>
      <w:r>
        <w:rPr>
          <w:iCs/>
          <w:i/>
        </w:rPr>
        <w:t xml:space="preserve">J Clin Sleep Med</w:t>
      </w:r>
      <w:r>
        <w:t xml:space="preserve"> </w:t>
      </w:r>
      <w:r>
        <w:t xml:space="preserve">· Association of tirzepatide with changes in OSA-related measures based on baseline characteristics - post hoc analyses of SURMOUNT-OSA. PMID 42675225</w:t>
      </w:r>
    </w:p>
    <w:p>
      <w:pPr>
        <w:numPr>
          <w:ilvl w:val="0"/>
          <w:numId w:val="1379"/>
        </w:numPr>
        <w:pStyle w:val="Compact"/>
      </w:pPr>
      <w:r>
        <w:t xml:space="preserve">2026 · Sattar N ·</w:t>
      </w:r>
      <w:r>
        <w:t xml:space="preserve"> </w:t>
      </w:r>
      <w:r>
        <w:rPr>
          <w:iCs/>
          <w:i/>
        </w:rPr>
        <w:t xml:space="preserve">PLoS One</w:t>
      </w:r>
      <w:r>
        <w:t xml:space="preserve"> </w:t>
      </w:r>
      <w:r>
        <w:t xml:space="preserve">· Achieving the triple endpoint of body weight reduction thresholds, systolic blood pressure reduction ≥5 mmHg and non-HDL cholesterol &lt;130 mg/dL with tirzepatide in people with obesity: A post hoc analysis from the SURMOUNT trials. PMID 42594122</w:t>
      </w:r>
    </w:p>
    <w:p>
      <w:pPr>
        <w:numPr>
          <w:ilvl w:val="0"/>
          <w:numId w:val="1379"/>
        </w:numPr>
        <w:pStyle w:val="Compact"/>
      </w:pPr>
      <w:r>
        <w:t xml:space="preserve">2026 · Cusi K ·</w:t>
      </w:r>
      <w:r>
        <w:t xml:space="preserve"> </w:t>
      </w:r>
      <w:r>
        <w:rPr>
          <w:iCs/>
          <w:i/>
        </w:rPr>
        <w:t xml:space="preserve">Liver Int</w:t>
      </w:r>
      <w:r>
        <w:t xml:space="preserve"> </w:t>
      </w:r>
      <w:r>
        <w:t xml:space="preserve">· Liver Fat Changes in Patients With Type 2 Diabetes by Presence of Genetic Hepatic Steatosis: A Post Hoc Analysis of SURPASS-3 MRI. PMID 42576670</w:t>
      </w:r>
    </w:p>
    <w:p>
      <w:pPr>
        <w:numPr>
          <w:ilvl w:val="0"/>
          <w:numId w:val="1379"/>
        </w:numPr>
        <w:pStyle w:val="Compact"/>
      </w:pPr>
      <w:r>
        <w:t xml:space="preserve">2026 · Kitamoto T ·</w:t>
      </w:r>
      <w:r>
        <w:t xml:space="preserve"> </w:t>
      </w:r>
      <w:r>
        <w:rPr>
          <w:iCs/>
          <w:i/>
        </w:rPr>
        <w:t xml:space="preserve">Curr Med Res Opin</w:t>
      </w:r>
      <w:r>
        <w:t xml:space="preserve"> </w:t>
      </w:r>
      <w:r>
        <w:t xml:space="preserve">· Tirzepatide compared with semaglutide in obesity disease: a subpopulation analysis applying Japan Society for the Study of Obesity criteria in the global SURMOUNT-5 trial. PMID 42434924</w:t>
      </w:r>
    </w:p>
    <w:p>
      <w:pPr>
        <w:numPr>
          <w:ilvl w:val="0"/>
          <w:numId w:val="1379"/>
        </w:numPr>
        <w:pStyle w:val="Compact"/>
      </w:pPr>
      <w:r>
        <w:t xml:space="preserve">2026 · Kanu C ·</w:t>
      </w:r>
      <w:r>
        <w:t xml:space="preserve"> </w:t>
      </w:r>
      <w:r>
        <w:rPr>
          <w:iCs/>
          <w:i/>
        </w:rPr>
        <w:t xml:space="preserve">Sleep</w:t>
      </w:r>
      <w:r>
        <w:t xml:space="preserve"> </w:t>
      </w:r>
      <w:r>
        <w:t xml:space="preserve">· Changes in patient-reported outcomes and objective assessments based on baseline symptom severity in SURMOUNT-OSA: post-hoc analyses. PMID 42412744</w:t>
      </w:r>
    </w:p>
    <w:p>
      <w:pPr>
        <w:numPr>
          <w:ilvl w:val="0"/>
          <w:numId w:val="1379"/>
        </w:numPr>
        <w:pStyle w:val="Compact"/>
      </w:pPr>
      <w:r>
        <w:t xml:space="preserve">2026 · Kokkinos A ·</w:t>
      </w:r>
      <w:r>
        <w:t xml:space="preserve"> </w:t>
      </w:r>
      <w:r>
        <w:rPr>
          <w:iCs/>
          <w:i/>
        </w:rPr>
        <w:t xml:space="preserve">Diabetes Obes Metab</w:t>
      </w:r>
      <w:r>
        <w:t xml:space="preserve"> </w:t>
      </w:r>
      <w:r>
        <w:t xml:space="preserve">· Tirzepatide Efficacy and Tolerability According to Early Weight Response: A Post Hoc Analysis of the SURMOUNT-1 and SURMOUNT-2 Trials. PMID 42348366</w:t>
      </w:r>
    </w:p>
    <w:p>
      <w:pPr>
        <w:numPr>
          <w:ilvl w:val="0"/>
          <w:numId w:val="1379"/>
        </w:numPr>
        <w:pStyle w:val="Compact"/>
      </w:pPr>
      <w:r>
        <w:t xml:space="preserve">2026 · Yin Y ·</w:t>
      </w:r>
      <w:r>
        <w:t xml:space="preserve"> </w:t>
      </w:r>
      <w:r>
        <w:rPr>
          <w:iCs/>
          <w:i/>
        </w:rPr>
        <w:t xml:space="preserve">Med</w:t>
      </w:r>
      <w:r>
        <w:t xml:space="preserve"> </w:t>
      </w:r>
      <w:r>
        <w:t xml:space="preserve">· Tirzepatide monotherapy in Chinese patients with early type 2 diabetes: A randomized, double-blind, placebo-controlled phase 3 trial (SURPASS-CN-MONO). PMID 42296968</w:t>
      </w:r>
    </w:p>
    <w:p>
      <w:pPr>
        <w:numPr>
          <w:ilvl w:val="0"/>
          <w:numId w:val="1379"/>
        </w:numPr>
        <w:pStyle w:val="Compact"/>
      </w:pPr>
      <w:r>
        <w:t xml:space="preserve">2026 · Node K ·</w:t>
      </w:r>
      <w:r>
        <w:t xml:space="preserve"> </w:t>
      </w:r>
      <w:r>
        <w:rPr>
          <w:iCs/>
          <w:i/>
        </w:rPr>
        <w:t xml:space="preserve">Curr Med Res Opin</w:t>
      </w:r>
      <w:r>
        <w:t xml:space="preserve"> </w:t>
      </w:r>
      <w:r>
        <w:t xml:space="preserve">· Post hoc analysis of SURMOUNT-J: tirzepatide versus placebo and predicted 10-year cardiovascular disease risk in Japanese adults with obesity disease. PMID 42287159</w:t>
      </w:r>
    </w:p>
    <w:p>
      <w:pPr>
        <w:numPr>
          <w:ilvl w:val="0"/>
          <w:numId w:val="1379"/>
        </w:numPr>
        <w:pStyle w:val="Compact"/>
      </w:pPr>
      <w:r>
        <w:t xml:space="preserve">2026 · Pratley RE ·</w:t>
      </w:r>
      <w:r>
        <w:t xml:space="preserve"> </w:t>
      </w:r>
      <w:r>
        <w:rPr>
          <w:iCs/>
          <w:i/>
        </w:rPr>
        <w:t xml:space="preserve">Nat Med</w:t>
      </w:r>
      <w:r>
        <w:t xml:space="preserve"> </w:t>
      </w:r>
      <w:r>
        <w:t xml:space="preserve">· Apitegromab for lean mass preservation during tirzepatide-induced weight loss: a randomized, double-blind, placebo-controlled phase 2 trial. PMID 42260100</w:t>
      </w:r>
    </w:p>
    <w:p>
      <w:pPr>
        <w:numPr>
          <w:ilvl w:val="0"/>
          <w:numId w:val="1379"/>
        </w:numPr>
        <w:pStyle w:val="Compact"/>
      </w:pPr>
      <w:r>
        <w:t xml:space="preserve">2026 · Yang Z ·</w:t>
      </w:r>
      <w:r>
        <w:t xml:space="preserve"> </w:t>
      </w:r>
      <w:r>
        <w:rPr>
          <w:iCs/>
          <w:i/>
        </w:rPr>
        <w:t xml:space="preserve">Diabetes Obes Metab</w:t>
      </w:r>
      <w:r>
        <w:t xml:space="preserve"> </w:t>
      </w:r>
      <w:r>
        <w:t xml:space="preserve">· Short-Term Combined Treatment With Tirzepatide and Metformin for Overweight/Obese Chinese Women With Polycystic Ovary Syndrome: A Prospective, Open-Label, Randomised Controlled Trial. PMID 42236268</w:t>
      </w:r>
    </w:p>
    <w:p>
      <w:pPr>
        <w:numPr>
          <w:ilvl w:val="0"/>
          <w:numId w:val="1379"/>
        </w:numPr>
        <w:pStyle w:val="Compact"/>
      </w:pPr>
      <w:r>
        <w:t xml:space="preserve">2026 · Sattar N ·</w:t>
      </w:r>
      <w:r>
        <w:t xml:space="preserve"> </w:t>
      </w:r>
      <w:r>
        <w:rPr>
          <w:iCs/>
          <w:i/>
        </w:rPr>
        <w:t xml:space="preserve">J Am Coll Cardiol</w:t>
      </w:r>
      <w:r>
        <w:t xml:space="preserve"> </w:t>
      </w:r>
      <w:r>
        <w:t xml:space="preserve">· Comprehensive Long-Term Changes in Cardiovascular Risk Biomarkers With Tirzepatide: A SURMOUNT-1 Post Hoc Analysis. PMID 42233927</w:t>
      </w:r>
    </w:p>
    <w:p>
      <w:pPr>
        <w:numPr>
          <w:ilvl w:val="0"/>
          <w:numId w:val="1379"/>
        </w:numPr>
        <w:pStyle w:val="Compact"/>
      </w:pPr>
      <w:r>
        <w:t xml:space="preserve">2026 · Del Prato S ·</w:t>
      </w:r>
      <w:r>
        <w:t xml:space="preserve"> </w:t>
      </w:r>
      <w:r>
        <w:rPr>
          <w:iCs/>
          <w:i/>
        </w:rPr>
        <w:t xml:space="preserve">Ann Intern Med</w:t>
      </w:r>
      <w:r>
        <w:t xml:space="preserve"> </w:t>
      </w:r>
      <w:r>
        <w:t xml:space="preserve">· Tirzepatide Versus Intensified Conventional Care After 2 Years of Treatment in Early Type 2 Diabetes : A Randomized Clinical Trial. PMID 42184419</w:t>
      </w:r>
    </w:p>
    <w:p>
      <w:pPr>
        <w:numPr>
          <w:ilvl w:val="0"/>
          <w:numId w:val="1379"/>
        </w:numPr>
        <w:pStyle w:val="Compact"/>
      </w:pPr>
      <w:r>
        <w:t xml:space="preserve">2026 · Lebwohl M ·</w:t>
      </w:r>
      <w:r>
        <w:t xml:space="preserve"> </w:t>
      </w:r>
      <w:r>
        <w:rPr>
          <w:iCs/>
          <w:i/>
        </w:rPr>
        <w:t xml:space="preserve">JAMA Dermatol</w:t>
      </w:r>
      <w:r>
        <w:t xml:space="preserve"> </w:t>
      </w:r>
      <w:r>
        <w:t xml:space="preserve">· Ixekizumab With or Without Tirzepatide in Adults With Psoriasis and Overweight or Obesity: A Phase 3b Randomized Clinical Trial. PMID 42139049</w:t>
      </w:r>
    </w:p>
    <w:p>
      <w:pPr>
        <w:numPr>
          <w:ilvl w:val="0"/>
          <w:numId w:val="1379"/>
        </w:numPr>
        <w:pStyle w:val="Compact"/>
      </w:pPr>
      <w:r>
        <w:t xml:space="preserve">2026 · Aronne LJ ·</w:t>
      </w:r>
      <w:r>
        <w:t xml:space="preserve"> </w:t>
      </w:r>
      <w:r>
        <w:rPr>
          <w:iCs/>
          <w:i/>
        </w:rPr>
        <w:t xml:space="preserve">Nat Med</w:t>
      </w:r>
      <w:r>
        <w:t xml:space="preserve"> </w:t>
      </w:r>
      <w:r>
        <w:t xml:space="preserve">· Orforglipron for maintenance of body weight reduction: the double-blind, randomized phase 3b ATTAIN-MAINTAIN trial. PMID 42120723</w:t>
      </w:r>
    </w:p>
    <w:p>
      <w:pPr>
        <w:numPr>
          <w:ilvl w:val="0"/>
          <w:numId w:val="1379"/>
        </w:numPr>
        <w:pStyle w:val="Compact"/>
      </w:pPr>
      <w:r>
        <w:t xml:space="preserve">2026 · Horn DB ·</w:t>
      </w:r>
      <w:r>
        <w:t xml:space="preserve"> </w:t>
      </w:r>
      <w:r>
        <w:rPr>
          <w:iCs/>
          <w:i/>
        </w:rPr>
        <w:t xml:space="preserve">Lancet</w:t>
      </w:r>
      <w:r>
        <w:t xml:space="preserve"> </w:t>
      </w:r>
      <w:r>
        <w:t xml:space="preserve">· Tirzepatide for maintenance of bodyweight reduction in people with obesity in the USA (SURMOUNT-MAINTAIN): a multicentre, double-blind, randomised, placebo-controlled trial. PMID 42119587</w:t>
      </w:r>
    </w:p>
    <w:p>
      <w:pPr>
        <w:numPr>
          <w:ilvl w:val="0"/>
          <w:numId w:val="1379"/>
        </w:numPr>
        <w:pStyle w:val="Compact"/>
      </w:pPr>
      <w:r>
        <w:t xml:space="preserve">2026 · Zoungas S ·</w:t>
      </w:r>
      <w:r>
        <w:t xml:space="preserve"> </w:t>
      </w:r>
      <w:r>
        <w:rPr>
          <w:iCs/>
          <w:i/>
        </w:rPr>
        <w:t xml:space="preserve">Lancet Diabetes Endocrinol</w:t>
      </w:r>
      <w:r>
        <w:t xml:space="preserve"> </w:t>
      </w:r>
      <w:r>
        <w:t xml:space="preserve">· A comparison of the effects of tirzepatide and dulaglutide on major kidney events in people with type 2 diabetes: pre-specified exploratory analyses of the SURPASS-CVOT trial. PMID 42114520</w:t>
      </w:r>
    </w:p>
    <w:p>
      <w:pPr>
        <w:numPr>
          <w:ilvl w:val="0"/>
          <w:numId w:val="1379"/>
        </w:numPr>
        <w:pStyle w:val="Compact"/>
      </w:pPr>
      <w:r>
        <w:t xml:space="preserve">2026 · Masuzaki H ·</w:t>
      </w:r>
      <w:r>
        <w:t xml:space="preserve"> </w:t>
      </w:r>
      <w:r>
        <w:rPr>
          <w:iCs/>
          <w:i/>
        </w:rPr>
        <w:t xml:space="preserve">Diabetes Obes Metab</w:t>
      </w:r>
      <w:r>
        <w:t xml:space="preserve"> </w:t>
      </w:r>
      <w:r>
        <w:t xml:space="preserve">· Effect of Tirzepatide on Health-Related Quality of Life in Japanese Patients With Obesity Disease: Patient-Reported Outcomes From the SURMOUNT-J Study. PMID 42108080</w:t>
      </w:r>
    </w:p>
    <w:p>
      <w:pPr>
        <w:numPr>
          <w:ilvl w:val="0"/>
          <w:numId w:val="1379"/>
        </w:numPr>
        <w:pStyle w:val="Compact"/>
      </w:pPr>
      <w:r>
        <w:t xml:space="preserve">2026 · Sattar N ·</w:t>
      </w:r>
      <w:r>
        <w:t xml:space="preserve"> </w:t>
      </w:r>
      <w:r>
        <w:rPr>
          <w:iCs/>
          <w:i/>
        </w:rPr>
        <w:t xml:space="preserve">J Endocrinol Invest</w:t>
      </w:r>
      <w:r>
        <w:t xml:space="preserve"> </w:t>
      </w:r>
      <w:r>
        <w:t xml:space="preserve">· Shifts in waist-to-height ratio categories within tirzepatide groups: a post-hoc analysis of SURMOUNT-1. PMID 42082865</w:t>
      </w:r>
    </w:p>
    <w:p>
      <w:pPr>
        <w:numPr>
          <w:ilvl w:val="0"/>
          <w:numId w:val="1379"/>
        </w:numPr>
        <w:pStyle w:val="Compact"/>
      </w:pPr>
      <w:r>
        <w:t xml:space="preserve">2026 · Johansson E ·</w:t>
      </w:r>
      <w:r>
        <w:t xml:space="preserve"> </w:t>
      </w:r>
      <w:r>
        <w:rPr>
          <w:iCs/>
          <w:i/>
        </w:rPr>
        <w:t xml:space="preserve">J Med Econ</w:t>
      </w:r>
      <w:r>
        <w:t xml:space="preserve"> </w:t>
      </w:r>
      <w:r>
        <w:t xml:space="preserve">· Cost-effectiveness of tirzepatide versus semaglutide for patients with obesity or overweight in the US: evidence from the SURMOUNT-5 head-to-head phase-3 trial. PMID 42012820</w:t>
      </w:r>
    </w:p>
    <w:p>
      <w:pPr>
        <w:numPr>
          <w:ilvl w:val="0"/>
          <w:numId w:val="1379"/>
        </w:numPr>
        <w:pStyle w:val="Compact"/>
      </w:pPr>
      <w:r>
        <w:t xml:space="preserve">2026 · Thirugnanam AM ·</w:t>
      </w:r>
      <w:r>
        <w:t xml:space="preserve"> </w:t>
      </w:r>
      <w:r>
        <w:rPr>
          <w:iCs/>
          <w:i/>
        </w:rPr>
        <w:t xml:space="preserve">Cardiovasc Revasc Med</w:t>
      </w:r>
      <w:r>
        <w:t xml:space="preserve"> </w:t>
      </w:r>
      <w:r>
        <w:t xml:space="preserve">· Tirzepatide therapy reduces subclinical leaflet thrombosis and paravalvular leak after transcatheter aortic valve replacement in obese patients: The TAVR-MET trial. PMID 42000295</w:t>
      </w:r>
    </w:p>
    <w:p>
      <w:pPr>
        <w:numPr>
          <w:ilvl w:val="0"/>
          <w:numId w:val="1379"/>
        </w:numPr>
        <w:pStyle w:val="Compact"/>
      </w:pPr>
      <w:r>
        <w:t xml:space="preserve">2026 · Sattar N ·</w:t>
      </w:r>
      <w:r>
        <w:t xml:space="preserve"> </w:t>
      </w:r>
      <w:r>
        <w:rPr>
          <w:iCs/>
          <w:i/>
        </w:rPr>
        <w:t xml:space="preserve">Diabetes Care</w:t>
      </w:r>
      <w:r>
        <w:t xml:space="preserve"> </w:t>
      </w:r>
      <w:r>
        <w:t xml:space="preserve">· Estimating the True MACE Benefits From Tirzepatide in SURPASS-CVOT Using an Imputed Placebo Analysis of REWIND. PMID 41940793</w:t>
      </w:r>
    </w:p>
    <w:p>
      <w:pPr>
        <w:numPr>
          <w:ilvl w:val="0"/>
          <w:numId w:val="1379"/>
        </w:numPr>
        <w:pStyle w:val="Compact"/>
      </w:pPr>
      <w:r>
        <w:t xml:space="preserve">2026 · Violante-Ortiz R ·</w:t>
      </w:r>
      <w:r>
        <w:t xml:space="preserve"> </w:t>
      </w:r>
      <w:r>
        <w:rPr>
          <w:iCs/>
          <w:i/>
        </w:rPr>
        <w:t xml:space="preserve">BMJ Open Diabetes Res Care</w:t>
      </w:r>
      <w:r>
        <w:t xml:space="preserve"> </w:t>
      </w:r>
      <w:r>
        <w:t xml:space="preserve">· Safety and efficacy of switching from dulaglutide to tirzepatide across clinically relevant baseline characteristics in participants with T2D: subgroup analysis of SURPASS-SWITCH. PMID 41912265</w:t>
      </w:r>
    </w:p>
    <w:p>
      <w:pPr>
        <w:numPr>
          <w:ilvl w:val="0"/>
          <w:numId w:val="1379"/>
        </w:numPr>
        <w:pStyle w:val="Compact"/>
      </w:pPr>
      <w:r>
        <w:t xml:space="preserve">2026 · Nissen SE ·</w:t>
      </w:r>
      <w:r>
        <w:t xml:space="preserve"> </w:t>
      </w:r>
      <w:r>
        <w:rPr>
          <w:iCs/>
          <w:i/>
        </w:rPr>
        <w:t xml:space="preserve">JAMA Cardiol</w:t>
      </w:r>
      <w:r>
        <w:t xml:space="preserve"> </w:t>
      </w:r>
      <w:r>
        <w:t xml:space="preserve">· Cardiorenal Outcomes With Tirzepatide Compared With Dulaglutide in Patients With Diabetes and Cardiovascular Disease: A Post Hoc Analysis of the SURPASS-CVOT Randomized Clinical Trial. PMID 41903177</w:t>
      </w:r>
    </w:p>
    <w:p>
      <w:pPr>
        <w:numPr>
          <w:ilvl w:val="0"/>
          <w:numId w:val="1379"/>
        </w:numPr>
        <w:pStyle w:val="Compact"/>
      </w:pPr>
      <w:r>
        <w:t xml:space="preserve">2026 · Merola JF ·</w:t>
      </w:r>
      <w:r>
        <w:t xml:space="preserve"> </w:t>
      </w:r>
      <w:r>
        <w:rPr>
          <w:iCs/>
          <w:i/>
        </w:rPr>
        <w:t xml:space="preserve">Arthritis Rheumatol</w:t>
      </w:r>
      <w:r>
        <w:t xml:space="preserve"> </w:t>
      </w:r>
      <w:r>
        <w:t xml:space="preserve">· Ixekizumab With Tirzepatide Achieved Greater Disease Control Than Ixekizumab Alone in Adults With Psoriatic Arthritis and Overweight or Obesity: Results From a Randomized Clinical Trial. PMID 41903163</w:t>
      </w:r>
    </w:p>
    <w:p>
      <w:pPr>
        <w:numPr>
          <w:ilvl w:val="0"/>
          <w:numId w:val="1379"/>
        </w:numPr>
        <w:pStyle w:val="Compact"/>
      </w:pPr>
      <w:r>
        <w:t xml:space="preserve">2026 · Yang SI ·</w:t>
      </w:r>
      <w:r>
        <w:t xml:space="preserve"> </w:t>
      </w:r>
      <w:r>
        <w:rPr>
          <w:iCs/>
          <w:i/>
        </w:rPr>
        <w:t xml:space="preserve">Nat Commun</w:t>
      </w:r>
      <w:r>
        <w:t xml:space="preserve"> </w:t>
      </w:r>
      <w:r>
        <w:t xml:space="preserve">· Bispecific GLP-1/GLP-2 agonism in advanced type 2 diabetes: preclinical characterization and a randomized, double-blind, placebo-controlled phase I trial. PMID 41876542</w:t>
      </w:r>
    </w:p>
    <w:p>
      <w:pPr>
        <w:numPr>
          <w:ilvl w:val="0"/>
          <w:numId w:val="1379"/>
        </w:numPr>
        <w:pStyle w:val="Compact"/>
      </w:pPr>
      <w:r>
        <w:t xml:space="preserve">2026 · Aronne LJ ·</w:t>
      </w:r>
      <w:r>
        <w:t xml:space="preserve"> </w:t>
      </w:r>
      <w:r>
        <w:rPr>
          <w:iCs/>
          <w:i/>
        </w:rPr>
        <w:t xml:space="preserve">Am J Med</w:t>
      </w:r>
      <w:r>
        <w:t xml:space="preserve"> </w:t>
      </w:r>
      <w:r>
        <w:t xml:space="preserve">· Relationship of early rapid weight loss to efficacy and safety of tirzepatide and semaglutide for obesity: SURMOUNT-5 post hoc analysis. PMID 41865857</w:t>
      </w:r>
    </w:p>
    <w:p>
      <w:pPr>
        <w:numPr>
          <w:ilvl w:val="0"/>
          <w:numId w:val="1379"/>
        </w:numPr>
        <w:pStyle w:val="Compact"/>
      </w:pPr>
      <w:r>
        <w:t xml:space="preserve">2026 · Zheng Z ·</w:t>
      </w:r>
      <w:r>
        <w:t xml:space="preserve"> </w:t>
      </w:r>
      <w:r>
        <w:rPr>
          <w:iCs/>
          <w:i/>
        </w:rPr>
        <w:t xml:space="preserve">Mol Metab</w:t>
      </w:r>
      <w:r>
        <w:t xml:space="preserve"> </w:t>
      </w:r>
      <w:r>
        <w:t xml:space="preserve">· ARD-101, a gut-restricted TAS2R agonist, reduces hunger in adults and promotes weight loss in DIO mice with DPP-4 inhibition. PMID 41833222</w:t>
      </w:r>
    </w:p>
    <w:p>
      <w:pPr>
        <w:numPr>
          <w:ilvl w:val="0"/>
          <w:numId w:val="1379"/>
        </w:numPr>
        <w:pStyle w:val="Compact"/>
      </w:pPr>
      <w:r>
        <w:t xml:space="preserve">2026 · Scheen A ·</w:t>
      </w:r>
      <w:r>
        <w:t xml:space="preserve"> </w:t>
      </w:r>
      <w:r>
        <w:rPr>
          <w:iCs/>
          <w:i/>
        </w:rPr>
        <w:t xml:space="preserve">Rev Med Liege</w:t>
      </w:r>
      <w:r>
        <w:t xml:space="preserve"> </w:t>
      </w:r>
      <w:r>
        <w:t xml:space="preserve">· [SURPASS CVOT : cardiovascular benefits with tirzepatide versus dulaglutide in type 2 diabetes]. PMID 41815032</w:t>
      </w:r>
    </w:p>
    <w:p>
      <w:pPr>
        <w:numPr>
          <w:ilvl w:val="0"/>
          <w:numId w:val="1379"/>
        </w:numPr>
        <w:pStyle w:val="Compact"/>
      </w:pPr>
      <w:r>
        <w:t xml:space="preserve">2026 · Ishigaki Y ·</w:t>
      </w:r>
      <w:r>
        <w:t xml:space="preserve"> </w:t>
      </w:r>
      <w:r>
        <w:rPr>
          <w:iCs/>
          <w:i/>
        </w:rPr>
        <w:t xml:space="preserve">Obesity (Silver Spring)</w:t>
      </w:r>
      <w:r>
        <w:t xml:space="preserve"> </w:t>
      </w:r>
      <w:r>
        <w:t xml:space="preserve">· Efficacy and Safety of Tirzepatide in Japanese Participants With Obesity: A Subpopulation Analysis of the SURMOUNT-1 Trial. PMID 41612966</w:t>
      </w:r>
    </w:p>
    <w:p>
      <w:pPr>
        <w:numPr>
          <w:ilvl w:val="0"/>
          <w:numId w:val="1379"/>
        </w:numPr>
        <w:pStyle w:val="Compact"/>
      </w:pPr>
      <w:r>
        <w:t xml:space="preserve">2026 · Malhotra A ·</w:t>
      </w:r>
      <w:r>
        <w:t xml:space="preserve"> </w:t>
      </w:r>
      <w:r>
        <w:rPr>
          <w:iCs/>
          <w:i/>
        </w:rPr>
        <w:t xml:space="preserve">Nat Med</w:t>
      </w:r>
      <w:r>
        <w:t xml:space="preserve"> </w:t>
      </w:r>
      <w:r>
        <w:t xml:space="preserve">· Tirzepatide on obstructive sleep apnea-related cardiometabolic risk: secondary outcomes of the SURMOUNT-OSA randomized trial. PMID 41540105</w:t>
      </w:r>
    </w:p>
    <w:p>
      <w:pPr>
        <w:numPr>
          <w:ilvl w:val="0"/>
          <w:numId w:val="1379"/>
        </w:numPr>
        <w:pStyle w:val="Compact"/>
      </w:pPr>
      <w:r>
        <w:t xml:space="preserve">2026 · Wadden TA ·</w:t>
      </w:r>
      <w:r>
        <w:t xml:space="preserve"> </w:t>
      </w:r>
      <w:r>
        <w:rPr>
          <w:iCs/>
          <w:i/>
        </w:rPr>
        <w:t xml:space="preserve">Obesity (Silver Spring)</w:t>
      </w:r>
      <w:r>
        <w:t xml:space="preserve"> </w:t>
      </w:r>
      <w:r>
        <w:t xml:space="preserve">· Psychiatric Safety of Tirzepatide in People With Obesity and No Known Major Psychopathology: A Post Hoc Analysis of SURMOUNT. PMID 41537305</w:t>
      </w:r>
    </w:p>
    <w:p>
      <w:pPr>
        <w:numPr>
          <w:ilvl w:val="0"/>
          <w:numId w:val="1379"/>
        </w:numPr>
        <w:pStyle w:val="Compact"/>
      </w:pPr>
      <w:r>
        <w:t xml:space="preserve">2026 · Neves JS ·</w:t>
      </w:r>
      <w:r>
        <w:t xml:space="preserve"> </w:t>
      </w:r>
      <w:r>
        <w:rPr>
          <w:iCs/>
          <w:i/>
        </w:rPr>
        <w:t xml:space="preserve">Diabetologia</w:t>
      </w:r>
      <w:r>
        <w:t xml:space="preserve"> </w:t>
      </w:r>
      <w:r>
        <w:t xml:space="preserve">· Efficacy of tirzepatide versus semaglutide in achieving therapeutic targets in type 2 diabetes: a post hoc analysis of the SURPASS-2 Trial. PMID 41419618</w:t>
      </w:r>
    </w:p>
    <w:p>
      <w:pPr>
        <w:numPr>
          <w:ilvl w:val="0"/>
          <w:numId w:val="1379"/>
        </w:numPr>
        <w:pStyle w:val="Compact"/>
      </w:pPr>
      <w:r>
        <w:t xml:space="preserve">2026 · Roell W ·</w:t>
      </w:r>
      <w:r>
        <w:t xml:space="preserve"> </w:t>
      </w:r>
      <w:r>
        <w:rPr>
          <w:iCs/>
          <w:i/>
        </w:rPr>
        <w:t xml:space="preserve">Mol Metab</w:t>
      </w:r>
      <w:r>
        <w:t xml:space="preserve"> </w:t>
      </w:r>
      <w:r>
        <w:t xml:space="preserve">· Long-acting GIPR agonist LY3537021 reduces body weight and fasting blood glucose in patients with T2D: Preclinical development and phase 1 randomized ascending dose studies. PMID 41391569</w:t>
      </w:r>
    </w:p>
    <w:p>
      <w:pPr>
        <w:numPr>
          <w:ilvl w:val="0"/>
          <w:numId w:val="1379"/>
        </w:numPr>
        <w:pStyle w:val="Compact"/>
      </w:pPr>
      <w:r>
        <w:t xml:space="preserve">2026 · Yokote K ·</w:t>
      </w:r>
      <w:r>
        <w:t xml:space="preserve"> </w:t>
      </w:r>
      <w:r>
        <w:rPr>
          <w:iCs/>
          <w:i/>
        </w:rPr>
        <w:t xml:space="preserve">Diabetes Obes Metab</w:t>
      </w:r>
      <w:r>
        <w:t xml:space="preserve"> </w:t>
      </w:r>
      <w:r>
        <w:t xml:space="preserve">· Association of baseline characteristics with clinical outcomes of tirzepatide treatment in Japanese patients with obesity disease: A subgroup analysis of the SURMOUNT-J trial. PMID 41290555</w:t>
      </w:r>
    </w:p>
    <w:p>
      <w:pPr>
        <w:numPr>
          <w:ilvl w:val="0"/>
          <w:numId w:val="1379"/>
        </w:numPr>
        <w:pStyle w:val="Compact"/>
      </w:pPr>
      <w:r>
        <w:t xml:space="preserve">2026 · Horn DB ·</w:t>
      </w:r>
      <w:r>
        <w:t xml:space="preserve"> </w:t>
      </w:r>
      <w:r>
        <w:rPr>
          <w:iCs/>
          <w:i/>
        </w:rPr>
        <w:t xml:space="preserve">JAMA Intern Med</w:t>
      </w:r>
      <w:r>
        <w:t xml:space="preserve"> </w:t>
      </w:r>
      <w:r>
        <w:t xml:space="preserve">· Cardiometabolic Parameter Change by Weight Regain on Tirzepatide Withdrawal in Adults With Obesity: A Post Hoc Analysis of the SURMOUNT-4 Trial. PMID 41284285</w:t>
      </w:r>
    </w:p>
    <w:p>
      <w:pPr>
        <w:numPr>
          <w:ilvl w:val="0"/>
          <w:numId w:val="1379"/>
        </w:numPr>
        <w:pStyle w:val="Compact"/>
      </w:pPr>
      <w:r>
        <w:t xml:space="preserve">2026 · Snaith JR ·</w:t>
      </w:r>
      <w:r>
        <w:t xml:space="preserve"> </w:t>
      </w:r>
      <w:r>
        <w:rPr>
          <w:iCs/>
          <w:i/>
        </w:rPr>
        <w:t xml:space="preserve">Diabetes Care</w:t>
      </w:r>
      <w:r>
        <w:t xml:space="preserve"> </w:t>
      </w:r>
      <w:r>
        <w:t xml:space="preserve">· Tirzepatide in Adults With Type 1 Diabetes: A Phase 2 Randomized Placebo-Controlled Clinical Trial. PMID 41264593</w:t>
      </w:r>
    </w:p>
    <w:p>
      <w:pPr>
        <w:numPr>
          <w:ilvl w:val="0"/>
          <w:numId w:val="1379"/>
        </w:numPr>
        <w:pStyle w:val="Compact"/>
      </w:pPr>
      <w:r>
        <w:t xml:space="preserve">2026 · Sattar N ·</w:t>
      </w:r>
      <w:r>
        <w:t xml:space="preserve"> </w:t>
      </w:r>
      <w:r>
        <w:rPr>
          <w:iCs/>
          <w:i/>
        </w:rPr>
        <w:t xml:space="preserve">Ann Rheum Dis</w:t>
      </w:r>
      <w:r>
        <w:t xml:space="preserve"> </w:t>
      </w:r>
      <w:r>
        <w:t xml:space="preserve">· Tirzepatide and change in uric acid and its association with weight reduction: post hoc analyses of the SURMOUNT-1 randomised placebo-controlled trial. PMID 41198460</w:t>
      </w:r>
    </w:p>
    <w:p>
      <w:pPr>
        <w:numPr>
          <w:ilvl w:val="0"/>
          <w:numId w:val="1379"/>
        </w:numPr>
        <w:pStyle w:val="Compact"/>
      </w:pPr>
      <w:r>
        <w:t xml:space="preserve">2026 · Shukla AP ·</w:t>
      </w:r>
      <w:r>
        <w:t xml:space="preserve"> </w:t>
      </w:r>
      <w:r>
        <w:rPr>
          <w:iCs/>
          <w:i/>
        </w:rPr>
        <w:t xml:space="preserve">Diabetes Obes Metab</w:t>
      </w:r>
      <w:r>
        <w:t xml:space="preserve"> </w:t>
      </w:r>
      <w:r>
        <w:t xml:space="preserve">· Improved health-related quality of life with tirzepatide versus semaglutide in adults with obesity or overweight from the SURMOUNT-5 trial. PMID 41187971</w:t>
      </w:r>
    </w:p>
    <w:p>
      <w:pPr>
        <w:numPr>
          <w:ilvl w:val="0"/>
          <w:numId w:val="1379"/>
        </w:numPr>
        <w:pStyle w:val="Compact"/>
      </w:pPr>
      <w:r>
        <w:t xml:space="preserve">2026 · Li X ·</w:t>
      </w:r>
      <w:r>
        <w:t xml:space="preserve"> </w:t>
      </w:r>
      <w:r>
        <w:rPr>
          <w:iCs/>
          <w:i/>
        </w:rPr>
        <w:t xml:space="preserve">Obesity (Silver Spring)</w:t>
      </w:r>
      <w:r>
        <w:t xml:space="preserve"> </w:t>
      </w:r>
      <w:r>
        <w:t xml:space="preserve">· People With Lowest Physical Functioning Scores Showed Greatest Improvement After Tirzepatide Treatment. PMID 41187013</w:t>
      </w:r>
    </w:p>
    <w:p>
      <w:pPr>
        <w:numPr>
          <w:ilvl w:val="0"/>
          <w:numId w:val="1379"/>
        </w:numPr>
        <w:pStyle w:val="Compact"/>
      </w:pPr>
      <w:r>
        <w:t xml:space="preserve">2025 · Nicholls SJ ·</w:t>
      </w:r>
      <w:r>
        <w:t xml:space="preserve"> </w:t>
      </w:r>
      <w:r>
        <w:rPr>
          <w:iCs/>
          <w:i/>
        </w:rPr>
        <w:t xml:space="preserve">N Engl J Med</w:t>
      </w:r>
      <w:r>
        <w:t xml:space="preserve"> </w:t>
      </w:r>
      <w:r>
        <w:t xml:space="preserve">· Cardiovascular Outcomes with Tirzepatide versus Dulaglutide in Type 2 Diabetes. PMID 41406444</w:t>
      </w:r>
    </w:p>
    <w:p>
      <w:pPr>
        <w:numPr>
          <w:ilvl w:val="0"/>
          <w:numId w:val="1379"/>
        </w:numPr>
        <w:pStyle w:val="Compact"/>
      </w:pPr>
      <w:r>
        <w:t xml:space="preserve">2025 · Guo L ·</w:t>
      </w:r>
      <w:r>
        <w:t xml:space="preserve"> </w:t>
      </w:r>
      <w:r>
        <w:rPr>
          <w:iCs/>
          <w:i/>
        </w:rPr>
        <w:t xml:space="preserve">Lancet Diabetes Endocrinol</w:t>
      </w:r>
      <w:r>
        <w:t xml:space="preserve"> </w:t>
      </w:r>
      <w:r>
        <w:t xml:space="preserve">· Efficacy and safety of tirzepatide added to basal insulin in patients with type 2 diabetes in China (SURPASS-CN-INS): a double-blind, multicentre, randomised, placebo-controlled, phase 3 trial. PMID 41167231</w:t>
      </w:r>
    </w:p>
    <w:p>
      <w:pPr>
        <w:numPr>
          <w:ilvl w:val="0"/>
          <w:numId w:val="1379"/>
        </w:numPr>
        <w:pStyle w:val="Compact"/>
      </w:pPr>
      <w:r>
        <w:t xml:space="preserve">2025 · Malhotra A ·</w:t>
      </w:r>
      <w:r>
        <w:t xml:space="preserve"> </w:t>
      </w:r>
      <w:r>
        <w:rPr>
          <w:iCs/>
          <w:i/>
        </w:rPr>
        <w:t xml:space="preserve">Sleep Med</w:t>
      </w:r>
      <w:r>
        <w:t xml:space="preserve"> </w:t>
      </w:r>
      <w:r>
        <w:t xml:space="preserve">· Tirzepatide for sleep-disordered breathing in SURMOUNT-OSA: Time course and association with body weight. PMID 41135142</w:t>
      </w:r>
    </w:p>
    <w:p>
      <w:pPr>
        <w:numPr>
          <w:ilvl w:val="0"/>
          <w:numId w:val="1379"/>
        </w:numPr>
        <w:pStyle w:val="Compact"/>
      </w:pPr>
      <w:r>
        <w:t xml:space="preserve">2025 · Caussy C ·</w:t>
      </w:r>
      <w:r>
        <w:t xml:space="preserve"> </w:t>
      </w:r>
      <w:r>
        <w:rPr>
          <w:iCs/>
          <w:i/>
        </w:rPr>
        <w:t xml:space="preserve">Diabetes Care</w:t>
      </w:r>
      <w:r>
        <w:t xml:space="preserve"> </w:t>
      </w:r>
      <w:r>
        <w:t xml:space="preserve">· Relationship Between Metabolic and Histological Responses in People With Metabolic Dysfunction- Associated Steatohepatitis With and Without Type 2 Diabetes: Participant-Level Exploratory Analysis of the SYNERGY-NASH Trial With Tirzepatide. PMID 41066427</w:t>
      </w:r>
    </w:p>
    <w:p>
      <w:pPr>
        <w:numPr>
          <w:ilvl w:val="0"/>
          <w:numId w:val="1379"/>
        </w:numPr>
        <w:pStyle w:val="Compact"/>
      </w:pPr>
      <w:r>
        <w:t xml:space="preserve">2025 · Hankosky ER ·</w:t>
      </w:r>
      <w:r>
        <w:t xml:space="preserve"> </w:t>
      </w:r>
      <w:r>
        <w:rPr>
          <w:iCs/>
          <w:i/>
        </w:rPr>
        <w:t xml:space="preserve">Diabetes Obes Metab</w:t>
      </w:r>
      <w:r>
        <w:t xml:space="preserve"> </w:t>
      </w:r>
      <w:r>
        <w:t xml:space="preserve">· Tirzepatide and the 10-year predicted risk of cardiovascular disease and type 2 diabetes in adults with obesity and prediabetes: A post hoc analysis from the three-year SURMOUNT-1 trial. PMID 41017451</w:t>
      </w:r>
    </w:p>
    <w:p>
      <w:pPr>
        <w:numPr>
          <w:ilvl w:val="0"/>
          <w:numId w:val="1379"/>
        </w:numPr>
        <w:pStyle w:val="Compact"/>
      </w:pPr>
      <w:r>
        <w:t xml:space="preserve">2025 · Hannon TS ·</w:t>
      </w:r>
      <w:r>
        <w:t xml:space="preserve"> </w:t>
      </w:r>
      <w:r>
        <w:rPr>
          <w:iCs/>
          <w:i/>
        </w:rPr>
        <w:t xml:space="preserve">Lancet</w:t>
      </w:r>
      <w:r>
        <w:t xml:space="preserve"> </w:t>
      </w:r>
      <w:r>
        <w:t xml:space="preserve">· Efficacy and safety of tirzepatide in children and adolescents with type 2 diabetes (SURPASS-PEDS): a randomised, double-blind, placebo-controlled, phase 3 trial. PMID 40975112</w:t>
      </w:r>
    </w:p>
    <w:p>
      <w:pPr>
        <w:numPr>
          <w:ilvl w:val="0"/>
          <w:numId w:val="1379"/>
        </w:numPr>
        <w:pStyle w:val="Compact"/>
      </w:pPr>
      <w:r>
        <w:t xml:space="preserve">2025 · Pieber TR ·</w:t>
      </w:r>
      <w:r>
        <w:t xml:space="preserve"> </w:t>
      </w:r>
      <w:r>
        <w:rPr>
          <w:iCs/>
          <w:i/>
        </w:rPr>
        <w:t xml:space="preserve">Front Endocrinol (Lausanne)</w:t>
      </w:r>
      <w:r>
        <w:t xml:space="preserve"> </w:t>
      </w:r>
      <w:r>
        <w:t xml:space="preserve">· Counterregulatory response to hypoglycemia during a hypoglycemic clamp in people with type 2 diabetes treated with tirzepatide. PMID 40964167</w:t>
      </w:r>
    </w:p>
    <w:p>
      <w:pPr>
        <w:numPr>
          <w:ilvl w:val="0"/>
          <w:numId w:val="1379"/>
        </w:numPr>
        <w:pStyle w:val="Compact"/>
      </w:pPr>
      <w:r>
        <w:t xml:space="preserve">2025 · Lee BW ·</w:t>
      </w:r>
      <w:r>
        <w:t xml:space="preserve"> </w:t>
      </w:r>
      <w:r>
        <w:rPr>
          <w:iCs/>
          <w:i/>
        </w:rPr>
        <w:t xml:space="preserve">Diabetes Obes Metab</w:t>
      </w:r>
      <w:r>
        <w:t xml:space="preserve"> </w:t>
      </w:r>
      <w:r>
        <w:t xml:space="preserve">· Efficacy and safety in tirzepatide-treated Korean adults with type 2 diabetes-A post hoc analysis of SURPASS-AP-combo and SURPASS-3. PMID 40954943</w:t>
      </w:r>
    </w:p>
    <w:p>
      <w:pPr>
        <w:numPr>
          <w:ilvl w:val="0"/>
          <w:numId w:val="1379"/>
        </w:numPr>
        <w:pStyle w:val="Compact"/>
      </w:pPr>
      <w:r>
        <w:t xml:space="preserve">2025 · Guan H ·</w:t>
      </w:r>
      <w:r>
        <w:t xml:space="preserve"> </w:t>
      </w:r>
      <w:r>
        <w:rPr>
          <w:iCs/>
          <w:i/>
        </w:rPr>
        <w:t xml:space="preserve">Diabetes Obes Metab</w:t>
      </w:r>
      <w:r>
        <w:t xml:space="preserve"> </w:t>
      </w:r>
      <w:r>
        <w:t xml:space="preserve">· Long-term efficacy and safety of tirzepatide in participants with type 2 diabetes with inadequate glycaemic control on metformin and/or sulfonylurea: Post-hoc analysis of SURPASS-4. PMID 40926359</w:t>
      </w:r>
    </w:p>
    <w:p>
      <w:pPr>
        <w:numPr>
          <w:ilvl w:val="0"/>
          <w:numId w:val="1379"/>
        </w:numPr>
        <w:pStyle w:val="Compact"/>
      </w:pPr>
      <w:r>
        <w:t xml:space="preserve">2025 · Gibble TH ·</w:t>
      </w:r>
      <w:r>
        <w:t xml:space="preserve"> </w:t>
      </w:r>
      <w:r>
        <w:rPr>
          <w:iCs/>
          <w:i/>
        </w:rPr>
        <w:t xml:space="preserve">Obesity (Silver Spring)</w:t>
      </w:r>
      <w:r>
        <w:t xml:space="preserve"> </w:t>
      </w:r>
      <w:r>
        <w:t xml:space="preserve">· Tirzepatide Associated With Improved Health-Related Quality of Life in Adults With Obesity or Overweight in SURMOUNT-4. PMID 40903801</w:t>
      </w:r>
    </w:p>
    <w:p>
      <w:pPr>
        <w:numPr>
          <w:ilvl w:val="0"/>
          <w:numId w:val="1379"/>
        </w:numPr>
        <w:pStyle w:val="Compact"/>
      </w:pPr>
      <w:r>
        <w:t xml:space="preserve">2025 · Packer M ·</w:t>
      </w:r>
      <w:r>
        <w:t xml:space="preserve"> </w:t>
      </w:r>
      <w:r>
        <w:rPr>
          <w:iCs/>
          <w:i/>
        </w:rPr>
        <w:t xml:space="preserve">J Am Coll Cardiol</w:t>
      </w:r>
      <w:r>
        <w:t xml:space="preserve"> </w:t>
      </w:r>
      <w:r>
        <w:t xml:space="preserve">· Influence of Type 2 Diabetes on the Effects of Tirzepatide in Patients With Heart Failure and a Preserved Ejection Fraction With Obesity: A Prespecified Stratification-Based Analysis. PMID 40903131</w:t>
      </w:r>
    </w:p>
    <w:p>
      <w:pPr>
        <w:numPr>
          <w:ilvl w:val="0"/>
          <w:numId w:val="1379"/>
        </w:numPr>
        <w:pStyle w:val="Compact"/>
      </w:pPr>
      <w:r>
        <w:t xml:space="preserve">2025 · Bhatnagar P ·</w:t>
      </w:r>
      <w:r>
        <w:t xml:space="preserve"> </w:t>
      </w:r>
      <w:r>
        <w:rPr>
          <w:iCs/>
          <w:i/>
        </w:rPr>
        <w:t xml:space="preserve">Nat Med</w:t>
      </w:r>
      <w:r>
        <w:t xml:space="preserve"> </w:t>
      </w:r>
      <w:r>
        <w:t xml:space="preserve">· Tirzepatide leads to weight reduction in people with obesity due to MC4R deficiency. PMID 40858971</w:t>
      </w:r>
    </w:p>
    <w:p>
      <w:pPr>
        <w:numPr>
          <w:ilvl w:val="0"/>
          <w:numId w:val="1379"/>
        </w:numPr>
        <w:pStyle w:val="Compact"/>
      </w:pPr>
      <w:r>
        <w:t xml:space="preserve">2025 · Schiavo L ·</w:t>
      </w:r>
      <w:r>
        <w:t xml:space="preserve"> </w:t>
      </w:r>
      <w:r>
        <w:rPr>
          <w:iCs/>
          <w:i/>
        </w:rPr>
        <w:t xml:space="preserve">Nutrients</w:t>
      </w:r>
      <w:r>
        <w:t xml:space="preserve"> </w:t>
      </w:r>
      <w:r>
        <w:t xml:space="preserve">· Beyond Weight Loss: Comparative Effects of Tirzepatide Plus Low-Energy Ketogenic Versus Low-Calorie Diet on Hepatic Steatosis and Stiffness in MASLD. PMID 40805994</w:t>
      </w:r>
    </w:p>
    <w:p>
      <w:pPr>
        <w:numPr>
          <w:ilvl w:val="0"/>
          <w:numId w:val="1379"/>
        </w:numPr>
        <w:pStyle w:val="Compact"/>
      </w:pPr>
      <w:r>
        <w:t xml:space="preserve">2025 · Kanu C ·</w:t>
      </w:r>
      <w:r>
        <w:t xml:space="preserve"> </w:t>
      </w:r>
      <w:r>
        <w:rPr>
          <w:iCs/>
          <w:i/>
        </w:rPr>
        <w:t xml:space="preserve">Sleep Med</w:t>
      </w:r>
      <w:r>
        <w:t xml:space="preserve"> </w:t>
      </w:r>
      <w:r>
        <w:t xml:space="preserve">· Effect of tirzepatide treatment on patient-reported outcomes among SURMOUNT-OSA participants with obstructive sleep apnea and obesity. PMID 40774158</w:t>
      </w:r>
    </w:p>
    <w:p>
      <w:pPr>
        <w:numPr>
          <w:ilvl w:val="0"/>
          <w:numId w:val="1379"/>
        </w:numPr>
        <w:pStyle w:val="Compact"/>
      </w:pPr>
      <w:r>
        <w:t xml:space="preserve">2025 · Gourgari E ·</w:t>
      </w:r>
      <w:r>
        <w:t xml:space="preserve"> </w:t>
      </w:r>
      <w:r>
        <w:rPr>
          <w:iCs/>
          <w:i/>
        </w:rPr>
        <w:t xml:space="preserve">Obesity (Silver Spring)</w:t>
      </w:r>
      <w:r>
        <w:t xml:space="preserve"> </w:t>
      </w:r>
      <w:r>
        <w:t xml:space="preserve">· Early-Onset Obesity and Tirzepatide Treatment: A Post Hoc Analysis of the SURMOUNT Clinical Trials. PMID 40717199</w:t>
      </w:r>
    </w:p>
    <w:p>
      <w:pPr>
        <w:numPr>
          <w:ilvl w:val="0"/>
          <w:numId w:val="1379"/>
        </w:numPr>
        <w:pStyle w:val="Compact"/>
      </w:pPr>
      <w:r>
        <w:t xml:space="preserve">2025 · Borlaug BA ·</w:t>
      </w:r>
      <w:r>
        <w:t xml:space="preserve"> </w:t>
      </w:r>
      <w:r>
        <w:rPr>
          <w:iCs/>
          <w:i/>
        </w:rPr>
        <w:t xml:space="preserve">J Am Coll Cardiol</w:t>
      </w:r>
      <w:r>
        <w:t xml:space="preserve"> </w:t>
      </w:r>
      <w:r>
        <w:t xml:space="preserve">· Impact of Body Mass Index, Central Adiposity, and Weight Loss on the Benefits of Tirzepatide in HFpEF: The SUMMIT Trial. PMID 40701669</w:t>
      </w:r>
    </w:p>
    <w:p>
      <w:pPr>
        <w:numPr>
          <w:ilvl w:val="0"/>
          <w:numId w:val="1379"/>
        </w:numPr>
        <w:pStyle w:val="Compact"/>
      </w:pPr>
      <w:r>
        <w:t xml:space="preserve">2025 · Mari A ·</w:t>
      </w:r>
      <w:r>
        <w:t xml:space="preserve"> </w:t>
      </w:r>
      <w:r>
        <w:rPr>
          <w:iCs/>
          <w:i/>
        </w:rPr>
        <w:t xml:space="preserve">Diabetes Care</w:t>
      </w:r>
      <w:r>
        <w:t xml:space="preserve"> </w:t>
      </w:r>
      <w:r>
        <w:t xml:space="preserve">· Tirzepatide Treatment and Associated Changes in β-Cell Function and Insulin Sensitivity in People With Obesity or Overweight With Prediabetes or Normoglycemia: A Post Hoc Analysis From the SURMOUNT-1 Trial. PMID 40694530</w:t>
      </w:r>
    </w:p>
    <w:p>
      <w:pPr>
        <w:numPr>
          <w:ilvl w:val="0"/>
          <w:numId w:val="1379"/>
        </w:numPr>
        <w:pStyle w:val="Compact"/>
      </w:pPr>
      <w:r>
        <w:t xml:space="preserve">2025 · Yamaguchi Y ·</w:t>
      </w:r>
      <w:r>
        <w:t xml:space="preserve"> </w:t>
      </w:r>
      <w:r>
        <w:rPr>
          <w:iCs/>
          <w:i/>
        </w:rPr>
        <w:t xml:space="preserve">Diabetologia</w:t>
      </w:r>
      <w:r>
        <w:t xml:space="preserve"> </w:t>
      </w:r>
      <w:r>
        <w:t xml:space="preserve">· Early induction of insulin sensitisation treated by tirzepatide: a prospective, single-arm, open-label study in Japanese individuals with obesity and type 2 diabetes. PMID 40694059</w:t>
      </w:r>
    </w:p>
    <w:p>
      <w:pPr>
        <w:numPr>
          <w:ilvl w:val="0"/>
          <w:numId w:val="1379"/>
        </w:numPr>
        <w:pStyle w:val="Compact"/>
      </w:pPr>
      <w:r>
        <w:t xml:space="preserve">2025 · Ard J ·</w:t>
      </w:r>
      <w:r>
        <w:t xml:space="preserve"> </w:t>
      </w:r>
      <w:r>
        <w:rPr>
          <w:iCs/>
          <w:i/>
        </w:rPr>
        <w:t xml:space="preserve">Diabetes Obes Metab</w:t>
      </w:r>
      <w:r>
        <w:t xml:space="preserve"> </w:t>
      </w:r>
      <w:r>
        <w:t xml:space="preserve">· Weight reduction over time in tirzepatide-treated participants by early weight loss response: Post hoc analysis in SURMOUNT-1. PMID 40677091</w:t>
      </w:r>
    </w:p>
    <w:p>
      <w:pPr>
        <w:numPr>
          <w:ilvl w:val="0"/>
          <w:numId w:val="1379"/>
        </w:numPr>
        <w:pStyle w:val="Compact"/>
      </w:pPr>
      <w:r>
        <w:t xml:space="preserve">2025 · Pearson ER ·</w:t>
      </w:r>
      <w:r>
        <w:t xml:space="preserve"> </w:t>
      </w:r>
      <w:r>
        <w:rPr>
          <w:iCs/>
          <w:i/>
        </w:rPr>
        <w:t xml:space="preserve">Diabetes</w:t>
      </w:r>
      <w:r>
        <w:t xml:space="preserve"> </w:t>
      </w:r>
      <w:r>
        <w:t xml:space="preserve">· Predictors of Initial and Sustained Glycemic and Weight Response to Tirzepatide: A Post Hoc Analysis of SURPASS-4. PMID 40633089</w:t>
      </w:r>
    </w:p>
    <w:p>
      <w:pPr>
        <w:numPr>
          <w:ilvl w:val="0"/>
          <w:numId w:val="1379"/>
        </w:numPr>
        <w:pStyle w:val="Compact"/>
      </w:pPr>
      <w:r>
        <w:t xml:space="preserve">2025 · Chigutsa E ·</w:t>
      </w:r>
      <w:r>
        <w:t xml:space="preserve"> </w:t>
      </w:r>
      <w:r>
        <w:rPr>
          <w:iCs/>
          <w:i/>
        </w:rPr>
        <w:t xml:space="preserve">Clin Pharmacol Ther</w:t>
      </w:r>
      <w:r>
        <w:t xml:space="preserve"> </w:t>
      </w:r>
      <w:r>
        <w:t xml:space="preserve">· A Pharmacometric Method for Quantitative Determination of Improvement in Body Composition and Characterization of the Exposure-Response Relationship during Treatment of Obesity with Tirzepatide. PMID 40556483</w:t>
      </w:r>
    </w:p>
    <w:p>
      <w:pPr>
        <w:numPr>
          <w:ilvl w:val="0"/>
          <w:numId w:val="1379"/>
        </w:numPr>
        <w:pStyle w:val="Compact"/>
      </w:pPr>
      <w:r>
        <w:t xml:space="preserve">2025 · Martin CK ·</w:t>
      </w:r>
      <w:r>
        <w:t xml:space="preserve"> </w:t>
      </w:r>
      <w:r>
        <w:rPr>
          <w:iCs/>
          <w:i/>
        </w:rPr>
        <w:t xml:space="preserve">Nat Med</w:t>
      </w:r>
      <w:r>
        <w:t xml:space="preserve"> </w:t>
      </w:r>
      <w:r>
        <w:t xml:space="preserve">· Tirzepatide on ingestive behavior in adults with overweight or obesity: a randomized 6-week phase 1 trial. PMID 40555748</w:t>
      </w:r>
    </w:p>
    <w:p>
      <w:pPr>
        <w:numPr>
          <w:ilvl w:val="0"/>
          <w:numId w:val="1379"/>
        </w:numPr>
        <w:pStyle w:val="Compact"/>
      </w:pPr>
      <w:r>
        <w:t xml:space="preserve">2025 · Linetzky B ·</w:t>
      </w:r>
      <w:r>
        <w:t xml:space="preserve"> </w:t>
      </w:r>
      <w:r>
        <w:rPr>
          <w:iCs/>
          <w:i/>
        </w:rPr>
        <w:t xml:space="preserve">Ann Intern Med</w:t>
      </w:r>
      <w:r>
        <w:t xml:space="preserve"> </w:t>
      </w:r>
      <w:r>
        <w:t xml:space="preserve">· Improvements in Cardiometabolic Risk Factors by Weight Reduction: A Post Hoc Analysis of Adults With Obesity Randomly Assigned to Tirzepatide. PMID 40550133</w:t>
      </w:r>
    </w:p>
    <w:p>
      <w:pPr>
        <w:numPr>
          <w:ilvl w:val="0"/>
          <w:numId w:val="1379"/>
        </w:numPr>
        <w:pStyle w:val="Compact"/>
      </w:pPr>
      <w:r>
        <w:t xml:space="preserve">2025 · Ciudin A ·</w:t>
      </w:r>
      <w:r>
        <w:t xml:space="preserve"> </w:t>
      </w:r>
      <w:r>
        <w:rPr>
          <w:iCs/>
          <w:i/>
        </w:rPr>
        <w:t xml:space="preserve">Diabetes Obes Metab</w:t>
      </w:r>
      <w:r>
        <w:t xml:space="preserve"> </w:t>
      </w:r>
      <w:r>
        <w:t xml:space="preserve">· Indirect comparative efficacy and safety of tirzepatide 10 and 15 mg versus semaglutide 2.4 mg for the management of obesity and overweight in patients with type 2 diabetes. PMID 40537987</w:t>
      </w:r>
    </w:p>
    <w:p>
      <w:pPr>
        <w:numPr>
          <w:ilvl w:val="0"/>
          <w:numId w:val="1379"/>
        </w:numPr>
        <w:pStyle w:val="Compact"/>
      </w:pPr>
      <w:r>
        <w:t xml:space="preserve">2025 · Yamauchi T ·</w:t>
      </w:r>
      <w:r>
        <w:t xml:space="preserve"> </w:t>
      </w:r>
      <w:r>
        <w:rPr>
          <w:iCs/>
          <w:i/>
        </w:rPr>
        <w:t xml:space="preserve">Diabetes Obes Metab</w:t>
      </w:r>
      <w:r>
        <w:t xml:space="preserve"> </w:t>
      </w:r>
      <w:r>
        <w:t xml:space="preserve">· Efficacy and safety of once-weekly tirzepatide in Japanese participants with type 2 diabetes who have obesity or overweight: Subpopulation analysis of the SURMOUNT-2 trial. PMID 40490415</w:t>
      </w:r>
    </w:p>
    <w:p>
      <w:pPr>
        <w:numPr>
          <w:ilvl w:val="0"/>
          <w:numId w:val="1379"/>
        </w:numPr>
        <w:pStyle w:val="Compact"/>
      </w:pPr>
      <w:r>
        <w:t xml:space="preserve">2025 · Zhao L ·</w:t>
      </w:r>
      <w:r>
        <w:t xml:space="preserve"> </w:t>
      </w:r>
      <w:r>
        <w:rPr>
          <w:iCs/>
          <w:i/>
        </w:rPr>
        <w:t xml:space="preserve">Obesity (Silver Spring)</w:t>
      </w:r>
      <w:r>
        <w:t xml:space="preserve"> </w:t>
      </w:r>
      <w:r>
        <w:t xml:space="preserve">· Association of tirzepatide with cardiometabolic benefits in Chinese adults: post hoc subgroup analysis of SURMOUNT-CN study. PMID 40437798</w:t>
      </w:r>
    </w:p>
    <w:p>
      <w:pPr>
        <w:numPr>
          <w:ilvl w:val="0"/>
          <w:numId w:val="1379"/>
        </w:numPr>
        <w:pStyle w:val="Compact"/>
      </w:pPr>
      <w:r>
        <w:t xml:space="preserve">2025 · Gibble TH ·</w:t>
      </w:r>
      <w:r>
        <w:t xml:space="preserve"> </w:t>
      </w:r>
      <w:r>
        <w:rPr>
          <w:iCs/>
          <w:i/>
        </w:rPr>
        <w:t xml:space="preserve">Diabetes Obes Metab</w:t>
      </w:r>
      <w:r>
        <w:t xml:space="preserve"> </w:t>
      </w:r>
      <w:r>
        <w:t xml:space="preserve">· Tirzepatide and health-related quality of life in adults with obesity or overweight: Results from the SURMOUNT-3 phase 3 randomized trial. PMID 40365662</w:t>
      </w:r>
    </w:p>
    <w:p>
      <w:pPr>
        <w:numPr>
          <w:ilvl w:val="0"/>
          <w:numId w:val="1379"/>
        </w:numPr>
        <w:pStyle w:val="Compact"/>
      </w:pPr>
      <w:r>
        <w:t xml:space="preserve">2025 · Aronne LJ ·</w:t>
      </w:r>
      <w:r>
        <w:t xml:space="preserve"> </w:t>
      </w:r>
      <w:r>
        <w:rPr>
          <w:iCs/>
          <w:i/>
        </w:rPr>
        <w:t xml:space="preserve">N Engl J Med</w:t>
      </w:r>
      <w:r>
        <w:t xml:space="preserve"> </w:t>
      </w:r>
      <w:r>
        <w:t xml:space="preserve">· Tirzepatide as Compared with Semaglutide for the Treatment of Obesity. PMID 40353578</w:t>
      </w:r>
    </w:p>
    <w:p>
      <w:pPr>
        <w:numPr>
          <w:ilvl w:val="0"/>
          <w:numId w:val="1379"/>
        </w:numPr>
        <w:pStyle w:val="Compact"/>
      </w:pPr>
      <w:r>
        <w:t xml:space="preserve">2025 · Zhao L ·</w:t>
      </w:r>
      <w:r>
        <w:t xml:space="preserve"> </w:t>
      </w:r>
      <w:r>
        <w:rPr>
          <w:iCs/>
          <w:i/>
        </w:rPr>
        <w:t xml:space="preserve">Diabetes Obes Metab</w:t>
      </w:r>
      <w:r>
        <w:t xml:space="preserve"> </w:t>
      </w:r>
      <w:r>
        <w:t xml:space="preserve">· Predicting 10-year risk of type 2 diabetes in Chinese people with overweight or obesity treated with Tirzepatide: Post hoc analysis of SURMOUNT-CN trial. PMID 40329666</w:t>
      </w:r>
    </w:p>
    <w:p>
      <w:pPr>
        <w:numPr>
          <w:ilvl w:val="0"/>
          <w:numId w:val="1379"/>
        </w:numPr>
        <w:pStyle w:val="Compact"/>
      </w:pPr>
      <w:r>
        <w:t xml:space="preserve">2025 · Hankosky ER ·</w:t>
      </w:r>
      <w:r>
        <w:t xml:space="preserve"> </w:t>
      </w:r>
      <w:r>
        <w:rPr>
          <w:iCs/>
          <w:i/>
        </w:rPr>
        <w:t xml:space="preserve">Diabetes Obes Metab</w:t>
      </w:r>
      <w:r>
        <w:t xml:space="preserve"> </w:t>
      </w:r>
      <w:r>
        <w:t xml:space="preserve">· Tirzepatide 10 and 15 mg versus semaglutide 2.4 mg in people with obesity or overweight with type 2 diabetes: An indirect treatment comparison. PMID 40321113</w:t>
      </w:r>
    </w:p>
    <w:p>
      <w:pPr>
        <w:numPr>
          <w:ilvl w:val="0"/>
          <w:numId w:val="1379"/>
        </w:numPr>
        <w:pStyle w:val="Compact"/>
      </w:pPr>
      <w:r>
        <w:t xml:space="preserve">2025 · Sattar N ·</w:t>
      </w:r>
      <w:r>
        <w:t xml:space="preserve"> </w:t>
      </w:r>
      <w:r>
        <w:rPr>
          <w:iCs/>
          <w:i/>
        </w:rPr>
        <w:t xml:space="preserve">Lancet Diabetes Endocrinol</w:t>
      </w:r>
      <w:r>
        <w:t xml:space="preserve"> </w:t>
      </w:r>
      <w:r>
        <w:t xml:space="preserve">· Tirzepatide and muscle composition changes in people with type 2 diabetes (SURPASS-3 MRI): a post-hoc analysis of a randomised, open-label, parallel-group, phase 3 trial. PMID 40318682</w:t>
      </w:r>
    </w:p>
    <w:p>
      <w:pPr>
        <w:numPr>
          <w:ilvl w:val="0"/>
          <w:numId w:val="1379"/>
        </w:numPr>
        <w:pStyle w:val="Compact"/>
      </w:pPr>
      <w:r>
        <w:t xml:space="preserve">2025 · Evans M ·</w:t>
      </w:r>
      <w:r>
        <w:t xml:space="preserve"> </w:t>
      </w:r>
      <w:r>
        <w:rPr>
          <w:iCs/>
          <w:i/>
        </w:rPr>
        <w:t xml:space="preserve">Adv Ther</w:t>
      </w:r>
      <w:r>
        <w:t xml:space="preserve"> </w:t>
      </w:r>
      <w:r>
        <w:t xml:space="preserve">· Analysis of Tirzepatide Acquisition Costs and Weight Reduction Outcomes in the United Kingdom: Insights from the SURMOUNT-1 Study. PMID 40251452</w:t>
      </w:r>
    </w:p>
    <w:p>
      <w:pPr>
        <w:numPr>
          <w:ilvl w:val="0"/>
          <w:numId w:val="1379"/>
        </w:numPr>
        <w:pStyle w:val="Compact"/>
      </w:pPr>
      <w:r>
        <w:t xml:space="preserve">2025 · Ravussin E ·</w:t>
      </w:r>
      <w:r>
        <w:t xml:space="preserve"> </w:t>
      </w:r>
      <w:r>
        <w:rPr>
          <w:iCs/>
          <w:i/>
        </w:rPr>
        <w:t xml:space="preserve">Cell Metab</w:t>
      </w:r>
      <w:r>
        <w:t xml:space="preserve"> </w:t>
      </w:r>
      <w:r>
        <w:t xml:space="preserve">· Tirzepatide did not impact metabolic adaptation in people with obesity, but increased fat oxidation. PMID 40203836</w:t>
      </w:r>
    </w:p>
    <w:p>
      <w:pPr>
        <w:numPr>
          <w:ilvl w:val="0"/>
          <w:numId w:val="1379"/>
        </w:numPr>
        <w:pStyle w:val="Compact"/>
      </w:pPr>
      <w:r>
        <w:t xml:space="preserve">2025 · Billings LK ·</w:t>
      </w:r>
      <w:r>
        <w:t xml:space="preserve"> </w:t>
      </w:r>
      <w:r>
        <w:rPr>
          <w:iCs/>
          <w:i/>
        </w:rPr>
        <w:t xml:space="preserve">Ann Intern Med</w:t>
      </w:r>
      <w:r>
        <w:t xml:space="preserve"> </w:t>
      </w:r>
      <w:r>
        <w:t xml:space="preserve">· Comparison of Dose Escalation Versus Switching to Tirzepatide Among People With Type 2 Diabetes Inadequately Controlled on Lower Doses of Dulaglutide : A Randomized Clinical Trial. PMID 40183678</w:t>
      </w:r>
    </w:p>
    <w:p>
      <w:pPr>
        <w:numPr>
          <w:ilvl w:val="0"/>
          <w:numId w:val="1379"/>
        </w:numPr>
        <w:pStyle w:val="Compact"/>
      </w:pPr>
      <w:r>
        <w:t xml:space="preserve">2025 · Packer M ·</w:t>
      </w:r>
      <w:r>
        <w:t xml:space="preserve"> </w:t>
      </w:r>
      <w:r>
        <w:rPr>
          <w:iCs/>
          <w:i/>
        </w:rPr>
        <w:t xml:space="preserve">J Am Coll Cardiol</w:t>
      </w:r>
      <w:r>
        <w:t xml:space="preserve"> </w:t>
      </w:r>
      <w:r>
        <w:t xml:space="preserve">· Interplay of Chronic Kidney Disease and the Effects of Tirzepatide in Patients With Heart Failure, Preserved Ejection Fraction, and Obesity: The SUMMIT Trial. PMID 40162940</w:t>
      </w:r>
    </w:p>
    <w:p>
      <w:pPr>
        <w:numPr>
          <w:ilvl w:val="0"/>
          <w:numId w:val="1379"/>
        </w:numPr>
        <w:pStyle w:val="Compact"/>
      </w:pPr>
      <w:r>
        <w:t xml:space="preserve">2025 · Giorgino F ·</w:t>
      </w:r>
      <w:r>
        <w:t xml:space="preserve"> </w:t>
      </w:r>
      <w:r>
        <w:rPr>
          <w:iCs/>
          <w:i/>
        </w:rPr>
        <w:t xml:space="preserve">Diabetes Care</w:t>
      </w:r>
      <w:r>
        <w:t xml:space="preserve"> </w:t>
      </w:r>
      <w:r>
        <w:t xml:space="preserve">· Early Fasting Serum Glucose or Weight Reduction With Tirzepatide and Metabolic Outcomes in People With Type 2 Diabetes: A Post Hoc Analysis of the SURPASS Trials. PMID 40100982</w:t>
      </w:r>
    </w:p>
    <w:p>
      <w:pPr>
        <w:numPr>
          <w:ilvl w:val="0"/>
          <w:numId w:val="1379"/>
        </w:numPr>
        <w:pStyle w:val="Compact"/>
      </w:pPr>
      <w:r>
        <w:t xml:space="preserve">2025 · Bergman BK ·</w:t>
      </w:r>
      <w:r>
        <w:t xml:space="preserve"> </w:t>
      </w:r>
      <w:r>
        <w:rPr>
          <w:iCs/>
          <w:i/>
        </w:rPr>
        <w:t xml:space="preserve">Diabetes Obes Metab</w:t>
      </w:r>
      <w:r>
        <w:t xml:space="preserve"> </w:t>
      </w:r>
      <w:r>
        <w:t xml:space="preserve">· Time spent in glycaemic control with sustained body weight reduction with tirzepatide: A post hoc analysis of the SURPASS clinical trial programme. PMID 40083081</w:t>
      </w:r>
    </w:p>
    <w:p>
      <w:pPr>
        <w:numPr>
          <w:ilvl w:val="0"/>
          <w:numId w:val="1379"/>
        </w:numPr>
        <w:pStyle w:val="Compact"/>
      </w:pPr>
      <w:r>
        <w:t xml:space="preserve">2025 · Kadowaki T ·</w:t>
      </w:r>
      <w:r>
        <w:t xml:space="preserve"> </w:t>
      </w:r>
      <w:r>
        <w:rPr>
          <w:iCs/>
          <w:i/>
        </w:rPr>
        <w:t xml:space="preserve">Lancet Diabetes Endocrinol</w:t>
      </w:r>
      <w:r>
        <w:t xml:space="preserve"> </w:t>
      </w:r>
      <w:r>
        <w:t xml:space="preserve">· Efficacy and safety of once-weekly tirzepatide in Japanese patients with obesity disease (SURMOUNT-J): a multicentre, randomised, double-blind, placebo-controlled phase 3 trial. PMID 40031941</w:t>
      </w:r>
    </w:p>
    <w:p>
      <w:pPr>
        <w:numPr>
          <w:ilvl w:val="0"/>
          <w:numId w:val="1379"/>
        </w:numPr>
        <w:pStyle w:val="Compact"/>
      </w:pPr>
      <w:r>
        <w:t xml:space="preserve">2025 · Look M ·</w:t>
      </w:r>
      <w:r>
        <w:t xml:space="preserve"> </w:t>
      </w:r>
      <w:r>
        <w:rPr>
          <w:iCs/>
          <w:i/>
        </w:rPr>
        <w:t xml:space="preserve">Diabetes Obes Metab</w:t>
      </w:r>
      <w:r>
        <w:t xml:space="preserve"> </w:t>
      </w:r>
      <w:r>
        <w:t xml:space="preserve">· Body composition changes during weight reduction with tirzepatide in the SURMOUNT-1 study of adults with obesity or overweight. PMID 39996356</w:t>
      </w:r>
    </w:p>
    <w:p>
      <w:pPr>
        <w:numPr>
          <w:ilvl w:val="0"/>
          <w:numId w:val="1379"/>
        </w:numPr>
        <w:pStyle w:val="Compact"/>
      </w:pPr>
      <w:r>
        <w:t xml:space="preserve">2025 · Mimura H ·</w:t>
      </w:r>
      <w:r>
        <w:t xml:space="preserve"> </w:t>
      </w:r>
      <w:r>
        <w:rPr>
          <w:iCs/>
          <w:i/>
        </w:rPr>
        <w:t xml:space="preserve">J Diabetes Investig</w:t>
      </w:r>
      <w:r>
        <w:t xml:space="preserve"> </w:t>
      </w:r>
      <w:r>
        <w:t xml:space="preserve">· Association of bodyweight loss with changes in lipids, blood pressure, and fasting serum glucose following tirzepatide treatment in Japanese participants with type 2 diabetes: A post hoc analysis of the SURPASS J-mono trial. PMID 39891527</w:t>
      </w:r>
    </w:p>
    <w:p>
      <w:pPr>
        <w:numPr>
          <w:ilvl w:val="0"/>
          <w:numId w:val="1379"/>
        </w:numPr>
        <w:pStyle w:val="Compact"/>
      </w:pPr>
      <w:r>
        <w:t xml:space="preserve">2025 · Fan Y ·</w:t>
      </w:r>
      <w:r>
        <w:t xml:space="preserve"> </w:t>
      </w:r>
      <w:r>
        <w:rPr>
          <w:iCs/>
          <w:i/>
        </w:rPr>
        <w:t xml:space="preserve">Diabetes Obes Metab</w:t>
      </w:r>
      <w:r>
        <w:t xml:space="preserve"> </w:t>
      </w:r>
      <w:r>
        <w:t xml:space="preserve">· The safety, tolerability, pharmacokinetics and pharmacodynamics of an optimized dual GLP-1/GIP receptor agonist (BGM0504) in healthy volunteers: A dose-escalation Phase I study. PMID 39840511</w:t>
      </w:r>
    </w:p>
    <w:p>
      <w:pPr>
        <w:numPr>
          <w:ilvl w:val="0"/>
          <w:numId w:val="1379"/>
        </w:numPr>
        <w:pStyle w:val="Compact"/>
      </w:pPr>
      <w:r>
        <w:t xml:space="preserve">2025 · Horn DB ·</w:t>
      </w:r>
      <w:r>
        <w:t xml:space="preserve"> </w:t>
      </w:r>
      <w:r>
        <w:rPr>
          <w:iCs/>
          <w:i/>
        </w:rPr>
        <w:t xml:space="preserve">Clin Obes</w:t>
      </w:r>
      <w:r>
        <w:t xml:space="preserve"> </w:t>
      </w:r>
      <w:r>
        <w:t xml:space="preserve">· Time to weight plateau with tirzepatide treatment in the SURMOUNT-1 and SURMOUNT-4 clinical trials. PMID 39800653</w:t>
      </w:r>
    </w:p>
    <w:p>
      <w:pPr>
        <w:numPr>
          <w:ilvl w:val="0"/>
          <w:numId w:val="1379"/>
        </w:numPr>
        <w:pStyle w:val="Compact"/>
      </w:pPr>
      <w:r>
        <w:t xml:space="preserve">2025 · Rubino DM ·</w:t>
      </w:r>
      <w:r>
        <w:t xml:space="preserve"> </w:t>
      </w:r>
      <w:r>
        <w:rPr>
          <w:iCs/>
          <w:i/>
        </w:rPr>
        <w:t xml:space="preserve">Diabetes Obes Metab</w:t>
      </w:r>
      <w:r>
        <w:t xml:space="preserve"> </w:t>
      </w:r>
      <w:r>
        <w:t xml:space="preserve">· Gastrointestinal tolerability and weight reduction associated with tirzepatide in adults with obesity or overweight with and without type 2 diabetes in the SURMOUNT-1 to -4 trials. PMID 39789843</w:t>
      </w:r>
    </w:p>
    <w:p>
      <w:pPr>
        <w:numPr>
          <w:ilvl w:val="0"/>
          <w:numId w:val="1379"/>
        </w:numPr>
        <w:pStyle w:val="Compact"/>
      </w:pPr>
      <w:r>
        <w:t xml:space="preserve">2025 · Mather KJ ·</w:t>
      </w:r>
      <w:r>
        <w:t xml:space="preserve"> </w:t>
      </w:r>
      <w:r>
        <w:rPr>
          <w:iCs/>
          <w:i/>
        </w:rPr>
        <w:t xml:space="preserve">Diabetes Obes Metab</w:t>
      </w:r>
      <w:r>
        <w:t xml:space="preserve"> </w:t>
      </w:r>
      <w:r>
        <w:t xml:space="preserve">· Greater improvement in insulin sensitivity per unit weight loss associated with tirzepatide versus semaglutide: An exploratory analysis. PMID 39762971</w:t>
      </w:r>
    </w:p>
    <w:p>
      <w:pPr>
        <w:numPr>
          <w:ilvl w:val="0"/>
          <w:numId w:val="1379"/>
        </w:numPr>
        <w:pStyle w:val="Compact"/>
      </w:pPr>
      <w:r>
        <w:t xml:space="preserve">2025 · Apperloo EM ·</w:t>
      </w:r>
      <w:r>
        <w:t xml:space="preserve"> </w:t>
      </w:r>
      <w:r>
        <w:rPr>
          <w:iCs/>
          <w:i/>
        </w:rPr>
        <w:t xml:space="preserve">Diabetes Care</w:t>
      </w:r>
      <w:r>
        <w:t xml:space="preserve"> </w:t>
      </w:r>
      <w:r>
        <w:t xml:space="preserve">· Tirzepatide Associated With Reduced Albuminuria in Participants With Type 2 Diabetes: Pooled Post Hoc Analysis From the Randomized Active- and Placebo-Controlled SURPASS-1-5 Clinical Trials. PMID 39746157</w:t>
      </w:r>
    </w:p>
    <w:p>
      <w:pPr>
        <w:numPr>
          <w:ilvl w:val="0"/>
          <w:numId w:val="1379"/>
        </w:numPr>
        <w:pStyle w:val="Compact"/>
      </w:pPr>
      <w:r>
        <w:t xml:space="preserve">2025 · Kramer CM ·</w:t>
      </w:r>
      <w:r>
        <w:t xml:space="preserve"> </w:t>
      </w:r>
      <w:r>
        <w:rPr>
          <w:iCs/>
          <w:i/>
        </w:rPr>
        <w:t xml:space="preserve">J Am Coll Cardiol</w:t>
      </w:r>
      <w:r>
        <w:t xml:space="preserve"> </w:t>
      </w:r>
      <w:r>
        <w:t xml:space="preserve">· Tirzepatide Reduces LV Mass and Paracardiac Adipose Tissue in Obesity-Related Heart Failure: SUMMIT CMR Substudy. PMID 39566869</w:t>
      </w:r>
    </w:p>
    <w:p>
      <w:pPr>
        <w:numPr>
          <w:ilvl w:val="0"/>
          <w:numId w:val="1379"/>
        </w:numPr>
        <w:pStyle w:val="Compact"/>
      </w:pPr>
      <w:r>
        <w:t xml:space="preserve">2025 · Zile MR ·</w:t>
      </w:r>
      <w:r>
        <w:t xml:space="preserve"> </w:t>
      </w:r>
      <w:r>
        <w:rPr>
          <w:iCs/>
          <w:i/>
        </w:rPr>
        <w:t xml:space="preserve">Circulation</w:t>
      </w:r>
      <w:r>
        <w:t xml:space="preserve"> </w:t>
      </w:r>
      <w:r>
        <w:t xml:space="preserve">· Effects of Tirzepatide on the Clinical Trajectory of Patients With Heart Failure, Preserved Ejection Fraction, and Obesity. PMID 39556714</w:t>
      </w:r>
    </w:p>
    <w:p>
      <w:pPr>
        <w:numPr>
          <w:ilvl w:val="0"/>
          <w:numId w:val="1379"/>
        </w:numPr>
        <w:pStyle w:val="Compact"/>
      </w:pPr>
      <w:r>
        <w:t xml:space="preserve">2025 · Packer M ·</w:t>
      </w:r>
      <w:r>
        <w:t xml:space="preserve"> </w:t>
      </w:r>
      <w:r>
        <w:rPr>
          <w:iCs/>
          <w:i/>
        </w:rPr>
        <w:t xml:space="preserve">N Engl J Med</w:t>
      </w:r>
      <w:r>
        <w:t xml:space="preserve"> </w:t>
      </w:r>
      <w:r>
        <w:t xml:space="preserve">· Tirzepatide for Heart Failure with Preserved Ejection Fraction and Obesity. PMID 39555826</w:t>
      </w:r>
    </w:p>
    <w:p>
      <w:pPr>
        <w:numPr>
          <w:ilvl w:val="0"/>
          <w:numId w:val="1379"/>
        </w:numPr>
        <w:pStyle w:val="Compact"/>
      </w:pPr>
      <w:r>
        <w:t xml:space="preserve">2025 · Borlaug BA ·</w:t>
      </w:r>
      <w:r>
        <w:t xml:space="preserve"> </w:t>
      </w:r>
      <w:r>
        <w:rPr>
          <w:iCs/>
          <w:i/>
        </w:rPr>
        <w:t xml:space="preserve">Nat Med</w:t>
      </w:r>
      <w:r>
        <w:t xml:space="preserve"> </w:t>
      </w:r>
      <w:r>
        <w:t xml:space="preserve">· Effects of tirzepatide on circulatory overload and end-organ damage in heart failure with preserved ejection fraction and obesity: a secondary analysis of the SUMMIT trial. PMID 39551891</w:t>
      </w:r>
    </w:p>
    <w:p>
      <w:pPr>
        <w:numPr>
          <w:ilvl w:val="0"/>
          <w:numId w:val="1379"/>
        </w:numPr>
        <w:pStyle w:val="Compact"/>
      </w:pPr>
      <w:r>
        <w:t xml:space="preserve">2025 · Jastreboff AM ·</w:t>
      </w:r>
      <w:r>
        <w:t xml:space="preserve"> </w:t>
      </w:r>
      <w:r>
        <w:rPr>
          <w:iCs/>
          <w:i/>
        </w:rPr>
        <w:t xml:space="preserve">N Engl J Med</w:t>
      </w:r>
      <w:r>
        <w:t xml:space="preserve"> </w:t>
      </w:r>
      <w:r>
        <w:t xml:space="preserve">· Tirzepatide for Obesity Treatment and Diabetes Prevention. PMID 39536238</w:t>
      </w:r>
    </w:p>
    <w:p>
      <w:pPr>
        <w:numPr>
          <w:ilvl w:val="0"/>
          <w:numId w:val="1379"/>
        </w:numPr>
        <w:pStyle w:val="Compact"/>
      </w:pPr>
      <w:r>
        <w:t xml:space="preserve">2025 · Gudzune KA ·</w:t>
      </w:r>
      <w:r>
        <w:t xml:space="preserve"> </w:t>
      </w:r>
      <w:r>
        <w:rPr>
          <w:iCs/>
          <w:i/>
        </w:rPr>
        <w:t xml:space="preserve">Diabetes Obes Metab</w:t>
      </w:r>
      <w:r>
        <w:t xml:space="preserve"> </w:t>
      </w:r>
      <w:r>
        <w:t xml:space="preserve">· Association between weight reduction achieved with tirzepatide and quality of life in adults with obesity: Results from the SURMOUNT-1 study. PMID 39497468</w:t>
      </w:r>
    </w:p>
    <w:p>
      <w:pPr>
        <w:numPr>
          <w:ilvl w:val="0"/>
          <w:numId w:val="1379"/>
        </w:numPr>
        <w:pStyle w:val="Compact"/>
      </w:pPr>
      <w:r>
        <w:t xml:space="preserve">2025 · Peters AL ·</w:t>
      </w:r>
      <w:r>
        <w:t xml:space="preserve"> </w:t>
      </w:r>
      <w:r>
        <w:rPr>
          <w:iCs/>
          <w:i/>
        </w:rPr>
        <w:t xml:space="preserve">J Clin Endocrinol Metab</w:t>
      </w:r>
      <w:r>
        <w:t xml:space="preserve"> </w:t>
      </w:r>
      <w:r>
        <w:t xml:space="preserve">· Improved HbA1c and Body Weight in GADA-Positive Individuals Treated With Tirzepatide: A Post Hoc Analysis of SURPASS. PMID 38824910</w:t>
      </w:r>
    </w:p>
    <w:p>
      <w:pPr>
        <w:numPr>
          <w:ilvl w:val="0"/>
          <w:numId w:val="1379"/>
        </w:numPr>
        <w:pStyle w:val="Compact"/>
      </w:pPr>
      <w:r>
        <w:t xml:space="preserve">2024 · Martin JA ·</w:t>
      </w:r>
      <w:r>
        <w:t xml:space="preserve"> </w:t>
      </w:r>
      <w:r>
        <w:rPr>
          <w:iCs/>
          <w:i/>
        </w:rPr>
        <w:t xml:space="preserve">Eur J Pharm Sci</w:t>
      </w:r>
      <w:r>
        <w:t xml:space="preserve"> </w:t>
      </w:r>
      <w:r>
        <w:t xml:space="preserve">· Absorption, distribution, metabolism, and excretion of tirzepatide in humans, rats, and monkeys. PMID 39243911</w:t>
      </w:r>
    </w:p>
    <w:p>
      <w:pPr>
        <w:numPr>
          <w:ilvl w:val="0"/>
          <w:numId w:val="1379"/>
        </w:numPr>
        <w:pStyle w:val="Compact"/>
      </w:pPr>
      <w:r>
        <w:t xml:space="preserve">2024 · Fujihara K ·</w:t>
      </w:r>
      <w:r>
        <w:t xml:space="preserve"> </w:t>
      </w:r>
      <w:r>
        <w:rPr>
          <w:iCs/>
          <w:i/>
        </w:rPr>
        <w:t xml:space="preserve">Diabetes Obes Metab</w:t>
      </w:r>
      <w:r>
        <w:t xml:space="preserve"> </w:t>
      </w:r>
      <w:r>
        <w:t xml:space="preserve">· Achieving normoglycaemia with tirzepatide: Post hoc exploratory analysis of the SURPASS J-mono and J-combo studies. PMID 39192522</w:t>
      </w:r>
    </w:p>
    <w:p>
      <w:pPr>
        <w:numPr>
          <w:ilvl w:val="0"/>
          <w:numId w:val="1379"/>
        </w:numPr>
        <w:pStyle w:val="Compact"/>
      </w:pPr>
      <w:r>
        <w:t xml:space="preserve">2024 · Krumholz HM ·</w:t>
      </w:r>
      <w:r>
        <w:t xml:space="preserve"> </w:t>
      </w:r>
      <w:r>
        <w:rPr>
          <w:iCs/>
          <w:i/>
        </w:rPr>
        <w:t xml:space="preserve">Heart</w:t>
      </w:r>
      <w:r>
        <w:t xml:space="preserve"> </w:t>
      </w:r>
      <w:r>
        <w:t xml:space="preserve">· Tirzepatide and blood pressure reduction: stratified analyses of the SURMOUNT-1 randomised controlled trial. PMID 39084707</w:t>
      </w:r>
    </w:p>
    <w:p>
      <w:pPr>
        <w:numPr>
          <w:ilvl w:val="0"/>
          <w:numId w:val="1379"/>
        </w:numPr>
        <w:pStyle w:val="Compact"/>
      </w:pPr>
      <w:r>
        <w:t xml:space="preserve">2024 · Malhotra A ·</w:t>
      </w:r>
      <w:r>
        <w:t xml:space="preserve"> </w:t>
      </w:r>
      <w:r>
        <w:rPr>
          <w:iCs/>
          <w:i/>
        </w:rPr>
        <w:t xml:space="preserve">N Engl J Med</w:t>
      </w:r>
      <w:r>
        <w:t xml:space="preserve"> </w:t>
      </w:r>
      <w:r>
        <w:t xml:space="preserve">· Tirzepatide for the Treatment of Obstructive Sleep Apnea and Obesity. PMID 38912654</w:t>
      </w:r>
    </w:p>
    <w:p>
      <w:pPr>
        <w:numPr>
          <w:ilvl w:val="0"/>
          <w:numId w:val="1379"/>
        </w:numPr>
        <w:pStyle w:val="Compact"/>
      </w:pPr>
      <w:r>
        <w:t xml:space="preserve">2024 · Loomba R ·</w:t>
      </w:r>
      <w:r>
        <w:t xml:space="preserve"> </w:t>
      </w:r>
      <w:r>
        <w:rPr>
          <w:iCs/>
          <w:i/>
        </w:rPr>
        <w:t xml:space="preserve">N Engl J Med</w:t>
      </w:r>
      <w:r>
        <w:t xml:space="preserve"> </w:t>
      </w:r>
      <w:r>
        <w:t xml:space="preserve">· Tirzepatide for Metabolic Dysfunction-Associated Steatohepatitis with Liver Fibrosis. PMID 38856224</w:t>
      </w:r>
    </w:p>
    <w:p>
      <w:pPr>
        <w:numPr>
          <w:ilvl w:val="0"/>
          <w:numId w:val="1379"/>
        </w:numPr>
        <w:pStyle w:val="Compact"/>
      </w:pPr>
      <w:r>
        <w:t xml:space="preserve">2024 · Zhao L ·</w:t>
      </w:r>
      <w:r>
        <w:t xml:space="preserve"> </w:t>
      </w:r>
      <w:r>
        <w:rPr>
          <w:iCs/>
          <w:i/>
        </w:rPr>
        <w:t xml:space="preserve">JAMA</w:t>
      </w:r>
      <w:r>
        <w:t xml:space="preserve"> </w:t>
      </w:r>
      <w:r>
        <w:t xml:space="preserve">· Tirzepatide for Weight Reduction in Chinese Adults With Obesity: The SURMOUNT-CN Randomized Clinical Trial. PMID 38819983</w:t>
      </w:r>
    </w:p>
    <w:p>
      <w:pPr>
        <w:numPr>
          <w:ilvl w:val="0"/>
          <w:numId w:val="1379"/>
        </w:numPr>
        <w:pStyle w:val="Compact"/>
      </w:pPr>
      <w:r>
        <w:t xml:space="preserve">2024 · Bao Y ·</w:t>
      </w:r>
      <w:r>
        <w:t xml:space="preserve"> </w:t>
      </w:r>
      <w:r>
        <w:rPr>
          <w:iCs/>
          <w:i/>
        </w:rPr>
        <w:t xml:space="preserve">Obesity (Silver Spring)</w:t>
      </w:r>
      <w:r>
        <w:t xml:space="preserve"> </w:t>
      </w:r>
      <w:r>
        <w:t xml:space="preserve">· Characterization of tirzepatide-treated patients achieving different glycemic control levels in SURPASS-AP-Combo. PMID 38803303</w:t>
      </w:r>
    </w:p>
    <w:p>
      <w:pPr>
        <w:numPr>
          <w:ilvl w:val="0"/>
          <w:numId w:val="1379"/>
        </w:numPr>
        <w:pStyle w:val="Compact"/>
      </w:pPr>
      <w:r>
        <w:t xml:space="preserve">2024 · Mather KJ ·</w:t>
      </w:r>
      <w:r>
        <w:t xml:space="preserve"> </w:t>
      </w:r>
      <w:r>
        <w:rPr>
          <w:iCs/>
          <w:i/>
        </w:rPr>
        <w:t xml:space="preserve">J Clin Endocrinol Metab</w:t>
      </w:r>
      <w:r>
        <w:t xml:space="preserve"> </w:t>
      </w:r>
      <w:r>
        <w:t xml:space="preserve">· Effects of Tirzepatide vs Semaglutide on β-Cell Function, Insulin Sensitivity, and Glucose Control During a Meal Test. PMID 38795393</w:t>
      </w:r>
    </w:p>
    <w:p>
      <w:pPr>
        <w:numPr>
          <w:ilvl w:val="0"/>
          <w:numId w:val="1379"/>
        </w:numPr>
        <w:pStyle w:val="Compact"/>
      </w:pPr>
      <w:r>
        <w:t xml:space="preserve">2024 · Osumili B ·</w:t>
      </w:r>
      <w:r>
        <w:t xml:space="preserve"> </w:t>
      </w:r>
      <w:r>
        <w:rPr>
          <w:iCs/>
          <w:i/>
        </w:rPr>
        <w:t xml:space="preserve">Diabetes Res Clin Pract</w:t>
      </w:r>
      <w:r>
        <w:t xml:space="preserve"> </w:t>
      </w:r>
      <w:r>
        <w:t xml:space="preserve">· Tirzepatide 5, 10 and 15 mg versus injectable semaglutide 0.5 mg for the treatment of type 2 diabetes: An adjusted indirect treatment comparison. PMID 38777128</w:t>
      </w:r>
    </w:p>
    <w:p>
      <w:pPr>
        <w:numPr>
          <w:ilvl w:val="0"/>
          <w:numId w:val="1379"/>
        </w:numPr>
        <w:pStyle w:val="Compact"/>
      </w:pPr>
      <w:r>
        <w:t xml:space="preserve">2024 · Vuppalanchi R ·</w:t>
      </w:r>
      <w:r>
        <w:t xml:space="preserve"> </w:t>
      </w:r>
      <w:r>
        <w:rPr>
          <w:iCs/>
          <w:i/>
        </w:rPr>
        <w:t xml:space="preserve">Aliment Pharmacol Ther</w:t>
      </w:r>
      <w:r>
        <w:t xml:space="preserve"> </w:t>
      </w:r>
      <w:r>
        <w:t xml:space="preserve">· Randomised clinical trial: Design of the SYNERGY-NASH phase 2b trial to evaluate tirzepatide as a treatment for metabolic dysfunction-associated steatohepatitis and modification of screening strategy to reduce screen failures. PMID 38768298</w:t>
      </w:r>
    </w:p>
    <w:p>
      <w:pPr>
        <w:numPr>
          <w:ilvl w:val="0"/>
          <w:numId w:val="1379"/>
        </w:numPr>
        <w:pStyle w:val="Compact"/>
      </w:pPr>
      <w:r>
        <w:t xml:space="preserve">2024 · Bagherzadeh-Rahmani B ·</w:t>
      </w:r>
      <w:r>
        <w:t xml:space="preserve"> </w:t>
      </w:r>
      <w:r>
        <w:rPr>
          <w:iCs/>
          <w:i/>
        </w:rPr>
        <w:t xml:space="preserve">Clin Hemorheol Microcirc</w:t>
      </w:r>
      <w:r>
        <w:t xml:space="preserve"> </w:t>
      </w:r>
      <w:r>
        <w:t xml:space="preserve">· Tirzepatide and exercise training in obesity. PMID 38640145</w:t>
      </w:r>
    </w:p>
    <w:p>
      <w:pPr>
        <w:numPr>
          <w:ilvl w:val="0"/>
          <w:numId w:val="1379"/>
        </w:numPr>
        <w:pStyle w:val="Compact"/>
      </w:pPr>
      <w:r>
        <w:t xml:space="preserve">2024 · Zeitler P ·</w:t>
      </w:r>
      <w:r>
        <w:t xml:space="preserve"> </w:t>
      </w:r>
      <w:r>
        <w:rPr>
          <w:iCs/>
          <w:i/>
        </w:rPr>
        <w:t xml:space="preserve">Diabetes Care</w:t>
      </w:r>
      <w:r>
        <w:t xml:space="preserve"> </w:t>
      </w:r>
      <w:r>
        <w:t xml:space="preserve">· Early-Onset Type 2 Diabetes and Tirzepatide Treatment: A Post Hoc Analysis From the SURPASS Clinical Trial Program. PMID 38639997</w:t>
      </w:r>
    </w:p>
    <w:p>
      <w:pPr>
        <w:numPr>
          <w:ilvl w:val="0"/>
          <w:numId w:val="1379"/>
        </w:numPr>
        <w:pStyle w:val="Compact"/>
      </w:pPr>
      <w:r>
        <w:t xml:space="preserve">2024 · Giorgino F ·</w:t>
      </w:r>
      <w:r>
        <w:t xml:space="preserve"> </w:t>
      </w:r>
      <w:r>
        <w:rPr>
          <w:iCs/>
          <w:i/>
        </w:rPr>
        <w:t xml:space="preserve">Diabetes Care</w:t>
      </w:r>
      <w:r>
        <w:t xml:space="preserve"> </w:t>
      </w:r>
      <w:r>
        <w:t xml:space="preserve">· Effects of Tirzepatide Versus Basal Insulins in People With Type 2 Diabetes and Different Baseline Glycemic Patterns: Post Hoc Analyses of the SURPASS-3 and SURPASS-4 Trials. PMID 38530948</w:t>
      </w:r>
    </w:p>
    <w:p>
      <w:pPr>
        <w:numPr>
          <w:ilvl w:val="0"/>
          <w:numId w:val="1379"/>
        </w:numPr>
        <w:pStyle w:val="Compact"/>
      </w:pPr>
      <w:r>
        <w:t xml:space="preserve">2024 · Frias JP ·</w:t>
      </w:r>
      <w:r>
        <w:t xml:space="preserve"> </w:t>
      </w:r>
      <w:r>
        <w:rPr>
          <w:iCs/>
          <w:i/>
        </w:rPr>
        <w:t xml:space="preserve">J Clin Endocrinol Metab</w:t>
      </w:r>
      <w:r>
        <w:t xml:space="preserve"> </w:t>
      </w:r>
      <w:r>
        <w:t xml:space="preserve">· Tirzepatide Improved Markers of Islet Cell Function and Insulin Sensitivity in People With T2D (SURPASS-2). PMID 38252888</w:t>
      </w:r>
    </w:p>
    <w:p>
      <w:pPr>
        <w:numPr>
          <w:ilvl w:val="0"/>
          <w:numId w:val="1379"/>
        </w:numPr>
        <w:pStyle w:val="Compact"/>
      </w:pPr>
      <w:r>
        <w:t xml:space="preserve">2024 · Aronne LJ ·</w:t>
      </w:r>
      <w:r>
        <w:t xml:space="preserve"> </w:t>
      </w:r>
      <w:r>
        <w:rPr>
          <w:iCs/>
          <w:i/>
        </w:rPr>
        <w:t xml:space="preserve">JAMA</w:t>
      </w:r>
      <w:r>
        <w:t xml:space="preserve"> </w:t>
      </w:r>
      <w:r>
        <w:t xml:space="preserve">· Continued Treatment With Tirzepatide for Maintenance of Weight Reduction in Adults With Obesity: The SURMOUNT-4 Randomized Clinical Trial. PMID 38078870</w:t>
      </w:r>
    </w:p>
    <w:p>
      <w:pPr>
        <w:numPr>
          <w:ilvl w:val="0"/>
          <w:numId w:val="1379"/>
        </w:numPr>
        <w:pStyle w:val="Compact"/>
      </w:pPr>
      <w:r>
        <w:t xml:space="preserve">2024 · Hankosky ER ·</w:t>
      </w:r>
      <w:r>
        <w:t xml:space="preserve"> </w:t>
      </w:r>
      <w:r>
        <w:rPr>
          <w:iCs/>
          <w:i/>
        </w:rPr>
        <w:t xml:space="preserve">Diabetes Obes Metab</w:t>
      </w:r>
      <w:r>
        <w:t xml:space="preserve"> </w:t>
      </w:r>
      <w:r>
        <w:t xml:space="preserve">· Tirzepatide reduces the predicted risk of atherosclerotic cardiovascular disease and improves cardiometabolic risk factors in adults with obesity or overweight: SURMOUNT-1 post hoc analysis. PMID 37932236</w:t>
      </w:r>
    </w:p>
    <w:p>
      <w:pPr>
        <w:numPr>
          <w:ilvl w:val="0"/>
          <w:numId w:val="1379"/>
        </w:numPr>
        <w:pStyle w:val="Compact"/>
      </w:pPr>
      <w:r>
        <w:t xml:space="preserve">2024 · Niu S ·</w:t>
      </w:r>
      <w:r>
        <w:t xml:space="preserve"> </w:t>
      </w:r>
      <w:r>
        <w:rPr>
          <w:iCs/>
          <w:i/>
        </w:rPr>
        <w:t xml:space="preserve">Diabetes Obes Metab</w:t>
      </w:r>
      <w:r>
        <w:t xml:space="preserve"> </w:t>
      </w:r>
      <w:r>
        <w:t xml:space="preserve">· 5-Year simulation of diabetes-related complications in people treated with tirzepatide or semaglutide versus insulin glargine. PMID 37867175</w:t>
      </w:r>
    </w:p>
    <w:p>
      <w:pPr>
        <w:numPr>
          <w:ilvl w:val="0"/>
          <w:numId w:val="1379"/>
        </w:numPr>
        <w:pStyle w:val="Compact"/>
      </w:pPr>
      <w:r>
        <w:t xml:space="preserve">2024 · Patel H ·</w:t>
      </w:r>
      <w:r>
        <w:t xml:space="preserve"> </w:t>
      </w:r>
      <w:r>
        <w:rPr>
          <w:iCs/>
          <w:i/>
        </w:rPr>
        <w:t xml:space="preserve">Diabetes Obes Metab</w:t>
      </w:r>
      <w:r>
        <w:t xml:space="preserve"> </w:t>
      </w:r>
      <w:r>
        <w:t xml:space="preserve">· Gastrointestinal adverse events and weight reduction in people with type 2 diabetes treated with tirzepatide in the SURPASS clinical trials. PMID 37853960</w:t>
      </w:r>
    </w:p>
    <w:p>
      <w:pPr>
        <w:numPr>
          <w:ilvl w:val="0"/>
          <w:numId w:val="1379"/>
        </w:numPr>
        <w:pStyle w:val="Compact"/>
      </w:pPr>
      <w:r>
        <w:t xml:space="preserve">2024 · Osonoi T ·</w:t>
      </w:r>
      <w:r>
        <w:t xml:space="preserve"> </w:t>
      </w:r>
      <w:r>
        <w:rPr>
          <w:iCs/>
          <w:i/>
        </w:rPr>
        <w:t xml:space="preserve">Diabetes Obes Metab</w:t>
      </w:r>
      <w:r>
        <w:t xml:space="preserve"> </w:t>
      </w:r>
      <w:r>
        <w:t xml:space="preserve">· Glycaemic control, body weight, and safety of tirzepatide versus dulaglutide by baseline glycated haemoglobin level in Japanese patients with type 2 diabetes: A subgroup analysis of the SURPASS J-mono study. PMID 37794628</w:t>
      </w:r>
    </w:p>
    <w:p>
      <w:pPr>
        <w:numPr>
          <w:ilvl w:val="0"/>
          <w:numId w:val="1379"/>
        </w:numPr>
        <w:pStyle w:val="Compact"/>
      </w:pPr>
      <w:r>
        <w:t xml:space="preserve">2023 · Wadden TA ·</w:t>
      </w:r>
      <w:r>
        <w:t xml:space="preserve"> </w:t>
      </w:r>
      <w:r>
        <w:rPr>
          <w:iCs/>
          <w:i/>
        </w:rPr>
        <w:t xml:space="preserve">Nat Med</w:t>
      </w:r>
      <w:r>
        <w:t xml:space="preserve"> </w:t>
      </w:r>
      <w:r>
        <w:t xml:space="preserve">· Tirzepatide after intensive lifestyle intervention in adults with overweight or obesity: the SURMOUNT-3 phase 3 trial. PMID 37840095</w:t>
      </w:r>
    </w:p>
    <w:p>
      <w:pPr>
        <w:numPr>
          <w:ilvl w:val="0"/>
          <w:numId w:val="1379"/>
        </w:numPr>
        <w:pStyle w:val="Compact"/>
      </w:pPr>
      <w:r>
        <w:t xml:space="preserve">2023 · Małecki MT ·</w:t>
      </w:r>
      <w:r>
        <w:t xml:space="preserve"> </w:t>
      </w:r>
      <w:r>
        <w:rPr>
          <w:iCs/>
          <w:i/>
        </w:rPr>
        <w:t xml:space="preserve">Diabetes Care</w:t>
      </w:r>
      <w:r>
        <w:t xml:space="preserve"> </w:t>
      </w:r>
      <w:r>
        <w:t xml:space="preserve">· Predictors of ≥15% Weight Reduction and Associated Changes in Cardiometabolic Risk Factors With Tirzepatide in Adults With Type 2 Diabetes in SURPASS 1-4. PMID 37824793</w:t>
      </w:r>
    </w:p>
    <w:p>
      <w:pPr>
        <w:numPr>
          <w:ilvl w:val="0"/>
          <w:numId w:val="1379"/>
        </w:numPr>
        <w:pStyle w:val="Compact"/>
      </w:pPr>
      <w:r>
        <w:t xml:space="preserve">2023 · Rosenstock J ·</w:t>
      </w:r>
      <w:r>
        <w:t xml:space="preserve"> </w:t>
      </w:r>
      <w:r>
        <w:rPr>
          <w:iCs/>
          <w:i/>
        </w:rPr>
        <w:t xml:space="preserve">JAMA</w:t>
      </w:r>
      <w:r>
        <w:t xml:space="preserve"> </w:t>
      </w:r>
      <w:r>
        <w:t xml:space="preserve">· Tirzepatide vs Insulin Lispro Added to Basal Insulin in Type 2 Diabetes: The SURPASS-6 Randomized Clinical Trial. PMID 37786396</w:t>
      </w:r>
    </w:p>
    <w:p>
      <w:pPr>
        <w:numPr>
          <w:ilvl w:val="0"/>
          <w:numId w:val="1379"/>
        </w:numPr>
        <w:pStyle w:val="Compact"/>
      </w:pPr>
      <w:r>
        <w:t xml:space="preserve">2023 · Hankosky ER ·</w:t>
      </w:r>
      <w:r>
        <w:t xml:space="preserve"> </w:t>
      </w:r>
      <w:r>
        <w:rPr>
          <w:iCs/>
          <w:i/>
        </w:rPr>
        <w:t xml:space="preserve">Diabetes Obes Metab</w:t>
      </w:r>
      <w:r>
        <w:t xml:space="preserve"> </w:t>
      </w:r>
      <w:r>
        <w:t xml:space="preserve">· Tirzepatide reduces the predicted risk of developing type 2 diabetes in people with obesity or overweight: Post hoc analysis of the SURMOUNT-1 trial. PMID 37700443</w:t>
      </w:r>
    </w:p>
    <w:p>
      <w:pPr>
        <w:numPr>
          <w:ilvl w:val="0"/>
          <w:numId w:val="1379"/>
        </w:numPr>
        <w:pStyle w:val="Compact"/>
      </w:pPr>
      <w:r>
        <w:t xml:space="preserve">2023 · Coelho C ·</w:t>
      </w:r>
      <w:r>
        <w:t xml:space="preserve"> </w:t>
      </w:r>
      <w:r>
        <w:rPr>
          <w:iCs/>
          <w:i/>
        </w:rPr>
        <w:t xml:space="preserve">Int J Obes (Lond)</w:t>
      </w:r>
      <w:r>
        <w:t xml:space="preserve"> </w:t>
      </w:r>
      <w:r>
        <w:t xml:space="preserve">· Laparoscopic adjustable gastric banding with liraglutide in adults with obesity and type 2 diabetes (GLIDE): a pilot randomised placebo controlled trial. PMID 37696925</w:t>
      </w:r>
    </w:p>
    <w:p>
      <w:pPr>
        <w:numPr>
          <w:ilvl w:val="0"/>
          <w:numId w:val="1379"/>
        </w:numPr>
        <w:pStyle w:val="Compact"/>
      </w:pPr>
      <w:r>
        <w:t xml:space="preserve">2023 · Garvey WT ·</w:t>
      </w:r>
      <w:r>
        <w:t xml:space="preserve"> </w:t>
      </w:r>
      <w:r>
        <w:rPr>
          <w:iCs/>
          <w:i/>
        </w:rPr>
        <w:t xml:space="preserve">Lancet</w:t>
      </w:r>
      <w:r>
        <w:t xml:space="preserve"> </w:t>
      </w:r>
      <w:r>
        <w:t xml:space="preserve">· Tirzepatide once weekly for the treatment of obesity in people with type 2 diabetes (SURMOUNT-2): a double-blind, randomised, multicentre, placebo-controlled, phase 3 trial. PMID 37385275</w:t>
      </w:r>
    </w:p>
    <w:p>
      <w:pPr>
        <w:numPr>
          <w:ilvl w:val="0"/>
          <w:numId w:val="1379"/>
        </w:numPr>
        <w:pStyle w:val="Compact"/>
      </w:pPr>
      <w:r>
        <w:t xml:space="preserve">2023 · Feng P ·</w:t>
      </w:r>
      <w:r>
        <w:t xml:space="preserve"> </w:t>
      </w:r>
      <w:r>
        <w:rPr>
          <w:iCs/>
          <w:i/>
        </w:rPr>
        <w:t xml:space="preserve">Adv Ther</w:t>
      </w:r>
      <w:r>
        <w:t xml:space="preserve"> </w:t>
      </w:r>
      <w:r>
        <w:t xml:space="preserve">· A Phase 1 Multiple Dose Study of Tirzepatide in Chinese Patients with Type 2 Diabetes. PMID 37285081</w:t>
      </w:r>
    </w:p>
    <w:p>
      <w:pPr>
        <w:numPr>
          <w:ilvl w:val="0"/>
          <w:numId w:val="1379"/>
        </w:numPr>
        <w:pStyle w:val="Compact"/>
      </w:pPr>
      <w:r>
        <w:t xml:space="preserve">2023 · Gao L ·</w:t>
      </w:r>
      <w:r>
        <w:t xml:space="preserve"> </w:t>
      </w:r>
      <w:r>
        <w:rPr>
          <w:iCs/>
          <w:i/>
        </w:rPr>
        <w:t xml:space="preserve">Nat Med</w:t>
      </w:r>
      <w:r>
        <w:t xml:space="preserve"> </w:t>
      </w:r>
      <w:r>
        <w:t xml:space="preserve">· Tirzepatide versus insulin glargine as second-line or third-line therapy in type 2 diabetes in the Asia-Pacific region: the SURPASS-AP-Combo trial. PMID 37231074</w:t>
      </w:r>
    </w:p>
    <w:p>
      <w:pPr>
        <w:numPr>
          <w:ilvl w:val="0"/>
          <w:numId w:val="1379"/>
        </w:numPr>
        <w:pStyle w:val="Compact"/>
      </w:pPr>
      <w:r>
        <w:t xml:space="preserve">2023 · Heise T ·</w:t>
      </w:r>
      <w:r>
        <w:t xml:space="preserve"> </w:t>
      </w:r>
      <w:r>
        <w:rPr>
          <w:iCs/>
          <w:i/>
        </w:rPr>
        <w:t xml:space="preserve">Diabetes Care</w:t>
      </w:r>
      <w:r>
        <w:t xml:space="preserve"> </w:t>
      </w:r>
      <w:r>
        <w:t xml:space="preserve">· Tirzepatide Reduces Appetite, Energy Intake, and Fat Mass in People With Type 2 Diabetes. PMID 36857477</w:t>
      </w:r>
    </w:p>
    <w:p>
      <w:pPr>
        <w:numPr>
          <w:ilvl w:val="0"/>
          <w:numId w:val="1379"/>
        </w:numPr>
        <w:pStyle w:val="Compact"/>
      </w:pPr>
      <w:r>
        <w:t xml:space="preserve">2023 · Lingvay I ·</w:t>
      </w:r>
      <w:r>
        <w:t xml:space="preserve"> </w:t>
      </w:r>
      <w:r>
        <w:rPr>
          <w:iCs/>
          <w:i/>
        </w:rPr>
        <w:t xml:space="preserve">Diabetes Obes Metab</w:t>
      </w:r>
      <w:r>
        <w:t xml:space="preserve"> </w:t>
      </w:r>
      <w:r>
        <w:t xml:space="preserve">· Achievement of glycaemic targets with weight loss and without hypoglycaemia in type 2 diabetes with the once-weekly glucose-dependent insulinotropic polypeptide and glucagon-like peptide-1 receptor agonist tirzepatide: A post hoc analysis of the SURPASS-1 to -5 studies. PMID 36514843</w:t>
      </w:r>
    </w:p>
    <w:p>
      <w:pPr>
        <w:numPr>
          <w:ilvl w:val="0"/>
          <w:numId w:val="1379"/>
        </w:numPr>
        <w:pStyle w:val="Compact"/>
      </w:pPr>
      <w:r>
        <w:t xml:space="preserve">2023 · Yabe D ·</w:t>
      </w:r>
      <w:r>
        <w:t xml:space="preserve"> </w:t>
      </w:r>
      <w:r>
        <w:rPr>
          <w:iCs/>
          <w:i/>
        </w:rPr>
        <w:t xml:space="preserve">Diabetes Obes Metab</w:t>
      </w:r>
      <w:r>
        <w:t xml:space="preserve"> </w:t>
      </w:r>
      <w:r>
        <w:t xml:space="preserve">· Change in pharmacodynamic variables following once-weekly tirzepatide treatment versus dulaglutide in Japanese patients with type 2 diabetes (SURPASS J-mono substudy). PMID 36184780</w:t>
      </w:r>
    </w:p>
    <w:p>
      <w:pPr>
        <w:numPr>
          <w:ilvl w:val="0"/>
          <w:numId w:val="1379"/>
        </w:numPr>
        <w:pStyle w:val="Compact"/>
      </w:pPr>
      <w:r>
        <w:t xml:space="preserve">2022 · Heerspink HJL ·</w:t>
      </w:r>
      <w:r>
        <w:t xml:space="preserve"> </w:t>
      </w:r>
      <w:r>
        <w:rPr>
          <w:iCs/>
          <w:i/>
        </w:rPr>
        <w:t xml:space="preserve">Lancet Diabetes Endocrinol</w:t>
      </w:r>
      <w:r>
        <w:t xml:space="preserve"> </w:t>
      </w:r>
      <w:r>
        <w:t xml:space="preserve">· Effects of tirzepatide versus insulin glargine on kidney outcomes in type 2 diabetes in the SURPASS-4 trial: post-hoc analysis of an open-label, randomised, phase 3 trial. PMID 36152639</w:t>
      </w:r>
    </w:p>
    <w:p>
      <w:pPr>
        <w:numPr>
          <w:ilvl w:val="0"/>
          <w:numId w:val="1379"/>
        </w:numPr>
        <w:pStyle w:val="Compact"/>
      </w:pPr>
      <w:r>
        <w:t xml:space="preserve">2022 · Scheen AJ ·</w:t>
      </w:r>
      <w:r>
        <w:t xml:space="preserve"> </w:t>
      </w:r>
      <w:r>
        <w:rPr>
          <w:iCs/>
          <w:i/>
        </w:rPr>
        <w:t xml:space="preserve">Rev Med Suisse</w:t>
      </w:r>
      <w:r>
        <w:t xml:space="preserve"> </w:t>
      </w:r>
      <w:r>
        <w:t xml:space="preserve">· [Focus on tirzepatide, a dual unimolecular GIP-GLP-1 receptor agonist in type 2 diabetes]. PMID 36004653</w:t>
      </w:r>
    </w:p>
    <w:p>
      <w:pPr>
        <w:numPr>
          <w:ilvl w:val="0"/>
          <w:numId w:val="1379"/>
        </w:numPr>
        <w:pStyle w:val="Compact"/>
      </w:pPr>
      <w:r>
        <w:t xml:space="preserve">2022 · Inagaki N ·</w:t>
      </w:r>
      <w:r>
        <w:t xml:space="preserve"> </w:t>
      </w:r>
      <w:r>
        <w:rPr>
          <w:iCs/>
          <w:i/>
        </w:rPr>
        <w:t xml:space="preserve">Lancet Diabetes Endocrinol</w:t>
      </w:r>
      <w:r>
        <w:t xml:space="preserve"> </w:t>
      </w:r>
      <w:r>
        <w:t xml:space="preserve">· Efficacy and safety of tirzepatide monotherapy compared with dulaglutide in Japanese patients with type 2 diabetes (SURPASS J-mono): a double-blind, multicentre, randomised, phase 3 trial. PMID 35914543</w:t>
      </w:r>
    </w:p>
    <w:p>
      <w:pPr>
        <w:numPr>
          <w:ilvl w:val="0"/>
          <w:numId w:val="1379"/>
        </w:numPr>
        <w:pStyle w:val="Compact"/>
      </w:pPr>
      <w:r>
        <w:t xml:space="preserve">2022 · Kadowaki T ·</w:t>
      </w:r>
      <w:r>
        <w:t xml:space="preserve"> </w:t>
      </w:r>
      <w:r>
        <w:rPr>
          <w:iCs/>
          <w:i/>
        </w:rPr>
        <w:t xml:space="preserve">Lancet Diabetes Endocrinol</w:t>
      </w:r>
      <w:r>
        <w:t xml:space="preserve"> </w:t>
      </w:r>
      <w:r>
        <w:t xml:space="preserve">· Safety and efficacy of tirzepatide as an add-on to single oral antihyperglycaemic medication in patients with type 2 diabetes in Japan (SURPASS J-combo): a multicentre, randomised, open-label, parallel-group, phase 3 trial. PMID 35914542</w:t>
      </w:r>
    </w:p>
    <w:p>
      <w:pPr>
        <w:numPr>
          <w:ilvl w:val="0"/>
          <w:numId w:val="1379"/>
        </w:numPr>
        <w:pStyle w:val="Compact"/>
      </w:pPr>
      <w:r>
        <w:t xml:space="preserve">2022 · Slomski A ·</w:t>
      </w:r>
      <w:r>
        <w:t xml:space="preserve"> </w:t>
      </w:r>
      <w:r>
        <w:rPr>
          <w:iCs/>
          <w:i/>
        </w:rPr>
        <w:t xml:space="preserve">JAMA</w:t>
      </w:r>
      <w:r>
        <w:t xml:space="preserve"> </w:t>
      </w:r>
      <w:r>
        <w:t xml:space="preserve">· Tirzepatide Trial Demonstrates Substantial Weight Loss. PMID 35881126</w:t>
      </w:r>
    </w:p>
    <w:p>
      <w:pPr>
        <w:numPr>
          <w:ilvl w:val="0"/>
          <w:numId w:val="1379"/>
        </w:numPr>
        <w:pStyle w:val="Compact"/>
      </w:pPr>
      <w:r>
        <w:t xml:space="preserve">2022 · Hindson J ·</w:t>
      </w:r>
      <w:r>
        <w:t xml:space="preserve"> </w:t>
      </w:r>
      <w:r>
        <w:rPr>
          <w:iCs/>
          <w:i/>
        </w:rPr>
        <w:t xml:space="preserve">Nat Rev Gastroenterol Hepatol</w:t>
      </w:r>
      <w:r>
        <w:t xml:space="preserve"> </w:t>
      </w:r>
      <w:r>
        <w:t xml:space="preserve">· Tirzepatide to treat obesity: phase III results. PMID 35773392</w:t>
      </w:r>
    </w:p>
    <w:p>
      <w:pPr>
        <w:numPr>
          <w:ilvl w:val="0"/>
          <w:numId w:val="1379"/>
        </w:numPr>
        <w:pStyle w:val="Compact"/>
      </w:pPr>
      <w:r>
        <w:t xml:space="preserve">2022 · Jastreboff AM ·</w:t>
      </w:r>
      <w:r>
        <w:t xml:space="preserve"> </w:t>
      </w:r>
      <w:r>
        <w:rPr>
          <w:iCs/>
          <w:i/>
        </w:rPr>
        <w:t xml:space="preserve">N Engl J Med</w:t>
      </w:r>
      <w:r>
        <w:t xml:space="preserve"> </w:t>
      </w:r>
      <w:r>
        <w:t xml:space="preserve">· Tirzepatide Once Weekly for the Treatment of Obesity. PMID 35658024</w:t>
      </w:r>
    </w:p>
    <w:p>
      <w:pPr>
        <w:numPr>
          <w:ilvl w:val="0"/>
          <w:numId w:val="1379"/>
        </w:numPr>
        <w:pStyle w:val="Compact"/>
      </w:pPr>
      <w:r>
        <w:t xml:space="preserve">2022 · Gastaldelli A ·</w:t>
      </w:r>
      <w:r>
        <w:t xml:space="preserve"> </w:t>
      </w:r>
      <w:r>
        <w:rPr>
          <w:iCs/>
          <w:i/>
        </w:rPr>
        <w:t xml:space="preserve">Lancet Diabetes Endocrinol</w:t>
      </w:r>
      <w:r>
        <w:t xml:space="preserve"> </w:t>
      </w:r>
      <w:r>
        <w:t xml:space="preserve">· Effect of tirzepatide versus insulin degludec on liver fat content and abdominal adipose tissue in people with type 2 diabetes (SURPASS-3 MRI): a substudy of the randomised, open-label, parallel-group, phase 3 SURPASS-3 trial. PMID 35468325</w:t>
      </w:r>
    </w:p>
    <w:p>
      <w:pPr>
        <w:numPr>
          <w:ilvl w:val="0"/>
          <w:numId w:val="1379"/>
        </w:numPr>
        <w:pStyle w:val="Compact"/>
      </w:pPr>
      <w:r>
        <w:t xml:space="preserve">2022 · Heise T ·</w:t>
      </w:r>
      <w:r>
        <w:t xml:space="preserve"> </w:t>
      </w:r>
      <w:r>
        <w:rPr>
          <w:iCs/>
          <w:i/>
        </w:rPr>
        <w:t xml:space="preserve">Lancet Diabetes Endocrinol</w:t>
      </w:r>
      <w:r>
        <w:t xml:space="preserve"> </w:t>
      </w:r>
      <w:r>
        <w:t xml:space="preserve">· Effects of subcutaneous tirzepatide versus placebo or semaglutide on pancreatic islet function and insulin sensitivity in adults with type 2 diabetes: a multicentre, randomised, double-blind, parallel-arm, phase 1 clinical trial. PMID 35468322</w:t>
      </w:r>
    </w:p>
    <w:p>
      <w:pPr>
        <w:numPr>
          <w:ilvl w:val="0"/>
          <w:numId w:val="1379"/>
        </w:numPr>
        <w:pStyle w:val="Compact"/>
      </w:pPr>
      <w:r>
        <w:t xml:space="preserve">2022 · Battelino T ·</w:t>
      </w:r>
      <w:r>
        <w:t xml:space="preserve"> </w:t>
      </w:r>
      <w:r>
        <w:rPr>
          <w:iCs/>
          <w:i/>
        </w:rPr>
        <w:t xml:space="preserve">Lancet Diabetes Endocrinol</w:t>
      </w:r>
      <w:r>
        <w:t xml:space="preserve"> </w:t>
      </w:r>
      <w:r>
        <w:t xml:space="preserve">· Efficacy of once-weekly tirzepatide versus once-daily insulin degludec on glycaemic control measured by continuous glucose monitoring in adults with type 2 diabetes (SURPASS-3 CGM): a substudy of the randomised, open-label, parallel-group, phase 3 SURPASS-3 trial. PMID 35468321</w:t>
      </w:r>
    </w:p>
    <w:p>
      <w:pPr>
        <w:numPr>
          <w:ilvl w:val="0"/>
          <w:numId w:val="1379"/>
        </w:numPr>
        <w:pStyle w:val="Compact"/>
      </w:pPr>
      <w:r>
        <w:t xml:space="preserve">2022 · Dahl D ·</w:t>
      </w:r>
      <w:r>
        <w:t xml:space="preserve"> </w:t>
      </w:r>
      <w:r>
        <w:rPr>
          <w:iCs/>
          <w:i/>
        </w:rPr>
        <w:t xml:space="preserve">JAMA</w:t>
      </w:r>
      <w:r>
        <w:t xml:space="preserve"> </w:t>
      </w:r>
      <w:r>
        <w:t xml:space="preserve">· Effect of Subcutaneous Tirzepatide vs Placebo Added to Titrated Insulin Glargine on Glycemic Control in Patients With Type 2 Diabetes: The SURPASS-5 Randomized Clinical Trial. PMID 35133415</w:t>
      </w:r>
    </w:p>
    <w:p>
      <w:pPr>
        <w:numPr>
          <w:ilvl w:val="0"/>
          <w:numId w:val="1379"/>
        </w:numPr>
        <w:pStyle w:val="Compact"/>
      </w:pPr>
      <w:r>
        <w:t xml:space="preserve">2022 · Furihata K ·</w:t>
      </w:r>
      <w:r>
        <w:t xml:space="preserve"> </w:t>
      </w:r>
      <w:r>
        <w:rPr>
          <w:iCs/>
          <w:i/>
        </w:rPr>
        <w:t xml:space="preserve">Diabetes Obes Metab</w:t>
      </w:r>
      <w:r>
        <w:t xml:space="preserve"> </w:t>
      </w:r>
      <w:r>
        <w:t xml:space="preserve">· A phase 1 multiple-ascending dose study of tirzepatide in Japanese participants with type 2 diabetes. PMID 34647404</w:t>
      </w:r>
    </w:p>
    <w:p>
      <w:pPr>
        <w:numPr>
          <w:ilvl w:val="0"/>
          <w:numId w:val="1379"/>
        </w:numPr>
        <w:pStyle w:val="Compact"/>
      </w:pPr>
      <w:r>
        <w:t xml:space="preserve">2022 · Pirro V ·</w:t>
      </w:r>
      <w:r>
        <w:t xml:space="preserve"> </w:t>
      </w:r>
      <w:r>
        <w:rPr>
          <w:iCs/>
          <w:i/>
        </w:rPr>
        <w:t xml:space="preserve">J Clin Endocrinol Metab</w:t>
      </w:r>
      <w:r>
        <w:t xml:space="preserve"> </w:t>
      </w:r>
      <w:r>
        <w:t xml:space="preserve">· Effects of Tirzepatide, a Dual GIP and GLP-1 RA, on Lipid and Metabolite Profiles in Subjects With Type 2 Diabetes. PMID 34608929</w:t>
      </w:r>
    </w:p>
    <w:p>
      <w:pPr>
        <w:numPr>
          <w:ilvl w:val="0"/>
          <w:numId w:val="1379"/>
        </w:numPr>
        <w:pStyle w:val="Compact"/>
      </w:pPr>
      <w:r>
        <w:t xml:space="preserve">2022 · Wilson JM ·</w:t>
      </w:r>
      <w:r>
        <w:t xml:space="preserve"> </w:t>
      </w:r>
      <w:r>
        <w:rPr>
          <w:iCs/>
          <w:i/>
        </w:rPr>
        <w:t xml:space="preserve">Diabetes Obes Metab</w:t>
      </w:r>
      <w:r>
        <w:t xml:space="preserve"> </w:t>
      </w:r>
      <w:r>
        <w:t xml:space="preserve">· The dual glucose-dependent insulinotropic polypeptide and glucagon-like peptide-1 receptor agonist tirzepatide improves cardiovascular risk biomarkers in patients with type 2 diabetes: A post hoc analysis. PMID 34542221</w:t>
      </w:r>
    </w:p>
    <w:p>
      <w:pPr>
        <w:numPr>
          <w:ilvl w:val="0"/>
          <w:numId w:val="1379"/>
        </w:numPr>
        <w:pStyle w:val="Compact"/>
      </w:pPr>
      <w:r>
        <w:t xml:space="preserve">2021 · Del Prato S ·</w:t>
      </w:r>
      <w:r>
        <w:t xml:space="preserve"> </w:t>
      </w:r>
      <w:r>
        <w:rPr>
          <w:iCs/>
          <w:i/>
        </w:rPr>
        <w:t xml:space="preserve">Lancet</w:t>
      </w:r>
      <w:r>
        <w:t xml:space="preserve"> </w:t>
      </w:r>
      <w:r>
        <w:t xml:space="preserve">· Tirzepatide versus insulin glargine in type 2 diabetes and increased cardiovascular risk (SURPASS-4): a randomised, open-label, parallel-group, multicentre, phase 3 trial. PMID 34672967</w:t>
      </w:r>
    </w:p>
    <w:p>
      <w:pPr>
        <w:numPr>
          <w:ilvl w:val="0"/>
          <w:numId w:val="1379"/>
        </w:numPr>
        <w:pStyle w:val="Compact"/>
      </w:pPr>
      <w:r>
        <w:t xml:space="preserve">2021 · Ludvik B ·</w:t>
      </w:r>
      <w:r>
        <w:t xml:space="preserve"> </w:t>
      </w:r>
      <w:r>
        <w:rPr>
          <w:iCs/>
          <w:i/>
        </w:rPr>
        <w:t xml:space="preserve">Lancet</w:t>
      </w:r>
      <w:r>
        <w:t xml:space="preserve"> </w:t>
      </w:r>
      <w:r>
        <w:t xml:space="preserve">· Once-weekly tirzepatide versus once-daily insulin degludec as add-on to metformin with or without SGLT2 inhibitors in patients with type 2 diabetes (SURPASS-3): a randomised, open-label, parallel-group, phase 3 trial. PMID 34370970</w:t>
      </w:r>
    </w:p>
    <w:p>
      <w:pPr>
        <w:numPr>
          <w:ilvl w:val="0"/>
          <w:numId w:val="1379"/>
        </w:numPr>
        <w:pStyle w:val="Compact"/>
      </w:pPr>
      <w:r>
        <w:t xml:space="preserve">2021 · Rosenstock J ·</w:t>
      </w:r>
      <w:r>
        <w:t xml:space="preserve"> </w:t>
      </w:r>
      <w:r>
        <w:rPr>
          <w:iCs/>
          <w:i/>
        </w:rPr>
        <w:t xml:space="preserve">Lancet</w:t>
      </w:r>
      <w:r>
        <w:t xml:space="preserve"> </w:t>
      </w:r>
      <w:r>
        <w:t xml:space="preserve">· Efficacy and safety of a novel dual GIP and GLP-1 receptor agonist tirzepatide in patients with type 2 diabetes (SURPASS-1): a double-blind, randomised, phase 3 trial. PMID 34186022</w:t>
      </w:r>
    </w:p>
    <w:p>
      <w:pPr>
        <w:numPr>
          <w:ilvl w:val="0"/>
          <w:numId w:val="1379"/>
        </w:numPr>
        <w:pStyle w:val="Compact"/>
      </w:pPr>
      <w:r>
        <w:t xml:space="preserve">2021 · Frías JP ·</w:t>
      </w:r>
      <w:r>
        <w:t xml:space="preserve"> </w:t>
      </w:r>
      <w:r>
        <w:rPr>
          <w:iCs/>
          <w:i/>
        </w:rPr>
        <w:t xml:space="preserve">N Engl J Med</w:t>
      </w:r>
      <w:r>
        <w:t xml:space="preserve"> </w:t>
      </w:r>
      <w:r>
        <w:t xml:space="preserve">· Tirzepatide versus Semaglutide Once Weekly in Patients with Type 2 Diabetes. PMID 34170647</w:t>
      </w:r>
    </w:p>
    <w:p>
      <w:pPr>
        <w:numPr>
          <w:ilvl w:val="0"/>
          <w:numId w:val="1379"/>
        </w:numPr>
        <w:pStyle w:val="Compact"/>
      </w:pPr>
      <w:r>
        <w:t xml:space="preserve">2021 · Urva S ·</w:t>
      </w:r>
      <w:r>
        <w:t xml:space="preserve"> </w:t>
      </w:r>
      <w:r>
        <w:rPr>
          <w:iCs/>
          <w:i/>
        </w:rPr>
        <w:t xml:space="preserve">Clin Pharmacokinet</w:t>
      </w:r>
      <w:r>
        <w:t xml:space="preserve"> </w:t>
      </w:r>
      <w:r>
        <w:t xml:space="preserve">· Effects of Renal Impairment on the Pharmacokinetics of the Dual GIP and GLP-1 Receptor Agonist Tirzepatide. PMID 33778934</w:t>
      </w:r>
    </w:p>
    <w:p>
      <w:pPr>
        <w:numPr>
          <w:ilvl w:val="0"/>
          <w:numId w:val="1379"/>
        </w:numPr>
        <w:pStyle w:val="Compact"/>
      </w:pPr>
      <w:r>
        <w:t xml:space="preserve">2021 · Thomas MK ·</w:t>
      </w:r>
      <w:r>
        <w:t xml:space="preserve"> </w:t>
      </w:r>
      <w:r>
        <w:rPr>
          <w:iCs/>
          <w:i/>
        </w:rPr>
        <w:t xml:space="preserve">J Clin Endocrinol Metab</w:t>
      </w:r>
      <w:r>
        <w:t xml:space="preserve"> </w:t>
      </w:r>
      <w:r>
        <w:t xml:space="preserve">· Dual GIP and GLP-1 Receptor Agonist Tirzepatide Improves Beta-cell Function and Insulin Sensitivity in Type 2 Diabetes. PMID 33236115</w:t>
      </w:r>
    </w:p>
    <w:p>
      <w:pPr>
        <w:numPr>
          <w:ilvl w:val="0"/>
          <w:numId w:val="1379"/>
        </w:numPr>
        <w:pStyle w:val="Compact"/>
      </w:pPr>
      <w:r>
        <w:t xml:space="preserve">2020 · Wilson JM ·</w:t>
      </w:r>
      <w:r>
        <w:t xml:space="preserve"> </w:t>
      </w:r>
      <w:r>
        <w:rPr>
          <w:iCs/>
          <w:i/>
        </w:rPr>
        <w:t xml:space="preserve">Diabetes Obes Metab</w:t>
      </w:r>
      <w:r>
        <w:t xml:space="preserve"> </w:t>
      </w:r>
      <w:r>
        <w:t xml:space="preserve">· The dual glucose-dependent insulinotropic peptide and glucagon-like peptide-1 receptor agonist, tirzepatide, improves lipoprotein biomarkers associated with insulin resistance and cardiovascular risk in patients with type 2 diabetes. PMID 33462955</w:t>
      </w:r>
    </w:p>
    <w:p>
      <w:pPr>
        <w:numPr>
          <w:ilvl w:val="0"/>
          <w:numId w:val="1379"/>
        </w:numPr>
        <w:pStyle w:val="Compact"/>
      </w:pPr>
      <w:r>
        <w:t xml:space="preserve">2020 · Hartman ML ·</w:t>
      </w:r>
      <w:r>
        <w:t xml:space="preserve"> </w:t>
      </w:r>
      <w:r>
        <w:rPr>
          <w:iCs/>
          <w:i/>
        </w:rPr>
        <w:t xml:space="preserve">Diabetes Care</w:t>
      </w:r>
      <w:r>
        <w:t xml:space="preserve"> </w:t>
      </w:r>
      <w:r>
        <w:t xml:space="preserve">· Effects of Novel Dual GIP and GLP-1 Receptor Agonist Tirzepatide on Biomarkers of Nonalcoholic Steatohepatitis in Patients With Type 2 Diabetes. PMID 32291277</w:t>
      </w:r>
    </w:p>
    <w:p>
      <w:pPr>
        <w:numPr>
          <w:ilvl w:val="0"/>
          <w:numId w:val="1379"/>
        </w:numPr>
        <w:pStyle w:val="Compact"/>
      </w:pPr>
      <w:r>
        <w:t xml:space="preserve">2020 · Frias JP ·</w:t>
      </w:r>
      <w:r>
        <w:t xml:space="preserve"> </w:t>
      </w:r>
      <w:r>
        <w:rPr>
          <w:iCs/>
          <w:i/>
        </w:rPr>
        <w:t xml:space="preserve">Diabetes Obes Metab</w:t>
      </w:r>
      <w:r>
        <w:t xml:space="preserve"> </w:t>
      </w:r>
      <w:r>
        <w:t xml:space="preserve">· Efficacy and tolerability of tirzepatide, a dual glucose-dependent insulinotropic peptide and glucagon-like peptide-1 receptor agonist in patients with type 2 diabetes: A 12-week, randomized, double-blind, placebo-controlled study to evaluate different dose-escalation regimens. PMID 31984598</w:t>
      </w:r>
    </w:p>
    <w:bookmarkEnd w:id="3018"/>
    <w:bookmarkStart w:id="3019" w:name="retatrutide-10"/>
    <w:p>
      <w:pPr>
        <w:pStyle w:val="Heading2"/>
      </w:pPr>
      <w:r>
        <w:t xml:space="preserve">Retatrutide (10)</w:t>
      </w:r>
    </w:p>
    <w:p>
      <w:pPr>
        <w:numPr>
          <w:ilvl w:val="0"/>
          <w:numId w:val="1380"/>
        </w:numPr>
        <w:pStyle w:val="Compact"/>
      </w:pPr>
      <w:r>
        <w:t xml:space="preserve">2026 · Bellido V ·</w:t>
      </w:r>
      <w:r>
        <w:t xml:space="preserve"> </w:t>
      </w:r>
      <w:r>
        <w:rPr>
          <w:iCs/>
          <w:i/>
        </w:rPr>
        <w:t xml:space="preserve">Lancet</w:t>
      </w:r>
      <w:r>
        <w:t xml:space="preserve"> </w:t>
      </w:r>
      <w:r>
        <w:t xml:space="preserve">· Retatrutide in adults with obesity and type 2 diabetes (TRIUMPH-2): a double-blind, parallel-group, randomised, placebo-controlled, phase 3 trial. PMID 42810372</w:t>
      </w:r>
    </w:p>
    <w:p>
      <w:pPr>
        <w:numPr>
          <w:ilvl w:val="0"/>
          <w:numId w:val="1380"/>
        </w:numPr>
        <w:pStyle w:val="Compact"/>
      </w:pPr>
      <w:r>
        <w:t xml:space="preserve">2026 · Ruotolo G ·</w:t>
      </w:r>
      <w:r>
        <w:t xml:space="preserve"> </w:t>
      </w:r>
      <w:r>
        <w:rPr>
          <w:iCs/>
          <w:i/>
        </w:rPr>
        <w:t xml:space="preserve">Diabetes Obes Metab</w:t>
      </w:r>
      <w:r>
        <w:t xml:space="preserve"> </w:t>
      </w:r>
      <w:r>
        <w:t xml:space="preserve">· Retatrutide-Associated Improvements in Cardiovascular Risk Biomarkers in Adults With Obesity With or Without Type 2 Diabetes. PMID 42608321</w:t>
      </w:r>
    </w:p>
    <w:p>
      <w:pPr>
        <w:numPr>
          <w:ilvl w:val="0"/>
          <w:numId w:val="1380"/>
        </w:numPr>
        <w:pStyle w:val="Compact"/>
      </w:pPr>
      <w:r>
        <w:t xml:space="preserve">2026 · Bajaj HS ·</w:t>
      </w:r>
      <w:r>
        <w:t xml:space="preserve"> </w:t>
      </w:r>
      <w:r>
        <w:rPr>
          <w:iCs/>
          <w:i/>
        </w:rPr>
        <w:t xml:space="preserve">Lancet</w:t>
      </w:r>
      <w:r>
        <w:t xml:space="preserve"> </w:t>
      </w:r>
      <w:r>
        <w:t xml:space="preserve">· Efficacy and safety of retatrutide, a GIP, GLP-1, and glucagon receptor agonist, in people with type 2 diabetes and inadequate glycaemic control with diet and exercise (TRANSCEND-T2D-1): a double-blind, randomised, phase 3 trial. PMID 42250575</w:t>
      </w:r>
    </w:p>
    <w:p>
      <w:pPr>
        <w:numPr>
          <w:ilvl w:val="0"/>
          <w:numId w:val="1380"/>
        </w:numPr>
        <w:pStyle w:val="Compact"/>
      </w:pPr>
      <w:r>
        <w:t xml:space="preserve">2026 · Pearson MJ ·</w:t>
      </w:r>
      <w:r>
        <w:t xml:space="preserve"> </w:t>
      </w:r>
      <w:r>
        <w:rPr>
          <w:iCs/>
          <w:i/>
        </w:rPr>
        <w:t xml:space="preserve">J Clin Endocrinol Metab</w:t>
      </w:r>
      <w:r>
        <w:t xml:space="preserve"> </w:t>
      </w:r>
      <w:r>
        <w:t xml:space="preserve">· Retatrutide and lipid and metabolite profiles in participants with obesity with or without type 2 diabetes. PMID 42135195</w:t>
      </w:r>
    </w:p>
    <w:p>
      <w:pPr>
        <w:numPr>
          <w:ilvl w:val="0"/>
          <w:numId w:val="1380"/>
        </w:numPr>
        <w:pStyle w:val="Compact"/>
      </w:pPr>
      <w:r>
        <w:t xml:space="preserve">2025 · Kanu C ·</w:t>
      </w:r>
      <w:r>
        <w:t xml:space="preserve"> </w:t>
      </w:r>
      <w:r>
        <w:rPr>
          <w:iCs/>
          <w:i/>
        </w:rPr>
        <w:t xml:space="preserve">Diabetes Obes Metab</w:t>
      </w:r>
      <w:r>
        <w:t xml:space="preserve"> </w:t>
      </w:r>
      <w:r>
        <w:t xml:space="preserve">· Appetite, eating attitudes, and eating behaviours during treatment with retatrutide in adults with type 2 diabetes: Results of a phase 2 study. PMID 40916752</w:t>
      </w:r>
    </w:p>
    <w:p>
      <w:pPr>
        <w:numPr>
          <w:ilvl w:val="0"/>
          <w:numId w:val="1380"/>
        </w:numPr>
        <w:pStyle w:val="Compact"/>
      </w:pPr>
      <w:r>
        <w:t xml:space="preserve">2025 · Wen Y ·</w:t>
      </w:r>
      <w:r>
        <w:t xml:space="preserve"> </w:t>
      </w:r>
      <w:r>
        <w:rPr>
          <w:iCs/>
          <w:i/>
        </w:rPr>
        <w:t xml:space="preserve">Diabetes Obes Metab</w:t>
      </w:r>
      <w:r>
        <w:t xml:space="preserve"> </w:t>
      </w:r>
      <w:r>
        <w:t xml:space="preserve">· Decreases in circulating ANGPTL3/8 concentrations following retatrutide treatment parallel reductions in serum lipids. PMID 40726454</w:t>
      </w:r>
    </w:p>
    <w:p>
      <w:pPr>
        <w:numPr>
          <w:ilvl w:val="0"/>
          <w:numId w:val="1380"/>
        </w:numPr>
        <w:pStyle w:val="Compact"/>
      </w:pPr>
      <w:r>
        <w:t xml:space="preserve">2025 · Coskun T ·</w:t>
      </w:r>
      <w:r>
        <w:t xml:space="preserve"> </w:t>
      </w:r>
      <w:r>
        <w:rPr>
          <w:iCs/>
          <w:i/>
        </w:rPr>
        <w:t xml:space="preserve">Lancet Diabetes Endocrinol</w:t>
      </w:r>
      <w:r>
        <w:t xml:space="preserve"> </w:t>
      </w:r>
      <w:r>
        <w:t xml:space="preserve">· Effects of retatrutide on body composition in people with type 2 diabetes: a substudy of a phase 2, double-blind, parallel-group, placebo-controlled, randomised trial. PMID 40609566</w:t>
      </w:r>
    </w:p>
    <w:p>
      <w:pPr>
        <w:numPr>
          <w:ilvl w:val="0"/>
          <w:numId w:val="1380"/>
        </w:numPr>
        <w:pStyle w:val="Compact"/>
      </w:pPr>
      <w:r>
        <w:t xml:space="preserve">2024 · Sanyal AJ ·</w:t>
      </w:r>
      <w:r>
        <w:t xml:space="preserve"> </w:t>
      </w:r>
      <w:r>
        <w:rPr>
          <w:iCs/>
          <w:i/>
        </w:rPr>
        <w:t xml:space="preserve">Nat Med</w:t>
      </w:r>
      <w:r>
        <w:t xml:space="preserve"> </w:t>
      </w:r>
      <w:r>
        <w:t xml:space="preserve">· Triple hormone receptor agonist retatrutide for metabolic dysfunction-associated steatotic liver disease: a randomized phase 2a trial. PMID 38858523</w:t>
      </w:r>
    </w:p>
    <w:p>
      <w:pPr>
        <w:numPr>
          <w:ilvl w:val="0"/>
          <w:numId w:val="1380"/>
        </w:numPr>
        <w:pStyle w:val="Compact"/>
      </w:pPr>
      <w:r>
        <w:t xml:space="preserve">2023 · Rosenstock J ·</w:t>
      </w:r>
      <w:r>
        <w:t xml:space="preserve"> </w:t>
      </w:r>
      <w:r>
        <w:rPr>
          <w:iCs/>
          <w:i/>
        </w:rPr>
        <w:t xml:space="preserve">Lancet</w:t>
      </w:r>
      <w:r>
        <w:t xml:space="preserve"> </w:t>
      </w:r>
      <w:r>
        <w:t xml:space="preserve">· Retatrutide, a GIP, GLP-1 and glucagon receptor agonist, for people with type 2 diabetes: a randomised, double-blind, placebo and active-controlled, parallel-group, phase 2 trial conducted in the USA. PMID 37385280</w:t>
      </w:r>
    </w:p>
    <w:p>
      <w:pPr>
        <w:numPr>
          <w:ilvl w:val="0"/>
          <w:numId w:val="1380"/>
        </w:numPr>
        <w:pStyle w:val="Compact"/>
      </w:pPr>
      <w:r>
        <w:t xml:space="preserve">2023 · Jastreboff AM ·</w:t>
      </w:r>
      <w:r>
        <w:t xml:space="preserve"> </w:t>
      </w:r>
      <w:r>
        <w:rPr>
          <w:iCs/>
          <w:i/>
        </w:rPr>
        <w:t xml:space="preserve">N Engl J Med</w:t>
      </w:r>
      <w:r>
        <w:t xml:space="preserve"> </w:t>
      </w:r>
      <w:r>
        <w:t xml:space="preserve">· Triple-Hormone-Receptor Agonist Retatrutide for Obesity - A Phase 2 Trial. PMID 37366315</w:t>
      </w:r>
    </w:p>
    <w:bookmarkEnd w:id="3019"/>
    <w:bookmarkStart w:id="3020" w:name="survodutide-10"/>
    <w:p>
      <w:pPr>
        <w:pStyle w:val="Heading2"/>
      </w:pPr>
      <w:r>
        <w:t xml:space="preserve">Survodutide (10)</w:t>
      </w:r>
    </w:p>
    <w:p>
      <w:pPr>
        <w:numPr>
          <w:ilvl w:val="0"/>
          <w:numId w:val="1381"/>
        </w:numPr>
        <w:pStyle w:val="Compact"/>
      </w:pPr>
      <w:r>
        <w:t xml:space="preserve">2026 · Ekinci EI ·</w:t>
      </w:r>
      <w:r>
        <w:t xml:space="preserve"> </w:t>
      </w:r>
      <w:r>
        <w:rPr>
          <w:iCs/>
          <w:i/>
        </w:rPr>
        <w:t xml:space="preserve">Diabetes Obes Metab</w:t>
      </w:r>
      <w:r>
        <w:t xml:space="preserve"> </w:t>
      </w:r>
      <w:r>
        <w:t xml:space="preserve">· Dual Glucagon and GLP-1 Receptor Agonist Survodutide Improves Biomarkers of Beta-Cell Function and Insulin Sensitivity in People With Type 2 Diabetes or Living With Overweight/Obesity. PMID 42331726</w:t>
      </w:r>
    </w:p>
    <w:p>
      <w:pPr>
        <w:numPr>
          <w:ilvl w:val="0"/>
          <w:numId w:val="1381"/>
        </w:numPr>
        <w:pStyle w:val="Compact"/>
      </w:pPr>
      <w:r>
        <w:t xml:space="preserve">2026 · le Roux CW ·</w:t>
      </w:r>
      <w:r>
        <w:t xml:space="preserve"> </w:t>
      </w:r>
      <w:r>
        <w:rPr>
          <w:iCs/>
          <w:i/>
        </w:rPr>
        <w:t xml:space="preserve">N Engl J Med</w:t>
      </w:r>
      <w:r>
        <w:t xml:space="preserve"> </w:t>
      </w:r>
      <w:r>
        <w:t xml:space="preserve">· Survodutide Once Weekly for the Treatment of Adults with Obesity. PMID 42253238</w:t>
      </w:r>
    </w:p>
    <w:p>
      <w:pPr>
        <w:numPr>
          <w:ilvl w:val="0"/>
          <w:numId w:val="1381"/>
        </w:numPr>
        <w:pStyle w:val="Compact"/>
      </w:pPr>
      <w:r>
        <w:t xml:space="preserve">2026 · Kaplan LM ·</w:t>
      </w:r>
      <w:r>
        <w:t xml:space="preserve"> </w:t>
      </w:r>
      <w:r>
        <w:rPr>
          <w:iCs/>
          <w:i/>
        </w:rPr>
        <w:t xml:space="preserve">Nat Med</w:t>
      </w:r>
      <w:r>
        <w:t xml:space="preserve"> </w:t>
      </w:r>
      <w:r>
        <w:t xml:space="preserve">· Survodutide in adults with obesity and metabolic dysfunction-associated steatotic liver disease: SYNCHRONIZE-MASLD, a randomized, double-blind, placebo-controlled phase 3 trial. PMID 42252333</w:t>
      </w:r>
    </w:p>
    <w:p>
      <w:pPr>
        <w:numPr>
          <w:ilvl w:val="0"/>
          <w:numId w:val="1381"/>
        </w:numPr>
        <w:pStyle w:val="Compact"/>
      </w:pPr>
      <w:r>
        <w:t xml:space="preserve">2026 · Wharton S ·</w:t>
      </w:r>
      <w:r>
        <w:t xml:space="preserve"> </w:t>
      </w:r>
      <w:r>
        <w:rPr>
          <w:iCs/>
          <w:i/>
        </w:rPr>
        <w:t xml:space="preserve">Diabetes Obes Metab</w:t>
      </w:r>
      <w:r>
        <w:t xml:space="preserve"> </w:t>
      </w:r>
      <w:r>
        <w:t xml:space="preserve">· Baseline characteristics in the SYNCHRONIZE™-2 randomized phase 3 trial of survodutide, a glucagon receptor/GLP-1 receptor dual agonist, for obesity in people with type 2 diabetes. PMID 41216778</w:t>
      </w:r>
    </w:p>
    <w:p>
      <w:pPr>
        <w:numPr>
          <w:ilvl w:val="0"/>
          <w:numId w:val="1381"/>
        </w:numPr>
        <w:pStyle w:val="Compact"/>
      </w:pPr>
      <w:r>
        <w:t xml:space="preserve">2026 · le Roux CW ·</w:t>
      </w:r>
      <w:r>
        <w:t xml:space="preserve"> </w:t>
      </w:r>
      <w:r>
        <w:rPr>
          <w:iCs/>
          <w:i/>
        </w:rPr>
        <w:t xml:space="preserve">Diabetes Obes Metab</w:t>
      </w:r>
      <w:r>
        <w:t xml:space="preserve"> </w:t>
      </w:r>
      <w:r>
        <w:t xml:space="preserve">· Survodutide for treatment of obesity: Baseline characteristics of participants in a randomized, double-blind, placebo-controlled, phase 3 trial (SYNCHRONIZE™-1). PMID 41187967</w:t>
      </w:r>
    </w:p>
    <w:p>
      <w:pPr>
        <w:numPr>
          <w:ilvl w:val="0"/>
          <w:numId w:val="1381"/>
        </w:numPr>
        <w:pStyle w:val="Compact"/>
      </w:pPr>
      <w:r>
        <w:t xml:space="preserve">2025 · le Roux CW ·</w:t>
      </w:r>
      <w:r>
        <w:t xml:space="preserve"> </w:t>
      </w:r>
      <w:r>
        <w:rPr>
          <w:iCs/>
          <w:i/>
        </w:rPr>
        <w:t xml:space="preserve">Diabetes Obes Metab</w:t>
      </w:r>
      <w:r>
        <w:t xml:space="preserve"> </w:t>
      </w:r>
      <w:r>
        <w:t xml:space="preserve">· Subgroup analysis by sex and baseline BMI in people with a BMI ≥27 kg/m(2) in the phase 2 trial of survodutide, a glucagon/GLP-1 receptor dual agonist. PMID 39821928</w:t>
      </w:r>
    </w:p>
    <w:p>
      <w:pPr>
        <w:numPr>
          <w:ilvl w:val="0"/>
          <w:numId w:val="1381"/>
        </w:numPr>
        <w:pStyle w:val="Compact"/>
      </w:pPr>
      <w:r>
        <w:t xml:space="preserve">2024 · Lawitz EJ ·</w:t>
      </w:r>
      <w:r>
        <w:t xml:space="preserve"> </w:t>
      </w:r>
      <w:r>
        <w:rPr>
          <w:iCs/>
          <w:i/>
        </w:rPr>
        <w:t xml:space="preserve">J Hepatol</w:t>
      </w:r>
      <w:r>
        <w:t xml:space="preserve"> </w:t>
      </w:r>
      <w:r>
        <w:t xml:space="preserve">· Efficacy, tolerability and pharmacokinetics of survodutide, a glucagon/glucagon-like peptide-1 receptor dual agonist, in cirrhosis. PMID 38857788</w:t>
      </w:r>
    </w:p>
    <w:p>
      <w:pPr>
        <w:numPr>
          <w:ilvl w:val="0"/>
          <w:numId w:val="1381"/>
        </w:numPr>
        <w:pStyle w:val="Compact"/>
      </w:pPr>
      <w:r>
        <w:t xml:space="preserve">2024 · Sanyal AJ ·</w:t>
      </w:r>
      <w:r>
        <w:t xml:space="preserve"> </w:t>
      </w:r>
      <w:r>
        <w:rPr>
          <w:iCs/>
          <w:i/>
        </w:rPr>
        <w:t xml:space="preserve">N Engl J Med</w:t>
      </w:r>
      <w:r>
        <w:t xml:space="preserve"> </w:t>
      </w:r>
      <w:r>
        <w:t xml:space="preserve">· A Phase 2 Randomized Trial of Survodutide in MASH and Fibrosis. PMID 38847460</w:t>
      </w:r>
    </w:p>
    <w:p>
      <w:pPr>
        <w:numPr>
          <w:ilvl w:val="0"/>
          <w:numId w:val="1381"/>
        </w:numPr>
        <w:pStyle w:val="Compact"/>
      </w:pPr>
      <w:r>
        <w:t xml:space="preserve">2024 · le Roux CW ·</w:t>
      </w:r>
      <w:r>
        <w:t xml:space="preserve"> </w:t>
      </w:r>
      <w:r>
        <w:rPr>
          <w:iCs/>
          <w:i/>
        </w:rPr>
        <w:t xml:space="preserve">Lancet Diabetes Endocrinol</w:t>
      </w:r>
      <w:r>
        <w:t xml:space="preserve"> </w:t>
      </w:r>
      <w:r>
        <w:t xml:space="preserve">· Glucagon and GLP-1 receptor dual agonist survodutide for obesity: a randomised, double-blind, placebo-controlled, dose-finding phase 2 trial. PMID 38330987</w:t>
      </w:r>
    </w:p>
    <w:p>
      <w:pPr>
        <w:numPr>
          <w:ilvl w:val="0"/>
          <w:numId w:val="1381"/>
        </w:numPr>
        <w:pStyle w:val="Compact"/>
      </w:pPr>
      <w:r>
        <w:t xml:space="preserve">2024 · Blüher M ·</w:t>
      </w:r>
      <w:r>
        <w:t xml:space="preserve"> </w:t>
      </w:r>
      <w:r>
        <w:rPr>
          <w:iCs/>
          <w:i/>
        </w:rPr>
        <w:t xml:space="preserve">Diabetologia</w:t>
      </w:r>
      <w:r>
        <w:t xml:space="preserve"> </w:t>
      </w:r>
      <w:r>
        <w:t xml:space="preserve">· Dose-response effects on HbA(1c) and bodyweight reduction of survodutide, a dual glucagon/GLP-1 receptor agonist, compared with placebo and open-label semaglutide in people with type 2 diabetes: a randomised clinical trial. PMID 38095657</w:t>
      </w:r>
    </w:p>
    <w:bookmarkEnd w:id="3020"/>
    <w:bookmarkStart w:id="3021" w:name="mazdutide-9"/>
    <w:p>
      <w:pPr>
        <w:pStyle w:val="Heading2"/>
      </w:pPr>
      <w:r>
        <w:t xml:space="preserve">Mazdutide (9)</w:t>
      </w:r>
    </w:p>
    <w:p>
      <w:pPr>
        <w:numPr>
          <w:ilvl w:val="0"/>
          <w:numId w:val="1382"/>
        </w:numPr>
        <w:pStyle w:val="Compact"/>
      </w:pPr>
      <w:r>
        <w:t xml:space="preserve">2026 · Hsia SH ·</w:t>
      </w:r>
      <w:r>
        <w:t xml:space="preserve"> </w:t>
      </w:r>
      <w:r>
        <w:rPr>
          <w:iCs/>
          <w:i/>
        </w:rPr>
        <w:t xml:space="preserve">Lancet Diabetes Endocrinol</w:t>
      </w:r>
      <w:r>
        <w:t xml:space="preserve"> </w:t>
      </w:r>
      <w:r>
        <w:t xml:space="preserve">· Efficacy and safety of mazdutide in adults with obesity or overweight: a US-based, multicentre, phase 2, randomised, placebo-controlled clinical trial. PMID 42628555</w:t>
      </w:r>
    </w:p>
    <w:p>
      <w:pPr>
        <w:numPr>
          <w:ilvl w:val="0"/>
          <w:numId w:val="1382"/>
        </w:numPr>
        <w:pStyle w:val="Compact"/>
      </w:pPr>
      <w:r>
        <w:t xml:space="preserve">2026 · Gao L ·</w:t>
      </w:r>
      <w:r>
        <w:t xml:space="preserve"> </w:t>
      </w:r>
      <w:r>
        <w:rPr>
          <w:iCs/>
          <w:i/>
        </w:rPr>
        <w:t xml:space="preserve">JAMA</w:t>
      </w:r>
      <w:r>
        <w:t xml:space="preserve"> </w:t>
      </w:r>
      <w:r>
        <w:t xml:space="preserve">· Treatment With 9-mg Mazdutide for Weight Reduction in Chinese Adults With Obesity: The GLORY-2 Randomized Clinical Trial. PMID 42251595</w:t>
      </w:r>
    </w:p>
    <w:p>
      <w:pPr>
        <w:numPr>
          <w:ilvl w:val="0"/>
          <w:numId w:val="1382"/>
        </w:numPr>
        <w:pStyle w:val="Compact"/>
      </w:pPr>
      <w:r>
        <w:t xml:space="preserve">2026 · Ji L ·</w:t>
      </w:r>
      <w:r>
        <w:t xml:space="preserve"> </w:t>
      </w:r>
      <w:r>
        <w:rPr>
          <w:iCs/>
          <w:i/>
        </w:rPr>
        <w:t xml:space="preserve">Med</w:t>
      </w:r>
      <w:r>
        <w:t xml:space="preserve"> </w:t>
      </w:r>
      <w:r>
        <w:t xml:space="preserve">· Mazdutide 9 mg in Chinese adults with a body mass index ≥30 kg/m(2) but without diabetes: A phase 2 randomized controlled trial. PMID 41875890</w:t>
      </w:r>
    </w:p>
    <w:p>
      <w:pPr>
        <w:numPr>
          <w:ilvl w:val="0"/>
          <w:numId w:val="1382"/>
        </w:numPr>
        <w:pStyle w:val="Compact"/>
      </w:pPr>
      <w:r>
        <w:t xml:space="preserve">2026 · Guo L ·</w:t>
      </w:r>
      <w:r>
        <w:t xml:space="preserve"> </w:t>
      </w:r>
      <w:r>
        <w:rPr>
          <w:iCs/>
          <w:i/>
        </w:rPr>
        <w:t xml:space="preserve">Nature</w:t>
      </w:r>
      <w:r>
        <w:t xml:space="preserve"> </w:t>
      </w:r>
      <w:r>
        <w:t xml:space="preserve">· Mazdutide versus dulaglutide in Chinese adults with type 2 diabetes. PMID 41407860</w:t>
      </w:r>
    </w:p>
    <w:p>
      <w:pPr>
        <w:numPr>
          <w:ilvl w:val="0"/>
          <w:numId w:val="1382"/>
        </w:numPr>
        <w:pStyle w:val="Compact"/>
      </w:pPr>
      <w:r>
        <w:t xml:space="preserve">2026 · Zhu D ·</w:t>
      </w:r>
      <w:r>
        <w:t xml:space="preserve"> </w:t>
      </w:r>
      <w:r>
        <w:rPr>
          <w:iCs/>
          <w:i/>
        </w:rPr>
        <w:t xml:space="preserve">Nature</w:t>
      </w:r>
      <w:r>
        <w:t xml:space="preserve"> </w:t>
      </w:r>
      <w:r>
        <w:t xml:space="preserve">· Mazdutide versus placebo in Chinese adults with type 2 diabetes. PMID 41407859</w:t>
      </w:r>
    </w:p>
    <w:p>
      <w:pPr>
        <w:numPr>
          <w:ilvl w:val="0"/>
          <w:numId w:val="1382"/>
        </w:numPr>
        <w:pStyle w:val="Compact"/>
      </w:pPr>
      <w:r>
        <w:t xml:space="preserve">2025 · Bhattachar SN ·</w:t>
      </w:r>
      <w:r>
        <w:t xml:space="preserve"> </w:t>
      </w:r>
      <w:r>
        <w:rPr>
          <w:iCs/>
          <w:i/>
        </w:rPr>
        <w:t xml:space="preserve">Diabetes Obes Metab</w:t>
      </w:r>
      <w:r>
        <w:t xml:space="preserve"> </w:t>
      </w:r>
      <w:r>
        <w:t xml:space="preserve">· Mazdutide reduces body weight in adults with overweight or obesity: A high-dose Phase 1 trial. PMID 40832785</w:t>
      </w:r>
    </w:p>
    <w:p>
      <w:pPr>
        <w:numPr>
          <w:ilvl w:val="0"/>
          <w:numId w:val="1382"/>
        </w:numPr>
        <w:pStyle w:val="Compact"/>
      </w:pPr>
      <w:r>
        <w:t xml:space="preserve">2025 · Ji L ·</w:t>
      </w:r>
      <w:r>
        <w:t xml:space="preserve"> </w:t>
      </w:r>
      <w:r>
        <w:rPr>
          <w:iCs/>
          <w:i/>
        </w:rPr>
        <w:t xml:space="preserve">N Engl J Med</w:t>
      </w:r>
      <w:r>
        <w:t xml:space="preserve"> </w:t>
      </w:r>
      <w:r>
        <w:t xml:space="preserve">· Once-Weekly Mazdutide in Chinese Adults with Obesity or Overweight. PMID 40421736</w:t>
      </w:r>
    </w:p>
    <w:p>
      <w:pPr>
        <w:numPr>
          <w:ilvl w:val="0"/>
          <w:numId w:val="1382"/>
        </w:numPr>
        <w:pStyle w:val="Compact"/>
      </w:pPr>
      <w:r>
        <w:t xml:space="preserve">2024 · Zhang B ·</w:t>
      </w:r>
      <w:r>
        <w:t xml:space="preserve"> </w:t>
      </w:r>
      <w:r>
        <w:rPr>
          <w:iCs/>
          <w:i/>
        </w:rPr>
        <w:t xml:space="preserve">Diabetes Care</w:t>
      </w:r>
      <w:r>
        <w:t xml:space="preserve"> </w:t>
      </w:r>
      <w:r>
        <w:t xml:space="preserve">· Efficacy and Safety of Mazdutide in Chinese Patients With Type 2 Diabetes: A Randomized, Double-Blind, Placebo-Controlled Phase 2 Trial. PMID 37943529</w:t>
      </w:r>
    </w:p>
    <w:p>
      <w:pPr>
        <w:numPr>
          <w:ilvl w:val="0"/>
          <w:numId w:val="1382"/>
        </w:numPr>
        <w:pStyle w:val="Compact"/>
      </w:pPr>
      <w:r>
        <w:t xml:space="preserve">2023 · Ji L ·</w:t>
      </w:r>
      <w:r>
        <w:t xml:space="preserve"> </w:t>
      </w:r>
      <w:r>
        <w:rPr>
          <w:iCs/>
          <w:i/>
        </w:rPr>
        <w:t xml:space="preserve">Nat Commun</w:t>
      </w:r>
      <w:r>
        <w:t xml:space="preserve"> </w:t>
      </w:r>
      <w:r>
        <w:t xml:space="preserve">· A phase 2 randomised controlled trial of mazdutide in Chinese overweight adults or adults with obesity. PMID 38092790</w:t>
      </w:r>
    </w:p>
    <w:bookmarkEnd w:id="3021"/>
    <w:bookmarkStart w:id="3022" w:name="cagrilintide-e-cagrisema-15"/>
    <w:p>
      <w:pPr>
        <w:pStyle w:val="Heading2"/>
      </w:pPr>
      <w:r>
        <w:t xml:space="preserve">Cagrilintide e CagriSema (15)</w:t>
      </w:r>
    </w:p>
    <w:p>
      <w:pPr>
        <w:numPr>
          <w:ilvl w:val="0"/>
          <w:numId w:val="1383"/>
        </w:numPr>
        <w:pStyle w:val="Compact"/>
      </w:pPr>
      <w:r>
        <w:t xml:space="preserve">2026 · Busetto L ·</w:t>
      </w:r>
      <w:r>
        <w:t xml:space="preserve"> </w:t>
      </w:r>
      <w:r>
        <w:rPr>
          <w:iCs/>
          <w:i/>
        </w:rPr>
        <w:t xml:space="preserve">Diabetes Obes Metab</w:t>
      </w:r>
      <w:r>
        <w:t xml:space="preserve"> </w:t>
      </w:r>
      <w:r>
        <w:t xml:space="preserve">· Efficacy of CagriSema for Reaching Anthropometric Treatment Targets and Cardiometabolic Outcomes: A Secondary, Post hoc Analysis of REDEFINE 1. PMID 42503495</w:t>
      </w:r>
    </w:p>
    <w:p>
      <w:pPr>
        <w:numPr>
          <w:ilvl w:val="0"/>
          <w:numId w:val="1383"/>
        </w:numPr>
        <w:pStyle w:val="Compact"/>
      </w:pPr>
      <w:r>
        <w:t xml:space="preserve">2026 · Loomba R ·</w:t>
      </w:r>
      <w:r>
        <w:t xml:space="preserve"> </w:t>
      </w:r>
      <w:r>
        <w:rPr>
          <w:iCs/>
          <w:i/>
        </w:rPr>
        <w:t xml:space="preserve">Lancet Gastroenterol Hepatol</w:t>
      </w:r>
      <w:r>
        <w:t xml:space="preserve"> </w:t>
      </w:r>
      <w:r>
        <w:t xml:space="preserve">· Efficacy and safety of zalfermin co-administered with semaglutide in participants with fibrosis and cirrhosis due to metabolic dysfunction-associated steatohepatitis: a phase 2, dose-ranging, double-blind, randomised controlled trial. PMID 42456707</w:t>
      </w:r>
    </w:p>
    <w:p>
      <w:pPr>
        <w:numPr>
          <w:ilvl w:val="0"/>
          <w:numId w:val="1383"/>
        </w:numPr>
        <w:pStyle w:val="Compact"/>
      </w:pPr>
      <w:r>
        <w:t xml:space="preserve">2026 · Aroda VR ·</w:t>
      </w:r>
      <w:r>
        <w:t xml:space="preserve"> </w:t>
      </w:r>
      <w:r>
        <w:rPr>
          <w:iCs/>
          <w:i/>
        </w:rPr>
        <w:t xml:space="preserve">Lancet Diabetes Endocrinol</w:t>
      </w:r>
      <w:r>
        <w:t xml:space="preserve"> </w:t>
      </w:r>
      <w:r>
        <w:t xml:space="preserve">· Efficacy and safety of once-weekly cagrilintide-semaglutide (CagriSema) in adults with type 2 diabetes inadequately controlled on diet and exercise (REIMAGINE 1): a randomised, double-blind, placebo-controlled, phase 3a study. PMID 42251860</w:t>
      </w:r>
    </w:p>
    <w:p>
      <w:pPr>
        <w:numPr>
          <w:ilvl w:val="0"/>
          <w:numId w:val="1383"/>
        </w:numPr>
        <w:pStyle w:val="Compact"/>
      </w:pPr>
      <w:r>
        <w:t xml:space="preserve">2026 · Buse JB ·</w:t>
      </w:r>
      <w:r>
        <w:t xml:space="preserve"> </w:t>
      </w:r>
      <w:r>
        <w:rPr>
          <w:iCs/>
          <w:i/>
        </w:rPr>
        <w:t xml:space="preserve">Lancet Diabetes Endocrinol</w:t>
      </w:r>
      <w:r>
        <w:t xml:space="preserve"> </w:t>
      </w:r>
      <w:r>
        <w:t xml:space="preserve">· Cagrilintide-semaglutide (CagriSema) versus semaglutide or cagrilintide in people with type 2 diabetes (REIMAGINE 2): a double-blind, randomised, controlled, phase 3 study. PMID 42251859</w:t>
      </w:r>
    </w:p>
    <w:p>
      <w:pPr>
        <w:numPr>
          <w:ilvl w:val="0"/>
          <w:numId w:val="1383"/>
        </w:numPr>
        <w:pStyle w:val="Compact"/>
      </w:pPr>
      <w:r>
        <w:t xml:space="preserve">2026 · Rosenstock J ·</w:t>
      </w:r>
      <w:r>
        <w:t xml:space="preserve"> </w:t>
      </w:r>
      <w:r>
        <w:rPr>
          <w:iCs/>
          <w:i/>
        </w:rPr>
        <w:t xml:space="preserve">Lancet</w:t>
      </w:r>
      <w:r>
        <w:t xml:space="preserve"> </w:t>
      </w:r>
      <w:r>
        <w:t xml:space="preserve">· Cagrilintide-semaglutide (CagriSema) as an add-on to basal insulin in adults with type 2 diabetes (REIMAGINE 3): a randomised, double-blind, placebo-controlled, multicentre, phase 3 study. PMID 42251856</w:t>
      </w:r>
    </w:p>
    <w:p>
      <w:pPr>
        <w:numPr>
          <w:ilvl w:val="0"/>
          <w:numId w:val="1383"/>
        </w:numPr>
        <w:pStyle w:val="Compact"/>
      </w:pPr>
      <w:r>
        <w:t xml:space="preserve">2026 · Nielsen MJF ·</w:t>
      </w:r>
      <w:r>
        <w:t xml:space="preserve"> </w:t>
      </w:r>
      <w:r>
        <w:rPr>
          <w:iCs/>
          <w:i/>
        </w:rPr>
        <w:t xml:space="preserve">Clin Pharmacokinet</w:t>
      </w:r>
      <w:r>
        <w:t xml:space="preserve"> </w:t>
      </w:r>
      <w:r>
        <w:t xml:space="preserve">· Renal or Hepatic Impairment Does Not Affect Pharmacokinetics, Safety, or Tolerability of Subcutaneous Cagrilintide. PMID 42228334</w:t>
      </w:r>
    </w:p>
    <w:p>
      <w:pPr>
        <w:numPr>
          <w:ilvl w:val="0"/>
          <w:numId w:val="1383"/>
        </w:numPr>
        <w:pStyle w:val="Compact"/>
      </w:pPr>
      <w:r>
        <w:t xml:space="preserve">2026 · Yamauchi T ·</w:t>
      </w:r>
      <w:r>
        <w:t xml:space="preserve"> </w:t>
      </w:r>
      <w:r>
        <w:rPr>
          <w:iCs/>
          <w:i/>
        </w:rPr>
        <w:t xml:space="preserve">Lancet Diabetes Endocrinol</w:t>
      </w:r>
      <w:r>
        <w:t xml:space="preserve"> </w:t>
      </w:r>
      <w:r>
        <w:t xml:space="preserve">· Efficacy and safety of co-administered cagrilintide and semaglutide versus semaglutide alone in adults with overweight or obesity with or without type 2 diabetes in Japan and Taiwan (REDEFINE 5): a multicentre, randomised, active-controlled, phase 3a trial. PMID 42009015</w:t>
      </w:r>
    </w:p>
    <w:p>
      <w:pPr>
        <w:numPr>
          <w:ilvl w:val="0"/>
          <w:numId w:val="1383"/>
        </w:numPr>
        <w:pStyle w:val="Compact"/>
      </w:pPr>
      <w:r>
        <w:t xml:space="preserve">2026 · Verma S ·</w:t>
      </w:r>
      <w:r>
        <w:t xml:space="preserve"> </w:t>
      </w:r>
      <w:r>
        <w:rPr>
          <w:iCs/>
          <w:i/>
        </w:rPr>
        <w:t xml:space="preserve">Hypertension</w:t>
      </w:r>
      <w:r>
        <w:t xml:space="preserve"> </w:t>
      </w:r>
      <w:r>
        <w:t xml:space="preserve">· CagriSema Reduces Blood Pressure in Adults With Overweight or Obesity: REDEFINE 1. PMID 41328546</w:t>
      </w:r>
    </w:p>
    <w:p>
      <w:pPr>
        <w:numPr>
          <w:ilvl w:val="0"/>
          <w:numId w:val="1383"/>
        </w:numPr>
        <w:pStyle w:val="Compact"/>
      </w:pPr>
      <w:r>
        <w:t xml:space="preserve">2025 · Briere DA ·</w:t>
      </w:r>
      <w:r>
        <w:t xml:space="preserve"> </w:t>
      </w:r>
      <w:r>
        <w:rPr>
          <w:iCs/>
          <w:i/>
        </w:rPr>
        <w:t xml:space="preserve">Mol Metab</w:t>
      </w:r>
      <w:r>
        <w:t xml:space="preserve"> </w:t>
      </w:r>
      <w:r>
        <w:t xml:space="preserve">· Eloralintide (LY3841136), a novel amylin receptor agonist for the treatment of obesity: From discovery to clinical proof of concept. PMID 41109426</w:t>
      </w:r>
    </w:p>
    <w:p>
      <w:pPr>
        <w:numPr>
          <w:ilvl w:val="0"/>
          <w:numId w:val="1383"/>
        </w:numPr>
        <w:pStyle w:val="Compact"/>
      </w:pPr>
      <w:r>
        <w:t xml:space="preserve">2025 · Garvey WT ·</w:t>
      </w:r>
      <w:r>
        <w:t xml:space="preserve"> </w:t>
      </w:r>
      <w:r>
        <w:rPr>
          <w:iCs/>
          <w:i/>
        </w:rPr>
        <w:t xml:space="preserve">N Engl J Med</w:t>
      </w:r>
      <w:r>
        <w:t xml:space="preserve"> </w:t>
      </w:r>
      <w:r>
        <w:t xml:space="preserve">· Coadministered Cagrilintide and Semaglutide in Adults with Overweight or Obesity. PMID 40544433</w:t>
      </w:r>
    </w:p>
    <w:p>
      <w:pPr>
        <w:numPr>
          <w:ilvl w:val="0"/>
          <w:numId w:val="1383"/>
        </w:numPr>
        <w:pStyle w:val="Compact"/>
      </w:pPr>
      <w:r>
        <w:t xml:space="preserve">2025 · Davies MJ ·</w:t>
      </w:r>
      <w:r>
        <w:t xml:space="preserve"> </w:t>
      </w:r>
      <w:r>
        <w:rPr>
          <w:iCs/>
          <w:i/>
        </w:rPr>
        <w:t xml:space="preserve">N Engl J Med</w:t>
      </w:r>
      <w:r>
        <w:t xml:space="preserve"> </w:t>
      </w:r>
      <w:r>
        <w:t xml:space="preserve">· Cagrilintide-Semaglutide in Adults with Overweight or Obesity and Type 2 Diabetes. PMID 40544432</w:t>
      </w:r>
    </w:p>
    <w:p>
      <w:pPr>
        <w:numPr>
          <w:ilvl w:val="0"/>
          <w:numId w:val="1383"/>
        </w:numPr>
        <w:pStyle w:val="Compact"/>
      </w:pPr>
      <w:r>
        <w:t xml:space="preserve">2024 · Gabe MBN ·</w:t>
      </w:r>
      <w:r>
        <w:t xml:space="preserve"> </w:t>
      </w:r>
      <w:r>
        <w:rPr>
          <w:iCs/>
          <w:i/>
        </w:rPr>
        <w:t xml:space="preserve">Diabetes Obes Metab</w:t>
      </w:r>
      <w:r>
        <w:t xml:space="preserve"> </w:t>
      </w:r>
      <w:r>
        <w:t xml:space="preserve">· Cagrilintide is not associated with clinically relevant QTc prolongation: A thorough QT study in healthy participants. PMID 39279639</w:t>
      </w:r>
    </w:p>
    <w:p>
      <w:pPr>
        <w:numPr>
          <w:ilvl w:val="0"/>
          <w:numId w:val="1383"/>
        </w:numPr>
        <w:pStyle w:val="Compact"/>
      </w:pPr>
      <w:r>
        <w:t xml:space="preserve">2023 · Frias JP ·</w:t>
      </w:r>
      <w:r>
        <w:t xml:space="preserve"> </w:t>
      </w:r>
      <w:r>
        <w:rPr>
          <w:iCs/>
          <w:i/>
        </w:rPr>
        <w:t xml:space="preserve">Lancet</w:t>
      </w:r>
      <w:r>
        <w:t xml:space="preserve"> </w:t>
      </w:r>
      <w:r>
        <w:t xml:space="preserve">· Efficacy and safety of co-administered once-weekly cagrilintide 2·4 mg with once-weekly semaglutide 2·4 mg in type 2 diabetes: a multicentre, randomised, double-blind, active-controlled, phase 2 trial. PMID 37364590</w:t>
      </w:r>
    </w:p>
    <w:p>
      <w:pPr>
        <w:numPr>
          <w:ilvl w:val="0"/>
          <w:numId w:val="1383"/>
        </w:numPr>
        <w:pStyle w:val="Compact"/>
      </w:pPr>
      <w:r>
        <w:t xml:space="preserve">2021 · Lau DCW ·</w:t>
      </w:r>
      <w:r>
        <w:t xml:space="preserve"> </w:t>
      </w:r>
      <w:r>
        <w:rPr>
          <w:iCs/>
          <w:i/>
        </w:rPr>
        <w:t xml:space="preserve">Lancet</w:t>
      </w:r>
      <w:r>
        <w:t xml:space="preserve"> </w:t>
      </w:r>
      <w:r>
        <w:t xml:space="preserve">· Once-weekly cagrilintide for weight management in people with overweight and obesity: a multicentre, randomised, double-blind, placebo-controlled and active-controlled, dose-finding phase 2 trial. PMID 34798060</w:t>
      </w:r>
    </w:p>
    <w:p>
      <w:pPr>
        <w:numPr>
          <w:ilvl w:val="0"/>
          <w:numId w:val="1383"/>
        </w:numPr>
        <w:pStyle w:val="Compact"/>
      </w:pPr>
      <w:r>
        <w:t xml:space="preserve">2021 · Enebo LB ·</w:t>
      </w:r>
      <w:r>
        <w:t xml:space="preserve"> </w:t>
      </w:r>
      <w:r>
        <w:rPr>
          <w:iCs/>
          <w:i/>
        </w:rPr>
        <w:t xml:space="preserve">Lancet</w:t>
      </w:r>
      <w:r>
        <w:t xml:space="preserve"> </w:t>
      </w:r>
      <w:r>
        <w:t xml:space="preserve">· Safety, tolerability, pharmacokinetics, and pharmacodynamics of concomitant administration of multiple doses of cagrilintide with semaglutide 2·4 mg for weight management: a randomised, controlled, phase 1b trial. PMID 33894838</w:t>
      </w:r>
    </w:p>
    <w:bookmarkEnd w:id="3022"/>
    <w:bookmarkStart w:id="3023" w:name="amycretin-zenagamtide-4"/>
    <w:p>
      <w:pPr>
        <w:pStyle w:val="Heading2"/>
      </w:pPr>
      <w:r>
        <w:t xml:space="preserve">Amycretin (zenagamtide) (4)</w:t>
      </w:r>
    </w:p>
    <w:p>
      <w:pPr>
        <w:numPr>
          <w:ilvl w:val="0"/>
          <w:numId w:val="1384"/>
        </w:numPr>
        <w:pStyle w:val="Compact"/>
      </w:pPr>
      <w:r>
        <w:t xml:space="preserve">2026 · Mora P ·</w:t>
      </w:r>
      <w:r>
        <w:t xml:space="preserve"> </w:t>
      </w:r>
      <w:r>
        <w:rPr>
          <w:iCs/>
          <w:i/>
        </w:rPr>
        <w:t xml:space="preserve">Lancet</w:t>
      </w:r>
      <w:r>
        <w:t xml:space="preserve"> </w:t>
      </w:r>
      <w:r>
        <w:t xml:space="preserve">· Efficacy and safety of once-weekly subcutaneous zenagamtide, a novel unimolecular GLP-1 and amylin receptor agonist, in type 2 diabetes: a multicentre, randomised, parallel, double-blind, placebo-controlled, dose-finding, phase 2 trial. PMID 42532080</w:t>
      </w:r>
    </w:p>
    <w:p>
      <w:pPr>
        <w:numPr>
          <w:ilvl w:val="0"/>
          <w:numId w:val="1384"/>
        </w:numPr>
        <w:pStyle w:val="Compact"/>
      </w:pPr>
      <w:r>
        <w:t xml:space="preserve">2026 · Mora P ·</w:t>
      </w:r>
      <w:r>
        <w:t xml:space="preserve"> </w:t>
      </w:r>
      <w:r>
        <w:rPr>
          <w:iCs/>
          <w:i/>
        </w:rPr>
        <w:t xml:space="preserve">Lancet</w:t>
      </w:r>
      <w:r>
        <w:t xml:space="preserve"> </w:t>
      </w:r>
      <w:r>
        <w:t xml:space="preserve">· Efficacy and safety of once-daily oral zenagamtide, a novel unimolecular GLP-1 and amylin receptor agonist, in adults with type 2 diabetes: a multicentre, randomised, parallel, double-blind, placebo-controlled, dose-finding, phase 2 trial. PMID 42532079</w:t>
      </w:r>
    </w:p>
    <w:p>
      <w:pPr>
        <w:numPr>
          <w:ilvl w:val="0"/>
          <w:numId w:val="1384"/>
        </w:numPr>
        <w:pStyle w:val="Compact"/>
      </w:pPr>
      <w:r>
        <w:t xml:space="preserve">2025 · Dahl K ·</w:t>
      </w:r>
      <w:r>
        <w:t xml:space="preserve"> </w:t>
      </w:r>
      <w:r>
        <w:rPr>
          <w:iCs/>
          <w:i/>
        </w:rPr>
        <w:t xml:space="preserve">Lancet</w:t>
      </w:r>
      <w:r>
        <w:t xml:space="preserve"> </w:t>
      </w:r>
      <w:r>
        <w:t xml:space="preserve">· Amycretin, a novel, unimolecular GLP-1 and amylin receptor agonist administered subcutaneously: results from a phase 1b/2a randomised controlled study. PMID 40550231</w:t>
      </w:r>
    </w:p>
    <w:p>
      <w:pPr>
        <w:numPr>
          <w:ilvl w:val="0"/>
          <w:numId w:val="1384"/>
        </w:numPr>
        <w:pStyle w:val="Compact"/>
      </w:pPr>
      <w:r>
        <w:t xml:space="preserve">2025 · Gasiorek A ·</w:t>
      </w:r>
      <w:r>
        <w:t xml:space="preserve"> </w:t>
      </w:r>
      <w:r>
        <w:rPr>
          <w:iCs/>
          <w:i/>
        </w:rPr>
        <w:t xml:space="preserve">Lancet</w:t>
      </w:r>
      <w:r>
        <w:t xml:space="preserve"> </w:t>
      </w:r>
      <w:r>
        <w:t xml:space="preserve">· Safety, tolerability, pharmacokinetics, and pharmacodynamics of the first-in-class GLP-1 and amylin receptor agonist, amycretin: a first-in-human, phase 1, double-blind, randomised, placebo-controlled trial. PMID 40550229</w:t>
      </w:r>
    </w:p>
    <w:bookmarkEnd w:id="3023"/>
    <w:bookmarkStart w:id="3024" w:name="maridebart-cafraglutide-maritide-2"/>
    <w:p>
      <w:pPr>
        <w:pStyle w:val="Heading2"/>
      </w:pPr>
      <w:r>
        <w:t xml:space="preserve">Maridebart cafraglutide (MariTide) (2)</w:t>
      </w:r>
    </w:p>
    <w:p>
      <w:pPr>
        <w:numPr>
          <w:ilvl w:val="0"/>
          <w:numId w:val="1385"/>
        </w:numPr>
        <w:pStyle w:val="Compact"/>
      </w:pPr>
      <w:r>
        <w:t xml:space="preserve">2025 · Jastreboff AM ·</w:t>
      </w:r>
      <w:r>
        <w:t xml:space="preserve"> </w:t>
      </w:r>
      <w:r>
        <w:rPr>
          <w:iCs/>
          <w:i/>
        </w:rPr>
        <w:t xml:space="preserve">N Engl J Med</w:t>
      </w:r>
      <w:r>
        <w:t xml:space="preserve"> </w:t>
      </w:r>
      <w:r>
        <w:t xml:space="preserve">· Once-Monthly Maridebart Cafraglutide for the Treatment of Obesity - A Phase 2 Trial. PMID 40549887</w:t>
      </w:r>
    </w:p>
    <w:p>
      <w:pPr>
        <w:numPr>
          <w:ilvl w:val="0"/>
          <w:numId w:val="1385"/>
        </w:numPr>
        <w:pStyle w:val="Compact"/>
      </w:pPr>
      <w:r>
        <w:t xml:space="preserve">2024 · Véniant MM ·</w:t>
      </w:r>
      <w:r>
        <w:t xml:space="preserve"> </w:t>
      </w:r>
      <w:r>
        <w:rPr>
          <w:iCs/>
          <w:i/>
        </w:rPr>
        <w:t xml:space="preserve">Nat Metab</w:t>
      </w:r>
      <w:r>
        <w:t xml:space="preserve"> </w:t>
      </w:r>
      <w:r>
        <w:t xml:space="preserve">· A GIPR antagonist conjugated to GLP-1 analogues promotes weight loss with improved metabolic parameters in preclinical and phase 1 settings. PMID 38316982</w:t>
      </w:r>
    </w:p>
    <w:bookmarkEnd w:id="3024"/>
    <w:bookmarkStart w:id="3025" w:name="pramlintide-76"/>
    <w:p>
      <w:pPr>
        <w:pStyle w:val="Heading2"/>
      </w:pPr>
      <w:r>
        <w:t xml:space="preserve">Pramlintide (76)</w:t>
      </w:r>
    </w:p>
    <w:p>
      <w:pPr>
        <w:numPr>
          <w:ilvl w:val="0"/>
          <w:numId w:val="1386"/>
        </w:numPr>
        <w:pStyle w:val="Compact"/>
      </w:pPr>
      <w:r>
        <w:t xml:space="preserve">2025 · Odabassian M ·</w:t>
      </w:r>
      <w:r>
        <w:t xml:space="preserve"> </w:t>
      </w:r>
      <w:r>
        <w:rPr>
          <w:iCs/>
          <w:i/>
        </w:rPr>
        <w:t xml:space="preserve">J Diabetes Sci Technol</w:t>
      </w:r>
      <w:r>
        <w:t xml:space="preserve"> </w:t>
      </w:r>
      <w:r>
        <w:t xml:space="preserve">· A Pilot Outpatient Assessment of a Fully Closed-Loop Insulin and Pramlintide System. PMID 41174925</w:t>
      </w:r>
    </w:p>
    <w:p>
      <w:pPr>
        <w:numPr>
          <w:ilvl w:val="0"/>
          <w:numId w:val="1386"/>
        </w:numPr>
        <w:pStyle w:val="Compact"/>
      </w:pPr>
      <w:r>
        <w:t xml:space="preserve">2024 · Andersen G ·</w:t>
      </w:r>
      <w:r>
        <w:t xml:space="preserve"> </w:t>
      </w:r>
      <w:r>
        <w:rPr>
          <w:iCs/>
          <w:i/>
        </w:rPr>
        <w:t xml:space="preserve">Diabetes Obes Metab</w:t>
      </w:r>
      <w:r>
        <w:t xml:space="preserve"> </w:t>
      </w:r>
      <w:r>
        <w:t xml:space="preserve">· ADO09, a co-formulation of pramlintide and insulin A21G, lowers body weight versus insulin lispro in type 1 diabetes. PMID 39109464</w:t>
      </w:r>
    </w:p>
    <w:p>
      <w:pPr>
        <w:numPr>
          <w:ilvl w:val="0"/>
          <w:numId w:val="1386"/>
        </w:numPr>
        <w:pStyle w:val="Compact"/>
      </w:pPr>
      <w:r>
        <w:t xml:space="preserve">2024 · Cohen E ·</w:t>
      </w:r>
      <w:r>
        <w:t xml:space="preserve"> </w:t>
      </w:r>
      <w:r>
        <w:rPr>
          <w:iCs/>
          <w:i/>
        </w:rPr>
        <w:t xml:space="preserve">Lancet Digit Health</w:t>
      </w:r>
      <w:r>
        <w:t xml:space="preserve"> </w:t>
      </w:r>
      <w:r>
        <w:t xml:space="preserve">· Simple meal announcements and pramlintide delivery versus carbohydrate counting in type 1 diabetes with automated fast-acting insulin aspart delivery: a randomised crossover trial in Montreal, Canada. PMID 38906614</w:t>
      </w:r>
    </w:p>
    <w:p>
      <w:pPr>
        <w:numPr>
          <w:ilvl w:val="0"/>
          <w:numId w:val="1386"/>
        </w:numPr>
        <w:pStyle w:val="Compact"/>
      </w:pPr>
      <w:r>
        <w:t xml:space="preserve">2023 · Andersen G ·</w:t>
      </w:r>
      <w:r>
        <w:t xml:space="preserve"> </w:t>
      </w:r>
      <w:r>
        <w:rPr>
          <w:iCs/>
          <w:i/>
        </w:rPr>
        <w:t xml:space="preserve">Diabetes Obes Metab</w:t>
      </w:r>
      <w:r>
        <w:t xml:space="preserve"> </w:t>
      </w:r>
      <w:r>
        <w:t xml:space="preserve">· A co-formulation of pramlintide and insulin A21G (ADO09) improves postprandial glucose and short-term control of mean glucose, time in range, and body weight versus insulin aspart in adults with type 1 diabetes. PMID 36633505</w:t>
      </w:r>
    </w:p>
    <w:p>
      <w:pPr>
        <w:numPr>
          <w:ilvl w:val="0"/>
          <w:numId w:val="1386"/>
        </w:numPr>
        <w:pStyle w:val="Compact"/>
      </w:pPr>
      <w:r>
        <w:t xml:space="preserve">2021 · Tsoukas MA ·</w:t>
      </w:r>
      <w:r>
        <w:t xml:space="preserve"> </w:t>
      </w:r>
      <w:r>
        <w:rPr>
          <w:iCs/>
          <w:i/>
        </w:rPr>
        <w:t xml:space="preserve">Lancet Digit Health</w:t>
      </w:r>
      <w:r>
        <w:t xml:space="preserve"> </w:t>
      </w:r>
      <w:r>
        <w:t xml:space="preserve">· A fully artificial pancreas versus a hybrid artificial pancreas for type 1 diabetes: a single-centre, open-label, randomised controlled, crossover, non-inferiority trial. PMID 34580055</w:t>
      </w:r>
    </w:p>
    <w:p>
      <w:pPr>
        <w:numPr>
          <w:ilvl w:val="0"/>
          <w:numId w:val="1386"/>
        </w:numPr>
        <w:pStyle w:val="Compact"/>
      </w:pPr>
      <w:r>
        <w:t xml:space="preserve">2021 · Ghanizada H ·</w:t>
      </w:r>
      <w:r>
        <w:t xml:space="preserve"> </w:t>
      </w:r>
      <w:r>
        <w:rPr>
          <w:iCs/>
          <w:i/>
        </w:rPr>
        <w:t xml:space="preserve">Ann Neurol</w:t>
      </w:r>
      <w:r>
        <w:t xml:space="preserve"> </w:t>
      </w:r>
      <w:r>
        <w:t xml:space="preserve">· Amylin Analog Pramlintide Induces Migraine-like Attacks in Patients. PMID 33772845</w:t>
      </w:r>
    </w:p>
    <w:p>
      <w:pPr>
        <w:numPr>
          <w:ilvl w:val="0"/>
          <w:numId w:val="1386"/>
        </w:numPr>
        <w:pStyle w:val="Compact"/>
      </w:pPr>
      <w:r>
        <w:t xml:space="preserve">2020 · Haidar A ·</w:t>
      </w:r>
      <w:r>
        <w:t xml:space="preserve"> </w:t>
      </w:r>
      <w:r>
        <w:rPr>
          <w:iCs/>
          <w:i/>
        </w:rPr>
        <w:t xml:space="preserve">Diabetes Care</w:t>
      </w:r>
      <w:r>
        <w:t xml:space="preserve"> </w:t>
      </w:r>
      <w:r>
        <w:t xml:space="preserve">· A Novel Dual-Hormone Insulin-and-Pramlintide Artificial Pancreas for Type 1 Diabetes: A Randomized Controlled Crossover Trial. PMID 31974099</w:t>
      </w:r>
    </w:p>
    <w:p>
      <w:pPr>
        <w:numPr>
          <w:ilvl w:val="0"/>
          <w:numId w:val="1386"/>
        </w:numPr>
        <w:pStyle w:val="Compact"/>
      </w:pPr>
      <w:r>
        <w:t xml:space="preserve">2018 · Riddle MC ·</w:t>
      </w:r>
      <w:r>
        <w:t xml:space="preserve"> </w:t>
      </w:r>
      <w:r>
        <w:rPr>
          <w:iCs/>
          <w:i/>
        </w:rPr>
        <w:t xml:space="preserve">Diabetes Care</w:t>
      </w:r>
      <w:r>
        <w:t xml:space="preserve"> </w:t>
      </w:r>
      <w:r>
        <w:t xml:space="preserve">· Control of Postprandial Hyperglycemia in Type 1 Diabetes by 24-Hour Fixed-Dose Coadministration of Pramlintide and Regular Human Insulin: A Randomized, Two-Way Crossover Study. PMID 30213882</w:t>
      </w:r>
    </w:p>
    <w:p>
      <w:pPr>
        <w:numPr>
          <w:ilvl w:val="0"/>
          <w:numId w:val="1386"/>
        </w:numPr>
        <w:pStyle w:val="Compact"/>
      </w:pPr>
      <w:r>
        <w:t xml:space="preserve">2018 · Galderisi A ·</w:t>
      </w:r>
      <w:r>
        <w:t xml:space="preserve"> </w:t>
      </w:r>
      <w:r>
        <w:rPr>
          <w:iCs/>
          <w:i/>
        </w:rPr>
        <w:t xml:space="preserve">J Clin Endocrinol Metab</w:t>
      </w:r>
      <w:r>
        <w:t xml:space="preserve"> </w:t>
      </w:r>
      <w:r>
        <w:t xml:space="preserve">· Pramlintide but Not Liraglutide Suppresses Meal-Stimulated Glucagon Responses in Type 1 Diabetes. PMID 29211871</w:t>
      </w:r>
    </w:p>
    <w:p>
      <w:pPr>
        <w:numPr>
          <w:ilvl w:val="0"/>
          <w:numId w:val="1386"/>
        </w:numPr>
        <w:pStyle w:val="Compact"/>
      </w:pPr>
      <w:r>
        <w:t xml:space="preserve">2016 · Sherr JL ·</w:t>
      </w:r>
      <w:r>
        <w:t xml:space="preserve"> </w:t>
      </w:r>
      <w:r>
        <w:rPr>
          <w:iCs/>
          <w:i/>
        </w:rPr>
        <w:t xml:space="preserve">Diabetes Care</w:t>
      </w:r>
      <w:r>
        <w:t xml:space="preserve"> </w:t>
      </w:r>
      <w:r>
        <w:t xml:space="preserve">· Mitigating Meal-Related Glycemic Excursions in an Insulin-Sparing Manner During Closed-Loop Insulin Delivery: The Beneficial Effects of Adjunctive Pramlintide and Liraglutide. PMID 27208332</w:t>
      </w:r>
    </w:p>
    <w:p>
      <w:pPr>
        <w:numPr>
          <w:ilvl w:val="0"/>
          <w:numId w:val="1386"/>
        </w:numPr>
        <w:pStyle w:val="Compact"/>
      </w:pPr>
      <w:r>
        <w:t xml:space="preserve">2016 · Herrmann K ·</w:t>
      </w:r>
      <w:r>
        <w:t xml:space="preserve"> </w:t>
      </w:r>
      <w:r>
        <w:rPr>
          <w:iCs/>
          <w:i/>
        </w:rPr>
        <w:t xml:space="preserve">Adv Ther</w:t>
      </w:r>
      <w:r>
        <w:t xml:space="preserve"> </w:t>
      </w:r>
      <w:r>
        <w:t xml:space="preserve">· Impact of Disease Duration on the Effects of Pramlintide in Type 1 Diabetes: A Post Hoc Analysis of Three Clinical Trials. PMID 27071768</w:t>
      </w:r>
    </w:p>
    <w:p>
      <w:pPr>
        <w:numPr>
          <w:ilvl w:val="0"/>
          <w:numId w:val="1386"/>
        </w:numPr>
        <w:pStyle w:val="Compact"/>
      </w:pPr>
      <w:r>
        <w:t xml:space="preserve">2016 · Hinshaw L ·</w:t>
      </w:r>
      <w:r>
        <w:t xml:space="preserve"> </w:t>
      </w:r>
      <w:r>
        <w:rPr>
          <w:iCs/>
          <w:i/>
        </w:rPr>
        <w:t xml:space="preserve">J Clin Endocrinol Metab</w:t>
      </w:r>
      <w:r>
        <w:t xml:space="preserve"> </w:t>
      </w:r>
      <w:r>
        <w:t xml:space="preserve">· Effect of Pramlintide on Postprandial Glucose Fluxes in Type 1 Diabetes. PMID 26930181</w:t>
      </w:r>
    </w:p>
    <w:p>
      <w:pPr>
        <w:numPr>
          <w:ilvl w:val="0"/>
          <w:numId w:val="1386"/>
        </w:numPr>
        <w:pStyle w:val="Compact"/>
      </w:pPr>
      <w:r>
        <w:t xml:space="preserve">2016 · Chan JL ·</w:t>
      </w:r>
      <w:r>
        <w:t xml:space="preserve"> </w:t>
      </w:r>
      <w:r>
        <w:rPr>
          <w:iCs/>
          <w:i/>
        </w:rPr>
        <w:t xml:space="preserve">Clin Endocrinol (Oxf)</w:t>
      </w:r>
      <w:r>
        <w:t xml:space="preserve"> </w:t>
      </w:r>
      <w:r>
        <w:t xml:space="preserve">· Immunogenicity associated with metreleptin treatment in patients with obesity or lipodystrophy. PMID 26589105</w:t>
      </w:r>
    </w:p>
    <w:p>
      <w:pPr>
        <w:numPr>
          <w:ilvl w:val="0"/>
          <w:numId w:val="1386"/>
        </w:numPr>
        <w:pStyle w:val="Compact"/>
      </w:pPr>
      <w:r>
        <w:t xml:space="preserve">2015 · Riddle MC ·</w:t>
      </w:r>
      <w:r>
        <w:t xml:space="preserve"> </w:t>
      </w:r>
      <w:r>
        <w:rPr>
          <w:iCs/>
          <w:i/>
        </w:rPr>
        <w:t xml:space="preserve">Diabetes Obes Metab</w:t>
      </w:r>
      <w:r>
        <w:t xml:space="preserve"> </w:t>
      </w:r>
      <w:r>
        <w:t xml:space="preserve">· Fixed ratio dosing of pramlintide with regular insulin before a standard meal in patients with type 1 diabetes. PMID 26040429</w:t>
      </w:r>
    </w:p>
    <w:p>
      <w:pPr>
        <w:numPr>
          <w:ilvl w:val="0"/>
          <w:numId w:val="1386"/>
        </w:numPr>
        <w:pStyle w:val="Compact"/>
      </w:pPr>
      <w:r>
        <w:t xml:space="preserve">2014 · Herrmann K ·</w:t>
      </w:r>
      <w:r>
        <w:t xml:space="preserve"> </w:t>
      </w:r>
      <w:r>
        <w:rPr>
          <w:iCs/>
          <w:i/>
        </w:rPr>
        <w:t xml:space="preserve">Endocr Pract</w:t>
      </w:r>
      <w:r>
        <w:t xml:space="preserve"> </w:t>
      </w:r>
      <w:r>
        <w:t xml:space="preserve">· Effects of pramlintide in patients with type 2 diabetes mellitus: an analysis using daily insulin dose tertiles. PMID 25100363</w:t>
      </w:r>
    </w:p>
    <w:p>
      <w:pPr>
        <w:numPr>
          <w:ilvl w:val="0"/>
          <w:numId w:val="1386"/>
        </w:numPr>
        <w:pStyle w:val="Compact"/>
      </w:pPr>
      <w:r>
        <w:t xml:space="preserve">2014 · Renukuntla VS ·</w:t>
      </w:r>
      <w:r>
        <w:t xml:space="preserve"> </w:t>
      </w:r>
      <w:r>
        <w:rPr>
          <w:iCs/>
          <w:i/>
        </w:rPr>
        <w:t xml:space="preserve">J Diabetes Sci Technol</w:t>
      </w:r>
      <w:r>
        <w:t xml:space="preserve"> </w:t>
      </w:r>
      <w:r>
        <w:t xml:space="preserve">· Role of glucagon-like peptide-1 analogue versus amylin as an adjuvant therapy in type 1 diabetes in a closed loop setting with ePID algorithm. PMID 25030181</w:t>
      </w:r>
    </w:p>
    <w:p>
      <w:pPr>
        <w:numPr>
          <w:ilvl w:val="0"/>
          <w:numId w:val="1386"/>
        </w:numPr>
        <w:pStyle w:val="Compact"/>
      </w:pPr>
      <w:r>
        <w:t xml:space="preserve">2013 · Herrmann K ·</w:t>
      </w:r>
      <w:r>
        <w:t xml:space="preserve"> </w:t>
      </w:r>
      <w:r>
        <w:rPr>
          <w:iCs/>
          <w:i/>
        </w:rPr>
        <w:t xml:space="preserve">Postgrad Med</w:t>
      </w:r>
      <w:r>
        <w:t xml:space="preserve"> </w:t>
      </w:r>
      <w:r>
        <w:t xml:space="preserve">· Pramlintide improved measures of glycemic control and body weight in patients with type 1 diabetes mellitus undergoing continuous subcutaneous insulin infusion therapy. PMID 23748514</w:t>
      </w:r>
    </w:p>
    <w:p>
      <w:pPr>
        <w:numPr>
          <w:ilvl w:val="0"/>
          <w:numId w:val="1386"/>
        </w:numPr>
        <w:pStyle w:val="Compact"/>
      </w:pPr>
      <w:r>
        <w:t xml:space="preserve">2013 · Fang J ·</w:t>
      </w:r>
      <w:r>
        <w:t xml:space="preserve"> </w:t>
      </w:r>
      <w:r>
        <w:rPr>
          <w:iCs/>
          <w:i/>
        </w:rPr>
        <w:t xml:space="preserve">AAPS J</w:t>
      </w:r>
      <w:r>
        <w:t xml:space="preserve"> </w:t>
      </w:r>
      <w:r>
        <w:t xml:space="preserve">· Study reanalysis using a mechanism-based pharmacokinetic/pharmacodynamic model of pramlintide in subjects with type 1 diabetes. PMID 23054970</w:t>
      </w:r>
    </w:p>
    <w:p>
      <w:pPr>
        <w:numPr>
          <w:ilvl w:val="0"/>
          <w:numId w:val="1386"/>
        </w:numPr>
        <w:pStyle w:val="Compact"/>
      </w:pPr>
      <w:r>
        <w:t xml:space="preserve">2012 · Weinzimer SA ·</w:t>
      </w:r>
      <w:r>
        <w:t xml:space="preserve"> </w:t>
      </w:r>
      <w:r>
        <w:rPr>
          <w:iCs/>
          <w:i/>
        </w:rPr>
        <w:t xml:space="preserve">Diabetes Care</w:t>
      </w:r>
      <w:r>
        <w:t xml:space="preserve"> </w:t>
      </w:r>
      <w:r>
        <w:t xml:space="preserve">· Effect of pramlintide on prandial glycemic excursions during closed-loop control in adolescents and young adults with type 1 diabetes. PMID 22815298</w:t>
      </w:r>
    </w:p>
    <w:p>
      <w:pPr>
        <w:numPr>
          <w:ilvl w:val="0"/>
          <w:numId w:val="1386"/>
        </w:numPr>
        <w:pStyle w:val="Compact"/>
      </w:pPr>
      <w:r>
        <w:t xml:space="preserve">2010 · Peyrot M ·</w:t>
      </w:r>
      <w:r>
        <w:t xml:space="preserve"> </w:t>
      </w:r>
      <w:r>
        <w:rPr>
          <w:iCs/>
          <w:i/>
        </w:rPr>
        <w:t xml:space="preserve">Curr Med Res Opin</w:t>
      </w:r>
      <w:r>
        <w:t xml:space="preserve"> </w:t>
      </w:r>
      <w:r>
        <w:t xml:space="preserve">· Patient reported outcomes in adults with type 2 diabetes on basal insulin randomized to addition of mealtime pramlintide or rapid-acting insulin analogs. PMID 20199136</w:t>
      </w:r>
    </w:p>
    <w:p>
      <w:pPr>
        <w:numPr>
          <w:ilvl w:val="0"/>
          <w:numId w:val="1386"/>
        </w:numPr>
        <w:pStyle w:val="Compact"/>
      </w:pPr>
      <w:r>
        <w:t xml:space="preserve">2010 · Asmar M ·</w:t>
      </w:r>
      <w:r>
        <w:t xml:space="preserve"> </w:t>
      </w:r>
      <w:r>
        <w:rPr>
          <w:iCs/>
          <w:i/>
        </w:rPr>
        <w:t xml:space="preserve">J Clin Endocrinol Metab</w:t>
      </w:r>
      <w:r>
        <w:t xml:space="preserve"> </w:t>
      </w:r>
      <w:r>
        <w:t xml:space="preserve">· Do the actions of glucagon-like peptide-1 on gastric emptying, appetite, and food intake involve release of amylin in humans?. PMID 20194711</w:t>
      </w:r>
    </w:p>
    <w:p>
      <w:pPr>
        <w:numPr>
          <w:ilvl w:val="0"/>
          <w:numId w:val="1386"/>
        </w:numPr>
        <w:pStyle w:val="Compact"/>
      </w:pPr>
      <w:r>
        <w:t xml:space="preserve">2010 · King AB ·</w:t>
      </w:r>
      <w:r>
        <w:t xml:space="preserve"> </w:t>
      </w:r>
      <w:r>
        <w:rPr>
          <w:iCs/>
          <w:i/>
        </w:rPr>
        <w:t xml:space="preserve">Diabetes Technol Ther</w:t>
      </w:r>
      <w:r>
        <w:t xml:space="preserve"> </w:t>
      </w:r>
      <w:r>
        <w:t xml:space="preserve">· Comparison of the post-meal glucose response to different insulin bolus waveforms in insulin pump- and pre-meal pramlintide-treated type 1 diabetes patients. PMID 20105039</w:t>
      </w:r>
    </w:p>
    <w:p>
      <w:pPr>
        <w:numPr>
          <w:ilvl w:val="0"/>
          <w:numId w:val="1386"/>
        </w:numPr>
        <w:pStyle w:val="Compact"/>
      </w:pPr>
      <w:r>
        <w:t xml:space="preserve">2010 · Aronne LJ ·</w:t>
      </w:r>
      <w:r>
        <w:t xml:space="preserve"> </w:t>
      </w:r>
      <w:r>
        <w:rPr>
          <w:iCs/>
          <w:i/>
        </w:rPr>
        <w:t xml:space="preserve">Obesity (Silver Spring)</w:t>
      </w:r>
      <w:r>
        <w:t xml:space="preserve"> </w:t>
      </w:r>
      <w:r>
        <w:t xml:space="preserve">· Enhanced weight loss following coadministration of pramlintide with sibutramine or phentermine in a multicenter trial. PMID 20094043</w:t>
      </w:r>
    </w:p>
    <w:p>
      <w:pPr>
        <w:numPr>
          <w:ilvl w:val="0"/>
          <w:numId w:val="1386"/>
        </w:numPr>
        <w:pStyle w:val="Compact"/>
      </w:pPr>
      <w:r>
        <w:t xml:space="preserve">2009 · Kishiyama CM ·</w:t>
      </w:r>
      <w:r>
        <w:t xml:space="preserve"> </w:t>
      </w:r>
      <w:r>
        <w:rPr>
          <w:iCs/>
          <w:i/>
        </w:rPr>
        <w:t xml:space="preserve">Pediatrics</w:t>
      </w:r>
      <w:r>
        <w:t xml:space="preserve"> </w:t>
      </w:r>
      <w:r>
        <w:t xml:space="preserve">· A pilot trial of pramlintide home usage in adolescents with type 1 diabetes. PMID 19858155</w:t>
      </w:r>
    </w:p>
    <w:p>
      <w:pPr>
        <w:numPr>
          <w:ilvl w:val="0"/>
          <w:numId w:val="1386"/>
        </w:numPr>
        <w:pStyle w:val="Compact"/>
      </w:pPr>
      <w:r>
        <w:t xml:space="preserve">2009 · Huffman DM ·</w:t>
      </w:r>
      <w:r>
        <w:t xml:space="preserve"> </w:t>
      </w:r>
      <w:r>
        <w:rPr>
          <w:iCs/>
          <w:i/>
        </w:rPr>
        <w:t xml:space="preserve">Endocr Pract</w:t>
      </w:r>
      <w:r>
        <w:t xml:space="preserve"> </w:t>
      </w:r>
      <w:r>
        <w:t xml:space="preserve">· Continuous subcutaneous pramlintide infusion therapy in patients with type 1 diabetes: observations from a pilot study. PMID 19546056</w:t>
      </w:r>
    </w:p>
    <w:p>
      <w:pPr>
        <w:numPr>
          <w:ilvl w:val="0"/>
          <w:numId w:val="1386"/>
        </w:numPr>
        <w:pStyle w:val="Compact"/>
      </w:pPr>
      <w:r>
        <w:t xml:space="preserve">2009 · Ravussin E ·</w:t>
      </w:r>
      <w:r>
        <w:t xml:space="preserve"> </w:t>
      </w:r>
      <w:r>
        <w:rPr>
          <w:iCs/>
          <w:i/>
        </w:rPr>
        <w:t xml:space="preserve">Obesity (Silver Spring)</w:t>
      </w:r>
      <w:r>
        <w:t xml:space="preserve"> </w:t>
      </w:r>
      <w:r>
        <w:t xml:space="preserve">· Enhanced weight loss with pramlintide/metreleptin: an integrated neurohormonal approach to obesity pharmacotherapy. PMID 19521351</w:t>
      </w:r>
    </w:p>
    <w:p>
      <w:pPr>
        <w:numPr>
          <w:ilvl w:val="0"/>
          <w:numId w:val="1386"/>
        </w:numPr>
        <w:pStyle w:val="Compact"/>
      </w:pPr>
      <w:r>
        <w:t xml:space="preserve">2009 · Riddle M ·</w:t>
      </w:r>
      <w:r>
        <w:t xml:space="preserve"> </w:t>
      </w:r>
      <w:r>
        <w:rPr>
          <w:iCs/>
          <w:i/>
        </w:rPr>
        <w:t xml:space="preserve">Diabetes Care</w:t>
      </w:r>
      <w:r>
        <w:t xml:space="preserve"> </w:t>
      </w:r>
      <w:r>
        <w:t xml:space="preserve">· Randomized comparison of pramlintide or mealtime insulin added to basal insulin treatment for patients with type 2 diabetes. PMID 19502544</w:t>
      </w:r>
    </w:p>
    <w:p>
      <w:pPr>
        <w:numPr>
          <w:ilvl w:val="0"/>
          <w:numId w:val="1386"/>
        </w:numPr>
        <w:pStyle w:val="Compact"/>
      </w:pPr>
      <w:r>
        <w:t xml:space="preserve">2009 · Peyrot M ·</w:t>
      </w:r>
      <w:r>
        <w:t xml:space="preserve"> </w:t>
      </w:r>
      <w:r>
        <w:rPr>
          <w:iCs/>
          <w:i/>
        </w:rPr>
        <w:t xml:space="preserve">Diabetes Care</w:t>
      </w:r>
      <w:r>
        <w:t xml:space="preserve"> </w:t>
      </w:r>
      <w:r>
        <w:t xml:space="preserve">· How does treatment satisfaction work?: Modeling determinants of treatment satisfaction and preference. PMID 19470837</w:t>
      </w:r>
    </w:p>
    <w:p>
      <w:pPr>
        <w:numPr>
          <w:ilvl w:val="0"/>
          <w:numId w:val="1386"/>
        </w:numPr>
        <w:pStyle w:val="Compact"/>
      </w:pPr>
      <w:r>
        <w:t xml:space="preserve">2009 · Chase HP ·</w:t>
      </w:r>
      <w:r>
        <w:t xml:space="preserve"> </w:t>
      </w:r>
      <w:r>
        <w:rPr>
          <w:iCs/>
          <w:i/>
        </w:rPr>
        <w:t xml:space="preserve">J Pediatr</w:t>
      </w:r>
      <w:r>
        <w:t xml:space="preserve"> </w:t>
      </w:r>
      <w:r>
        <w:t xml:space="preserve">· Pramlintide lowered glucose excursions and was well-tolerated in adolescents with type 1 diabetes: results from a randomized, single-blind, placebo-controlled, crossover study. PMID 19464026</w:t>
      </w:r>
    </w:p>
    <w:p>
      <w:pPr>
        <w:numPr>
          <w:ilvl w:val="0"/>
          <w:numId w:val="1386"/>
        </w:numPr>
        <w:pStyle w:val="Compact"/>
      </w:pPr>
      <w:r>
        <w:t xml:space="preserve">2009 · King AB ·</w:t>
      </w:r>
      <w:r>
        <w:t xml:space="preserve"> </w:t>
      </w:r>
      <w:r>
        <w:rPr>
          <w:iCs/>
          <w:i/>
        </w:rPr>
        <w:t xml:space="preserve">Endocr Pract</w:t>
      </w:r>
      <w:r>
        <w:t xml:space="preserve"> </w:t>
      </w:r>
      <w:r>
        <w:t xml:space="preserve">· Minimal reduction in insulin dosage with pramlintide therapy when pretreatment near-normal glycemia is established and square-wave meal bolus is used. PMID 19364691</w:t>
      </w:r>
    </w:p>
    <w:p>
      <w:pPr>
        <w:numPr>
          <w:ilvl w:val="0"/>
          <w:numId w:val="1386"/>
        </w:numPr>
        <w:pStyle w:val="Compact"/>
      </w:pPr>
      <w:r>
        <w:t xml:space="preserve">2009 · Heptulla RA ·</w:t>
      </w:r>
      <w:r>
        <w:t xml:space="preserve"> </w:t>
      </w:r>
      <w:r>
        <w:rPr>
          <w:iCs/>
          <w:i/>
        </w:rPr>
        <w:t xml:space="preserve">J Clin Endocrinol Metab</w:t>
      </w:r>
      <w:r>
        <w:t xml:space="preserve"> </w:t>
      </w:r>
      <w:r>
        <w:t xml:space="preserve">· Twenty-four-hour simultaneous subcutaneous Basal-bolus administration of insulin and amylin in adolescents with type 1 diabetes decreases postprandial hyperglycemia. PMID 19190104</w:t>
      </w:r>
    </w:p>
    <w:p>
      <w:pPr>
        <w:numPr>
          <w:ilvl w:val="0"/>
          <w:numId w:val="1386"/>
        </w:numPr>
        <w:pStyle w:val="Compact"/>
      </w:pPr>
      <w:r>
        <w:t xml:space="preserve">2009 · Hassan K ·</w:t>
      </w:r>
      <w:r>
        <w:t xml:space="preserve"> </w:t>
      </w:r>
      <w:r>
        <w:rPr>
          <w:iCs/>
          <w:i/>
        </w:rPr>
        <w:t xml:space="preserve">Pediatr Diabetes</w:t>
      </w:r>
      <w:r>
        <w:t xml:space="preserve"> </w:t>
      </w:r>
      <w:r>
        <w:t xml:space="preserve">· Reducing postprandial hyperglycemia with adjuvant premeal pramlintide and postmeal insulin in children with type 1 diabetes mellitus. PMID 19140902</w:t>
      </w:r>
    </w:p>
    <w:p>
      <w:pPr>
        <w:numPr>
          <w:ilvl w:val="0"/>
          <w:numId w:val="1386"/>
        </w:numPr>
        <w:pStyle w:val="Compact"/>
      </w:pPr>
      <w:r>
        <w:t xml:space="preserve">2008 · Peyrot M ·</w:t>
      </w:r>
      <w:r>
        <w:t xml:space="preserve"> </w:t>
      </w:r>
      <w:r>
        <w:rPr>
          <w:iCs/>
          <w:i/>
        </w:rPr>
        <w:t xml:space="preserve">Diabetes Technol Ther</w:t>
      </w:r>
      <w:r>
        <w:t xml:space="preserve"> </w:t>
      </w:r>
      <w:r>
        <w:t xml:space="preserve">· Diabetes distress and its association with clinical outcomes in patients with type 2 diabetes treated with pramlintide as an adjunct to insulin therapy. PMID 19049375</w:t>
      </w:r>
    </w:p>
    <w:p>
      <w:pPr>
        <w:numPr>
          <w:ilvl w:val="0"/>
          <w:numId w:val="1386"/>
        </w:numPr>
        <w:pStyle w:val="Compact"/>
      </w:pPr>
      <w:r>
        <w:t xml:space="preserve">2008 · Smith SR ·</w:t>
      </w:r>
      <w:r>
        <w:t xml:space="preserve"> </w:t>
      </w:r>
      <w:r>
        <w:rPr>
          <w:iCs/>
          <w:i/>
        </w:rPr>
        <w:t xml:space="preserve">Diabetes Care</w:t>
      </w:r>
      <w:r>
        <w:t xml:space="preserve"> </w:t>
      </w:r>
      <w:r>
        <w:t xml:space="preserve">· Sustained weight loss following 12-month pramlintide treatment as an adjunct to lifestyle intervention in obesity. PMID 18753666</w:t>
      </w:r>
    </w:p>
    <w:p>
      <w:pPr>
        <w:numPr>
          <w:ilvl w:val="0"/>
          <w:numId w:val="1386"/>
        </w:numPr>
        <w:pStyle w:val="Compact"/>
      </w:pPr>
      <w:r>
        <w:t xml:space="preserve">2008 · Wysham C ·</w:t>
      </w:r>
      <w:r>
        <w:t xml:space="preserve"> </w:t>
      </w:r>
      <w:r>
        <w:rPr>
          <w:iCs/>
          <w:i/>
        </w:rPr>
        <w:t xml:space="preserve">Curr Med Res Opin</w:t>
      </w:r>
      <w:r>
        <w:t xml:space="preserve"> </w:t>
      </w:r>
      <w:r>
        <w:t xml:space="preserve">· Effect of pramlintide as an adjunct to basal insulin on markers of cardiovascular risk in patients with type 2 diabetes. PMID 18031595</w:t>
      </w:r>
    </w:p>
    <w:p>
      <w:pPr>
        <w:numPr>
          <w:ilvl w:val="0"/>
          <w:numId w:val="1386"/>
        </w:numPr>
        <w:pStyle w:val="Compact"/>
      </w:pPr>
      <w:r>
        <w:t xml:space="preserve">2008 · Woerle HJ ·</w:t>
      </w:r>
      <w:r>
        <w:t xml:space="preserve"> </w:t>
      </w:r>
      <w:r>
        <w:rPr>
          <w:iCs/>
          <w:i/>
        </w:rPr>
        <w:t xml:space="preserve">Am J Physiol Endocrinol Metab</w:t>
      </w:r>
      <w:r>
        <w:t xml:space="preserve"> </w:t>
      </w:r>
      <w:r>
        <w:t xml:space="preserve">· Importance of changes in gastric emptying for postprandial plasma glucose fluxes in healthy humans. PMID 17971511</w:t>
      </w:r>
    </w:p>
    <w:p>
      <w:pPr>
        <w:numPr>
          <w:ilvl w:val="0"/>
          <w:numId w:val="1386"/>
        </w:numPr>
        <w:pStyle w:val="Compact"/>
      </w:pPr>
      <w:r>
        <w:t xml:space="preserve">2008 · Ceriello A ·</w:t>
      </w:r>
      <w:r>
        <w:t xml:space="preserve"> </w:t>
      </w:r>
      <w:r>
        <w:rPr>
          <w:iCs/>
          <w:i/>
        </w:rPr>
        <w:t xml:space="preserve">Diabetes Metab Res Rev</w:t>
      </w:r>
      <w:r>
        <w:t xml:space="preserve"> </w:t>
      </w:r>
      <w:r>
        <w:t xml:space="preserve">· Pramlintide reduced markers of oxidative stress in the postprandial period in patients with type 2 diabetes. PMID 17694505</w:t>
      </w:r>
    </w:p>
    <w:p>
      <w:pPr>
        <w:numPr>
          <w:ilvl w:val="0"/>
          <w:numId w:val="1386"/>
        </w:numPr>
        <w:pStyle w:val="Compact"/>
      </w:pPr>
      <w:r>
        <w:t xml:space="preserve">2007 · Rodriguez LM ·</w:t>
      </w:r>
      <w:r>
        <w:t xml:space="preserve"> </w:t>
      </w:r>
      <w:r>
        <w:rPr>
          <w:iCs/>
          <w:i/>
        </w:rPr>
        <w:t xml:space="preserve">Pediatr Res</w:t>
      </w:r>
      <w:r>
        <w:t xml:space="preserve"> </w:t>
      </w:r>
      <w:r>
        <w:t xml:space="preserve">· The role of prandial pramlintide in the treatment of adolescents with type 1 diabetes. PMID 17957149</w:t>
      </w:r>
    </w:p>
    <w:p>
      <w:pPr>
        <w:numPr>
          <w:ilvl w:val="0"/>
          <w:numId w:val="1386"/>
        </w:numPr>
        <w:pStyle w:val="Compact"/>
      </w:pPr>
      <w:r>
        <w:t xml:space="preserve">2007 · Riddle M ·</w:t>
      </w:r>
      <w:r>
        <w:t xml:space="preserve"> </w:t>
      </w:r>
      <w:r>
        <w:rPr>
          <w:iCs/>
          <w:i/>
        </w:rPr>
        <w:t xml:space="preserve">Diabetes Care</w:t>
      </w:r>
      <w:r>
        <w:t xml:space="preserve"> </w:t>
      </w:r>
      <w:r>
        <w:t xml:space="preserve">· Pramlintide improved glycemic control and reduced weight in patients with type 2 diabetes using basal insulin. PMID 17698615</w:t>
      </w:r>
    </w:p>
    <w:p>
      <w:pPr>
        <w:numPr>
          <w:ilvl w:val="0"/>
          <w:numId w:val="1386"/>
        </w:numPr>
        <w:pStyle w:val="Compact"/>
      </w:pPr>
      <w:r>
        <w:t xml:space="preserve">2007 · Smith SR ·</w:t>
      </w:r>
      <w:r>
        <w:t xml:space="preserve"> </w:t>
      </w:r>
      <w:r>
        <w:rPr>
          <w:iCs/>
          <w:i/>
        </w:rPr>
        <w:t xml:space="preserve">Am J Physiol Endocrinol Metab</w:t>
      </w:r>
      <w:r>
        <w:t xml:space="preserve"> </w:t>
      </w:r>
      <w:r>
        <w:t xml:space="preserve">· Pramlintide treatment reduces 24-h caloric intake and meal sizes and improves control of eating in obese subjects: a 6-wk translational research study. PMID 17505051</w:t>
      </w:r>
    </w:p>
    <w:p>
      <w:pPr>
        <w:numPr>
          <w:ilvl w:val="0"/>
          <w:numId w:val="1386"/>
        </w:numPr>
        <w:pStyle w:val="Compact"/>
      </w:pPr>
      <w:r>
        <w:t xml:space="preserve">2007 · Aronne L ·</w:t>
      </w:r>
      <w:r>
        <w:t xml:space="preserve"> </w:t>
      </w:r>
      <w:r>
        <w:rPr>
          <w:iCs/>
          <w:i/>
        </w:rPr>
        <w:t xml:space="preserve">J Clin Endocrinol Metab</w:t>
      </w:r>
      <w:r>
        <w:t xml:space="preserve"> </w:t>
      </w:r>
      <w:r>
        <w:t xml:space="preserve">· Progressive reduction in body weight after treatment with the amylin analog pramlintide in obese subjects: a phase 2, randomized, placebo-controlled, dose-escalation study. PMID 17504894</w:t>
      </w:r>
    </w:p>
    <w:p>
      <w:pPr>
        <w:numPr>
          <w:ilvl w:val="0"/>
          <w:numId w:val="1386"/>
        </w:numPr>
        <w:pStyle w:val="Compact"/>
      </w:pPr>
      <w:r>
        <w:t xml:space="preserve">2007 · Chapman I ·</w:t>
      </w:r>
      <w:r>
        <w:t xml:space="preserve"> </w:t>
      </w:r>
      <w:r>
        <w:rPr>
          <w:iCs/>
          <w:i/>
        </w:rPr>
        <w:t xml:space="preserve">Obesity (Silver Spring)</w:t>
      </w:r>
      <w:r>
        <w:t xml:space="preserve"> </w:t>
      </w:r>
      <w:r>
        <w:t xml:space="preserve">· Low-dose pramlintide reduced food intake and meal duration in healthy, normal-weight subjects. PMID 17495194</w:t>
      </w:r>
    </w:p>
    <w:p>
      <w:pPr>
        <w:numPr>
          <w:ilvl w:val="0"/>
          <w:numId w:val="1386"/>
        </w:numPr>
        <w:pStyle w:val="Compact"/>
      </w:pPr>
      <w:r>
        <w:t xml:space="preserve">2007 · Kellmeyer TA ·</w:t>
      </w:r>
      <w:r>
        <w:t xml:space="preserve"> </w:t>
      </w:r>
      <w:r>
        <w:rPr>
          <w:iCs/>
          <w:i/>
        </w:rPr>
        <w:t xml:space="preserve">J Clin Pharmacol</w:t>
      </w:r>
      <w:r>
        <w:t xml:space="preserve"> </w:t>
      </w:r>
      <w:r>
        <w:t xml:space="preserve">· Pharmacokinetics of an oral drug (acetaminophen) administered at various times relative to subcutaneous injection of pramlintide in subjects with type 2 diabetes. PMID 17463219</w:t>
      </w:r>
    </w:p>
    <w:p>
      <w:pPr>
        <w:numPr>
          <w:ilvl w:val="0"/>
          <w:numId w:val="1386"/>
        </w:numPr>
        <w:pStyle w:val="Compact"/>
      </w:pPr>
      <w:r>
        <w:t xml:space="preserve">2007 · Karl D ·</w:t>
      </w:r>
      <w:r>
        <w:t xml:space="preserve"> </w:t>
      </w:r>
      <w:r>
        <w:rPr>
          <w:iCs/>
          <w:i/>
        </w:rPr>
        <w:t xml:space="preserve">Diabetes Technol Ther</w:t>
      </w:r>
      <w:r>
        <w:t xml:space="preserve"> </w:t>
      </w:r>
      <w:r>
        <w:t xml:space="preserve">· Pramlintide as an adjunct to insulin in patients with type 2 diabetes in a clinical practice setting reduced A1C, postprandial glucose excursions, and weight. PMID 17425446</w:t>
      </w:r>
    </w:p>
    <w:p>
      <w:pPr>
        <w:numPr>
          <w:ilvl w:val="0"/>
          <w:numId w:val="1386"/>
        </w:numPr>
        <w:pStyle w:val="Compact"/>
      </w:pPr>
      <w:r>
        <w:t xml:space="preserve">2007 · Marrero DG ·</w:t>
      </w:r>
      <w:r>
        <w:t xml:space="preserve"> </w:t>
      </w:r>
      <w:r>
        <w:rPr>
          <w:iCs/>
          <w:i/>
        </w:rPr>
        <w:t xml:space="preserve">Diabetes Care</w:t>
      </w:r>
      <w:r>
        <w:t xml:space="preserve"> </w:t>
      </w:r>
      <w:r>
        <w:t xml:space="preserve">· Effect of adjunctive pramlintide treatment on treatment satisfaction in patients with type 1 diabetes. PMID 17259483</w:t>
      </w:r>
    </w:p>
    <w:p>
      <w:pPr>
        <w:numPr>
          <w:ilvl w:val="0"/>
          <w:numId w:val="1386"/>
        </w:numPr>
        <w:pStyle w:val="Compact"/>
      </w:pPr>
      <w:r>
        <w:t xml:space="preserve">2006 · Edelman SV ·</w:t>
      </w:r>
      <w:r>
        <w:t xml:space="preserve"> </w:t>
      </w:r>
      <w:r>
        <w:rPr>
          <w:iCs/>
          <w:i/>
        </w:rPr>
        <w:t xml:space="preserve">Int J Clin Pract</w:t>
      </w:r>
      <w:r>
        <w:t xml:space="preserve"> </w:t>
      </w:r>
      <w:r>
        <w:t xml:space="preserve">· Pramlintide in the treatment of diabetes. PMID 17109671</w:t>
      </w:r>
    </w:p>
    <w:p>
      <w:pPr>
        <w:numPr>
          <w:ilvl w:val="0"/>
          <w:numId w:val="1386"/>
        </w:numPr>
        <w:pStyle w:val="Compact"/>
      </w:pPr>
      <w:r>
        <w:t xml:space="preserve">2006 · Edelman S ·</w:t>
      </w:r>
      <w:r>
        <w:t xml:space="preserve"> </w:t>
      </w:r>
      <w:r>
        <w:rPr>
          <w:iCs/>
          <w:i/>
        </w:rPr>
        <w:t xml:space="preserve">Diabetes Care</w:t>
      </w:r>
      <w:r>
        <w:t xml:space="preserve"> </w:t>
      </w:r>
      <w:r>
        <w:t xml:space="preserve">· A double-blind, placebo-controlled trial assessing pramlintide treatment in the setting of intensive insulin therapy in type 1 diabetes. PMID 17003291</w:t>
      </w:r>
    </w:p>
    <w:p>
      <w:pPr>
        <w:numPr>
          <w:ilvl w:val="0"/>
          <w:numId w:val="1386"/>
        </w:numPr>
        <w:pStyle w:val="Compact"/>
      </w:pPr>
      <w:r>
        <w:t xml:space="preserve">2005 · Amiel SA ·</w:t>
      </w:r>
      <w:r>
        <w:t xml:space="preserve"> </w:t>
      </w:r>
      <w:r>
        <w:rPr>
          <w:iCs/>
          <w:i/>
        </w:rPr>
        <w:t xml:space="preserve">Diabetes Obes Metab</w:t>
      </w:r>
      <w:r>
        <w:t xml:space="preserve"> </w:t>
      </w:r>
      <w:r>
        <w:t xml:space="preserve">· The effect of pramlintide on hormonal, metabolic or symptomatic responses to insulin-induced hypoglycaemia in patients with type 1 diabetes. PMID 16050943</w:t>
      </w:r>
    </w:p>
    <w:p>
      <w:pPr>
        <w:numPr>
          <w:ilvl w:val="0"/>
          <w:numId w:val="1386"/>
        </w:numPr>
        <w:pStyle w:val="Compact"/>
      </w:pPr>
      <w:r>
        <w:t xml:space="preserve">2005 · Ratner R ·</w:t>
      </w:r>
      <w:r>
        <w:t xml:space="preserve"> </w:t>
      </w:r>
      <w:r>
        <w:rPr>
          <w:iCs/>
          <w:i/>
        </w:rPr>
        <w:t xml:space="preserve">Exp Clin Endocrinol Diabetes</w:t>
      </w:r>
      <w:r>
        <w:t xml:space="preserve"> </w:t>
      </w:r>
      <w:r>
        <w:t xml:space="preserve">· Adjunctive therapy with pramlintide lowers HbA1c without concomitant weight gain and increased risk of severe hypoglycemia in patients with type 1 diabetes approaching glycemic targets. PMID 15891954</w:t>
      </w:r>
    </w:p>
    <w:p>
      <w:pPr>
        <w:numPr>
          <w:ilvl w:val="0"/>
          <w:numId w:val="1386"/>
        </w:numPr>
        <w:pStyle w:val="Compact"/>
      </w:pPr>
      <w:r>
        <w:t xml:space="preserve">2005 · Chapman I ·</w:t>
      </w:r>
      <w:r>
        <w:t xml:space="preserve"> </w:t>
      </w:r>
      <w:r>
        <w:rPr>
          <w:iCs/>
          <w:i/>
        </w:rPr>
        <w:t xml:space="preserve">Diabetologia</w:t>
      </w:r>
      <w:r>
        <w:t xml:space="preserve"> </w:t>
      </w:r>
      <w:r>
        <w:t xml:space="preserve">· Effect of pramlintide on satiety and food intake in obese subjects and subjects with type 2 diabetes. PMID 15843914</w:t>
      </w:r>
    </w:p>
    <w:p>
      <w:pPr>
        <w:numPr>
          <w:ilvl w:val="0"/>
          <w:numId w:val="1386"/>
        </w:numPr>
        <w:pStyle w:val="Compact"/>
      </w:pPr>
      <w:r>
        <w:t xml:space="preserve">2005 · Weyer C ·</w:t>
      </w:r>
      <w:r>
        <w:t xml:space="preserve"> </w:t>
      </w:r>
      <w:r>
        <w:rPr>
          <w:iCs/>
          <w:i/>
        </w:rPr>
        <w:t xml:space="preserve">Am J Health Syst Pharm</w:t>
      </w:r>
      <w:r>
        <w:t xml:space="preserve"> </w:t>
      </w:r>
      <w:r>
        <w:t xml:space="preserve">· Properties of pramlintide and insulin upon mixing. PMID 15821274</w:t>
      </w:r>
    </w:p>
    <w:p>
      <w:pPr>
        <w:numPr>
          <w:ilvl w:val="0"/>
          <w:numId w:val="1386"/>
        </w:numPr>
        <w:pStyle w:val="Compact"/>
      </w:pPr>
      <w:r>
        <w:t xml:space="preserve">2005 · Heptulla RA ·</w:t>
      </w:r>
      <w:r>
        <w:t xml:space="preserve"> </w:t>
      </w:r>
      <w:r>
        <w:rPr>
          <w:iCs/>
          <w:i/>
        </w:rPr>
        <w:t xml:space="preserve">Diabetes</w:t>
      </w:r>
      <w:r>
        <w:t xml:space="preserve"> </w:t>
      </w:r>
      <w:r>
        <w:t xml:space="preserve">· The role of amylin and glucagon in the dampening of glycemic excursions in children with type 1 diabetes. PMID 15793249</w:t>
      </w:r>
    </w:p>
    <w:p>
      <w:pPr>
        <w:numPr>
          <w:ilvl w:val="0"/>
          <w:numId w:val="1386"/>
        </w:numPr>
        <w:pStyle w:val="Compact"/>
      </w:pPr>
      <w:r>
        <w:t xml:space="preserve">2005 · Ceriello A ·</w:t>
      </w:r>
      <w:r>
        <w:t xml:space="preserve"> </w:t>
      </w:r>
      <w:r>
        <w:rPr>
          <w:iCs/>
          <w:i/>
        </w:rPr>
        <w:t xml:space="preserve">Diabetes Care</w:t>
      </w:r>
      <w:r>
        <w:t xml:space="preserve"> </w:t>
      </w:r>
      <w:r>
        <w:t xml:space="preserve">· Effects of pramlintide on postprandial glucose excursions and measures of oxidative stress in patients with type 1 diabetes. PMID 15735200</w:t>
      </w:r>
    </w:p>
    <w:p>
      <w:pPr>
        <w:numPr>
          <w:ilvl w:val="0"/>
          <w:numId w:val="1386"/>
        </w:numPr>
        <w:pStyle w:val="Compact"/>
      </w:pPr>
      <w:r>
        <w:t xml:space="preserve">2004 · Ratner RE ·</w:t>
      </w:r>
      <w:r>
        <w:t xml:space="preserve"> </w:t>
      </w:r>
      <w:r>
        <w:rPr>
          <w:iCs/>
          <w:i/>
        </w:rPr>
        <w:t xml:space="preserve">Diabet Med</w:t>
      </w:r>
      <w:r>
        <w:t xml:space="preserve"> </w:t>
      </w:r>
      <w:r>
        <w:t xml:space="preserve">· Amylin replacement with pramlintide as an adjunct to insulin therapy improves long-term glycaemic and weight control in Type 1 diabetes mellitus: a 1-year, randomized controlled trial. PMID 15498087</w:t>
      </w:r>
    </w:p>
    <w:p>
      <w:pPr>
        <w:numPr>
          <w:ilvl w:val="0"/>
          <w:numId w:val="1386"/>
        </w:numPr>
        <w:pStyle w:val="Compact"/>
      </w:pPr>
      <w:r>
        <w:t xml:space="preserve">2004 · Heise T ·</w:t>
      </w:r>
      <w:r>
        <w:t xml:space="preserve"> </w:t>
      </w:r>
      <w:r>
        <w:rPr>
          <w:iCs/>
          <w:i/>
        </w:rPr>
        <w:t xml:space="preserve">Metabolism</w:t>
      </w:r>
      <w:r>
        <w:t xml:space="preserve"> </w:t>
      </w:r>
      <w:r>
        <w:t xml:space="preserve">· Effect of pramlintide on symptom, catecholamine, and glucagon responses to hypoglycemia in healthy subjects. PMID 15334389</w:t>
      </w:r>
    </w:p>
    <w:p>
      <w:pPr>
        <w:numPr>
          <w:ilvl w:val="0"/>
          <w:numId w:val="1386"/>
        </w:numPr>
        <w:pStyle w:val="Compact"/>
      </w:pPr>
      <w:r>
        <w:t xml:space="preserve">2004 · Hollander P ·</w:t>
      </w:r>
      <w:r>
        <w:t xml:space="preserve"> </w:t>
      </w:r>
      <w:r>
        <w:rPr>
          <w:iCs/>
          <w:i/>
        </w:rPr>
        <w:t xml:space="preserve">Obes Res</w:t>
      </w:r>
      <w:r>
        <w:t xml:space="preserve"> </w:t>
      </w:r>
      <w:r>
        <w:t xml:space="preserve">· Effect of pramlintide on weight in overweight and obese insulin-treated type 2 diabetes patients. PMID 15090634</w:t>
      </w:r>
    </w:p>
    <w:p>
      <w:pPr>
        <w:numPr>
          <w:ilvl w:val="0"/>
          <w:numId w:val="1386"/>
        </w:numPr>
        <w:pStyle w:val="Compact"/>
      </w:pPr>
      <w:r>
        <w:t xml:space="preserve">2004 · Maggs DG ·</w:t>
      </w:r>
      <w:r>
        <w:t xml:space="preserve"> </w:t>
      </w:r>
      <w:r>
        <w:rPr>
          <w:iCs/>
          <w:i/>
        </w:rPr>
        <w:t xml:space="preserve">Diabetes Metab Res Rev</w:t>
      </w:r>
      <w:r>
        <w:t xml:space="preserve"> </w:t>
      </w:r>
      <w:r>
        <w:t xml:space="preserve">· Pramlintide reduces postprandial glucose excursions when added to insulin lispro in subjects with type 2 diabetes: a dose-timing study. PMID 14737746</w:t>
      </w:r>
    </w:p>
    <w:p>
      <w:pPr>
        <w:numPr>
          <w:ilvl w:val="0"/>
          <w:numId w:val="1386"/>
        </w:numPr>
        <w:pStyle w:val="Compact"/>
      </w:pPr>
      <w:r>
        <w:t xml:space="preserve">2003 · Maggs D ·</w:t>
      </w:r>
      <w:r>
        <w:t xml:space="preserve"> </w:t>
      </w:r>
      <w:r>
        <w:rPr>
          <w:iCs/>
          <w:i/>
        </w:rPr>
        <w:t xml:space="preserve">Metabolism</w:t>
      </w:r>
      <w:r>
        <w:t xml:space="preserve"> </w:t>
      </w:r>
      <w:r>
        <w:t xml:space="preserve">· Effect of pramlintide on A1C and body weight in insulin-treated African Americans and Hispanics with type 2 diabetes: a pooled post hoc analysis. PMID 14669170</w:t>
      </w:r>
    </w:p>
    <w:p>
      <w:pPr>
        <w:numPr>
          <w:ilvl w:val="0"/>
          <w:numId w:val="1386"/>
        </w:numPr>
        <w:pStyle w:val="Compact"/>
      </w:pPr>
      <w:r>
        <w:t xml:space="preserve">2003 · Weyer C ·</w:t>
      </w:r>
      <w:r>
        <w:t xml:space="preserve"> </w:t>
      </w:r>
      <w:r>
        <w:rPr>
          <w:iCs/>
          <w:i/>
        </w:rPr>
        <w:t xml:space="preserve">Diabetes Care</w:t>
      </w:r>
      <w:r>
        <w:t xml:space="preserve"> </w:t>
      </w:r>
      <w:r>
        <w:t xml:space="preserve">· Pramlintide reduces postprandial glucose excursions when added to regular insulin or insulin lispro in subjects with type 1 diabetes: a dose-timing study. PMID 14578242</w:t>
      </w:r>
    </w:p>
    <w:p>
      <w:pPr>
        <w:numPr>
          <w:ilvl w:val="0"/>
          <w:numId w:val="1386"/>
        </w:numPr>
        <w:pStyle w:val="Compact"/>
      </w:pPr>
      <w:r>
        <w:t xml:space="preserve">2003 · Hollander PA ·</w:t>
      </w:r>
      <w:r>
        <w:t xml:space="preserve"> </w:t>
      </w:r>
      <w:r>
        <w:rPr>
          <w:iCs/>
          <w:i/>
        </w:rPr>
        <w:t xml:space="preserve">Diabetes Care</w:t>
      </w:r>
      <w:r>
        <w:t xml:space="preserve"> </w:t>
      </w:r>
      <w:r>
        <w:t xml:space="preserve">· Pramlintide as an adjunct to insulin therapy improves long-term glycemic and weight control in patients with type 2 diabetes: a 1-year randomized controlled trial. PMID 12610038</w:t>
      </w:r>
    </w:p>
    <w:p>
      <w:pPr>
        <w:numPr>
          <w:ilvl w:val="0"/>
          <w:numId w:val="1386"/>
        </w:numPr>
        <w:pStyle w:val="Compact"/>
      </w:pPr>
      <w:r>
        <w:t xml:space="preserve">2003 · Levetan C ·</w:t>
      </w:r>
      <w:r>
        <w:t xml:space="preserve"> </w:t>
      </w:r>
      <w:r>
        <w:rPr>
          <w:iCs/>
          <w:i/>
        </w:rPr>
        <w:t xml:space="preserve">Diabetes Care</w:t>
      </w:r>
      <w:r>
        <w:t xml:space="preserve"> </w:t>
      </w:r>
      <w:r>
        <w:t xml:space="preserve">· Impact of pramlintide on glucose fluctuations and postprandial glucose, glucagon, and triglyceride excursions among patients with type 1 diabetes intensively treated with insulin pumps. PMID 12502651</w:t>
      </w:r>
    </w:p>
    <w:p>
      <w:pPr>
        <w:numPr>
          <w:ilvl w:val="0"/>
          <w:numId w:val="1386"/>
        </w:numPr>
        <w:pStyle w:val="Compact"/>
      </w:pPr>
      <w:r>
        <w:t xml:space="preserve">2002 · Fineman M ·</w:t>
      </w:r>
      <w:r>
        <w:t xml:space="preserve"> </w:t>
      </w:r>
      <w:r>
        <w:rPr>
          <w:iCs/>
          <w:i/>
        </w:rPr>
        <w:t xml:space="preserve">Horm Metab Res</w:t>
      </w:r>
      <w:r>
        <w:t xml:space="preserve"> </w:t>
      </w:r>
      <w:r>
        <w:t xml:space="preserve">· The human amylin analog, pramlintide, reduces postprandial hyperglucagonemia in patients with type 2 diabetes mellitus. PMID 12384827</w:t>
      </w:r>
    </w:p>
    <w:p>
      <w:pPr>
        <w:numPr>
          <w:ilvl w:val="0"/>
          <w:numId w:val="1386"/>
        </w:numPr>
        <w:pStyle w:val="Compact"/>
      </w:pPr>
      <w:r>
        <w:t xml:space="preserve">2002 · Ratner RE ·</w:t>
      </w:r>
      <w:r>
        <w:t xml:space="preserve"> </w:t>
      </w:r>
      <w:r>
        <w:rPr>
          <w:iCs/>
          <w:i/>
        </w:rPr>
        <w:t xml:space="preserve">Diabetes Technol Ther</w:t>
      </w:r>
      <w:r>
        <w:t xml:space="preserve"> </w:t>
      </w:r>
      <w:r>
        <w:t xml:space="preserve">· Adjunctive therapy with the amylin analogue pramlintide leads to a combined improvement in glycemic and weight control in insulin-treated subjects with type 2 diabetes. PMID 12017421</w:t>
      </w:r>
    </w:p>
    <w:p>
      <w:pPr>
        <w:numPr>
          <w:ilvl w:val="0"/>
          <w:numId w:val="1386"/>
        </w:numPr>
        <w:pStyle w:val="Compact"/>
      </w:pPr>
      <w:r>
        <w:t xml:space="preserve">2002 · Fineman MS ·</w:t>
      </w:r>
      <w:r>
        <w:t xml:space="preserve"> </w:t>
      </w:r>
      <w:r>
        <w:rPr>
          <w:iCs/>
          <w:i/>
        </w:rPr>
        <w:t xml:space="preserve">Metabolism</w:t>
      </w:r>
      <w:r>
        <w:t xml:space="preserve"> </w:t>
      </w:r>
      <w:r>
        <w:t xml:space="preserve">· The human amylin analog, pramlintide, corrects postprandial hyperglucagonemia in patients with type 1 diabetes. PMID 11979398</w:t>
      </w:r>
    </w:p>
    <w:p>
      <w:pPr>
        <w:numPr>
          <w:ilvl w:val="0"/>
          <w:numId w:val="1386"/>
        </w:numPr>
        <w:pStyle w:val="Compact"/>
      </w:pPr>
      <w:r>
        <w:t xml:space="preserve">2002 · Vella A ·</w:t>
      </w:r>
      <w:r>
        <w:t xml:space="preserve"> </w:t>
      </w:r>
      <w:r>
        <w:rPr>
          <w:iCs/>
          <w:i/>
        </w:rPr>
        <w:t xml:space="preserve">Neurogastroenterol Motil</w:t>
      </w:r>
      <w:r>
        <w:t xml:space="preserve"> </w:t>
      </w:r>
      <w:r>
        <w:t xml:space="preserve">· Effects of pramlintide, an amylin analogue, on gastric emptying in type 1 and 2 diabetes mellitus. PMID 11975712</w:t>
      </w:r>
    </w:p>
    <w:p>
      <w:pPr>
        <w:numPr>
          <w:ilvl w:val="0"/>
          <w:numId w:val="1386"/>
        </w:numPr>
        <w:pStyle w:val="Compact"/>
      </w:pPr>
      <w:r>
        <w:t xml:space="preserve">2002 · Whitehouse F ·</w:t>
      </w:r>
      <w:r>
        <w:t xml:space="preserve"> </w:t>
      </w:r>
      <w:r>
        <w:rPr>
          <w:iCs/>
          <w:i/>
        </w:rPr>
        <w:t xml:space="preserve">Diabetes Care</w:t>
      </w:r>
      <w:r>
        <w:t xml:space="preserve"> </w:t>
      </w:r>
      <w:r>
        <w:t xml:space="preserve">· A randomized study and open-label extension evaluating the long-term efficacy of pramlintide as an adjunct to insulin therapy in type 1 diabetes. PMID 11919132</w:t>
      </w:r>
    </w:p>
    <w:p>
      <w:pPr>
        <w:numPr>
          <w:ilvl w:val="0"/>
          <w:numId w:val="1386"/>
        </w:numPr>
        <w:pStyle w:val="Compact"/>
      </w:pPr>
      <w:r>
        <w:t xml:space="preserve">2000 · Samsom M ·</w:t>
      </w:r>
      <w:r>
        <w:t xml:space="preserve"> </w:t>
      </w:r>
      <w:r>
        <w:rPr>
          <w:iCs/>
          <w:i/>
        </w:rPr>
        <w:t xml:space="preserve">Am J Physiol Gastrointest Liver Physiol</w:t>
      </w:r>
      <w:r>
        <w:t xml:space="preserve"> </w:t>
      </w:r>
      <w:r>
        <w:t xml:space="preserve">· Pramlintide, an amylin analog, selectively delays gastric emptying: potential role of vagal inhibition. PMID 10859225</w:t>
      </w:r>
    </w:p>
    <w:p>
      <w:pPr>
        <w:numPr>
          <w:ilvl w:val="0"/>
          <w:numId w:val="1386"/>
        </w:numPr>
        <w:pStyle w:val="Compact"/>
      </w:pPr>
      <w:r>
        <w:t xml:space="preserve">1999 · Orskov L ·</w:t>
      </w:r>
      <w:r>
        <w:t xml:space="preserve"> </w:t>
      </w:r>
      <w:r>
        <w:rPr>
          <w:iCs/>
          <w:i/>
        </w:rPr>
        <w:t xml:space="preserve">Diabet Med</w:t>
      </w:r>
      <w:r>
        <w:t xml:space="preserve"> </w:t>
      </w:r>
      <w:r>
        <w:t xml:space="preserve">· Effects of the amylin analogue pramlintide on hepatic glucagon responses and intermediary metabolism in Type 1 diabetic subjects. PMID 10547215</w:t>
      </w:r>
    </w:p>
    <w:p>
      <w:pPr>
        <w:numPr>
          <w:ilvl w:val="0"/>
          <w:numId w:val="1386"/>
        </w:numPr>
        <w:pStyle w:val="Compact"/>
      </w:pPr>
      <w:r>
        <w:t xml:space="preserve">1999 · Nyholm B ·</w:t>
      </w:r>
      <w:r>
        <w:t xml:space="preserve"> </w:t>
      </w:r>
      <w:r>
        <w:rPr>
          <w:iCs/>
          <w:i/>
        </w:rPr>
        <w:t xml:space="preserve">Metabolism</w:t>
      </w:r>
      <w:r>
        <w:t xml:space="preserve"> </w:t>
      </w:r>
      <w:r>
        <w:t xml:space="preserve">· The amylin analog pramlintide improves glycemic control and reduces postprandial glucagon concentrations in patients with type 1 diabetes mellitus. PMID 10421239</w:t>
      </w:r>
    </w:p>
    <w:p>
      <w:pPr>
        <w:numPr>
          <w:ilvl w:val="0"/>
          <w:numId w:val="1386"/>
        </w:numPr>
        <w:pStyle w:val="Compact"/>
      </w:pPr>
      <w:r>
        <w:t xml:space="preserve">1998 · Kong MF ·</w:t>
      </w:r>
      <w:r>
        <w:t xml:space="preserve"> </w:t>
      </w:r>
      <w:r>
        <w:rPr>
          <w:iCs/>
          <w:i/>
        </w:rPr>
        <w:t xml:space="preserve">Diabetologia</w:t>
      </w:r>
      <w:r>
        <w:t xml:space="preserve"> </w:t>
      </w:r>
      <w:r>
        <w:t xml:space="preserve">· The effect of single doses of pramlintide on gastric emptying of two meals in men with IDDM. PMID 9628276</w:t>
      </w:r>
    </w:p>
    <w:p>
      <w:pPr>
        <w:numPr>
          <w:ilvl w:val="0"/>
          <w:numId w:val="1386"/>
        </w:numPr>
        <w:pStyle w:val="Compact"/>
      </w:pPr>
      <w:r>
        <w:t xml:space="preserve">1998 · Thompson RG ·</w:t>
      </w:r>
      <w:r>
        <w:t xml:space="preserve"> </w:t>
      </w:r>
      <w:r>
        <w:rPr>
          <w:iCs/>
          <w:i/>
        </w:rPr>
        <w:t xml:space="preserve">Diabetes Care</w:t>
      </w:r>
      <w:r>
        <w:t xml:space="preserve"> </w:t>
      </w:r>
      <w:r>
        <w:t xml:space="preserve">· Pramlintide, a synthetic analog of human amylin, improves the metabolic profile of patients with type 2 diabetes using insulin. The Pramlintide in Type 2 Diabetes Group. PMID 9614619</w:t>
      </w:r>
    </w:p>
    <w:p>
      <w:pPr>
        <w:numPr>
          <w:ilvl w:val="0"/>
          <w:numId w:val="1386"/>
        </w:numPr>
        <w:pStyle w:val="Compact"/>
      </w:pPr>
      <w:r>
        <w:t xml:space="preserve">1997 · Thompson RG ·</w:t>
      </w:r>
      <w:r>
        <w:t xml:space="preserve"> </w:t>
      </w:r>
      <w:r>
        <w:rPr>
          <w:iCs/>
          <w:i/>
        </w:rPr>
        <w:t xml:space="preserve">Diabetologia</w:t>
      </w:r>
      <w:r>
        <w:t xml:space="preserve"> </w:t>
      </w:r>
      <w:r>
        <w:t xml:space="preserve">· Effects of 4 weeks’ administration of pramlintide, a human amylin analogue, on glycaemia control in patients with IDDM: effects on plasma glucose profiles and serum fructosamine concentrations. PMID 9389419</w:t>
      </w:r>
    </w:p>
    <w:p>
      <w:pPr>
        <w:numPr>
          <w:ilvl w:val="0"/>
          <w:numId w:val="1386"/>
        </w:numPr>
        <w:pStyle w:val="Compact"/>
      </w:pPr>
      <w:r>
        <w:t xml:space="preserve">1997 · Thompson RG ·</w:t>
      </w:r>
      <w:r>
        <w:t xml:space="preserve"> </w:t>
      </w:r>
      <w:r>
        <w:rPr>
          <w:iCs/>
          <w:i/>
        </w:rPr>
        <w:t xml:space="preserve">Diabet Med</w:t>
      </w:r>
      <w:r>
        <w:t xml:space="preserve"> </w:t>
      </w:r>
      <w:r>
        <w:t xml:space="preserve">· Pramlintide: a human amylin analogue reduced postprandial plasma glucose, insulin, and C-peptide concentrations in patients with type 2 diabetes. PMID 9223392</w:t>
      </w:r>
    </w:p>
    <w:p>
      <w:pPr>
        <w:numPr>
          <w:ilvl w:val="0"/>
          <w:numId w:val="1386"/>
        </w:numPr>
        <w:pStyle w:val="Compact"/>
      </w:pPr>
      <w:r>
        <w:t xml:space="preserve">1997 · Thompson RG ·</w:t>
      </w:r>
      <w:r>
        <w:t xml:space="preserve"> </w:t>
      </w:r>
      <w:r>
        <w:rPr>
          <w:iCs/>
          <w:i/>
        </w:rPr>
        <w:t xml:space="preserve">Diabetes</w:t>
      </w:r>
      <w:r>
        <w:t xml:space="preserve"> </w:t>
      </w:r>
      <w:r>
        <w:t xml:space="preserve">· Effects of pramlintide, an analog of human amylin, on plasma glucose profiles in patients with IDDM: results of a multicenter trial. PMID 9075803</w:t>
      </w:r>
    </w:p>
    <w:p>
      <w:pPr>
        <w:numPr>
          <w:ilvl w:val="0"/>
          <w:numId w:val="1386"/>
        </w:numPr>
        <w:pStyle w:val="Compact"/>
      </w:pPr>
      <w:r>
        <w:t xml:space="preserve">1997 · Kong MF ·</w:t>
      </w:r>
      <w:r>
        <w:t xml:space="preserve"> </w:t>
      </w:r>
      <w:r>
        <w:rPr>
          <w:iCs/>
          <w:i/>
        </w:rPr>
        <w:t xml:space="preserve">Diabetologia</w:t>
      </w:r>
      <w:r>
        <w:t xml:space="preserve"> </w:t>
      </w:r>
      <w:r>
        <w:t xml:space="preserve">· Infusion of pramlintide, a human amylin analogue, delays gastric emptying in men with IDDM. PMID 9028722</w:t>
      </w:r>
    </w:p>
    <w:p>
      <w:pPr>
        <w:numPr>
          <w:ilvl w:val="0"/>
          <w:numId w:val="1386"/>
        </w:numPr>
        <w:pStyle w:val="Compact"/>
      </w:pPr>
      <w:r>
        <w:t xml:space="preserve">1996 · Kolterman OG ·</w:t>
      </w:r>
      <w:r>
        <w:t xml:space="preserve"> </w:t>
      </w:r>
      <w:r>
        <w:rPr>
          <w:iCs/>
          <w:i/>
        </w:rPr>
        <w:t xml:space="preserve">Diabetologia</w:t>
      </w:r>
      <w:r>
        <w:t xml:space="preserve"> </w:t>
      </w:r>
      <w:r>
        <w:t xml:space="preserve">· Effect of 14 days’ subcutaneous administration of the human amylin analogue, pramlintide (AC137), on an intravenous insulin challenge and response to a standard liquid meal in patients with IDDM. PMID 8778001</w:t>
      </w:r>
    </w:p>
    <w:bookmarkEnd w:id="3025"/>
    <w:bookmarkStart w:id="3026" w:name="setmelanotide-15"/>
    <w:p>
      <w:pPr>
        <w:pStyle w:val="Heading2"/>
      </w:pPr>
      <w:r>
        <w:t xml:space="preserve">Setmelanotide (15)</w:t>
      </w:r>
    </w:p>
    <w:p>
      <w:pPr>
        <w:numPr>
          <w:ilvl w:val="0"/>
          <w:numId w:val="1387"/>
        </w:numPr>
        <w:pStyle w:val="Compact"/>
      </w:pPr>
      <w:r>
        <w:t xml:space="preserve">2026 · Miller JL ·</w:t>
      </w:r>
      <w:r>
        <w:t xml:space="preserve"> </w:t>
      </w:r>
      <w:r>
        <w:rPr>
          <w:iCs/>
          <w:i/>
        </w:rPr>
        <w:t xml:space="preserve">N Engl J Med</w:t>
      </w:r>
      <w:r>
        <w:t xml:space="preserve"> </w:t>
      </w:r>
      <w:r>
        <w:t xml:space="preserve">· Setmelanotide for the Treatment of Acquired Hypothalamic Obesity. PMID 42418774</w:t>
      </w:r>
    </w:p>
    <w:p>
      <w:pPr>
        <w:numPr>
          <w:ilvl w:val="0"/>
          <w:numId w:val="1387"/>
        </w:numPr>
        <w:pStyle w:val="Compact"/>
      </w:pPr>
      <w:r>
        <w:t xml:space="preserve">2026 · Argente J ·</w:t>
      </w:r>
      <w:r>
        <w:t xml:space="preserve"> </w:t>
      </w:r>
      <w:r>
        <w:rPr>
          <w:iCs/>
          <w:i/>
        </w:rPr>
        <w:t xml:space="preserve">Obesity (Silver Spring)</w:t>
      </w:r>
      <w:r>
        <w:t xml:space="preserve"> </w:t>
      </w:r>
      <w:r>
        <w:t xml:space="preserve">· Setmelanotide in Bardet-Biedl Syndrome: A 52-Week Comparison of Phase 3 Trial Participants With a Matched Registry Cohort. PMID 41703984</w:t>
      </w:r>
    </w:p>
    <w:p>
      <w:pPr>
        <w:numPr>
          <w:ilvl w:val="0"/>
          <w:numId w:val="1387"/>
        </w:numPr>
        <w:pStyle w:val="Compact"/>
      </w:pPr>
      <w:r>
        <w:t xml:space="preserve">2025 · Haqq AM ·</w:t>
      </w:r>
      <w:r>
        <w:t xml:space="preserve"> </w:t>
      </w:r>
      <w:r>
        <w:rPr>
          <w:iCs/>
          <w:i/>
        </w:rPr>
        <w:t xml:space="preserve">J Clin Endocrinol Metab</w:t>
      </w:r>
      <w:r>
        <w:t xml:space="preserve"> </w:t>
      </w:r>
      <w:r>
        <w:t xml:space="preserve">· Impact of Setmelanotide on Metabolic Syndrome Risk in Patients With Bardet-Biedl Syndrome. PMID 39919037</w:t>
      </w:r>
    </w:p>
    <w:p>
      <w:pPr>
        <w:numPr>
          <w:ilvl w:val="0"/>
          <w:numId w:val="1387"/>
        </w:numPr>
        <w:pStyle w:val="Compact"/>
      </w:pPr>
      <w:r>
        <w:t xml:space="preserve">2025 · Argente J ·</w:t>
      </w:r>
      <w:r>
        <w:t xml:space="preserve"> </w:t>
      </w:r>
      <w:r>
        <w:rPr>
          <w:iCs/>
          <w:i/>
        </w:rPr>
        <w:t xml:space="preserve">Lancet Diabetes Endocrinol</w:t>
      </w:r>
      <w:r>
        <w:t xml:space="preserve"> </w:t>
      </w:r>
      <w:r>
        <w:t xml:space="preserve">· Setmelanotide in patients aged 2-5 years with rare MC4R pathway-associated obesity (VENTURE): a 1 year, open-label, multicenter, phase 3 trial. PMID 39549719</w:t>
      </w:r>
    </w:p>
    <w:p>
      <w:pPr>
        <w:numPr>
          <w:ilvl w:val="0"/>
          <w:numId w:val="1387"/>
        </w:numPr>
        <w:pStyle w:val="Compact"/>
      </w:pPr>
      <w:r>
        <w:t xml:space="preserve">2024 · Delplanque J ·</w:t>
      </w:r>
      <w:r>
        <w:t xml:space="preserve"> </w:t>
      </w:r>
      <w:r>
        <w:rPr>
          <w:iCs/>
          <w:i/>
        </w:rPr>
        <w:t xml:space="preserve">Am J Hum Genet</w:t>
      </w:r>
      <w:r>
        <w:t xml:space="preserve"> </w:t>
      </w:r>
      <w:r>
        <w:t xml:space="preserve">· Monoallelic pathogenic variants in LEPR do not cause obesity. PMID 39561769</w:t>
      </w:r>
    </w:p>
    <w:p>
      <w:pPr>
        <w:numPr>
          <w:ilvl w:val="0"/>
          <w:numId w:val="1387"/>
        </w:numPr>
        <w:pStyle w:val="Compact"/>
      </w:pPr>
      <w:r>
        <w:t xml:space="preserve">2024 · Roth CL ·</w:t>
      </w:r>
      <w:r>
        <w:t xml:space="preserve"> </w:t>
      </w:r>
      <w:r>
        <w:rPr>
          <w:iCs/>
          <w:i/>
        </w:rPr>
        <w:t xml:space="preserve">Lancet Diabetes Endocrinol</w:t>
      </w:r>
      <w:r>
        <w:t xml:space="preserve"> </w:t>
      </w:r>
      <w:r>
        <w:t xml:space="preserve">· Setmelanotide for the treatment of acquired hypothalamic obesity: a phase 2, open-label, multicentre trial. PMID 38697184</w:t>
      </w:r>
    </w:p>
    <w:p>
      <w:pPr>
        <w:numPr>
          <w:ilvl w:val="0"/>
          <w:numId w:val="1387"/>
        </w:numPr>
        <w:pStyle w:val="Compact"/>
      </w:pPr>
      <w:r>
        <w:t xml:space="preserve">2023 · van Santen HM ·</w:t>
      </w:r>
      <w:r>
        <w:t xml:space="preserve"> </w:t>
      </w:r>
      <w:r>
        <w:rPr>
          <w:iCs/>
          <w:i/>
        </w:rPr>
        <w:t xml:space="preserve">Front Endocrinol (Lausanne)</w:t>
      </w:r>
      <w:r>
        <w:t xml:space="preserve"> </w:t>
      </w:r>
      <w:r>
        <w:t xml:space="preserve">· Could setmelanotide be the game-changer for acquired hypothalamic obesity?. PMID 38239988</w:t>
      </w:r>
    </w:p>
    <w:p>
      <w:pPr>
        <w:numPr>
          <w:ilvl w:val="0"/>
          <w:numId w:val="1387"/>
        </w:numPr>
        <w:pStyle w:val="Compact"/>
      </w:pPr>
      <w:r>
        <w:t xml:space="preserve">2023 · Forsythe E ·</w:t>
      </w:r>
      <w:r>
        <w:t xml:space="preserve"> </w:t>
      </w:r>
      <w:r>
        <w:rPr>
          <w:iCs/>
          <w:i/>
        </w:rPr>
        <w:t xml:space="preserve">Orphanet J Rare Dis</w:t>
      </w:r>
      <w:r>
        <w:t xml:space="preserve"> </w:t>
      </w:r>
      <w:r>
        <w:t xml:space="preserve">· Quality of life improvements following one year of setmelanotide in children and adult patients with Bardet-Biedl syndrome: phase 3 trial results. PMID 36647077</w:t>
      </w:r>
    </w:p>
    <w:p>
      <w:pPr>
        <w:numPr>
          <w:ilvl w:val="0"/>
          <w:numId w:val="1387"/>
        </w:numPr>
        <w:pStyle w:val="Compact"/>
      </w:pPr>
      <w:r>
        <w:t xml:space="preserve">2022 · Haqq AM ·</w:t>
      </w:r>
      <w:r>
        <w:t xml:space="preserve"> </w:t>
      </w:r>
      <w:r>
        <w:rPr>
          <w:iCs/>
          <w:i/>
        </w:rPr>
        <w:t xml:space="preserve">Lancet Diabetes Endocrinol</w:t>
      </w:r>
      <w:r>
        <w:t xml:space="preserve"> </w:t>
      </w:r>
      <w:r>
        <w:t xml:space="preserve">· Efficacy and safety of setmelanotide, a melanocortin-4 receptor agonist, in patients with Bardet-Biedl syndrome and Alström syndrome: a multicentre, randomised, double-blind, placebo-controlled, phase 3 trial with an open-label period. PMID 36356613</w:t>
      </w:r>
    </w:p>
    <w:p>
      <w:pPr>
        <w:numPr>
          <w:ilvl w:val="0"/>
          <w:numId w:val="1387"/>
        </w:numPr>
        <w:pStyle w:val="Compact"/>
      </w:pPr>
      <w:r>
        <w:t xml:space="preserve">2022 · Kühnen P ·</w:t>
      </w:r>
      <w:r>
        <w:t xml:space="preserve"> </w:t>
      </w:r>
      <w:r>
        <w:rPr>
          <w:iCs/>
          <w:i/>
        </w:rPr>
        <w:t xml:space="preserve">Orphanet J Rare Dis</w:t>
      </w:r>
      <w:r>
        <w:t xml:space="preserve"> </w:t>
      </w:r>
      <w:r>
        <w:t xml:space="preserve">· Quality of life outcomes in two phase 3 trials of setmelanotide in patients with obesity due to LEPR or POMC deficiency. PMID 35123544</w:t>
      </w:r>
    </w:p>
    <w:p>
      <w:pPr>
        <w:numPr>
          <w:ilvl w:val="0"/>
          <w:numId w:val="1387"/>
        </w:numPr>
        <w:pStyle w:val="Compact"/>
      </w:pPr>
      <w:r>
        <w:t xml:space="preserve">2021 · Kanti V ·</w:t>
      </w:r>
      <w:r>
        <w:t xml:space="preserve"> </w:t>
      </w:r>
      <w:r>
        <w:rPr>
          <w:iCs/>
          <w:i/>
        </w:rPr>
        <w:t xml:space="preserve">Skin Pharmacol Physiol</w:t>
      </w:r>
      <w:r>
        <w:t xml:space="preserve"> </w:t>
      </w:r>
      <w:r>
        <w:t xml:space="preserve">· A Melanocortin-4 Receptor Agonist Induces Skin and Hair Pigmentation in Patients with Monogenic Mutations in the Leptin-Melanocortin Pathway. PMID 34058738</w:t>
      </w:r>
    </w:p>
    <w:p>
      <w:pPr>
        <w:numPr>
          <w:ilvl w:val="0"/>
          <w:numId w:val="1387"/>
        </w:numPr>
        <w:pStyle w:val="Compact"/>
      </w:pPr>
      <w:r>
        <w:t xml:space="preserve">2020 · Clément K ·</w:t>
      </w:r>
      <w:r>
        <w:t xml:space="preserve"> </w:t>
      </w:r>
      <w:r>
        <w:rPr>
          <w:iCs/>
          <w:i/>
        </w:rPr>
        <w:t xml:space="preserve">Lancet Diabetes Endocrinol</w:t>
      </w:r>
      <w:r>
        <w:t xml:space="preserve"> </w:t>
      </w:r>
      <w:r>
        <w:t xml:space="preserve">· Efficacy and safety of setmelanotide, an MC4R agonist, in individuals with severe obesity due to LEPR or POMC deficiency: single-arm, open-label, multicentre, phase 3 trials. PMID 33137293</w:t>
      </w:r>
    </w:p>
    <w:p>
      <w:pPr>
        <w:numPr>
          <w:ilvl w:val="0"/>
          <w:numId w:val="1387"/>
        </w:numPr>
        <w:pStyle w:val="Compact"/>
      </w:pPr>
      <w:r>
        <w:t xml:space="preserve">2018 · Clément K ·</w:t>
      </w:r>
      <w:r>
        <w:t xml:space="preserve"> </w:t>
      </w:r>
      <w:r>
        <w:rPr>
          <w:iCs/>
          <w:i/>
        </w:rPr>
        <w:t xml:space="preserve">Nat Med</w:t>
      </w:r>
      <w:r>
        <w:t xml:space="preserve"> </w:t>
      </w:r>
      <w:r>
        <w:t xml:space="preserve">· MC4R agonism promotes durable weight loss in patients with leptin receptor deficiency. PMID 29736023</w:t>
      </w:r>
    </w:p>
    <w:p>
      <w:pPr>
        <w:numPr>
          <w:ilvl w:val="0"/>
          <w:numId w:val="1387"/>
        </w:numPr>
        <w:pStyle w:val="Compact"/>
      </w:pPr>
      <w:r>
        <w:t xml:space="preserve">2017 · Collet TH ·</w:t>
      </w:r>
      <w:r>
        <w:t xml:space="preserve"> </w:t>
      </w:r>
      <w:r>
        <w:rPr>
          <w:iCs/>
          <w:i/>
        </w:rPr>
        <w:t xml:space="preserve">Mol Metab</w:t>
      </w:r>
      <w:r>
        <w:t xml:space="preserve"> </w:t>
      </w:r>
      <w:r>
        <w:t xml:space="preserve">· Evaluation of a melanocortin-4 receptor (MC4R) agonist (Setmelanotide) in MC4R deficiency. PMID 29031731</w:t>
      </w:r>
    </w:p>
    <w:p>
      <w:pPr>
        <w:numPr>
          <w:ilvl w:val="0"/>
          <w:numId w:val="1387"/>
        </w:numPr>
        <w:pStyle w:val="Compact"/>
      </w:pPr>
      <w:r>
        <w:t xml:space="preserve">2016 · Kühnen P ·</w:t>
      </w:r>
      <w:r>
        <w:t xml:space="preserve"> </w:t>
      </w:r>
      <w:r>
        <w:rPr>
          <w:iCs/>
          <w:i/>
        </w:rPr>
        <w:t xml:space="preserve">N Engl J Med</w:t>
      </w:r>
      <w:r>
        <w:t xml:space="preserve"> </w:t>
      </w:r>
      <w:r>
        <w:t xml:space="preserve">· Proopiomelanocortin Deficiency Treated with a Melanocortin-4 Receptor Agonist. PMID 27468060</w:t>
      </w:r>
    </w:p>
    <w:bookmarkEnd w:id="3026"/>
    <w:bookmarkStart w:id="3027" w:name="aod-9604-0"/>
    <w:p>
      <w:pPr>
        <w:pStyle w:val="Heading2"/>
      </w:pPr>
      <w:r>
        <w:t xml:space="preserve">AOD-9604 (0)</w:t>
      </w:r>
    </w:p>
    <w:p>
      <w:pPr>
        <w:pStyle w:val="FirstParagraph"/>
      </w:pPr>
      <w:r>
        <w:t xml:space="preserve">Nessuna pubblicazione di studi clinici sull’uomo trovata.</w:t>
      </w:r>
    </w:p>
    <w:bookmarkEnd w:id="3027"/>
    <w:bookmarkStart w:id="3028" w:name="orforglipron-per-confronto-20"/>
    <w:p>
      <w:pPr>
        <w:pStyle w:val="Heading2"/>
      </w:pPr>
      <w:r>
        <w:t xml:space="preserve">Orforglipron (per confronto) (20)</w:t>
      </w:r>
    </w:p>
    <w:p>
      <w:pPr>
        <w:numPr>
          <w:ilvl w:val="0"/>
          <w:numId w:val="1388"/>
        </w:numPr>
        <w:pStyle w:val="Compact"/>
      </w:pPr>
      <w:r>
        <w:t xml:space="preserve">2026 · Klein KR ·</w:t>
      </w:r>
      <w:r>
        <w:t xml:space="preserve"> </w:t>
      </w:r>
      <w:r>
        <w:rPr>
          <w:iCs/>
          <w:i/>
        </w:rPr>
        <w:t xml:space="preserve">Lancet</w:t>
      </w:r>
      <w:r>
        <w:t xml:space="preserve"> </w:t>
      </w:r>
      <w:r>
        <w:t xml:space="preserve">· Cardiovascular safety of orforglipron versus insulin glargine in adults with type 2 diabetes at increased cardiovascular risk (ACHIEVE-4): a phase 3, event-driven, randomised, open-label, non-inferiority, active comparator trial. PMID 42815506</w:t>
      </w:r>
    </w:p>
    <w:p>
      <w:pPr>
        <w:numPr>
          <w:ilvl w:val="0"/>
          <w:numId w:val="1388"/>
        </w:numPr>
        <w:pStyle w:val="Compact"/>
      </w:pPr>
      <w:r>
        <w:t xml:space="preserve">2026 · Yabe D ·</w:t>
      </w:r>
      <w:r>
        <w:t xml:space="preserve"> </w:t>
      </w:r>
      <w:r>
        <w:rPr>
          <w:iCs/>
          <w:i/>
        </w:rPr>
        <w:t xml:space="preserve">Lancet Diabetes Endocrinol</w:t>
      </w:r>
      <w:r>
        <w:t xml:space="preserve"> </w:t>
      </w:r>
      <w:r>
        <w:t xml:space="preserve">· Long-term safety of oral orforglipron in Japanese participants with type 2 diabetes (ACHIEVE-J): a multicentre, randomised, open-label, parallel-group phase 3 trial. PMID 42607698</w:t>
      </w:r>
    </w:p>
    <w:p>
      <w:pPr>
        <w:numPr>
          <w:ilvl w:val="0"/>
          <w:numId w:val="1388"/>
        </w:numPr>
        <w:pStyle w:val="Compact"/>
      </w:pPr>
      <w:r>
        <w:t xml:space="preserve">2026 · Wharton S ·</w:t>
      </w:r>
      <w:r>
        <w:t xml:space="preserve"> </w:t>
      </w:r>
      <w:r>
        <w:rPr>
          <w:iCs/>
          <w:i/>
        </w:rPr>
        <w:t xml:space="preserve">Diabetes Obes Metab</w:t>
      </w:r>
      <w:r>
        <w:t xml:space="preserve"> </w:t>
      </w:r>
      <w:r>
        <w:t xml:space="preserve">· Hepatic Safety of Orforglipron in Adults With Obesity or Overweight and/or Type 2 Diabetes: A Pooled Analysis of the Orforglipron Phase 3 Clinical Trials. PMID 42338042</w:t>
      </w:r>
    </w:p>
    <w:p>
      <w:pPr>
        <w:numPr>
          <w:ilvl w:val="0"/>
          <w:numId w:val="1388"/>
        </w:numPr>
        <w:pStyle w:val="Compact"/>
      </w:pPr>
      <w:r>
        <w:t xml:space="preserve">2026 · Welch M ·</w:t>
      </w:r>
      <w:r>
        <w:t xml:space="preserve"> </w:t>
      </w:r>
      <w:r>
        <w:rPr>
          <w:iCs/>
          <w:i/>
        </w:rPr>
        <w:t xml:space="preserve">Lancet</w:t>
      </w:r>
      <w:r>
        <w:t xml:space="preserve"> </w:t>
      </w:r>
      <w:r>
        <w:t xml:space="preserve">· Orforglipron compared with dapagliflozin in adults with type 2 diabetes and inadequate glycaemic control with metformin (ACHIEVE-2): a multicentre, randomised, non-inferiority, open-label, phase 3 trial. PMID 42259339</w:t>
      </w:r>
    </w:p>
    <w:p>
      <w:pPr>
        <w:numPr>
          <w:ilvl w:val="0"/>
          <w:numId w:val="1388"/>
        </w:numPr>
        <w:pStyle w:val="Compact"/>
      </w:pPr>
      <w:r>
        <w:t xml:space="preserve">2026 · Giorgino F ·</w:t>
      </w:r>
      <w:r>
        <w:t xml:space="preserve"> </w:t>
      </w:r>
      <w:r>
        <w:rPr>
          <w:iCs/>
          <w:i/>
        </w:rPr>
        <w:t xml:space="preserve">JAMA</w:t>
      </w:r>
      <w:r>
        <w:t xml:space="preserve"> </w:t>
      </w:r>
      <w:r>
        <w:t xml:space="preserve">· Orforglipron Added to Titrated Insulin Glargine in Type 2 Diabetes: The ACHIEVE-5 Randomized Clinical Trial. PMID 42251769</w:t>
      </w:r>
    </w:p>
    <w:p>
      <w:pPr>
        <w:numPr>
          <w:ilvl w:val="0"/>
          <w:numId w:val="1388"/>
        </w:numPr>
        <w:pStyle w:val="Compact"/>
      </w:pPr>
      <w:r>
        <w:t xml:space="preserve">2026 · Aronne LJ ·</w:t>
      </w:r>
      <w:r>
        <w:t xml:space="preserve"> </w:t>
      </w:r>
      <w:r>
        <w:rPr>
          <w:iCs/>
          <w:i/>
        </w:rPr>
        <w:t xml:space="preserve">Nat Med</w:t>
      </w:r>
      <w:r>
        <w:t xml:space="preserve"> </w:t>
      </w:r>
      <w:r>
        <w:t xml:space="preserve">· Orforglipron for maintenance of body weight reduction: the double-blind, randomized phase 3b ATTAIN-MAINTAIN trial. PMID 42120723</w:t>
      </w:r>
    </w:p>
    <w:p>
      <w:pPr>
        <w:numPr>
          <w:ilvl w:val="0"/>
          <w:numId w:val="1388"/>
        </w:numPr>
        <w:pStyle w:val="Compact"/>
      </w:pPr>
      <w:r>
        <w:t xml:space="preserve">2026 · Ma X ·</w:t>
      </w:r>
      <w:r>
        <w:t xml:space="preserve"> </w:t>
      </w:r>
      <w:r>
        <w:rPr>
          <w:iCs/>
          <w:i/>
        </w:rPr>
        <w:t xml:space="preserve">Diabetes Obes Metab</w:t>
      </w:r>
      <w:r>
        <w:t xml:space="preserve"> </w:t>
      </w:r>
      <w:r>
        <w:t xml:space="preserve">· Pharmacokinetic Bioequivalence of Orforglipron Tablets and Capsules in Healthy Participants With Obesity or Overweight. PMID 41994902</w:t>
      </w:r>
    </w:p>
    <w:p>
      <w:pPr>
        <w:numPr>
          <w:ilvl w:val="0"/>
          <w:numId w:val="1388"/>
        </w:numPr>
        <w:pStyle w:val="Compact"/>
      </w:pPr>
      <w:r>
        <w:t xml:space="preserve">2026 · Rosenstock J ·</w:t>
      </w:r>
      <w:r>
        <w:t xml:space="preserve"> </w:t>
      </w:r>
      <w:r>
        <w:rPr>
          <w:iCs/>
          <w:i/>
        </w:rPr>
        <w:t xml:space="preserve">Lancet</w:t>
      </w:r>
      <w:r>
        <w:t xml:space="preserve"> </w:t>
      </w:r>
      <w:r>
        <w:t xml:space="preserve">· Efficacy and safety of once-daily oral orforglipron compared with oral semaglutide in adults with type 2 diabetes (ACHIEVE-3): a multinational, multicentre, non-inferiority, open-label, randomised, phase 3 trial. PMID 41765029</w:t>
      </w:r>
    </w:p>
    <w:p>
      <w:pPr>
        <w:numPr>
          <w:ilvl w:val="0"/>
          <w:numId w:val="1388"/>
        </w:numPr>
        <w:pStyle w:val="Compact"/>
      </w:pPr>
      <w:r>
        <w:t xml:space="preserve">2026 · Ohwaki K ·</w:t>
      </w:r>
      <w:r>
        <w:t xml:space="preserve"> </w:t>
      </w:r>
      <w:r>
        <w:rPr>
          <w:iCs/>
          <w:i/>
        </w:rPr>
        <w:t xml:space="preserve">J Diabetes Investig</w:t>
      </w:r>
      <w:r>
        <w:t xml:space="preserve"> </w:t>
      </w:r>
      <w:r>
        <w:t xml:space="preserve">· A phase 1 single and multiple ascending dose study of orforglipron in Japanese participants with type 2 diabetes. PMID 41325139</w:t>
      </w:r>
    </w:p>
    <w:p>
      <w:pPr>
        <w:numPr>
          <w:ilvl w:val="0"/>
          <w:numId w:val="1388"/>
        </w:numPr>
        <w:pStyle w:val="Compact"/>
      </w:pPr>
      <w:r>
        <w:t xml:space="preserve">2026 · Horn DB ·</w:t>
      </w:r>
      <w:r>
        <w:t xml:space="preserve"> </w:t>
      </w:r>
      <w:r>
        <w:rPr>
          <w:iCs/>
          <w:i/>
        </w:rPr>
        <w:t xml:space="preserve">Lancet</w:t>
      </w:r>
      <w:r>
        <w:t xml:space="preserve"> </w:t>
      </w:r>
      <w:r>
        <w:t xml:space="preserve">· Orforglipron, an oral small-molecule GLP-1 receptor agonist, for the treatment of obesity in people with type 2 diabetes (ATTAIN-2): a phase 3, double-blind, randomised, multicentre, placebo-controlled trial. PMID 41275875</w:t>
      </w:r>
    </w:p>
    <w:p>
      <w:pPr>
        <w:numPr>
          <w:ilvl w:val="0"/>
          <w:numId w:val="1388"/>
        </w:numPr>
        <w:pStyle w:val="Compact"/>
      </w:pPr>
      <w:r>
        <w:t xml:space="preserve">2026 · Morse BL ·</w:t>
      </w:r>
      <w:r>
        <w:t xml:space="preserve"> </w:t>
      </w:r>
      <w:r>
        <w:rPr>
          <w:iCs/>
          <w:i/>
        </w:rPr>
        <w:t xml:space="preserve">Clin Pharmacol Drug Dev</w:t>
      </w:r>
      <w:r>
        <w:t xml:space="preserve"> </w:t>
      </w:r>
      <w:r>
        <w:t xml:space="preserve">· Disposition and Absolute Bioavailability of Orally Administered Orforglipron in Healthy Participants. PMID 40888509</w:t>
      </w:r>
    </w:p>
    <w:p>
      <w:pPr>
        <w:numPr>
          <w:ilvl w:val="0"/>
          <w:numId w:val="1388"/>
        </w:numPr>
        <w:pStyle w:val="Compact"/>
      </w:pPr>
      <w:r>
        <w:t xml:space="preserve">2025 · Wharton S ·</w:t>
      </w:r>
      <w:r>
        <w:t xml:space="preserve"> </w:t>
      </w:r>
      <w:r>
        <w:rPr>
          <w:iCs/>
          <w:i/>
        </w:rPr>
        <w:t xml:space="preserve">N Engl J Med</w:t>
      </w:r>
      <w:r>
        <w:t xml:space="preserve"> </w:t>
      </w:r>
      <w:r>
        <w:t xml:space="preserve">· Orforglipron, an Oral Small-Molecule GLP-1 Receptor Agonist for Obesity Treatment. PMID 40960239</w:t>
      </w:r>
    </w:p>
    <w:p>
      <w:pPr>
        <w:numPr>
          <w:ilvl w:val="0"/>
          <w:numId w:val="1388"/>
        </w:numPr>
        <w:pStyle w:val="Compact"/>
      </w:pPr>
      <w:r>
        <w:t xml:space="preserve">2025 · Rosenstock J ·</w:t>
      </w:r>
      <w:r>
        <w:t xml:space="preserve"> </w:t>
      </w:r>
      <w:r>
        <w:rPr>
          <w:iCs/>
          <w:i/>
        </w:rPr>
        <w:t xml:space="preserve">Diabetes Obes Metab</w:t>
      </w:r>
      <w:r>
        <w:t xml:space="preserve"> </w:t>
      </w:r>
      <w:r>
        <w:t xml:space="preserve">· Orforglipron, an oral non-peptide glucagon-like peptide-1 receptor agonist, improves markers of β-cell function and insulin sensitivity in type 2 diabetes. PMID 40808573</w:t>
      </w:r>
    </w:p>
    <w:p>
      <w:pPr>
        <w:numPr>
          <w:ilvl w:val="0"/>
          <w:numId w:val="1388"/>
        </w:numPr>
        <w:pStyle w:val="Compact"/>
      </w:pPr>
      <w:r>
        <w:t xml:space="preserve">2025 · Rosenstock J ·</w:t>
      </w:r>
      <w:r>
        <w:t xml:space="preserve"> </w:t>
      </w:r>
      <w:r>
        <w:rPr>
          <w:iCs/>
          <w:i/>
        </w:rPr>
        <w:t xml:space="preserve">N Engl J Med</w:t>
      </w:r>
      <w:r>
        <w:t xml:space="preserve"> </w:t>
      </w:r>
      <w:r>
        <w:t xml:space="preserve">· Orforglipron, an Oral Small-Molecule GLP-1 Receptor Agonist, in Early Type 2 Diabetes. PMID 40544435</w:t>
      </w:r>
    </w:p>
    <w:p>
      <w:pPr>
        <w:numPr>
          <w:ilvl w:val="0"/>
          <w:numId w:val="1388"/>
        </w:numPr>
        <w:pStyle w:val="Compact"/>
      </w:pPr>
      <w:r>
        <w:t xml:space="preserve">2025 · Wharton S ·</w:t>
      </w:r>
      <w:r>
        <w:t xml:space="preserve"> </w:t>
      </w:r>
      <w:r>
        <w:rPr>
          <w:iCs/>
          <w:i/>
        </w:rPr>
        <w:t xml:space="preserve">Cardiovasc Diabetol</w:t>
      </w:r>
      <w:r>
        <w:t xml:space="preserve"> </w:t>
      </w:r>
      <w:r>
        <w:t xml:space="preserve">· Treatment with orforglipron, an oral glucagon like peptide-1 receptor agonist, is associated with improvements of CV risk biomarkers in participants with type 2 diabetes or obesity without diabetes. PMID 40481478</w:t>
      </w:r>
    </w:p>
    <w:p>
      <w:pPr>
        <w:numPr>
          <w:ilvl w:val="0"/>
          <w:numId w:val="1388"/>
        </w:numPr>
        <w:pStyle w:val="Compact"/>
      </w:pPr>
      <w:r>
        <w:t xml:space="preserve">2024 · Pratt E ·</w:t>
      </w:r>
      <w:r>
        <w:t xml:space="preserve"> </w:t>
      </w:r>
      <w:r>
        <w:rPr>
          <w:iCs/>
          <w:i/>
        </w:rPr>
        <w:t xml:space="preserve">Diabetes Obes Metab</w:t>
      </w:r>
      <w:r>
        <w:t xml:space="preserve"> </w:t>
      </w:r>
      <w:r>
        <w:t xml:space="preserve">· Orforglipron (LY3502970), a novel, oral non-peptide glucagon-like peptide-1 receptor agonist: A Phase 1b, multicentre, blinded, placebo-controlled, randomized, multiple-ascending-dose study in people with type 2 diabetes. PMID 37997518</w:t>
      </w:r>
    </w:p>
    <w:p>
      <w:pPr>
        <w:numPr>
          <w:ilvl w:val="0"/>
          <w:numId w:val="1388"/>
        </w:numPr>
        <w:pStyle w:val="Compact"/>
      </w:pPr>
      <w:r>
        <w:t xml:space="preserve">2023 · Frias JP ·</w:t>
      </w:r>
      <w:r>
        <w:t xml:space="preserve"> </w:t>
      </w:r>
      <w:r>
        <w:rPr>
          <w:iCs/>
          <w:i/>
        </w:rPr>
        <w:t xml:space="preserve">Lancet</w:t>
      </w:r>
      <w:r>
        <w:t xml:space="preserve"> </w:t>
      </w:r>
      <w:r>
        <w:t xml:space="preserve">· Efficacy and safety of oral orforglipron in patients with type 2 diabetes: a multicentre, randomised, dose-response, phase 2 study. PMID 37369232</w:t>
      </w:r>
    </w:p>
    <w:p>
      <w:pPr>
        <w:numPr>
          <w:ilvl w:val="0"/>
          <w:numId w:val="1388"/>
        </w:numPr>
        <w:pStyle w:val="Compact"/>
      </w:pPr>
      <w:r>
        <w:t xml:space="preserve">2023 · Wharton S ·</w:t>
      </w:r>
      <w:r>
        <w:t xml:space="preserve"> </w:t>
      </w:r>
      <w:r>
        <w:rPr>
          <w:iCs/>
          <w:i/>
        </w:rPr>
        <w:t xml:space="preserve">N Engl J Med</w:t>
      </w:r>
      <w:r>
        <w:t xml:space="preserve"> </w:t>
      </w:r>
      <w:r>
        <w:t xml:space="preserve">· Daily Oral GLP-1 Receptor Agonist Orforglipron for Adults with Obesity. PMID 37351564</w:t>
      </w:r>
    </w:p>
    <w:p>
      <w:pPr>
        <w:numPr>
          <w:ilvl w:val="0"/>
          <w:numId w:val="1388"/>
        </w:numPr>
        <w:pStyle w:val="Compact"/>
      </w:pPr>
      <w:r>
        <w:t xml:space="preserve">2023 · Pratt E ·</w:t>
      </w:r>
      <w:r>
        <w:t xml:space="preserve"> </w:t>
      </w:r>
      <w:r>
        <w:rPr>
          <w:iCs/>
          <w:i/>
        </w:rPr>
        <w:t xml:space="preserve">Diabetes Obes Metab</w:t>
      </w:r>
      <w:r>
        <w:t xml:space="preserve"> </w:t>
      </w:r>
      <w:r>
        <w:t xml:space="preserve">· Orforglipron (LY3502970), a novel, oral non-peptide glucagon-like peptide-1 receptor agonist: A Phase 1a, blinded, placebo-controlled, randomized, single- and multiple-ascending-dose study in healthy participants. PMID 37344954</w:t>
      </w:r>
    </w:p>
    <w:p>
      <w:pPr>
        <w:numPr>
          <w:ilvl w:val="0"/>
          <w:numId w:val="1388"/>
        </w:numPr>
        <w:pStyle w:val="Compact"/>
      </w:pPr>
      <w:r>
        <w:t xml:space="preserve">2023 · Pratt E ·</w:t>
      </w:r>
      <w:r>
        <w:t xml:space="preserve"> </w:t>
      </w:r>
      <w:r>
        <w:rPr>
          <w:iCs/>
          <w:i/>
        </w:rPr>
        <w:t xml:space="preserve">Diabetes Obes Metab</w:t>
      </w:r>
      <w:r>
        <w:t xml:space="preserve"> </w:t>
      </w:r>
      <w:r>
        <w:t xml:space="preserve">· Orforglipron (LY3502970), a novel, oral non-peptide glucagon-like peptide-1 receptor agonist: A Phase 1b, multicentre, blinded, placebo-controlled, randomized, multiple-ascending-dose study in people with type 2 diabetes. PMID 37264711</w:t>
      </w:r>
    </w:p>
    <w:bookmarkEnd w:id="3028"/>
    <w:bookmarkStart w:id="3029" w:name="bpc-157-0"/>
    <w:p>
      <w:pPr>
        <w:pStyle w:val="Heading2"/>
      </w:pPr>
      <w:r>
        <w:t xml:space="preserve">BPC-157 (0)</w:t>
      </w:r>
    </w:p>
    <w:p>
      <w:pPr>
        <w:pStyle w:val="FirstParagraph"/>
      </w:pPr>
      <w:r>
        <w:t xml:space="preserve">Nessuna pubblicazione di studi clinici sull’uomo trovata.</w:t>
      </w:r>
    </w:p>
    <w:bookmarkEnd w:id="3029"/>
    <w:bookmarkStart w:id="3030" w:name="tb-500-e-timosina-beta-4-9"/>
    <w:p>
      <w:pPr>
        <w:pStyle w:val="Heading2"/>
      </w:pPr>
      <w:r>
        <w:t xml:space="preserve">TB-500 e timosina beta 4 (9)</w:t>
      </w:r>
    </w:p>
    <w:p>
      <w:pPr>
        <w:numPr>
          <w:ilvl w:val="0"/>
          <w:numId w:val="1389"/>
        </w:numPr>
        <w:pStyle w:val="Compact"/>
      </w:pPr>
      <w:r>
        <w:t xml:space="preserve">2021 · Wang X ·</w:t>
      </w:r>
      <w:r>
        <w:t xml:space="preserve"> </w:t>
      </w:r>
      <w:r>
        <w:rPr>
          <w:iCs/>
          <w:i/>
        </w:rPr>
        <w:t xml:space="preserve">J Cell Mol Med</w:t>
      </w:r>
      <w:r>
        <w:t xml:space="preserve"> </w:t>
      </w:r>
      <w:r>
        <w:t xml:space="preserve">· A first-in-human, randomized, double-blind, single- and multiple-dose, phase I study of recombinant human thymosin β4 in healthy Chinese volunteers. PMID 34346165</w:t>
      </w:r>
    </w:p>
    <w:p>
      <w:pPr>
        <w:numPr>
          <w:ilvl w:val="0"/>
          <w:numId w:val="1389"/>
        </w:numPr>
        <w:pStyle w:val="Compact"/>
      </w:pPr>
      <w:r>
        <w:t xml:space="preserve">2020 · Pathak AK ·</w:t>
      </w:r>
      <w:r>
        <w:t xml:space="preserve"> </w:t>
      </w:r>
      <w:r>
        <w:rPr>
          <w:iCs/>
          <w:i/>
        </w:rPr>
        <w:t xml:space="preserve">Sci Rep</w:t>
      </w:r>
      <w:r>
        <w:t xml:space="preserve"> </w:t>
      </w:r>
      <w:r>
        <w:t xml:space="preserve">· Logistic regression analysis of environmental and other variables and incidences of tuberculosis in respiratory patients. PMID 33318598</w:t>
      </w:r>
    </w:p>
    <w:p>
      <w:pPr>
        <w:numPr>
          <w:ilvl w:val="0"/>
          <w:numId w:val="1389"/>
        </w:numPr>
        <w:pStyle w:val="Compact"/>
      </w:pPr>
      <w:r>
        <w:t xml:space="preserve">2016 · Zhu J ·</w:t>
      </w:r>
      <w:r>
        <w:t xml:space="preserve"> </w:t>
      </w:r>
      <w:r>
        <w:rPr>
          <w:iCs/>
          <w:i/>
        </w:rPr>
        <w:t xml:space="preserve">Cytotherapy</w:t>
      </w:r>
      <w:r>
        <w:t xml:space="preserve"> </w:t>
      </w:r>
      <w:r>
        <w:t xml:space="preserve">· Safety and efficacy of autologous thymosin β4 pre-treated endothelial progenitor cell transplantation in patients with acute ST segment elevation myocardial infarction: A pilot study. PMID 27288307</w:t>
      </w:r>
    </w:p>
    <w:p>
      <w:pPr>
        <w:numPr>
          <w:ilvl w:val="0"/>
          <w:numId w:val="1389"/>
        </w:numPr>
        <w:pStyle w:val="Compact"/>
      </w:pPr>
      <w:r>
        <w:t xml:space="preserve">2015 · Choudry FA ·</w:t>
      </w:r>
      <w:r>
        <w:t xml:space="preserve"> </w:t>
      </w:r>
      <w:r>
        <w:rPr>
          <w:iCs/>
          <w:i/>
        </w:rPr>
        <w:t xml:space="preserve">Regen Med</w:t>
      </w:r>
      <w:r>
        <w:t xml:space="preserve"> </w:t>
      </w:r>
      <w:r>
        <w:t xml:space="preserve">· Increases in plasma Tβ4 after intracardiac cell therapy in chronic ischemic heart failure is associated with symptomatic improvement. PMID 26022762</w:t>
      </w:r>
    </w:p>
    <w:p>
      <w:pPr>
        <w:numPr>
          <w:ilvl w:val="0"/>
          <w:numId w:val="1389"/>
        </w:numPr>
        <w:pStyle w:val="Compact"/>
      </w:pPr>
      <w:r>
        <w:t xml:space="preserve">2015 · Sosne G ·</w:t>
      </w:r>
      <w:r>
        <w:t xml:space="preserve"> </w:t>
      </w:r>
      <w:r>
        <w:rPr>
          <w:iCs/>
          <w:i/>
        </w:rPr>
        <w:t xml:space="preserve">Cornea</w:t>
      </w:r>
      <w:r>
        <w:t xml:space="preserve"> </w:t>
      </w:r>
      <w:r>
        <w:t xml:space="preserve">· Thymosin β4 significantly improves signs and symptoms of severe dry eye in a phase 2 randomized trial. PMID 25826322</w:t>
      </w:r>
    </w:p>
    <w:p>
      <w:pPr>
        <w:numPr>
          <w:ilvl w:val="0"/>
          <w:numId w:val="1389"/>
        </w:numPr>
        <w:pStyle w:val="Compact"/>
      </w:pPr>
      <w:r>
        <w:t xml:space="preserve">2014 · Suzuki Y ·</w:t>
      </w:r>
      <w:r>
        <w:t xml:space="preserve"> </w:t>
      </w:r>
      <w:r>
        <w:rPr>
          <w:iCs/>
          <w:i/>
        </w:rPr>
        <w:t xml:space="preserve">Biol Pharm Bull</w:t>
      </w:r>
      <w:r>
        <w:t xml:space="preserve"> </w:t>
      </w:r>
      <w:r>
        <w:t xml:space="preserve">· Significant decrease in plasma N-acetyl-seryl-aspartyl-lysyl-proline level in patients with end stage renal disease after kidney transplantation. PMID 24882420</w:t>
      </w:r>
    </w:p>
    <w:p>
      <w:pPr>
        <w:numPr>
          <w:ilvl w:val="0"/>
          <w:numId w:val="1389"/>
        </w:numPr>
        <w:pStyle w:val="Compact"/>
      </w:pPr>
      <w:r>
        <w:t xml:space="preserve">2010 · Ruff D ·</w:t>
      </w:r>
      <w:r>
        <w:t xml:space="preserve"> </w:t>
      </w:r>
      <w:r>
        <w:rPr>
          <w:iCs/>
          <w:i/>
        </w:rPr>
        <w:t xml:space="preserve">Ann N Y Acad Sci</w:t>
      </w:r>
      <w:r>
        <w:t xml:space="preserve"> </w:t>
      </w:r>
      <w:r>
        <w:t xml:space="preserve">· A randomized, placebo-controlled, single and multiple dose study of intravenous thymosin beta4 in healthy volunteers. PMID 20536472</w:t>
      </w:r>
    </w:p>
    <w:p>
      <w:pPr>
        <w:numPr>
          <w:ilvl w:val="0"/>
          <w:numId w:val="1389"/>
        </w:numPr>
        <w:pStyle w:val="Compact"/>
      </w:pPr>
      <w:r>
        <w:t xml:space="preserve">2010 · Guarnera G ·</w:t>
      </w:r>
      <w:r>
        <w:t xml:space="preserve"> </w:t>
      </w:r>
      <w:r>
        <w:rPr>
          <w:iCs/>
          <w:i/>
        </w:rPr>
        <w:t xml:space="preserve">Ann N Y Acad Sci</w:t>
      </w:r>
      <w:r>
        <w:t xml:space="preserve"> </w:t>
      </w:r>
      <w:r>
        <w:t xml:space="preserve">· The effect of thymosin treatment of venous ulcers. PMID 20536470</w:t>
      </w:r>
    </w:p>
    <w:p>
      <w:pPr>
        <w:numPr>
          <w:ilvl w:val="0"/>
          <w:numId w:val="1389"/>
        </w:numPr>
        <w:pStyle w:val="Compact"/>
      </w:pPr>
      <w:r>
        <w:t xml:space="preserve">2007 · Guarnera G ·</w:t>
      </w:r>
      <w:r>
        <w:t xml:space="preserve"> </w:t>
      </w:r>
      <w:r>
        <w:rPr>
          <w:iCs/>
          <w:i/>
        </w:rPr>
        <w:t xml:space="preserve">Ann N Y Acad Sci</w:t>
      </w:r>
      <w:r>
        <w:t xml:space="preserve"> </w:t>
      </w:r>
      <w:r>
        <w:t xml:space="preserve">· Thymosin beta-4 and venous ulcers: clinical remarks on a European prospective, randomized study on safety, tolerability, and enhancement on healing. PMID 17495250</w:t>
      </w:r>
    </w:p>
    <w:bookmarkEnd w:id="3030"/>
    <w:bookmarkStart w:id="3031" w:name="timosina-alfa-1-timalfasina-90"/>
    <w:p>
      <w:pPr>
        <w:pStyle w:val="Heading2"/>
      </w:pPr>
      <w:r>
        <w:t xml:space="preserve">Timosina alfa 1 (timalfasina) (90)</w:t>
      </w:r>
    </w:p>
    <w:p>
      <w:pPr>
        <w:numPr>
          <w:ilvl w:val="0"/>
          <w:numId w:val="1390"/>
        </w:numPr>
        <w:pStyle w:val="Compact"/>
      </w:pPr>
      <w:r>
        <w:t xml:space="preserve">2026 · Zhou Y ·</w:t>
      </w:r>
      <w:r>
        <w:t xml:space="preserve"> </w:t>
      </w:r>
      <w:r>
        <w:rPr>
          <w:iCs/>
          <w:i/>
        </w:rPr>
        <w:t xml:space="preserve">Radiat Oncol</w:t>
      </w:r>
      <w:r>
        <w:t xml:space="preserve"> </w:t>
      </w:r>
      <w:r>
        <w:t xml:space="preserve">· Preliminary results from a phase II trial of spatially fractionated radiotherapy combined with immunotherapy and anti-angiogenic therapy in patients with bulky solid tumors: early evidence of promising efficacy and favorable safety. PMID 42063096</w:t>
      </w:r>
    </w:p>
    <w:p>
      <w:pPr>
        <w:numPr>
          <w:ilvl w:val="0"/>
          <w:numId w:val="1390"/>
        </w:numPr>
        <w:pStyle w:val="Compact"/>
      </w:pPr>
      <w:r>
        <w:t xml:space="preserve">2026 · Li ZH ·</w:t>
      </w:r>
      <w:r>
        <w:t xml:space="preserve"> </w:t>
      </w:r>
      <w:r>
        <w:rPr>
          <w:iCs/>
          <w:i/>
        </w:rPr>
        <w:t xml:space="preserve">Immunopharmacol Immunotoxicol</w:t>
      </w:r>
      <w:r>
        <w:t xml:space="preserve"> </w:t>
      </w:r>
      <w:r>
        <w:t xml:space="preserve">· Thymosin α1 improves the outcomes of patients with hepatitis B virus-related acute-on-chronic liver failure by restoring immune balance. PMID 41887933</w:t>
      </w:r>
    </w:p>
    <w:p>
      <w:pPr>
        <w:numPr>
          <w:ilvl w:val="0"/>
          <w:numId w:val="1390"/>
        </w:numPr>
        <w:pStyle w:val="Compact"/>
      </w:pPr>
      <w:r>
        <w:t xml:space="preserve">2026 · Xu H ·</w:t>
      </w:r>
      <w:r>
        <w:t xml:space="preserve"> </w:t>
      </w:r>
      <w:r>
        <w:rPr>
          <w:iCs/>
          <w:i/>
        </w:rPr>
        <w:t xml:space="preserve">BMC Med</w:t>
      </w:r>
      <w:r>
        <w:t xml:space="preserve"> </w:t>
      </w:r>
      <w:r>
        <w:t xml:space="preserve">· Neoadjuvant immunochemotherapy plus thymalfasin in locally advanced gastric cancer: a prospective clinical trial. PMID 41749205</w:t>
      </w:r>
    </w:p>
    <w:p>
      <w:pPr>
        <w:numPr>
          <w:ilvl w:val="0"/>
          <w:numId w:val="1390"/>
        </w:numPr>
        <w:pStyle w:val="Compact"/>
      </w:pPr>
      <w:r>
        <w:t xml:space="preserve">2025 · Yu J ·</w:t>
      </w:r>
      <w:r>
        <w:t xml:space="preserve"> </w:t>
      </w:r>
      <w:r>
        <w:rPr>
          <w:iCs/>
          <w:i/>
        </w:rPr>
        <w:t xml:space="preserve">Cancer Immunol Immunother</w:t>
      </w:r>
      <w:r>
        <w:t xml:space="preserve"> </w:t>
      </w:r>
      <w:r>
        <w:t xml:space="preserve">· Hypofractionated radiotherapy combined with a PD-1 inhibitor, granulocyte macrophage-colony stimulating factor, and thymosin-α1 in advanced metastatic solid tumors: a multicenter Phase II clinical trial. PMID 39904914</w:t>
      </w:r>
    </w:p>
    <w:p>
      <w:pPr>
        <w:numPr>
          <w:ilvl w:val="0"/>
          <w:numId w:val="1390"/>
        </w:numPr>
        <w:pStyle w:val="Compact"/>
      </w:pPr>
      <w:r>
        <w:t xml:space="preserve">2025 · Wu J ·</w:t>
      </w:r>
      <w:r>
        <w:t xml:space="preserve"> </w:t>
      </w:r>
      <w:r>
        <w:rPr>
          <w:iCs/>
          <w:i/>
        </w:rPr>
        <w:t xml:space="preserve">BMJ</w:t>
      </w:r>
      <w:r>
        <w:t xml:space="preserve"> </w:t>
      </w:r>
      <w:r>
        <w:t xml:space="preserve">· The efficacy and safety of thymosin α1 for sepsis (TESTS): multicentre, double blinded, randomised, placebo controlled, phase 3 trial. PMID 39814420</w:t>
      </w:r>
    </w:p>
    <w:p>
      <w:pPr>
        <w:numPr>
          <w:ilvl w:val="0"/>
          <w:numId w:val="1390"/>
        </w:numPr>
        <w:pStyle w:val="Compact"/>
      </w:pPr>
      <w:r>
        <w:t xml:space="preserve">2024 · Huang X ·</w:t>
      </w:r>
      <w:r>
        <w:t xml:space="preserve"> </w:t>
      </w:r>
      <w:r>
        <w:rPr>
          <w:iCs/>
          <w:i/>
        </w:rPr>
        <w:t xml:space="preserve">Gut Liver</w:t>
      </w:r>
      <w:r>
        <w:t xml:space="preserve"> </w:t>
      </w:r>
      <w:r>
        <w:t xml:space="preserve">· Immune-Enhancing Treatment among Acute Necrotizing Pancreatitis Patients with Metabolic Abnormalities: A Post Hoc Analysis of a Randomized Clinical Trial. PMID 38356344</w:t>
      </w:r>
    </w:p>
    <w:p>
      <w:pPr>
        <w:numPr>
          <w:ilvl w:val="0"/>
          <w:numId w:val="1390"/>
        </w:numPr>
        <w:pStyle w:val="Compact"/>
      </w:pPr>
      <w:r>
        <w:t xml:space="preserve">2024 · Niu W ·</w:t>
      </w:r>
      <w:r>
        <w:t xml:space="preserve"> </w:t>
      </w:r>
      <w:r>
        <w:rPr>
          <w:iCs/>
          <w:i/>
        </w:rPr>
        <w:t xml:space="preserve">Biotechnol Genet Eng Rev</w:t>
      </w:r>
      <w:r>
        <w:t xml:space="preserve"> </w:t>
      </w:r>
      <w:r>
        <w:t xml:space="preserve">· A Prospective and Randomized Control Study on Effects of Thymalfasin for Injection on Perioperative Immune Function and Long-term Prognosis of Patients with Colorectal Cancer. PMID 37248723</w:t>
      </w:r>
    </w:p>
    <w:p>
      <w:pPr>
        <w:numPr>
          <w:ilvl w:val="0"/>
          <w:numId w:val="1390"/>
        </w:numPr>
        <w:pStyle w:val="Compact"/>
      </w:pPr>
      <w:r>
        <w:t xml:space="preserve">2023 · Tuthill CW ·</w:t>
      </w:r>
      <w:r>
        <w:t xml:space="preserve"> </w:t>
      </w:r>
      <w:r>
        <w:rPr>
          <w:iCs/>
          <w:i/>
        </w:rPr>
        <w:t xml:space="preserve">Int Immunopharmacol</w:t>
      </w:r>
      <w:r>
        <w:t xml:space="preserve"> </w:t>
      </w:r>
      <w:r>
        <w:t xml:space="preserve">· A pilot trial of Thymalfasin (Ta1) to prevent covid-19 infection and morbidities in renal dialysis patients: Preliminary report. PMID 36881981</w:t>
      </w:r>
    </w:p>
    <w:p>
      <w:pPr>
        <w:numPr>
          <w:ilvl w:val="0"/>
          <w:numId w:val="1390"/>
        </w:numPr>
        <w:pStyle w:val="Compact"/>
      </w:pPr>
      <w:r>
        <w:t xml:space="preserve">2022 · Bai L ·</w:t>
      </w:r>
      <w:r>
        <w:t xml:space="preserve"> </w:t>
      </w:r>
      <w:r>
        <w:rPr>
          <w:iCs/>
          <w:i/>
        </w:rPr>
        <w:t xml:space="preserve">Altern Ther Health Med</w:t>
      </w:r>
      <w:r>
        <w:t xml:space="preserve"> </w:t>
      </w:r>
      <w:r>
        <w:t xml:space="preserve">· Value of Thymosin α1 Combined With Blood Purification to Increase Successful Rescues of Shock Patients. PMID 35951068</w:t>
      </w:r>
    </w:p>
    <w:p>
      <w:pPr>
        <w:numPr>
          <w:ilvl w:val="0"/>
          <w:numId w:val="1390"/>
        </w:numPr>
        <w:pStyle w:val="Compact"/>
      </w:pPr>
      <w:r>
        <w:t xml:space="preserve">2022 · Liu F ·</w:t>
      </w:r>
      <w:r>
        <w:t xml:space="preserve"> </w:t>
      </w:r>
      <w:r>
        <w:rPr>
          <w:iCs/>
          <w:i/>
        </w:rPr>
        <w:t xml:space="preserve">Int J Radiat Oncol Biol Phys</w:t>
      </w:r>
      <w:r>
        <w:t xml:space="preserve"> </w:t>
      </w:r>
      <w:r>
        <w:t xml:space="preserve">· Efficacy of Thymosin α1 in Management of Radiation Pneumonitis in Patients With Locally Advanced Non-Small Cell Lung Cancer Treated With Concurrent Chemoradiotherapy: A Phase 2 Clinical Trial (GASTO-1043). PMID 35870709</w:t>
      </w:r>
    </w:p>
    <w:p>
      <w:pPr>
        <w:numPr>
          <w:ilvl w:val="0"/>
          <w:numId w:val="1390"/>
        </w:numPr>
        <w:pStyle w:val="Compact"/>
      </w:pPr>
      <w:r>
        <w:t xml:space="preserve">2022 · Ke L ·</w:t>
      </w:r>
      <w:r>
        <w:t xml:space="preserve"> </w:t>
      </w:r>
      <w:r>
        <w:rPr>
          <w:iCs/>
          <w:i/>
        </w:rPr>
        <w:t xml:space="preserve">Intensive Care Med</w:t>
      </w:r>
      <w:r>
        <w:t xml:space="preserve"> </w:t>
      </w:r>
      <w:r>
        <w:t xml:space="preserve">· Immune enhancement in patients with predicted severe acute necrotising pancreatitis: a multicentre double-blind randomised controlled trial. PMID 35713670</w:t>
      </w:r>
    </w:p>
    <w:p>
      <w:pPr>
        <w:numPr>
          <w:ilvl w:val="0"/>
          <w:numId w:val="1390"/>
        </w:numPr>
        <w:pStyle w:val="Compact"/>
      </w:pPr>
      <w:r>
        <w:t xml:space="preserve">2022 · Chen JF ·</w:t>
      </w:r>
      <w:r>
        <w:t xml:space="preserve"> </w:t>
      </w:r>
      <w:r>
        <w:rPr>
          <w:iCs/>
          <w:i/>
        </w:rPr>
        <w:t xml:space="preserve">Hepatol Int</w:t>
      </w:r>
      <w:r>
        <w:t xml:space="preserve"> </w:t>
      </w:r>
      <w:r>
        <w:t xml:space="preserve">· Safety and efficacy of Thymosin α1 in the treatment of hepatitis B virus-related acute-on-chronic liver failure: a randomized controlled trial. PMID 35616850</w:t>
      </w:r>
    </w:p>
    <w:p>
      <w:pPr>
        <w:numPr>
          <w:ilvl w:val="0"/>
          <w:numId w:val="1390"/>
        </w:numPr>
        <w:pStyle w:val="Compact"/>
      </w:pPr>
      <w:r>
        <w:t xml:space="preserve">2022 · Chu C ·</w:t>
      </w:r>
      <w:r>
        <w:t xml:space="preserve"> </w:t>
      </w:r>
      <w:r>
        <w:rPr>
          <w:iCs/>
          <w:i/>
        </w:rPr>
        <w:t xml:space="preserve">Int J Radiat Oncol Biol Phys</w:t>
      </w:r>
      <w:r>
        <w:t xml:space="preserve"> </w:t>
      </w:r>
      <w:r>
        <w:t xml:space="preserve">· Hypofractionated Radiation Therapy Combined With Weekly Chemotherapy in Patients With Unresectable or Recurrent Thymic Epithelial Tumor: A Prospective, Single-Arm Phase 2 Study (GASTO-1042). PMID 35598797</w:t>
      </w:r>
    </w:p>
    <w:p>
      <w:pPr>
        <w:numPr>
          <w:ilvl w:val="0"/>
          <w:numId w:val="1390"/>
        </w:numPr>
        <w:pStyle w:val="Compact"/>
      </w:pPr>
      <w:r>
        <w:t xml:space="preserve">2021 · Meng Z ·</w:t>
      </w:r>
      <w:r>
        <w:t xml:space="preserve"> </w:t>
      </w:r>
      <w:r>
        <w:rPr>
          <w:iCs/>
          <w:i/>
        </w:rPr>
        <w:t xml:space="preserve">Curr Top Med Chem</w:t>
      </w:r>
      <w:r>
        <w:t xml:space="preserve"> </w:t>
      </w:r>
      <w:r>
        <w:t xml:space="preserve">· The Effect of Recombinant Human Interferon Alpha Nasal Drops to Prevent COVID-19 Pneumonia for Medical Staff in an Epidemic Area. PMID 33970846</w:t>
      </w:r>
    </w:p>
    <w:p>
      <w:pPr>
        <w:numPr>
          <w:ilvl w:val="0"/>
          <w:numId w:val="1390"/>
        </w:numPr>
        <w:pStyle w:val="Compact"/>
      </w:pPr>
      <w:r>
        <w:t xml:space="preserve">2019 · Ma Y ·</w:t>
      </w:r>
      <w:r>
        <w:t xml:space="preserve"> </w:t>
      </w:r>
      <w:r>
        <w:rPr>
          <w:iCs/>
          <w:i/>
        </w:rPr>
        <w:t xml:space="preserve">Cell Mol Biol (Noisy-le-grand)</w:t>
      </w:r>
      <w:r>
        <w:t xml:space="preserve"> </w:t>
      </w:r>
      <w:r>
        <w:t xml:space="preserve">· The effect of thymopentin add-on in hepatitis B e antigen positive chronic hepatitis B after virus suppression by peginterferon plus entecavir therapy. PMID 30860474</w:t>
      </w:r>
    </w:p>
    <w:p>
      <w:pPr>
        <w:numPr>
          <w:ilvl w:val="0"/>
          <w:numId w:val="1390"/>
        </w:numPr>
        <w:pStyle w:val="Compact"/>
      </w:pPr>
      <w:r>
        <w:t xml:space="preserve">2018 · Wu X ·</w:t>
      </w:r>
      <w:r>
        <w:t xml:space="preserve"> </w:t>
      </w:r>
      <w:r>
        <w:rPr>
          <w:iCs/>
          <w:i/>
        </w:rPr>
        <w:t xml:space="preserve">Expert Opin Biol Ther</w:t>
      </w:r>
      <w:r>
        <w:t xml:space="preserve"> </w:t>
      </w:r>
      <w:r>
        <w:t xml:space="preserve">· Combination of entecavir with thymosin alpha-1 in HBV-related compensated cirrhosis: a prospective multicenter randomized open-label study. PMID 30063860</w:t>
      </w:r>
    </w:p>
    <w:p>
      <w:pPr>
        <w:numPr>
          <w:ilvl w:val="0"/>
          <w:numId w:val="1390"/>
        </w:numPr>
        <w:pStyle w:val="Compact"/>
      </w:pPr>
      <w:r>
        <w:t xml:space="preserve">2017 · Fang SJ ·</w:t>
      </w:r>
      <w:r>
        <w:t xml:space="preserve"> </w:t>
      </w:r>
      <w:r>
        <w:rPr>
          <w:iCs/>
          <w:i/>
        </w:rPr>
        <w:t xml:space="preserve">Zhonghua Yi Xue Za Zhi</w:t>
      </w:r>
      <w:r>
        <w:t xml:space="preserve"> </w:t>
      </w:r>
      <w:r>
        <w:t xml:space="preserve">· [Effect of transcatheter arterial chemoembolization combined with thymosin alpha 1 on the autophagy of immune cells from advanced hepatocellular carcinoma]. PMID 28693071</w:t>
      </w:r>
    </w:p>
    <w:p>
      <w:pPr>
        <w:numPr>
          <w:ilvl w:val="0"/>
          <w:numId w:val="1390"/>
        </w:numPr>
        <w:pStyle w:val="Compact"/>
      </w:pPr>
      <w:r>
        <w:t xml:space="preserve">2016 · Al-Mahtab M ·</w:t>
      </w:r>
      <w:r>
        <w:t xml:space="preserve"> </w:t>
      </w:r>
      <w:r>
        <w:rPr>
          <w:iCs/>
          <w:i/>
        </w:rPr>
        <w:t xml:space="preserve">PLoS One</w:t>
      </w:r>
      <w:r>
        <w:t xml:space="preserve"> </w:t>
      </w:r>
      <w:r>
        <w:t xml:space="preserve">· Safety and Efficacy of Nucleic Acid Polymers in Monotherapy and Combined with Immunotherapy in Treatment-Naive Bangladeshi Patients with HBeAg+ Chronic Hepatitis B Infection. PMID 27257978</w:t>
      </w:r>
    </w:p>
    <w:p>
      <w:pPr>
        <w:numPr>
          <w:ilvl w:val="0"/>
          <w:numId w:val="1390"/>
        </w:numPr>
        <w:pStyle w:val="Compact"/>
      </w:pPr>
      <w:r>
        <w:t xml:space="preserve">2015 · Zhang SS ·</w:t>
      </w:r>
      <w:r>
        <w:t xml:space="preserve"> </w:t>
      </w:r>
      <w:r>
        <w:rPr>
          <w:iCs/>
          <w:i/>
        </w:rPr>
        <w:t xml:space="preserve">Sichuan Da Xue Xue Bao Yi Xue Ban</w:t>
      </w:r>
      <w:r>
        <w:t xml:space="preserve"> </w:t>
      </w:r>
      <w:r>
        <w:t xml:space="preserve">· [Prevention Effect of Thymosin-alpha1 Aganist Early Ventilator-associated Pneumonia in Patients with Mechanical Ventilation]. PMID 26867337</w:t>
      </w:r>
    </w:p>
    <w:p>
      <w:pPr>
        <w:numPr>
          <w:ilvl w:val="0"/>
          <w:numId w:val="1390"/>
        </w:numPr>
        <w:pStyle w:val="Compact"/>
      </w:pPr>
      <w:r>
        <w:t xml:space="preserve">2015 · Xiao QS ·</w:t>
      </w:r>
      <w:r>
        <w:t xml:space="preserve"> </w:t>
      </w:r>
      <w:r>
        <w:rPr>
          <w:iCs/>
          <w:i/>
        </w:rPr>
        <w:t xml:space="preserve">Zhongguo Zhong Xi Yi Jie He Za Zhi</w:t>
      </w:r>
      <w:r>
        <w:t xml:space="preserve"> </w:t>
      </w:r>
      <w:r>
        <w:t xml:space="preserve">· [Effect of Acupuncture on Prognosis and Immune Function of Sepsis Patients]. PMID 26380438</w:t>
      </w:r>
    </w:p>
    <w:p>
      <w:pPr>
        <w:numPr>
          <w:ilvl w:val="0"/>
          <w:numId w:val="1390"/>
        </w:numPr>
        <w:pStyle w:val="Compact"/>
      </w:pPr>
      <w:r>
        <w:t xml:space="preserve">2015 · Jia Z ·</w:t>
      </w:r>
      <w:r>
        <w:t xml:space="preserve"> </w:t>
      </w:r>
      <w:r>
        <w:rPr>
          <w:iCs/>
          <w:i/>
        </w:rPr>
        <w:t xml:space="preserve">Immunopharmacol Immunotoxicol</w:t>
      </w:r>
      <w:r>
        <w:t xml:space="preserve"> </w:t>
      </w:r>
      <w:r>
        <w:t xml:space="preserve">· Thymosin α1 plus routine treatment inhibit inflammatory reaction and improve the quality of life in AECOPD patients. PMID 26250523</w:t>
      </w:r>
    </w:p>
    <w:p>
      <w:pPr>
        <w:numPr>
          <w:ilvl w:val="0"/>
          <w:numId w:val="1390"/>
        </w:numPr>
        <w:pStyle w:val="Compact"/>
      </w:pPr>
      <w:r>
        <w:t xml:space="preserve">2015 · Qiu SJ ·</w:t>
      </w:r>
      <w:r>
        <w:t xml:space="preserve"> </w:t>
      </w:r>
      <w:r>
        <w:rPr>
          <w:iCs/>
          <w:i/>
        </w:rPr>
        <w:t xml:space="preserve">Expert Opin Biol Ther</w:t>
      </w:r>
      <w:r>
        <w:t xml:space="preserve"> </w:t>
      </w:r>
      <w:r>
        <w:t xml:space="preserve">· A multicenter, randomized, observation-controlled clinical trial to evaluate the efficacy and safety of thymalfasin adjuvant therapy in patients with HBV-related HCC after curative resection - first announcement of the protocol. PMID 26094695</w:t>
      </w:r>
    </w:p>
    <w:p>
      <w:pPr>
        <w:numPr>
          <w:ilvl w:val="0"/>
          <w:numId w:val="1390"/>
        </w:numPr>
        <w:pStyle w:val="Compact"/>
      </w:pPr>
      <w:r>
        <w:t xml:space="preserve">2013 · Wu J ·</w:t>
      </w:r>
      <w:r>
        <w:t xml:space="preserve"> </w:t>
      </w:r>
      <w:r>
        <w:rPr>
          <w:iCs/>
          <w:i/>
        </w:rPr>
        <w:t xml:space="preserve">Crit Care</w:t>
      </w:r>
      <w:r>
        <w:t xml:space="preserve"> </w:t>
      </w:r>
      <w:r>
        <w:t xml:space="preserve">· The efficacy of thymosin alpha 1 for severe sepsis (ETASS): a multicenter, single-blind, randomized and controlled trial. PMID 23327199</w:t>
      </w:r>
    </w:p>
    <w:p>
      <w:pPr>
        <w:numPr>
          <w:ilvl w:val="0"/>
          <w:numId w:val="1390"/>
        </w:numPr>
        <w:pStyle w:val="Compact"/>
      </w:pPr>
      <w:r>
        <w:t xml:space="preserve">2012 · Kim BH ·</w:t>
      </w:r>
      <w:r>
        <w:t xml:space="preserve"> </w:t>
      </w:r>
      <w:r>
        <w:rPr>
          <w:iCs/>
          <w:i/>
        </w:rPr>
        <w:t xml:space="preserve">Scand J Gastroenterol</w:t>
      </w:r>
      <w:r>
        <w:t xml:space="preserve"> </w:t>
      </w:r>
      <w:r>
        <w:t xml:space="preserve">· Efficacy of thymosin α-1 plus peginterferon α-2a combination therapy compared with peginterferon α-2a monotherapy in HBeAg-positive chronic hepatitis B: a prospective, multicenter, randomized, open-label study. PMID 22726105</w:t>
      </w:r>
    </w:p>
    <w:p>
      <w:pPr>
        <w:numPr>
          <w:ilvl w:val="0"/>
          <w:numId w:val="1390"/>
        </w:numPr>
        <w:pStyle w:val="Compact"/>
      </w:pPr>
      <w:r>
        <w:t xml:space="preserve">2012 · Ciancio A ·</w:t>
      </w:r>
      <w:r>
        <w:t xml:space="preserve"> </w:t>
      </w:r>
      <w:r>
        <w:rPr>
          <w:iCs/>
          <w:i/>
        </w:rPr>
        <w:t xml:space="preserve">J Viral Hepat</w:t>
      </w:r>
      <w:r>
        <w:t xml:space="preserve"> </w:t>
      </w:r>
      <w:r>
        <w:t xml:space="preserve">· Thymosin alpha-1 with peginterferon alfa-2a/ribavirin for chronic hepatitis C not responsive to IFN/ribavirin: an adjuvant role?. PMID 22233415</w:t>
      </w:r>
    </w:p>
    <w:p>
      <w:pPr>
        <w:numPr>
          <w:ilvl w:val="0"/>
          <w:numId w:val="1390"/>
        </w:numPr>
        <w:pStyle w:val="Compact"/>
      </w:pPr>
      <w:r>
        <w:t xml:space="preserve">2011 · Wang X ·</w:t>
      </w:r>
      <w:r>
        <w:t xml:space="preserve"> </w:t>
      </w:r>
      <w:r>
        <w:rPr>
          <w:iCs/>
          <w:i/>
        </w:rPr>
        <w:t xml:space="preserve">Inflammation</w:t>
      </w:r>
      <w:r>
        <w:t xml:space="preserve"> </w:t>
      </w:r>
      <w:r>
        <w:t xml:space="preserve">· Thymosin alpha 1 is associated with improved cellular immunity and reduced infection rate in severe acute pancreatitis patients in a double-blind randomized control study. PMID 20549321</w:t>
      </w:r>
    </w:p>
    <w:p>
      <w:pPr>
        <w:numPr>
          <w:ilvl w:val="0"/>
          <w:numId w:val="1390"/>
        </w:numPr>
        <w:pStyle w:val="Compact"/>
      </w:pPr>
      <w:r>
        <w:t xml:space="preserve">2010 · Jiang YF ·</w:t>
      </w:r>
      <w:r>
        <w:t xml:space="preserve"> </w:t>
      </w:r>
      <w:r>
        <w:rPr>
          <w:iCs/>
          <w:i/>
        </w:rPr>
        <w:t xml:space="preserve">J Int Med Res</w:t>
      </w:r>
      <w:r>
        <w:t xml:space="preserve"> </w:t>
      </w:r>
      <w:r>
        <w:t xml:space="preserve">· Effect of thymosin-α(1) on T-helper 1 cell and T-helper 2 cell cytokine synthesis in patients with hepatitis B virus e antigen-positive chronic hepatitis B. PMID 21227010</w:t>
      </w:r>
    </w:p>
    <w:p>
      <w:pPr>
        <w:numPr>
          <w:ilvl w:val="0"/>
          <w:numId w:val="1390"/>
        </w:numPr>
        <w:pStyle w:val="Compact"/>
      </w:pPr>
      <w:r>
        <w:t xml:space="preserve">2010 · Maio M ·</w:t>
      </w:r>
      <w:r>
        <w:t xml:space="preserve"> </w:t>
      </w:r>
      <w:r>
        <w:rPr>
          <w:iCs/>
          <w:i/>
        </w:rPr>
        <w:t xml:space="preserve">J Clin Oncol</w:t>
      </w:r>
      <w:r>
        <w:t xml:space="preserve"> </w:t>
      </w:r>
      <w:r>
        <w:t xml:space="preserve">· Large randomized study of thymosin alpha 1, interferon alfa, or both in combination with dacarbazine in patients with metastatic melanoma. PMID 20194853</w:t>
      </w:r>
    </w:p>
    <w:p>
      <w:pPr>
        <w:numPr>
          <w:ilvl w:val="0"/>
          <w:numId w:val="1390"/>
        </w:numPr>
        <w:pStyle w:val="Compact"/>
      </w:pPr>
      <w:r>
        <w:t xml:space="preserve">2009 · Zhou LX ·</w:t>
      </w:r>
      <w:r>
        <w:t xml:space="preserve"> </w:t>
      </w:r>
      <w:r>
        <w:rPr>
          <w:iCs/>
          <w:i/>
        </w:rPr>
        <w:t xml:space="preserve">Zhonghua Yi Xue Za Zhi</w:t>
      </w:r>
      <w:r>
        <w:t xml:space="preserve"> </w:t>
      </w:r>
      <w:r>
        <w:t xml:space="preserve">· [Immune and inflammation confusion in severe sepsis and effects of bi-immunomodulation therapy: a prospective, randomized, controlled clinical trial]. PMID 19595251</w:t>
      </w:r>
    </w:p>
    <w:p>
      <w:pPr>
        <w:numPr>
          <w:ilvl w:val="0"/>
          <w:numId w:val="1390"/>
        </w:numPr>
        <w:pStyle w:val="Compact"/>
      </w:pPr>
      <w:r>
        <w:t xml:space="preserve">2009 · Chen H ·</w:t>
      </w:r>
      <w:r>
        <w:t xml:space="preserve"> </w:t>
      </w:r>
      <w:r>
        <w:rPr>
          <w:iCs/>
          <w:i/>
        </w:rPr>
        <w:t xml:space="preserve">Chin Med J (Engl)</w:t>
      </w:r>
      <w:r>
        <w:t xml:space="preserve"> </w:t>
      </w:r>
      <w:r>
        <w:t xml:space="preserve">· Treatment of patients with severe sepsis using ulinastatin and thymosin alpha1: a prospective, randomized, controlled pilot study. PMID 19493408</w:t>
      </w:r>
    </w:p>
    <w:p>
      <w:pPr>
        <w:numPr>
          <w:ilvl w:val="0"/>
          <w:numId w:val="1390"/>
        </w:numPr>
        <w:pStyle w:val="Compact"/>
      </w:pPr>
      <w:r>
        <w:t xml:space="preserve">2009 · Su L ·</w:t>
      </w:r>
      <w:r>
        <w:t xml:space="preserve"> </w:t>
      </w:r>
      <w:r>
        <w:rPr>
          <w:iCs/>
          <w:i/>
        </w:rPr>
        <w:t xml:space="preserve">Zhongguo Wei Zhong Bing Ji Jiu Yi Xue</w:t>
      </w:r>
      <w:r>
        <w:t xml:space="preserve"> </w:t>
      </w:r>
      <w:r>
        <w:t xml:space="preserve">· [Clinical effects of ulinastatin and thymosin alpha1 on immune-modulation in septic patients]. PMID 19278583</w:t>
      </w:r>
    </w:p>
    <w:p>
      <w:pPr>
        <w:numPr>
          <w:ilvl w:val="0"/>
          <w:numId w:val="1390"/>
        </w:numPr>
        <w:pStyle w:val="Compact"/>
      </w:pPr>
      <w:r>
        <w:t xml:space="preserve">2009 · Li YN ·</w:t>
      </w:r>
      <w:r>
        <w:t xml:space="preserve"> </w:t>
      </w:r>
      <w:r>
        <w:rPr>
          <w:iCs/>
          <w:i/>
        </w:rPr>
        <w:t xml:space="preserve">Zhongguo Wei Zhong Bing Ji Jiu Yi Xue</w:t>
      </w:r>
      <w:r>
        <w:t xml:space="preserve"> </w:t>
      </w:r>
      <w:r>
        <w:t xml:space="preserve">· [Effect of continuous blood purification and thymosin alpha1 on the cellular immunity in patients with severe sepsis: a prospective, randomized, controlled clinical trial]. PMID 19278581</w:t>
      </w:r>
    </w:p>
    <w:p>
      <w:pPr>
        <w:numPr>
          <w:ilvl w:val="0"/>
          <w:numId w:val="1390"/>
        </w:numPr>
        <w:pStyle w:val="Compact"/>
      </w:pPr>
      <w:r>
        <w:t xml:space="preserve">2009 · Li Yumin ·</w:t>
      </w:r>
      <w:r>
        <w:t xml:space="preserve"> </w:t>
      </w:r>
      <w:r>
        <w:rPr>
          <w:iCs/>
          <w:i/>
        </w:rPr>
        <w:t xml:space="preserve">J Intensive Care Med</w:t>
      </w:r>
      <w:r>
        <w:t xml:space="preserve"> </w:t>
      </w:r>
      <w:r>
        <w:t xml:space="preserve">· A new immunomodulatory therapy for severe sepsis: Ulinastatin Plus Thymosin {alpha} 1. PMID 19033321</w:t>
      </w:r>
    </w:p>
    <w:p>
      <w:pPr>
        <w:numPr>
          <w:ilvl w:val="0"/>
          <w:numId w:val="1390"/>
        </w:numPr>
        <w:pStyle w:val="Compact"/>
      </w:pPr>
      <w:r>
        <w:t xml:space="preserve">2008 · Poo JL ·</w:t>
      </w:r>
      <w:r>
        <w:t xml:space="preserve"> </w:t>
      </w:r>
      <w:r>
        <w:rPr>
          <w:iCs/>
          <w:i/>
        </w:rPr>
        <w:t xml:space="preserve">Ann Hepatol</w:t>
      </w:r>
      <w:r>
        <w:t xml:space="preserve"> </w:t>
      </w:r>
      <w:r>
        <w:t xml:space="preserve">· Efficacy of triple therapy with thymalfasin, peginterferon alpha-2a, and ribavirin for the treatment of hispanic chronic HCV nonresponders. PMID 19034238</w:t>
      </w:r>
    </w:p>
    <w:p>
      <w:pPr>
        <w:numPr>
          <w:ilvl w:val="0"/>
          <w:numId w:val="1390"/>
        </w:numPr>
        <w:pStyle w:val="Compact"/>
      </w:pPr>
      <w:r>
        <w:t xml:space="preserve">2008 · Zheng BX ·</w:t>
      </w:r>
      <w:r>
        <w:t xml:space="preserve"> </w:t>
      </w:r>
      <w:r>
        <w:rPr>
          <w:iCs/>
          <w:i/>
        </w:rPr>
        <w:t xml:space="preserve">Sichuan Da Xue Xue Bao Yi Xue Ban</w:t>
      </w:r>
      <w:r>
        <w:t xml:space="preserve"> </w:t>
      </w:r>
      <w:r>
        <w:t xml:space="preserve">· [The prophylactic effect of thymosin alpha 1 on the acute exacerbation of chronic obstructive pulmonary disease]. PMID 18798500</w:t>
      </w:r>
    </w:p>
    <w:p>
      <w:pPr>
        <w:numPr>
          <w:ilvl w:val="0"/>
          <w:numId w:val="1390"/>
        </w:numPr>
        <w:pStyle w:val="Compact"/>
      </w:pPr>
      <w:r>
        <w:t xml:space="preserve">2008 · Zhang Y ·</w:t>
      </w:r>
      <w:r>
        <w:t xml:space="preserve"> </w:t>
      </w:r>
      <w:r>
        <w:rPr>
          <w:iCs/>
          <w:i/>
        </w:rPr>
        <w:t xml:space="preserve">J Infect Dis</w:t>
      </w:r>
      <w:r>
        <w:t xml:space="preserve"> </w:t>
      </w:r>
      <w:r>
        <w:t xml:space="preserve">· Thymosin alpha1- and ulinastatin-based immunomodulatory strategy for sepsis arising from intra-abdominal infection due to carbapenem-resistant bacteria. PMID 18613793</w:t>
      </w:r>
    </w:p>
    <w:p>
      <w:pPr>
        <w:numPr>
          <w:ilvl w:val="0"/>
          <w:numId w:val="1390"/>
        </w:numPr>
        <w:pStyle w:val="Compact"/>
      </w:pPr>
      <w:r>
        <w:t xml:space="preserve">2008 · Loo WT ·</w:t>
      </w:r>
      <w:r>
        <w:t xml:space="preserve"> </w:t>
      </w:r>
      <w:r>
        <w:rPr>
          <w:iCs/>
          <w:i/>
        </w:rPr>
        <w:t xml:space="preserve">Am J Emerg Med</w:t>
      </w:r>
      <w:r>
        <w:t xml:space="preserve"> </w:t>
      </w:r>
      <w:r>
        <w:t xml:space="preserve">· Thymosin alpha 1 provides short-term and long-term benefits in the reimplantation of avulsed teeth: a double-blind randomized control pilot study. PMID 18534287</w:t>
      </w:r>
    </w:p>
    <w:p>
      <w:pPr>
        <w:numPr>
          <w:ilvl w:val="0"/>
          <w:numId w:val="1390"/>
        </w:numPr>
        <w:pStyle w:val="Compact"/>
      </w:pPr>
      <w:r>
        <w:t xml:space="preserve">2008 · Lee HW ·</w:t>
      </w:r>
      <w:r>
        <w:t xml:space="preserve"> </w:t>
      </w:r>
      <w:r>
        <w:rPr>
          <w:iCs/>
          <w:i/>
        </w:rPr>
        <w:t xml:space="preserve">J Gastroenterol Hepatol</w:t>
      </w:r>
      <w:r>
        <w:t xml:space="preserve"> </w:t>
      </w:r>
      <w:r>
        <w:t xml:space="preserve">· Combination therapy of thymosin alpha-1 and lamivudine for HBeAg positive chronic hepatitis B: A prospective randomized, comparative pilot study. PMID 18410608</w:t>
      </w:r>
    </w:p>
    <w:p>
      <w:pPr>
        <w:numPr>
          <w:ilvl w:val="0"/>
          <w:numId w:val="1390"/>
        </w:numPr>
        <w:pStyle w:val="Compact"/>
      </w:pPr>
      <w:r>
        <w:t xml:space="preserve">2007 · Wang L ·</w:t>
      </w:r>
      <w:r>
        <w:t xml:space="preserve"> </w:t>
      </w:r>
      <w:r>
        <w:rPr>
          <w:iCs/>
          <w:i/>
        </w:rPr>
        <w:t xml:space="preserve">Zhonghua Nei Ke Za Zhi</w:t>
      </w:r>
      <w:r>
        <w:t xml:space="preserve"> </w:t>
      </w:r>
      <w:r>
        <w:t xml:space="preserve">· [Combination therapy of thymosin alpha1 and high dose dexamethasone in patients with chronic idiopathic thrombocytopenic purpura]. PMID 17637261</w:t>
      </w:r>
    </w:p>
    <w:p>
      <w:pPr>
        <w:numPr>
          <w:ilvl w:val="0"/>
          <w:numId w:val="1390"/>
        </w:numPr>
        <w:pStyle w:val="Compact"/>
      </w:pPr>
      <w:r>
        <w:t xml:space="preserve">2007 · Ershler WB ·</w:t>
      </w:r>
      <w:r>
        <w:t xml:space="preserve"> </w:t>
      </w:r>
      <w:r>
        <w:rPr>
          <w:iCs/>
          <w:i/>
        </w:rPr>
        <w:t xml:space="preserve">Ann N Y Acad Sci</w:t>
      </w:r>
      <w:r>
        <w:t xml:space="preserve"> </w:t>
      </w:r>
      <w:r>
        <w:t xml:space="preserve">· Thymosin alpha 1 as an adjunct to influenza vaccination in the elderly: rationale and trial summaries. PMID 17600281</w:t>
      </w:r>
    </w:p>
    <w:p>
      <w:pPr>
        <w:numPr>
          <w:ilvl w:val="0"/>
          <w:numId w:val="1390"/>
        </w:numPr>
        <w:pStyle w:val="Compact"/>
      </w:pPr>
      <w:r>
        <w:t xml:space="preserve">2007 · Cooperative Group of immunomodulatory Therapy of Sepsis ·</w:t>
      </w:r>
      <w:r>
        <w:t xml:space="preserve"> </w:t>
      </w:r>
      <w:r>
        <w:rPr>
          <w:iCs/>
          <w:i/>
        </w:rPr>
        <w:t xml:space="preserve">Zhonghua Yi Xue Za Zhi</w:t>
      </w:r>
      <w:r>
        <w:t xml:space="preserve"> </w:t>
      </w:r>
      <w:r>
        <w:t xml:space="preserve">· [Clinical trial with a new immunomodulatory strategy: treatment of severe sepsis with Ulinastatin and Maipuxin]. PMID 17459221</w:t>
      </w:r>
    </w:p>
    <w:p>
      <w:pPr>
        <w:numPr>
          <w:ilvl w:val="0"/>
          <w:numId w:val="1390"/>
        </w:numPr>
        <w:pStyle w:val="Compact"/>
      </w:pPr>
      <w:r>
        <w:t xml:space="preserve">2007 · Ma LN ·</w:t>
      </w:r>
      <w:r>
        <w:t xml:space="preserve"> </w:t>
      </w:r>
      <w:r>
        <w:rPr>
          <w:iCs/>
          <w:i/>
        </w:rPr>
        <w:t xml:space="preserve">Zhonghua Gan Zang Bing Za Zhi</w:t>
      </w:r>
      <w:r>
        <w:t xml:space="preserve"> </w:t>
      </w:r>
      <w:r>
        <w:t xml:space="preserve">· [A clinical study of thymosin alpha1 as an auxiliary in treating spontaneous peritonitis in patients with liver cirrhosis]. PMID 17407720</w:t>
      </w:r>
    </w:p>
    <w:p>
      <w:pPr>
        <w:numPr>
          <w:ilvl w:val="0"/>
          <w:numId w:val="1390"/>
        </w:numPr>
        <w:pStyle w:val="Compact"/>
      </w:pPr>
      <w:r>
        <w:t xml:space="preserve">2007 · Chen J ·</w:t>
      </w:r>
      <w:r>
        <w:t xml:space="preserve"> </w:t>
      </w:r>
      <w:r>
        <w:rPr>
          <w:iCs/>
          <w:i/>
        </w:rPr>
        <w:t xml:space="preserve">Zhongguo Wei Zhong Bing Ji Jiu Yi Xue</w:t>
      </w:r>
      <w:r>
        <w:t xml:space="preserve"> </w:t>
      </w:r>
      <w:r>
        <w:t xml:space="preserve">· [Effects of thymosin-alpha1 on cell immunity function in patients with septic shock]. PMID 17376268</w:t>
      </w:r>
    </w:p>
    <w:p>
      <w:pPr>
        <w:numPr>
          <w:ilvl w:val="0"/>
          <w:numId w:val="1390"/>
        </w:numPr>
        <w:pStyle w:val="Compact"/>
      </w:pPr>
      <w:r>
        <w:t xml:space="preserve">2006 · Chien RN ·</w:t>
      </w:r>
      <w:r>
        <w:t xml:space="preserve"> </w:t>
      </w:r>
      <w:r>
        <w:rPr>
          <w:iCs/>
          <w:i/>
        </w:rPr>
        <w:t xml:space="preserve">J Viral Hepat</w:t>
      </w:r>
      <w:r>
        <w:t xml:space="preserve"> </w:t>
      </w:r>
      <w:r>
        <w:t xml:space="preserve">· Hepatitis B virus genotype B is associated with better response to thymosin alpha1 therapy than genotype C. PMID 17109685</w:t>
      </w:r>
    </w:p>
    <w:p>
      <w:pPr>
        <w:numPr>
          <w:ilvl w:val="0"/>
          <w:numId w:val="1390"/>
        </w:numPr>
        <w:pStyle w:val="Compact"/>
      </w:pPr>
      <w:r>
        <w:t xml:space="preserve">2006 · Huang SW ·</w:t>
      </w:r>
      <w:r>
        <w:t xml:space="preserve"> </w:t>
      </w:r>
      <w:r>
        <w:rPr>
          <w:iCs/>
          <w:i/>
        </w:rPr>
        <w:t xml:space="preserve">Zhongguo Wei Zhong Bing Ji Jiu Yi Xue</w:t>
      </w:r>
      <w:r>
        <w:t xml:space="preserve"> </w:t>
      </w:r>
      <w:r>
        <w:t xml:space="preserve">· [Clinical study and long-term evaluation of immunomodulation therapy on trauma, severe sepsis and multiple organ dysfunction syndrome patients]. PMID 17092412</w:t>
      </w:r>
    </w:p>
    <w:p>
      <w:pPr>
        <w:numPr>
          <w:ilvl w:val="0"/>
          <w:numId w:val="1390"/>
        </w:numPr>
        <w:pStyle w:val="Compact"/>
      </w:pPr>
      <w:r>
        <w:t xml:space="preserve">2006 · You J ·</w:t>
      </w:r>
      <w:r>
        <w:t xml:space="preserve"> </w:t>
      </w:r>
      <w:r>
        <w:rPr>
          <w:iCs/>
          <w:i/>
        </w:rPr>
        <w:t xml:space="preserve">World J Gastroenterol</w:t>
      </w:r>
      <w:r>
        <w:t xml:space="preserve"> </w:t>
      </w:r>
      <w:r>
        <w:t xml:space="preserve">· Efficacy of thymosin alpha-1 and interferon alpha in treatment of chronic viral hepatitis B: a randomized controlled study. PMID 17075991</w:t>
      </w:r>
    </w:p>
    <w:p>
      <w:pPr>
        <w:numPr>
          <w:ilvl w:val="0"/>
          <w:numId w:val="1390"/>
        </w:numPr>
        <w:pStyle w:val="Compact"/>
      </w:pPr>
      <w:r>
        <w:t xml:space="preserve">2006 · Lim SG ·</w:t>
      </w:r>
      <w:r>
        <w:t xml:space="preserve"> </w:t>
      </w:r>
      <w:r>
        <w:rPr>
          <w:iCs/>
          <w:i/>
        </w:rPr>
        <w:t xml:space="preserve">Antivir Ther</w:t>
      </w:r>
      <w:r>
        <w:t xml:space="preserve"> </w:t>
      </w:r>
      <w:r>
        <w:t xml:space="preserve">· A randomized, placebo-controlled trial of thymosin-alpha1 and lymphoblastoid interferon for HBeAg-positive chronic hepatitis B. PMID 16640105</w:t>
      </w:r>
    </w:p>
    <w:p>
      <w:pPr>
        <w:numPr>
          <w:ilvl w:val="0"/>
          <w:numId w:val="1390"/>
        </w:numPr>
        <w:pStyle w:val="Compact"/>
      </w:pPr>
      <w:r>
        <w:t xml:space="preserve">2006 · Shuqun C ·</w:t>
      </w:r>
      <w:r>
        <w:t xml:space="preserve"> </w:t>
      </w:r>
      <w:r>
        <w:rPr>
          <w:iCs/>
          <w:i/>
        </w:rPr>
        <w:t xml:space="preserve">Hepatogastroenterology</w:t>
      </w:r>
      <w:r>
        <w:t xml:space="preserve"> </w:t>
      </w:r>
      <w:r>
        <w:t xml:space="preserve">· Antiviral therapy using lamivudine and thymosin alpha1 for hepatocellular carcinoma coexisting with chronic hepatitis B infection. PMID 16608033</w:t>
      </w:r>
    </w:p>
    <w:p>
      <w:pPr>
        <w:numPr>
          <w:ilvl w:val="0"/>
          <w:numId w:val="1390"/>
        </w:numPr>
        <w:pStyle w:val="Compact"/>
      </w:pPr>
      <w:r>
        <w:t xml:space="preserve">2006 · Huang DP ·</w:t>
      </w:r>
      <w:r>
        <w:t xml:space="preserve"> </w:t>
      </w:r>
      <w:r>
        <w:rPr>
          <w:iCs/>
          <w:i/>
        </w:rPr>
        <w:t xml:space="preserve">Nan Fang Yi Ke Da Xue Xue Bao</w:t>
      </w:r>
      <w:r>
        <w:t xml:space="preserve"> </w:t>
      </w:r>
      <w:r>
        <w:t xml:space="preserve">· [Prevention and management of lung infections with thymosin alpha1 in critical patients with tracheotomy]. PMID 16495194</w:t>
      </w:r>
    </w:p>
    <w:p>
      <w:pPr>
        <w:numPr>
          <w:ilvl w:val="0"/>
          <w:numId w:val="1390"/>
        </w:numPr>
        <w:pStyle w:val="Compact"/>
      </w:pPr>
      <w:r>
        <w:t xml:space="preserve">2005 · Cui SN ·</w:t>
      </w:r>
      <w:r>
        <w:t xml:space="preserve"> </w:t>
      </w:r>
      <w:r>
        <w:rPr>
          <w:iCs/>
          <w:i/>
        </w:rPr>
        <w:t xml:space="preserve">Zhonghua Shi Yan He Lin Chuang Bing Du Xue Za Zhi</w:t>
      </w:r>
      <w:r>
        <w:t xml:space="preserve"> </w:t>
      </w:r>
      <w:r>
        <w:t xml:space="preserve">· [Antiviral therapy of chronic hepatitis B patients resistant to lamivudine]. PMID 16416004</w:t>
      </w:r>
    </w:p>
    <w:p>
      <w:pPr>
        <w:numPr>
          <w:ilvl w:val="0"/>
          <w:numId w:val="1390"/>
        </w:numPr>
        <w:pStyle w:val="Compact"/>
      </w:pPr>
      <w:r>
        <w:t xml:space="preserve">2005 · Cheng SQ ·</w:t>
      </w:r>
      <w:r>
        <w:t xml:space="preserve"> </w:t>
      </w:r>
      <w:r>
        <w:rPr>
          <w:iCs/>
          <w:i/>
        </w:rPr>
        <w:t xml:space="preserve">Zhonghua Zhong Liu Za Zhi</w:t>
      </w:r>
      <w:r>
        <w:t xml:space="preserve"> </w:t>
      </w:r>
      <w:r>
        <w:t xml:space="preserve">· [Anti-viral therapy using lamivudine and thymosin is helpful to prevent recurrence in hepatocellular carcinoma with coexisting active hepatitis B]. PMID 15946554</w:t>
      </w:r>
    </w:p>
    <w:p>
      <w:pPr>
        <w:numPr>
          <w:ilvl w:val="0"/>
          <w:numId w:val="1390"/>
        </w:numPr>
        <w:pStyle w:val="Compact"/>
      </w:pPr>
      <w:r>
        <w:t xml:space="preserve">2005 · Iino S ·</w:t>
      </w:r>
      <w:r>
        <w:t xml:space="preserve"> </w:t>
      </w:r>
      <w:r>
        <w:rPr>
          <w:iCs/>
          <w:i/>
        </w:rPr>
        <w:t xml:space="preserve">J Viral Hepat</w:t>
      </w:r>
      <w:r>
        <w:t xml:space="preserve"> </w:t>
      </w:r>
      <w:r>
        <w:t xml:space="preserve">· The efficacy and safety of thymosin alpha-1 in Japanese patients with chronic hepatitis B; results from a randomized clinical trial. PMID 15850471</w:t>
      </w:r>
    </w:p>
    <w:p>
      <w:pPr>
        <w:numPr>
          <w:ilvl w:val="0"/>
          <w:numId w:val="1390"/>
        </w:numPr>
        <w:pStyle w:val="Compact"/>
      </w:pPr>
      <w:r>
        <w:t xml:space="preserve">2005 · You J ·</w:t>
      </w:r>
      <w:r>
        <w:t xml:space="preserve"> </w:t>
      </w:r>
      <w:r>
        <w:rPr>
          <w:iCs/>
          <w:i/>
        </w:rPr>
        <w:t xml:space="preserve">J Chin Med Assoc</w:t>
      </w:r>
      <w:r>
        <w:t xml:space="preserve"> </w:t>
      </w:r>
      <w:r>
        <w:t xml:space="preserve">· A randomized, controlled, clinical study of thymosin alpha-1 versus interferon-alpha in [corrected] patients with chronic hepatitis B lacking HBeAg in China [corrected]. PMID 15759817</w:t>
      </w:r>
    </w:p>
    <w:p>
      <w:pPr>
        <w:numPr>
          <w:ilvl w:val="0"/>
          <w:numId w:val="1390"/>
        </w:numPr>
        <w:pStyle w:val="Compact"/>
      </w:pPr>
      <w:r>
        <w:t xml:space="preserve">2004 · Rustgi V ·</w:t>
      </w:r>
      <w:r>
        <w:t xml:space="preserve"> </w:t>
      </w:r>
      <w:r>
        <w:rPr>
          <w:iCs/>
          <w:i/>
        </w:rPr>
        <w:t xml:space="preserve">J Gastroenterol Hepatol</w:t>
      </w:r>
      <w:r>
        <w:t xml:space="preserve"> </w:t>
      </w:r>
      <w:r>
        <w:t xml:space="preserve">· Combination therapy of thymalfasin (thymosin-alpha 1) and peginterferon alfa-2a in patients with chronic hepatitis C virus infection who are non-responders to standard treatment. PMID 15641209</w:t>
      </w:r>
    </w:p>
    <w:p>
      <w:pPr>
        <w:numPr>
          <w:ilvl w:val="0"/>
          <w:numId w:val="1390"/>
        </w:numPr>
        <w:pStyle w:val="Compact"/>
      </w:pPr>
      <w:r>
        <w:t xml:space="preserve">2004 · Poo JL ·</w:t>
      </w:r>
      <w:r>
        <w:t xml:space="preserve"> </w:t>
      </w:r>
      <w:r>
        <w:rPr>
          <w:iCs/>
          <w:i/>
        </w:rPr>
        <w:t xml:space="preserve">J Gastroenterol Hepatol</w:t>
      </w:r>
      <w:r>
        <w:t xml:space="preserve"> </w:t>
      </w:r>
      <w:r>
        <w:t xml:space="preserve">· Triple combination of thymalfasin, peginterferon alfa-2a and ribavirin in patients with chronic hepatitis C who have failed prior interferon and ribavirin treatment: 24-week interim results of a pilot study. PMID 15546256</w:t>
      </w:r>
    </w:p>
    <w:p>
      <w:pPr>
        <w:numPr>
          <w:ilvl w:val="0"/>
          <w:numId w:val="1390"/>
        </w:numPr>
        <w:pStyle w:val="Compact"/>
      </w:pPr>
      <w:r>
        <w:t xml:space="preserve">2004 · Rustgi V ·</w:t>
      </w:r>
      <w:r>
        <w:t xml:space="preserve"> </w:t>
      </w:r>
      <w:r>
        <w:rPr>
          <w:iCs/>
          <w:i/>
        </w:rPr>
        <w:t xml:space="preserve">J Gastroenterol Hepatol</w:t>
      </w:r>
      <w:r>
        <w:t xml:space="preserve"> </w:t>
      </w:r>
      <w:r>
        <w:t xml:space="preserve">· Combination therapy of thymalfasin (thymosin-alpha 1) and peginterferon alfa-2a in patients with chronic hepatitis C virus infection who are non-responders to standard treatment. PMID 15546255</w:t>
      </w:r>
    </w:p>
    <w:p>
      <w:pPr>
        <w:numPr>
          <w:ilvl w:val="0"/>
          <w:numId w:val="1390"/>
        </w:numPr>
        <w:pStyle w:val="Compact"/>
      </w:pPr>
      <w:r>
        <w:t xml:space="preserve">2004 · Chien RN ·</w:t>
      </w:r>
      <w:r>
        <w:t xml:space="preserve"> </w:t>
      </w:r>
      <w:r>
        <w:rPr>
          <w:iCs/>
          <w:i/>
        </w:rPr>
        <w:t xml:space="preserve">Expert Rev Anti Infect Ther</w:t>
      </w:r>
      <w:r>
        <w:t xml:space="preserve"> </w:t>
      </w:r>
      <w:r>
        <w:t xml:space="preserve">· Thymalfasin for the treatment of chronic hepatitis B. PMID 15482167</w:t>
      </w:r>
    </w:p>
    <w:p>
      <w:pPr>
        <w:numPr>
          <w:ilvl w:val="0"/>
          <w:numId w:val="1390"/>
        </w:numPr>
        <w:pStyle w:val="Compact"/>
      </w:pPr>
      <w:r>
        <w:t xml:space="preserve">2004 · Shuqun C ·</w:t>
      </w:r>
      <w:r>
        <w:t xml:space="preserve"> </w:t>
      </w:r>
      <w:r>
        <w:rPr>
          <w:iCs/>
          <w:i/>
        </w:rPr>
        <w:t xml:space="preserve">Hepatogastroenterology</w:t>
      </w:r>
      <w:r>
        <w:t xml:space="preserve"> </w:t>
      </w:r>
      <w:r>
        <w:t xml:space="preserve">· Combination transcatheter hepatic arterial chemoembolization with thymosin alpha1 on recurrence prevention of hepatocellular carcinoma. PMID 15362772</w:t>
      </w:r>
    </w:p>
    <w:p>
      <w:pPr>
        <w:numPr>
          <w:ilvl w:val="0"/>
          <w:numId w:val="1390"/>
        </w:numPr>
        <w:pStyle w:val="Compact"/>
      </w:pPr>
      <w:r>
        <w:t xml:space="preserve">2004 · Lei CL ·</w:t>
      </w:r>
      <w:r>
        <w:t xml:space="preserve"> </w:t>
      </w:r>
      <w:r>
        <w:rPr>
          <w:iCs/>
          <w:i/>
        </w:rPr>
        <w:t xml:space="preserve">Zhonghua Shi Yan He Lin Chuang Bing Du Xue Za Zhi</w:t>
      </w:r>
      <w:r>
        <w:t xml:space="preserve"> </w:t>
      </w:r>
      <w:r>
        <w:t xml:space="preserve">· [Clinical trial of sequential antiviral therapy for patients with chronic hepatitis B in China]. PMID 15340532</w:t>
      </w:r>
    </w:p>
    <w:p>
      <w:pPr>
        <w:numPr>
          <w:ilvl w:val="0"/>
          <w:numId w:val="1390"/>
        </w:numPr>
        <w:pStyle w:val="Compact"/>
      </w:pPr>
      <w:r>
        <w:t xml:space="preserve">2004 · Cheng SQ ·</w:t>
      </w:r>
      <w:r>
        <w:t xml:space="preserve"> </w:t>
      </w:r>
      <w:r>
        <w:rPr>
          <w:iCs/>
          <w:i/>
        </w:rPr>
        <w:t xml:space="preserve">Zhonghua Zhong Liu Za Zhi</w:t>
      </w:r>
      <w:r>
        <w:t xml:space="preserve"> </w:t>
      </w:r>
      <w:r>
        <w:t xml:space="preserve">· [Transcatheter hepatic arterial chemoembolization and thymosin alpha1 in postoperative treatment of hepatocellular carcinoma]. PMID 15312371</w:t>
      </w:r>
    </w:p>
    <w:p>
      <w:pPr>
        <w:numPr>
          <w:ilvl w:val="0"/>
          <w:numId w:val="1390"/>
        </w:numPr>
        <w:pStyle w:val="Compact"/>
      </w:pPr>
      <w:r>
        <w:t xml:space="preserve">2004 · Andreone P ·</w:t>
      </w:r>
      <w:r>
        <w:t xml:space="preserve"> </w:t>
      </w:r>
      <w:r>
        <w:rPr>
          <w:iCs/>
          <w:i/>
        </w:rPr>
        <w:t xml:space="preserve">J Viral Hepat</w:t>
      </w:r>
      <w:r>
        <w:t xml:space="preserve"> </w:t>
      </w:r>
      <w:r>
        <w:t xml:space="preserve">· Thymosin-alpha 1 plus interferon-alpha for naive patients with chronic hepatitis C: results of a randomized controlled pilot trial. PMID 14738560</w:t>
      </w:r>
    </w:p>
    <w:p>
      <w:pPr>
        <w:numPr>
          <w:ilvl w:val="0"/>
          <w:numId w:val="1390"/>
        </w:numPr>
        <w:pStyle w:val="Compact"/>
      </w:pPr>
      <w:r>
        <w:t xml:space="preserve">2003 · Chadwick D ·</w:t>
      </w:r>
      <w:r>
        <w:t xml:space="preserve"> </w:t>
      </w:r>
      <w:r>
        <w:rPr>
          <w:iCs/>
          <w:i/>
        </w:rPr>
        <w:t xml:space="preserve">Clin Exp Immunol</w:t>
      </w:r>
      <w:r>
        <w:t xml:space="preserve"> </w:t>
      </w:r>
      <w:r>
        <w:t xml:space="preserve">· A pilot study of the safety and efficacy of thymosin alpha 1 in augmenting immune reconstitution in HIV-infected patients with low CD4 counts taking highly active antiretroviral therapy. PMID 14632754</w:t>
      </w:r>
    </w:p>
    <w:p>
      <w:pPr>
        <w:numPr>
          <w:ilvl w:val="0"/>
          <w:numId w:val="1390"/>
        </w:numPr>
        <w:pStyle w:val="Compact"/>
      </w:pPr>
      <w:r>
        <w:t xml:space="preserve">2003 · Arase Y ·</w:t>
      </w:r>
      <w:r>
        <w:t xml:space="preserve"> </w:t>
      </w:r>
      <w:r>
        <w:rPr>
          <w:iCs/>
          <w:i/>
        </w:rPr>
        <w:t xml:space="preserve">Intern Med</w:t>
      </w:r>
      <w:r>
        <w:t xml:space="preserve"> </w:t>
      </w:r>
      <w:r>
        <w:t xml:space="preserve">· A pilot study of thymosin alpha1 therapy for chronic hepatitis B patients. PMID 14606705</w:t>
      </w:r>
    </w:p>
    <w:p>
      <w:pPr>
        <w:numPr>
          <w:ilvl w:val="0"/>
          <w:numId w:val="1390"/>
        </w:numPr>
        <w:pStyle w:val="Compact"/>
      </w:pPr>
      <w:r>
        <w:t xml:space="preserve">2003 · Saruc M ·</w:t>
      </w:r>
      <w:r>
        <w:t xml:space="preserve"> </w:t>
      </w:r>
      <w:r>
        <w:rPr>
          <w:iCs/>
          <w:i/>
        </w:rPr>
        <w:t xml:space="preserve">J Pharm Sci</w:t>
      </w:r>
      <w:r>
        <w:t xml:space="preserve"> </w:t>
      </w:r>
      <w:r>
        <w:t xml:space="preserve">· Long-term outcomes of thymosin-alpha 1 and interferon alpha-2b combination therapy in patients with hepatitis B e antigen (HBeAg) negative chronic hepatitis B. PMID 12820143</w:t>
      </w:r>
    </w:p>
    <w:p>
      <w:pPr>
        <w:numPr>
          <w:ilvl w:val="0"/>
          <w:numId w:val="1390"/>
        </w:numPr>
        <w:pStyle w:val="Compact"/>
      </w:pPr>
      <w:r>
        <w:t xml:space="preserve">2002 · Lau GK ·</w:t>
      </w:r>
      <w:r>
        <w:t xml:space="preserve"> </w:t>
      </w:r>
      <w:r>
        <w:rPr>
          <w:iCs/>
          <w:i/>
        </w:rPr>
        <w:t xml:space="preserve">J Viral Hepat</w:t>
      </w:r>
      <w:r>
        <w:t xml:space="preserve"> </w:t>
      </w:r>
      <w:r>
        <w:t xml:space="preserve">· Thymosin-alpha1 and famciclovir combination therapy activates T-cell response in patients with chronic hepatitis B virus infection in immune-tolerant phase. PMID 12081605</w:t>
      </w:r>
    </w:p>
    <w:p>
      <w:pPr>
        <w:numPr>
          <w:ilvl w:val="0"/>
          <w:numId w:val="1390"/>
        </w:numPr>
        <w:pStyle w:val="Compact"/>
      </w:pPr>
      <w:r>
        <w:t xml:space="preserve">2002 · Amarapurkar D ·</w:t>
      </w:r>
      <w:r>
        <w:t xml:space="preserve"> </w:t>
      </w:r>
      <w:r>
        <w:rPr>
          <w:iCs/>
          <w:i/>
        </w:rPr>
        <w:t xml:space="preserve">Indian J Gastroenterol</w:t>
      </w:r>
      <w:r>
        <w:t xml:space="preserve"> </w:t>
      </w:r>
      <w:r>
        <w:t xml:space="preserve">· Thymosin alpha in the treatment of chronic hepatitis B: an uncontrolled open-label trial. PMID 11990327</w:t>
      </w:r>
    </w:p>
    <w:p>
      <w:pPr>
        <w:numPr>
          <w:ilvl w:val="0"/>
          <w:numId w:val="1390"/>
        </w:numPr>
        <w:pStyle w:val="Compact"/>
      </w:pPr>
      <w:r>
        <w:t xml:space="preserve">2001 · Kullavanuaya P ·</w:t>
      </w:r>
      <w:r>
        <w:t xml:space="preserve"> </w:t>
      </w:r>
      <w:r>
        <w:rPr>
          <w:iCs/>
          <w:i/>
        </w:rPr>
        <w:t xml:space="preserve">J Med Assoc Thai</w:t>
      </w:r>
      <w:r>
        <w:t xml:space="preserve"> </w:t>
      </w:r>
      <w:r>
        <w:t xml:space="preserve">· The combined treatment of interferon alpha-2a and thymosin alpha 1 for chronic hepatitis C: the 48 weeks end of treatment results. PMID 11529376</w:t>
      </w:r>
    </w:p>
    <w:p>
      <w:pPr>
        <w:numPr>
          <w:ilvl w:val="0"/>
          <w:numId w:val="1390"/>
        </w:numPr>
        <w:pStyle w:val="Compact"/>
      </w:pPr>
      <w:r>
        <w:t xml:space="preserve">2000 · Rasi G ·</w:t>
      </w:r>
      <w:r>
        <w:t xml:space="preserve"> </w:t>
      </w:r>
      <w:r>
        <w:rPr>
          <w:iCs/>
          <w:i/>
        </w:rPr>
        <w:t xml:space="preserve">Melanoma Res</w:t>
      </w:r>
      <w:r>
        <w:t xml:space="preserve"> </w:t>
      </w:r>
      <w:r>
        <w:t xml:space="preserve">· Combined treatment with thymosin-alpha1 and low dose interferon-alpha after dacarbazine in advanced melanoma. PMID 10803720</w:t>
      </w:r>
    </w:p>
    <w:p>
      <w:pPr>
        <w:numPr>
          <w:ilvl w:val="0"/>
          <w:numId w:val="1390"/>
        </w:numPr>
        <w:pStyle w:val="Compact"/>
      </w:pPr>
      <w:r>
        <w:t xml:space="preserve">2000 · Zavaglia C ·</w:t>
      </w:r>
      <w:r>
        <w:t xml:space="preserve"> </w:t>
      </w:r>
      <w:r>
        <w:rPr>
          <w:iCs/>
          <w:i/>
        </w:rPr>
        <w:t xml:space="preserve">Dig Dis Sci</w:t>
      </w:r>
      <w:r>
        <w:t xml:space="preserve"> </w:t>
      </w:r>
      <w:r>
        <w:t xml:space="preserve">· A randomized, controlled study of thymosin-alpha1 therapy in patients with anti-HBe, HBV-DNA-positive chronic hepatitis B. PMID 10759236</w:t>
      </w:r>
    </w:p>
    <w:p>
      <w:pPr>
        <w:numPr>
          <w:ilvl w:val="0"/>
          <w:numId w:val="1390"/>
        </w:numPr>
        <w:pStyle w:val="Compact"/>
      </w:pPr>
      <w:r>
        <w:t xml:space="preserve">2000 · Molinero P ·</w:t>
      </w:r>
      <w:r>
        <w:t xml:space="preserve"> </w:t>
      </w:r>
      <w:r>
        <w:rPr>
          <w:iCs/>
          <w:i/>
        </w:rPr>
        <w:t xml:space="preserve">J Neuroimmunol</w:t>
      </w:r>
      <w:r>
        <w:t xml:space="preserve"> </w:t>
      </w:r>
      <w:r>
        <w:t xml:space="preserve">· Melatonin is responsible for the nocturnal increase observed in serum and thymus of thymosin alpha1 and thymulin concentrations: observations in rats and humans. PMID 10696913</w:t>
      </w:r>
    </w:p>
    <w:p>
      <w:pPr>
        <w:numPr>
          <w:ilvl w:val="0"/>
          <w:numId w:val="1390"/>
        </w:numPr>
        <w:pStyle w:val="Compact"/>
      </w:pPr>
      <w:r>
        <w:t xml:space="preserve">1999 · Mutchnick MG ·</w:t>
      </w:r>
      <w:r>
        <w:t xml:space="preserve"> </w:t>
      </w:r>
      <w:r>
        <w:rPr>
          <w:iCs/>
          <w:i/>
        </w:rPr>
        <w:t xml:space="preserve">J Viral Hepat</w:t>
      </w:r>
      <w:r>
        <w:t xml:space="preserve"> </w:t>
      </w:r>
      <w:r>
        <w:t xml:space="preserve">· Thymosin alpha1 treatment of chronic hepatitis B: results of a phase III multicentre, randomized, double-blind and placebo-controlled study. PMID 10607256</w:t>
      </w:r>
    </w:p>
    <w:p>
      <w:pPr>
        <w:numPr>
          <w:ilvl w:val="0"/>
          <w:numId w:val="1390"/>
        </w:numPr>
        <w:pStyle w:val="Compact"/>
      </w:pPr>
      <w:r>
        <w:t xml:space="preserve">1999 · Rost KL ·</w:t>
      </w:r>
      <w:r>
        <w:t xml:space="preserve"> </w:t>
      </w:r>
      <w:r>
        <w:rPr>
          <w:iCs/>
          <w:i/>
        </w:rPr>
        <w:t xml:space="preserve">Int J Clin Pharmacol Ther</w:t>
      </w:r>
      <w:r>
        <w:t xml:space="preserve"> </w:t>
      </w:r>
      <w:r>
        <w:t xml:space="preserve">· Pharmacokinetics of thymosin alpha1 after subcutaneous injection of three different formulations in healthy volunteers. PMID 10027483</w:t>
      </w:r>
    </w:p>
    <w:p>
      <w:pPr>
        <w:numPr>
          <w:ilvl w:val="0"/>
          <w:numId w:val="1390"/>
        </w:numPr>
        <w:pStyle w:val="Compact"/>
      </w:pPr>
      <w:r>
        <w:t xml:space="preserve">1998 · Moscarella S ·</w:t>
      </w:r>
      <w:r>
        <w:t xml:space="preserve"> </w:t>
      </w:r>
      <w:r>
        <w:rPr>
          <w:iCs/>
          <w:i/>
        </w:rPr>
        <w:t xml:space="preserve">Liver</w:t>
      </w:r>
      <w:r>
        <w:t xml:space="preserve"> </w:t>
      </w:r>
      <w:r>
        <w:t xml:space="preserve">· Interferon and thymosin combination therapy in naive patients with chronic hepatitis C: preliminary results. PMID 9831367</w:t>
      </w:r>
    </w:p>
    <w:p>
      <w:pPr>
        <w:numPr>
          <w:ilvl w:val="0"/>
          <w:numId w:val="1390"/>
        </w:numPr>
        <w:pStyle w:val="Compact"/>
      </w:pPr>
      <w:r>
        <w:t xml:space="preserve">1998 · Chien RN ·</w:t>
      </w:r>
      <w:r>
        <w:t xml:space="preserve"> </w:t>
      </w:r>
      <w:r>
        <w:rPr>
          <w:iCs/>
          <w:i/>
        </w:rPr>
        <w:t xml:space="preserve">Hepatology</w:t>
      </w:r>
      <w:r>
        <w:t xml:space="preserve"> </w:t>
      </w:r>
      <w:r>
        <w:t xml:space="preserve">· Efficacy of thymosin alpha1 in patients with chronic hepatitis B: a randomized, controlled trial. PMID 9581695</w:t>
      </w:r>
    </w:p>
    <w:p>
      <w:pPr>
        <w:numPr>
          <w:ilvl w:val="0"/>
          <w:numId w:val="1390"/>
        </w:numPr>
        <w:pStyle w:val="Compact"/>
      </w:pPr>
      <w:r>
        <w:t xml:space="preserve">1998 · Sherman KE ·</w:t>
      </w:r>
      <w:r>
        <w:t xml:space="preserve"> </w:t>
      </w:r>
      <w:r>
        <w:rPr>
          <w:iCs/>
          <w:i/>
        </w:rPr>
        <w:t xml:space="preserve">Hepatology</w:t>
      </w:r>
      <w:r>
        <w:t xml:space="preserve"> </w:t>
      </w:r>
      <w:r>
        <w:t xml:space="preserve">· Combination therapy with thymosin alpha1 and interferon for the treatment of chronic hepatitis C infection: a randomized, placebo-controlled double-blind trial. PMID 9537454</w:t>
      </w:r>
    </w:p>
    <w:p>
      <w:pPr>
        <w:numPr>
          <w:ilvl w:val="0"/>
          <w:numId w:val="1390"/>
        </w:numPr>
        <w:pStyle w:val="Compact"/>
      </w:pPr>
      <w:r>
        <w:t xml:space="preserve">1996 · Zavaglia C ·</w:t>
      </w:r>
      <w:r>
        <w:t xml:space="preserve"> </w:t>
      </w:r>
      <w:r>
        <w:rPr>
          <w:iCs/>
          <w:i/>
        </w:rPr>
        <w:t xml:space="preserve">J Clin Gastroenterol</w:t>
      </w:r>
      <w:r>
        <w:t xml:space="preserve"> </w:t>
      </w:r>
      <w:r>
        <w:t xml:space="preserve">· A pilot study of thymosin-alpha 1 therapy for chronic hepatitis D. PMID 8877652</w:t>
      </w:r>
    </w:p>
    <w:p>
      <w:pPr>
        <w:numPr>
          <w:ilvl w:val="0"/>
          <w:numId w:val="1390"/>
        </w:numPr>
        <w:pStyle w:val="Compact"/>
      </w:pPr>
      <w:r>
        <w:t xml:space="preserve">1996 · Andreone P ·</w:t>
      </w:r>
      <w:r>
        <w:t xml:space="preserve"> </w:t>
      </w:r>
      <w:r>
        <w:rPr>
          <w:iCs/>
          <w:i/>
        </w:rPr>
        <w:t xml:space="preserve">Liver</w:t>
      </w:r>
      <w:r>
        <w:t xml:space="preserve"> </w:t>
      </w:r>
      <w:r>
        <w:t xml:space="preserve">· A double-blind, placebo-controlled, pilot trial of thymosin alpha 1 for the treatment of chronic hepatitis C. PMID 8873009</w:t>
      </w:r>
    </w:p>
    <w:p>
      <w:pPr>
        <w:numPr>
          <w:ilvl w:val="0"/>
          <w:numId w:val="1390"/>
        </w:numPr>
        <w:pStyle w:val="Compact"/>
      </w:pPr>
      <w:r>
        <w:t xml:space="preserve">1996 · Rasi G ·</w:t>
      </w:r>
      <w:r>
        <w:t xml:space="preserve"> </w:t>
      </w:r>
      <w:r>
        <w:rPr>
          <w:iCs/>
          <w:i/>
        </w:rPr>
        <w:t xml:space="preserve">J Viral Hepat</w:t>
      </w:r>
      <w:r>
        <w:t xml:space="preserve"> </w:t>
      </w:r>
      <w:r>
        <w:t xml:space="preserve">· Combination low-dose lymphoblastoid interferon and thymosin alpha 1 therapy in the treatment of chronic hepatitis B. PMID 8871880</w:t>
      </w:r>
    </w:p>
    <w:p>
      <w:pPr>
        <w:numPr>
          <w:ilvl w:val="0"/>
          <w:numId w:val="1390"/>
        </w:numPr>
        <w:pStyle w:val="Compact"/>
      </w:pPr>
      <w:r>
        <w:t xml:space="preserve">1996 · Andreone P ·</w:t>
      </w:r>
      <w:r>
        <w:t xml:space="preserve"> </w:t>
      </w:r>
      <w:r>
        <w:rPr>
          <w:iCs/>
          <w:i/>
        </w:rPr>
        <w:t xml:space="preserve">Hepatology</w:t>
      </w:r>
      <w:r>
        <w:t xml:space="preserve"> </w:t>
      </w:r>
      <w:r>
        <w:t xml:space="preserve">· A randomized controlled trial of thymosin-alpha1 versus interferon alfa treatment in patients with hepatitis B e antigen antibody–and hepatitis B virus DNA–positive chronic hepatitis B. PMID 8855175</w:t>
      </w:r>
    </w:p>
    <w:p>
      <w:pPr>
        <w:numPr>
          <w:ilvl w:val="0"/>
          <w:numId w:val="1390"/>
        </w:numPr>
        <w:pStyle w:val="Compact"/>
      </w:pPr>
      <w:r>
        <w:t xml:space="preserve">1996 · Salvati F ·</w:t>
      </w:r>
      <w:r>
        <w:t xml:space="preserve"> </w:t>
      </w:r>
      <w:r>
        <w:rPr>
          <w:iCs/>
          <w:i/>
        </w:rPr>
        <w:t xml:space="preserve">Anticancer Res</w:t>
      </w:r>
      <w:r>
        <w:t xml:space="preserve"> </w:t>
      </w:r>
      <w:r>
        <w:t xml:space="preserve">· Combined treatment with thymosin-alpha1 and low-dose interferon-alpha after ifosfamide in non-small cell lung cancer: a phase-II controlled trial. PMID 8687090</w:t>
      </w:r>
    </w:p>
    <w:p>
      <w:pPr>
        <w:numPr>
          <w:ilvl w:val="0"/>
          <w:numId w:val="1390"/>
        </w:numPr>
        <w:pStyle w:val="Compact"/>
      </w:pPr>
      <w:r>
        <w:t xml:space="preserve">1996 · Ramachandran R ·</w:t>
      </w:r>
      <w:r>
        <w:t xml:space="preserve"> </w:t>
      </w:r>
      <w:r>
        <w:rPr>
          <w:iCs/>
          <w:i/>
        </w:rPr>
        <w:t xml:space="preserve">J Infect Dis</w:t>
      </w:r>
      <w:r>
        <w:t xml:space="preserve"> </w:t>
      </w:r>
      <w:r>
        <w:t xml:space="preserve">· Polyethylene glycol-modified interleukin-2 and thymosin alpha 1 in human immunodeficiency virus type 1 infection. PMID 8603940</w:t>
      </w:r>
    </w:p>
    <w:p>
      <w:pPr>
        <w:numPr>
          <w:ilvl w:val="0"/>
          <w:numId w:val="1390"/>
        </w:numPr>
        <w:pStyle w:val="Compact"/>
      </w:pPr>
      <w:r>
        <w:t xml:space="preserve">1995 · Garaci E ·</w:t>
      </w:r>
      <w:r>
        <w:t xml:space="preserve"> </w:t>
      </w:r>
      <w:r>
        <w:rPr>
          <w:iCs/>
          <w:i/>
        </w:rPr>
        <w:t xml:space="preserve">Eur J Cancer</w:t>
      </w:r>
      <w:r>
        <w:t xml:space="preserve"> </w:t>
      </w:r>
      <w:r>
        <w:t xml:space="preserve">· Sequential chemoimmunotherapy for advanced non-small cell lung cancer using cisplatin, etoposide, thymosin-alpha 1 and interferon-alpha 2a. PMID 8652276</w:t>
      </w:r>
    </w:p>
    <w:p>
      <w:pPr>
        <w:numPr>
          <w:ilvl w:val="0"/>
          <w:numId w:val="1390"/>
        </w:numPr>
        <w:pStyle w:val="Compact"/>
      </w:pPr>
      <w:r>
        <w:t xml:space="preserve">1995 · Naz RK ·</w:t>
      </w:r>
      <w:r>
        <w:t xml:space="preserve"> </w:t>
      </w:r>
      <w:r>
        <w:rPr>
          <w:iCs/>
          <w:i/>
        </w:rPr>
        <w:t xml:space="preserve">Arch Androl</w:t>
      </w:r>
      <w:r>
        <w:t xml:space="preserve"> </w:t>
      </w:r>
      <w:r>
        <w:t xml:space="preserve">· Treatment with thymosin alpha-1 increases fertilizing capacity of sperm of infertile men: a multicenter trial. PMID 8579476</w:t>
      </w:r>
    </w:p>
    <w:p>
      <w:pPr>
        <w:numPr>
          <w:ilvl w:val="0"/>
          <w:numId w:val="1390"/>
        </w:numPr>
        <w:pStyle w:val="Compact"/>
      </w:pPr>
      <w:r>
        <w:t xml:space="preserve">1994 · Garaci E ·</w:t>
      </w:r>
      <w:r>
        <w:t xml:space="preserve"> </w:t>
      </w:r>
      <w:r>
        <w:rPr>
          <w:iCs/>
          <w:i/>
        </w:rPr>
        <w:t xml:space="preserve">Int J Clin Lab Res</w:t>
      </w:r>
      <w:r>
        <w:t xml:space="preserve"> </w:t>
      </w:r>
      <w:r>
        <w:t xml:space="preserve">· Combination treatment with zidovudine, thymosin alpha 1 and interferon-alpha in human immunodeficiency virus infection. PMID 7910053</w:t>
      </w:r>
    </w:p>
    <w:p>
      <w:pPr>
        <w:numPr>
          <w:ilvl w:val="0"/>
          <w:numId w:val="1390"/>
        </w:numPr>
        <w:pStyle w:val="Compact"/>
      </w:pPr>
      <w:r>
        <w:t xml:space="preserve">1994 · Lopez M ·</w:t>
      </w:r>
      <w:r>
        <w:t xml:space="preserve"> </w:t>
      </w:r>
      <w:r>
        <w:rPr>
          <w:iCs/>
          <w:i/>
        </w:rPr>
        <w:t xml:space="preserve">Ann Oncol</w:t>
      </w:r>
      <w:r>
        <w:t xml:space="preserve"> </w:t>
      </w:r>
      <w:r>
        <w:t xml:space="preserve">· Biochemotherapy with thymosin alpha 1, interleukin-2 and dacarbazine in patients with metastatic melanoma: clinical and immunological effects. PMID 7826907</w:t>
      </w:r>
    </w:p>
    <w:p>
      <w:pPr>
        <w:numPr>
          <w:ilvl w:val="0"/>
          <w:numId w:val="1390"/>
        </w:numPr>
        <w:pStyle w:val="Compact"/>
      </w:pPr>
      <w:r>
        <w:t xml:space="preserve">1991 · Mutchnick MG ·</w:t>
      </w:r>
      <w:r>
        <w:t xml:space="preserve"> </w:t>
      </w:r>
      <w:r>
        <w:rPr>
          <w:iCs/>
          <w:i/>
        </w:rPr>
        <w:t xml:space="preserve">Hepatology</w:t>
      </w:r>
      <w:r>
        <w:t xml:space="preserve"> </w:t>
      </w:r>
      <w:r>
        <w:t xml:space="preserve">· Thymosin treatment of chronic hepatitis B: a placebo-controlled pilot trial. PMID 1874487</w:t>
      </w:r>
    </w:p>
    <w:p>
      <w:pPr>
        <w:numPr>
          <w:ilvl w:val="0"/>
          <w:numId w:val="1390"/>
        </w:numPr>
        <w:pStyle w:val="Compact"/>
      </w:pPr>
      <w:r>
        <w:t xml:space="preserve">1989 · Gravenstein S ·</w:t>
      </w:r>
      <w:r>
        <w:t xml:space="preserve"> </w:t>
      </w:r>
      <w:r>
        <w:rPr>
          <w:iCs/>
          <w:i/>
        </w:rPr>
        <w:t xml:space="preserve">J Am Geriatr Soc</w:t>
      </w:r>
      <w:r>
        <w:t xml:space="preserve"> </w:t>
      </w:r>
      <w:r>
        <w:t xml:space="preserve">· Augmentation of influenza antibody response in elderly men by thymosin alpha one. A double-blind placebo-controlled clinical study. PMID 2642497</w:t>
      </w:r>
    </w:p>
    <w:p>
      <w:pPr>
        <w:numPr>
          <w:ilvl w:val="0"/>
          <w:numId w:val="1390"/>
        </w:numPr>
        <w:pStyle w:val="Compact"/>
      </w:pPr>
      <w:r>
        <w:t xml:space="preserve">1985 · Schulof RS ·</w:t>
      </w:r>
      <w:r>
        <w:t xml:space="preserve"> </w:t>
      </w:r>
      <w:r>
        <w:rPr>
          <w:iCs/>
          <w:i/>
        </w:rPr>
        <w:t xml:space="preserve">J Biol Response Mod</w:t>
      </w:r>
      <w:r>
        <w:t xml:space="preserve"> </w:t>
      </w:r>
      <w:r>
        <w:t xml:space="preserve">· A randomized trial to evaluate the immunorestorative properties of synthetic thymosin-alpha 1 in patients with lung cancer. PMID 3998766</w:t>
      </w:r>
    </w:p>
    <w:p>
      <w:pPr>
        <w:numPr>
          <w:ilvl w:val="0"/>
          <w:numId w:val="1390"/>
        </w:numPr>
        <w:pStyle w:val="Compact"/>
      </w:pPr>
      <w:r>
        <w:t xml:space="preserve">1985 · Schulof RS ·</w:t>
      </w:r>
      <w:r>
        <w:t xml:space="preserve"> </w:t>
      </w:r>
      <w:r>
        <w:rPr>
          <w:iCs/>
          <w:i/>
        </w:rPr>
        <w:t xml:space="preserve">Cancer</w:t>
      </w:r>
      <w:r>
        <w:t xml:space="preserve"> </w:t>
      </w:r>
      <w:r>
        <w:t xml:space="preserve">· T-cell abnormalities after mediastinal irradiation for lung cancer. The in vitro influence of synthetic thymosin alpha-1. PMID 3155644</w:t>
      </w:r>
    </w:p>
    <w:p>
      <w:pPr>
        <w:numPr>
          <w:ilvl w:val="0"/>
          <w:numId w:val="1390"/>
        </w:numPr>
        <w:pStyle w:val="Compact"/>
      </w:pPr>
      <w:r>
        <w:t xml:space="preserve">1984 · Naylor PH ·</w:t>
      </w:r>
      <w:r>
        <w:t xml:space="preserve"> </w:t>
      </w:r>
      <w:r>
        <w:rPr>
          <w:iCs/>
          <w:i/>
        </w:rPr>
        <w:t xml:space="preserve">Ann N Y Acad Sci</w:t>
      </w:r>
      <w:r>
        <w:t xml:space="preserve"> </w:t>
      </w:r>
      <w:r>
        <w:t xml:space="preserve">· Thymosin in the early diagnosis and treatment of high risk homosexuals and hemophiliacs with AIDS-like immune dysfunction. PMID 6398657</w:t>
      </w:r>
    </w:p>
    <w:bookmarkEnd w:id="3031"/>
    <w:bookmarkStart w:id="3032" w:name="kpv-0"/>
    <w:p>
      <w:pPr>
        <w:pStyle w:val="Heading2"/>
      </w:pPr>
      <w:r>
        <w:t xml:space="preserve">KPV (0)</w:t>
      </w:r>
    </w:p>
    <w:p>
      <w:pPr>
        <w:pStyle w:val="FirstParagraph"/>
      </w:pPr>
      <w:r>
        <w:t xml:space="preserve">Nessuna pubblicazione di studi clinici sull’uomo trovata.</w:t>
      </w:r>
    </w:p>
    <w:bookmarkEnd w:id="3032"/>
    <w:bookmarkStart w:id="3033" w:name="ll-37-91"/>
    <w:p>
      <w:pPr>
        <w:pStyle w:val="Heading2"/>
      </w:pPr>
      <w:r>
        <w:t xml:space="preserve">LL-37 (91)</w:t>
      </w:r>
    </w:p>
    <w:p>
      <w:pPr>
        <w:numPr>
          <w:ilvl w:val="0"/>
          <w:numId w:val="1391"/>
        </w:numPr>
        <w:pStyle w:val="Compact"/>
      </w:pPr>
      <w:r>
        <w:t xml:space="preserve">2026 · Song S ·</w:t>
      </w:r>
      <w:r>
        <w:t xml:space="preserve"> </w:t>
      </w:r>
      <w:r>
        <w:rPr>
          <w:iCs/>
          <w:i/>
        </w:rPr>
        <w:t xml:space="preserve">Probiotics Antimicrob Proteins</w:t>
      </w:r>
      <w:r>
        <w:t xml:space="preserve"> </w:t>
      </w:r>
      <w:r>
        <w:t xml:space="preserve">· Assessing the Safety and Probiotic Potential of Bifidobacterium longum subsp. infantis BI45: A Comprehensive Study from Genomic Analysis to Randomized Controlled Clinical Trial in Healthy Adults. PMID 42118446</w:t>
      </w:r>
    </w:p>
    <w:p>
      <w:pPr>
        <w:numPr>
          <w:ilvl w:val="0"/>
          <w:numId w:val="1391"/>
        </w:numPr>
        <w:pStyle w:val="Compact"/>
      </w:pPr>
      <w:r>
        <w:t xml:space="preserve">2026 · Jin M ·</w:t>
      </w:r>
      <w:r>
        <w:t xml:space="preserve"> </w:t>
      </w:r>
      <w:r>
        <w:rPr>
          <w:iCs/>
          <w:i/>
        </w:rPr>
        <w:t xml:space="preserve">Food Chem Toxicol</w:t>
      </w:r>
      <w:r>
        <w:t xml:space="preserve"> </w:t>
      </w:r>
      <w:r>
        <w:t xml:space="preserve">· Limosilactobacillus fermentum LF61: A multidimensional study on safety and functionality from genomics to clinical application. PMID 41655688</w:t>
      </w:r>
    </w:p>
    <w:p>
      <w:pPr>
        <w:numPr>
          <w:ilvl w:val="0"/>
          <w:numId w:val="1391"/>
        </w:numPr>
        <w:pStyle w:val="Compact"/>
      </w:pPr>
      <w:r>
        <w:t xml:space="preserve">2026 · Ito R ·</w:t>
      </w:r>
      <w:r>
        <w:t xml:space="preserve"> </w:t>
      </w:r>
      <w:r>
        <w:rPr>
          <w:iCs/>
          <w:i/>
        </w:rPr>
        <w:t xml:space="preserve">Eur J Appl Physiol</w:t>
      </w:r>
      <w:r>
        <w:t xml:space="preserve"> </w:t>
      </w:r>
      <w:r>
        <w:t xml:space="preserve">· Acute effects of continuous and interval cycling on salivary SIgA and anti-microbial peptide secretions: a randomized crossover trial. PMID 40810749</w:t>
      </w:r>
    </w:p>
    <w:p>
      <w:pPr>
        <w:numPr>
          <w:ilvl w:val="0"/>
          <w:numId w:val="1391"/>
        </w:numPr>
        <w:pStyle w:val="Compact"/>
      </w:pPr>
      <w:r>
        <w:t xml:space="preserve">2025 · Welling A ·</w:t>
      </w:r>
      <w:r>
        <w:t xml:space="preserve"> </w:t>
      </w:r>
      <w:r>
        <w:rPr>
          <w:iCs/>
          <w:i/>
        </w:rPr>
        <w:t xml:space="preserve">Eur Spine J</w:t>
      </w:r>
      <w:r>
        <w:t xml:space="preserve"> </w:t>
      </w:r>
      <w:r>
        <w:t xml:space="preserve">· Impact of 3-dimensional myofascial release on tumor necrosis factor (TNF) alpha biomarker in nonspecific low back pain: a randomised controlled trial. PMID 40853451</w:t>
      </w:r>
    </w:p>
    <w:p>
      <w:pPr>
        <w:numPr>
          <w:ilvl w:val="0"/>
          <w:numId w:val="1391"/>
        </w:numPr>
        <w:pStyle w:val="Compact"/>
      </w:pPr>
      <w:r>
        <w:t xml:space="preserve">2025 · Kamboj K ·</w:t>
      </w:r>
      <w:r>
        <w:t xml:space="preserve"> </w:t>
      </w:r>
      <w:r>
        <w:rPr>
          <w:iCs/>
          <w:i/>
        </w:rPr>
        <w:t xml:space="preserve">Front Immunol</w:t>
      </w:r>
      <w:r>
        <w:t xml:space="preserve"> </w:t>
      </w:r>
      <w:r>
        <w:t xml:space="preserve">· Effect of cholecalciferol on immune and vascular function in non-diabetic chronic kidney disease. PMID 40342405</w:t>
      </w:r>
    </w:p>
    <w:p>
      <w:pPr>
        <w:numPr>
          <w:ilvl w:val="0"/>
          <w:numId w:val="1391"/>
        </w:numPr>
        <w:pStyle w:val="Compact"/>
      </w:pPr>
      <w:r>
        <w:t xml:space="preserve">2025 · Gonçalves AM ·</w:t>
      </w:r>
      <w:r>
        <w:t xml:space="preserve"> </w:t>
      </w:r>
      <w:r>
        <w:rPr>
          <w:iCs/>
          <w:i/>
        </w:rPr>
        <w:t xml:space="preserve">Nutrients</w:t>
      </w:r>
      <w:r>
        <w:t xml:space="preserve"> </w:t>
      </w:r>
      <w:r>
        <w:t xml:space="preserve">· The Immunomodulatory Activity of High Doses of Vitamin D in Critical Care Patients with Severe SARS-CoV-2 Pneumonia-A Randomized Controlled Trial. PMID 39940396</w:t>
      </w:r>
    </w:p>
    <w:p>
      <w:pPr>
        <w:numPr>
          <w:ilvl w:val="0"/>
          <w:numId w:val="1391"/>
        </w:numPr>
        <w:pStyle w:val="Compact"/>
      </w:pPr>
      <w:r>
        <w:t xml:space="preserve">2025 · Picosse F ·</w:t>
      </w:r>
      <w:r>
        <w:t xml:space="preserve"> </w:t>
      </w:r>
      <w:r>
        <w:rPr>
          <w:iCs/>
          <w:i/>
        </w:rPr>
        <w:t xml:space="preserve">Int J Dermatol</w:t>
      </w:r>
      <w:r>
        <w:t xml:space="preserve"> </w:t>
      </w:r>
      <w:r>
        <w:t xml:space="preserve">· A comparative exploration of immunohistochemical markers in patients with papulopustular rosacea undergoing treatment with oral isotretinoin versus doxycycline. PMID 39097930</w:t>
      </w:r>
    </w:p>
    <w:p>
      <w:pPr>
        <w:numPr>
          <w:ilvl w:val="0"/>
          <w:numId w:val="1391"/>
        </w:numPr>
        <w:pStyle w:val="Compact"/>
      </w:pPr>
      <w:r>
        <w:t xml:space="preserve">2024 · Reyes ML ·</w:t>
      </w:r>
      <w:r>
        <w:t xml:space="preserve"> </w:t>
      </w:r>
      <w:r>
        <w:rPr>
          <w:iCs/>
          <w:i/>
        </w:rPr>
        <w:t xml:space="preserve">J Pediatr</w:t>
      </w:r>
      <w:r>
        <w:t xml:space="preserve"> </w:t>
      </w:r>
      <w:r>
        <w:t xml:space="preserve">· Weekly Vitamin D Supplementation to Prevent Acute Respiratory Infections in Young Children at Different Latitudes: A Randomized Controlled Trial. PMID 39181322</w:t>
      </w:r>
    </w:p>
    <w:p>
      <w:pPr>
        <w:numPr>
          <w:ilvl w:val="0"/>
          <w:numId w:val="1391"/>
        </w:numPr>
        <w:pStyle w:val="Compact"/>
      </w:pPr>
      <w:r>
        <w:t xml:space="preserve">2024 · Ito R ·</w:t>
      </w:r>
      <w:r>
        <w:t xml:space="preserve"> </w:t>
      </w:r>
      <w:r>
        <w:rPr>
          <w:iCs/>
          <w:i/>
        </w:rPr>
        <w:t xml:space="preserve">Am J Physiol Regul Integr Comp Physiol</w:t>
      </w:r>
      <w:r>
        <w:t xml:space="preserve"> </w:t>
      </w:r>
      <w:r>
        <w:t xml:space="preserve">· Acute salivary antimicrobial peptide secretion response to different exercise intensities and durations. PMID 39155711</w:t>
      </w:r>
    </w:p>
    <w:p>
      <w:pPr>
        <w:numPr>
          <w:ilvl w:val="0"/>
          <w:numId w:val="1391"/>
        </w:numPr>
        <w:pStyle w:val="Compact"/>
      </w:pPr>
      <w:r>
        <w:t xml:space="preserve">2024 · Ashoor TM ·</w:t>
      </w:r>
      <w:r>
        <w:t xml:space="preserve"> </w:t>
      </w:r>
      <w:r>
        <w:rPr>
          <w:iCs/>
          <w:i/>
        </w:rPr>
        <w:t xml:space="preserve">J Intensive Care Med</w:t>
      </w:r>
      <w:r>
        <w:t xml:space="preserve"> </w:t>
      </w:r>
      <w:r>
        <w:t xml:space="preserve">· Outcomes of High-Dose Versus Low-Dose Vitamin D on Prognosis of Sepsis Requiring Mechanical Ventilation: A Randomized Controlled Trial. PMID 38706151</w:t>
      </w:r>
    </w:p>
    <w:p>
      <w:pPr>
        <w:numPr>
          <w:ilvl w:val="0"/>
          <w:numId w:val="1391"/>
        </w:numPr>
        <w:pStyle w:val="Compact"/>
      </w:pPr>
      <w:r>
        <w:t xml:space="preserve">2024 · Borzutzky A ·</w:t>
      </w:r>
      <w:r>
        <w:t xml:space="preserve"> </w:t>
      </w:r>
      <w:r>
        <w:rPr>
          <w:iCs/>
          <w:i/>
        </w:rPr>
        <w:t xml:space="preserve">J Eur Acad Dermatol Venereol</w:t>
      </w:r>
      <w:r>
        <w:t xml:space="preserve"> </w:t>
      </w:r>
      <w:r>
        <w:t xml:space="preserve">· Effect of weekly vitamin D supplementation on the severity of atopic dermatitis and type 2 immunity biomarkers in children: A randomized controlled trial. PMID 38483248</w:t>
      </w:r>
    </w:p>
    <w:p>
      <w:pPr>
        <w:numPr>
          <w:ilvl w:val="0"/>
          <w:numId w:val="1391"/>
        </w:numPr>
        <w:pStyle w:val="Compact"/>
      </w:pPr>
      <w:r>
        <w:t xml:space="preserve">2024 · Chen K ·</w:t>
      </w:r>
      <w:r>
        <w:t xml:space="preserve"> </w:t>
      </w:r>
      <w:r>
        <w:rPr>
          <w:iCs/>
          <w:i/>
        </w:rPr>
        <w:t xml:space="preserve">Eur J Clin Nutr</w:t>
      </w:r>
      <w:r>
        <w:t xml:space="preserve"> </w:t>
      </w:r>
      <w:r>
        <w:t xml:space="preserve">· Adjudicative efficacy of Bifidobacterium animalis subsp. lactis BLa80 in treating acute diarrhea in children: a randomized, double-blinded, placebo-controlled study. PMID 38467857</w:t>
      </w:r>
    </w:p>
    <w:p>
      <w:pPr>
        <w:numPr>
          <w:ilvl w:val="0"/>
          <w:numId w:val="1391"/>
        </w:numPr>
        <w:pStyle w:val="Compact"/>
      </w:pPr>
      <w:r>
        <w:t xml:space="preserve">2023 · Zhao Y ·</w:t>
      </w:r>
      <w:r>
        <w:t xml:space="preserve"> </w:t>
      </w:r>
      <w:r>
        <w:rPr>
          <w:iCs/>
          <w:i/>
        </w:rPr>
        <w:t xml:space="preserve">J Med Virol</w:t>
      </w:r>
      <w:r>
        <w:t xml:space="preserve"> </w:t>
      </w:r>
      <w:r>
        <w:t xml:space="preserve">· Efficacy and safety of Oral LL-37 against the Omicron BA.5.1.3 variant of SARS-COV-2: A randomized trial. PMID 37605995</w:t>
      </w:r>
    </w:p>
    <w:p>
      <w:pPr>
        <w:numPr>
          <w:ilvl w:val="0"/>
          <w:numId w:val="1391"/>
        </w:numPr>
        <w:pStyle w:val="Compact"/>
      </w:pPr>
      <w:r>
        <w:t xml:space="preserve">2023 · Miranda E ·</w:t>
      </w:r>
      <w:r>
        <w:t xml:space="preserve"> </w:t>
      </w:r>
      <w:r>
        <w:rPr>
          <w:iCs/>
          <w:i/>
        </w:rPr>
        <w:t xml:space="preserve">Arch Dermatol Res</w:t>
      </w:r>
      <w:r>
        <w:t xml:space="preserve"> </w:t>
      </w:r>
      <w:r>
        <w:t xml:space="preserve">· Efficacy of LL-37 cream in enhancing healing of diabetic foot ulcer: a randomized double-blind controlled trial. PMID 37480520</w:t>
      </w:r>
    </w:p>
    <w:p>
      <w:pPr>
        <w:numPr>
          <w:ilvl w:val="0"/>
          <w:numId w:val="1391"/>
        </w:numPr>
        <w:pStyle w:val="Compact"/>
      </w:pPr>
      <w:r>
        <w:t xml:space="preserve">2023 · George R ·</w:t>
      </w:r>
      <w:r>
        <w:t xml:space="preserve"> </w:t>
      </w:r>
      <w:r>
        <w:rPr>
          <w:iCs/>
          <w:i/>
        </w:rPr>
        <w:t xml:space="preserve">J Drugs Dermatol</w:t>
      </w:r>
      <w:r>
        <w:t xml:space="preserve"> </w:t>
      </w:r>
      <w:r>
        <w:t xml:space="preserve">· Reduction of Erythema in Moderate-Severe Rosacea by a Low Molecular Weight Heparan Sulfate Analog (HSA). PMID 37276169</w:t>
      </w:r>
    </w:p>
    <w:p>
      <w:pPr>
        <w:numPr>
          <w:ilvl w:val="0"/>
          <w:numId w:val="1391"/>
        </w:numPr>
        <w:pStyle w:val="Compact"/>
      </w:pPr>
      <w:r>
        <w:t xml:space="preserve">2022 · Fujita K ·</w:t>
      </w:r>
      <w:r>
        <w:t xml:space="preserve"> </w:t>
      </w:r>
      <w:r>
        <w:rPr>
          <w:iCs/>
          <w:i/>
        </w:rPr>
        <w:t xml:space="preserve">BMC Pulm Med</w:t>
      </w:r>
      <w:r>
        <w:t xml:space="preserve"> </w:t>
      </w:r>
      <w:r>
        <w:t xml:space="preserve">· Comparison of frailty in patients with nontuberculous mycobacterial lung disease and bronchiectasis: a prospective cohort study. PMID 36329435</w:t>
      </w:r>
    </w:p>
    <w:p>
      <w:pPr>
        <w:numPr>
          <w:ilvl w:val="0"/>
          <w:numId w:val="1391"/>
        </w:numPr>
        <w:pStyle w:val="Compact"/>
      </w:pPr>
      <w:r>
        <w:t xml:space="preserve">2021 · Mahlapuu M ·</w:t>
      </w:r>
      <w:r>
        <w:t xml:space="preserve"> </w:t>
      </w:r>
      <w:r>
        <w:rPr>
          <w:iCs/>
          <w:i/>
        </w:rPr>
        <w:t xml:space="preserve">Wound Repair Regen</w:t>
      </w:r>
      <w:r>
        <w:t xml:space="preserve"> </w:t>
      </w:r>
      <w:r>
        <w:t xml:space="preserve">· Evaluation of LL-37 in healing of hard-to-heal venous leg ulcers: A multicentric prospective randomized placebo-controlled clinical trial. PMID 34687253</w:t>
      </w:r>
    </w:p>
    <w:p>
      <w:pPr>
        <w:numPr>
          <w:ilvl w:val="0"/>
          <w:numId w:val="1391"/>
        </w:numPr>
        <w:pStyle w:val="Compact"/>
      </w:pPr>
      <w:r>
        <w:t xml:space="preserve">2021 · Chen K ·</w:t>
      </w:r>
      <w:r>
        <w:t xml:space="preserve"> </w:t>
      </w:r>
      <w:r>
        <w:rPr>
          <w:iCs/>
          <w:i/>
        </w:rPr>
        <w:t xml:space="preserve">Benef Microbes</w:t>
      </w:r>
      <w:r>
        <w:t xml:space="preserve"> </w:t>
      </w:r>
      <w:r>
        <w:t xml:space="preserve">· Efficacy of Bifidobacterium animalis subsp. lactis, BB-12(®) on infant colic - a randomised, double-blinded, placebo-controlled study. PMID 34550055</w:t>
      </w:r>
    </w:p>
    <w:p>
      <w:pPr>
        <w:numPr>
          <w:ilvl w:val="0"/>
          <w:numId w:val="1391"/>
        </w:numPr>
        <w:pStyle w:val="Compact"/>
      </w:pPr>
      <w:r>
        <w:t xml:space="preserve">2021 · Sarker P ·</w:t>
      </w:r>
      <w:r>
        <w:t xml:space="preserve"> </w:t>
      </w:r>
      <w:r>
        <w:rPr>
          <w:iCs/>
          <w:i/>
        </w:rPr>
        <w:t xml:space="preserve">J Infect Dis</w:t>
      </w:r>
      <w:r>
        <w:t xml:space="preserve"> </w:t>
      </w:r>
      <w:r>
        <w:t xml:space="preserve">· Functional Antibodies and Innate Immune Responses to WRSS1, a Live Oral Shigella sonnei Vaccine Candidate, in Bangladeshi Adults and Children. PMID 34374425</w:t>
      </w:r>
    </w:p>
    <w:p>
      <w:pPr>
        <w:numPr>
          <w:ilvl w:val="0"/>
          <w:numId w:val="1391"/>
        </w:numPr>
        <w:pStyle w:val="Compact"/>
      </w:pPr>
      <w:r>
        <w:t xml:space="preserve">2021 · Chen K ·</w:t>
      </w:r>
      <w:r>
        <w:t xml:space="preserve"> </w:t>
      </w:r>
      <w:r>
        <w:rPr>
          <w:iCs/>
          <w:i/>
        </w:rPr>
        <w:t xml:space="preserve">Nutrition</w:t>
      </w:r>
      <w:r>
        <w:t xml:space="preserve"> </w:t>
      </w:r>
      <w:r>
        <w:t xml:space="preserve">· Dose effect of bovine lactoferrin fortification on diarrhea and respiratory tract infections in weaned infants with anemia: A randomized, controlled trial. PMID 34102559</w:t>
      </w:r>
    </w:p>
    <w:p>
      <w:pPr>
        <w:numPr>
          <w:ilvl w:val="0"/>
          <w:numId w:val="1391"/>
        </w:numPr>
        <w:pStyle w:val="Compact"/>
      </w:pPr>
      <w:r>
        <w:t xml:space="preserve">2021 · Gregório PC ·</w:t>
      </w:r>
      <w:r>
        <w:t xml:space="preserve"> </w:t>
      </w:r>
      <w:r>
        <w:rPr>
          <w:iCs/>
          <w:i/>
        </w:rPr>
        <w:t xml:space="preserve">Clinics (Sao Paulo)</w:t>
      </w:r>
      <w:r>
        <w:t xml:space="preserve"> </w:t>
      </w:r>
      <w:r>
        <w:t xml:space="preserve">· In vitro anti-inflammatory effects of vitamin D supplementation may be blurred in hemodialysis patients. PMID 33624705</w:t>
      </w:r>
    </w:p>
    <w:p>
      <w:pPr>
        <w:numPr>
          <w:ilvl w:val="0"/>
          <w:numId w:val="1391"/>
        </w:numPr>
        <w:pStyle w:val="Compact"/>
      </w:pPr>
      <w:r>
        <w:t xml:space="preserve">2021 · Farsi F ·</w:t>
      </w:r>
      <w:r>
        <w:t xml:space="preserve"> </w:t>
      </w:r>
      <w:r>
        <w:rPr>
          <w:iCs/>
          <w:i/>
        </w:rPr>
        <w:t xml:space="preserve">Eur J Nutr</w:t>
      </w:r>
      <w:r>
        <w:t xml:space="preserve"> </w:t>
      </w:r>
      <w:r>
        <w:t xml:space="preserve">· A randomized controlled trial on the coloprotective effect of coenzyme Q10 on immune-inflammatory cytokines, oxidative status, antimicrobial peptides, and microRNA-146a expression in patients with mild-to-moderate ulcerative colitis. PMID 33620550</w:t>
      </w:r>
    </w:p>
    <w:p>
      <w:pPr>
        <w:numPr>
          <w:ilvl w:val="0"/>
          <w:numId w:val="1391"/>
        </w:numPr>
        <w:pStyle w:val="Compact"/>
      </w:pPr>
      <w:r>
        <w:t xml:space="preserve">2021 · Harrison SE ·</w:t>
      </w:r>
      <w:r>
        <w:t xml:space="preserve"> </w:t>
      </w:r>
      <w:r>
        <w:rPr>
          <w:iCs/>
          <w:i/>
        </w:rPr>
        <w:t xml:space="preserve">Med Sci Sports Exerc</w:t>
      </w:r>
      <w:r>
        <w:t xml:space="preserve"> </w:t>
      </w:r>
      <w:r>
        <w:t xml:space="preserve">· Influence of Vitamin D Supplementation by Simulated Sunlight or Oral D3 on Respiratory Infection during Military Training. PMID 33481482</w:t>
      </w:r>
    </w:p>
    <w:p>
      <w:pPr>
        <w:numPr>
          <w:ilvl w:val="0"/>
          <w:numId w:val="1391"/>
        </w:numPr>
        <w:pStyle w:val="Compact"/>
      </w:pPr>
      <w:r>
        <w:t xml:space="preserve">2020 · Entrenas Castillo M ·</w:t>
      </w:r>
      <w:r>
        <w:t xml:space="preserve"> </w:t>
      </w:r>
      <w:r>
        <w:rPr>
          <w:iCs/>
          <w:i/>
        </w:rPr>
        <w:t xml:space="preserve">J Steroid Biochem Mol Biol</w:t>
      </w:r>
      <w:r>
        <w:t xml:space="preserve"> </w:t>
      </w:r>
      <w:r>
        <w:t xml:space="preserve">·</w:t>
      </w:r>
      <w:r>
        <w:t xml:space="preserve"> </w:t>
      </w:r>
      <w:r>
        <w:t xml:space="preserve">“</w:t>
      </w:r>
      <w:r>
        <w:t xml:space="preserve">Effect of calcifediol treatment and best available therapy versus best available therapy on intensive care unit admission and mortality among patients hospitalized for COVID-19: A pilot randomized clinical study</w:t>
      </w:r>
      <w:r>
        <w:t xml:space="preserve">”</w:t>
      </w:r>
      <w:r>
        <w:t xml:space="preserve">. PMID 32871238</w:t>
      </w:r>
    </w:p>
    <w:p>
      <w:pPr>
        <w:numPr>
          <w:ilvl w:val="0"/>
          <w:numId w:val="1391"/>
        </w:numPr>
        <w:pStyle w:val="Compact"/>
      </w:pPr>
      <w:r>
        <w:t xml:space="preserve">2020 · Vargas Buonfiglio LG ·</w:t>
      </w:r>
      <w:r>
        <w:t xml:space="preserve"> </w:t>
      </w:r>
      <w:r>
        <w:rPr>
          <w:iCs/>
          <w:i/>
        </w:rPr>
        <w:t xml:space="preserve">Nutrients</w:t>
      </w:r>
      <w:r>
        <w:t xml:space="preserve"> </w:t>
      </w:r>
      <w:r>
        <w:t xml:space="preserve">· Seasonal Antimicrobial Activity of the Airway: Post-Hoc Analysis of a Randomized Placebo-Controlled Double-Blind Trial. PMID 32867053</w:t>
      </w:r>
    </w:p>
    <w:p>
      <w:pPr>
        <w:numPr>
          <w:ilvl w:val="0"/>
          <w:numId w:val="1391"/>
        </w:numPr>
        <w:pStyle w:val="Compact"/>
      </w:pPr>
      <w:r>
        <w:t xml:space="preserve">2020 · Banke IJ ·</w:t>
      </w:r>
      <w:r>
        <w:t xml:space="preserve"> </w:t>
      </w:r>
      <w:r>
        <w:rPr>
          <w:iCs/>
          <w:i/>
        </w:rPr>
        <w:t xml:space="preserve">Eur J Med Res</w:t>
      </w:r>
      <w:r>
        <w:t xml:space="preserve"> </w:t>
      </w:r>
      <w:r>
        <w:t xml:space="preserve">· Antimicrobial peptides in human synovial membrane as (low-grade) periprosthetic joint infection biomarkers. PMID 32799924</w:t>
      </w:r>
    </w:p>
    <w:p>
      <w:pPr>
        <w:numPr>
          <w:ilvl w:val="0"/>
          <w:numId w:val="1391"/>
        </w:numPr>
        <w:pStyle w:val="Compact"/>
      </w:pPr>
      <w:r>
        <w:t xml:space="preserve">2020 · Nocerino R ·</w:t>
      </w:r>
      <w:r>
        <w:t xml:space="preserve"> </w:t>
      </w:r>
      <w:r>
        <w:rPr>
          <w:iCs/>
          <w:i/>
        </w:rPr>
        <w:t xml:space="preserve">Aliment Pharmacol Ther</w:t>
      </w:r>
      <w:r>
        <w:t xml:space="preserve"> </w:t>
      </w:r>
      <w:r>
        <w:t xml:space="preserve">· The therapeutic efficacy of Bifidobacterium animalis subsp. lactis BB-12(®) in infant colic: A randomised, double blind, placebo-controlled trial. PMID 31797399</w:t>
      </w:r>
    </w:p>
    <w:p>
      <w:pPr>
        <w:numPr>
          <w:ilvl w:val="0"/>
          <w:numId w:val="1391"/>
        </w:numPr>
        <w:pStyle w:val="Compact"/>
      </w:pPr>
      <w:r>
        <w:t xml:space="preserve">2019 · Huang X ·</w:t>
      </w:r>
      <w:r>
        <w:t xml:space="preserve"> </w:t>
      </w:r>
      <w:r>
        <w:rPr>
          <w:iCs/>
          <w:i/>
        </w:rPr>
        <w:t xml:space="preserve">Sci Rep</w:t>
      </w:r>
      <w:r>
        <w:t xml:space="preserve"> </w:t>
      </w:r>
      <w:r>
        <w:t xml:space="preserve">· Differential DAMP release was observed in the sputum of COPD, asthma and asthma-COPD overlap (ACO) patients. PMID 31848359</w:t>
      </w:r>
    </w:p>
    <w:p>
      <w:pPr>
        <w:numPr>
          <w:ilvl w:val="0"/>
          <w:numId w:val="1391"/>
        </w:numPr>
        <w:pStyle w:val="Compact"/>
      </w:pPr>
      <w:r>
        <w:t xml:space="preserve">2019 · Missailidis C ·</w:t>
      </w:r>
      <w:r>
        <w:t xml:space="preserve"> </w:t>
      </w:r>
      <w:r>
        <w:rPr>
          <w:iCs/>
          <w:i/>
        </w:rPr>
        <w:t xml:space="preserve">Nutrients</w:t>
      </w:r>
      <w:r>
        <w:t xml:space="preserve"> </w:t>
      </w:r>
      <w:r>
        <w:t xml:space="preserve">· Vitamin D and Phenylbutyrate Supplementation Does Not Modulate Gut Derived Immune Activation in HIV-1. PMID 31330899</w:t>
      </w:r>
    </w:p>
    <w:p>
      <w:pPr>
        <w:numPr>
          <w:ilvl w:val="0"/>
          <w:numId w:val="1391"/>
        </w:numPr>
        <w:pStyle w:val="Compact"/>
      </w:pPr>
      <w:r>
        <w:t xml:space="preserve">2019 · Scott JM ·</w:t>
      </w:r>
      <w:r>
        <w:t xml:space="preserve"> </w:t>
      </w:r>
      <w:r>
        <w:rPr>
          <w:iCs/>
          <w:i/>
        </w:rPr>
        <w:t xml:space="preserve">Scand J Med Sci Sports</w:t>
      </w:r>
      <w:r>
        <w:t xml:space="preserve"> </w:t>
      </w:r>
      <w:r>
        <w:t xml:space="preserve">· Effects of vitamin D supplementation on salivary immune responses during Marine Corps basic training. PMID 31099085</w:t>
      </w:r>
    </w:p>
    <w:p>
      <w:pPr>
        <w:numPr>
          <w:ilvl w:val="0"/>
          <w:numId w:val="1391"/>
        </w:numPr>
        <w:pStyle w:val="Compact"/>
      </w:pPr>
      <w:r>
        <w:t xml:space="preserve">2019 · Cao Y ·</w:t>
      </w:r>
      <w:r>
        <w:t xml:space="preserve"> </w:t>
      </w:r>
      <w:r>
        <w:rPr>
          <w:iCs/>
          <w:i/>
        </w:rPr>
        <w:t xml:space="preserve">Clin Exp Allergy</w:t>
      </w:r>
      <w:r>
        <w:t xml:space="preserve"> </w:t>
      </w:r>
      <w:r>
        <w:t xml:space="preserve">· LL-37 promotes neutrophil extracellular trap formation in chronic rhinosinusitis with nasal polyps. PMID 31046155</w:t>
      </w:r>
    </w:p>
    <w:p>
      <w:pPr>
        <w:numPr>
          <w:ilvl w:val="0"/>
          <w:numId w:val="1391"/>
        </w:numPr>
        <w:pStyle w:val="Compact"/>
      </w:pPr>
      <w:r>
        <w:t xml:space="preserve">2019 · Goncalves-Mendes N ·</w:t>
      </w:r>
      <w:r>
        <w:t xml:space="preserve"> </w:t>
      </w:r>
      <w:r>
        <w:rPr>
          <w:iCs/>
          <w:i/>
        </w:rPr>
        <w:t xml:space="preserve">Front Immunol</w:t>
      </w:r>
      <w:r>
        <w:t xml:space="preserve"> </w:t>
      </w:r>
      <w:r>
        <w:t xml:space="preserve">· Impact of Vitamin D Supplementation on Influenza Vaccine Response and Immune Functions in Deficient Elderly Persons: A Randomized Placebo-Controlled Trial. PMID 30800121</w:t>
      </w:r>
    </w:p>
    <w:p>
      <w:pPr>
        <w:numPr>
          <w:ilvl w:val="0"/>
          <w:numId w:val="1391"/>
        </w:numPr>
        <w:pStyle w:val="Compact"/>
      </w:pPr>
      <w:r>
        <w:t xml:space="preserve">2019 · Tangpricha V ·</w:t>
      </w:r>
      <w:r>
        <w:t xml:space="preserve"> </w:t>
      </w:r>
      <w:r>
        <w:rPr>
          <w:iCs/>
          <w:i/>
        </w:rPr>
        <w:t xml:space="preserve">Am J Clin Nutr</w:t>
      </w:r>
      <w:r>
        <w:t xml:space="preserve"> </w:t>
      </w:r>
      <w:r>
        <w:t xml:space="preserve">· Vitamin D for the Immune System in Cystic Fibrosis (DISC): a double-blind, multicenter, randomized, placebo-controlled clinical trial. PMID 30793177</w:t>
      </w:r>
    </w:p>
    <w:p>
      <w:pPr>
        <w:numPr>
          <w:ilvl w:val="0"/>
          <w:numId w:val="1391"/>
        </w:numPr>
        <w:pStyle w:val="Compact"/>
      </w:pPr>
      <w:r>
        <w:t xml:space="preserve">2019 · Hauger H ·</w:t>
      </w:r>
      <w:r>
        <w:t xml:space="preserve"> </w:t>
      </w:r>
      <w:r>
        <w:rPr>
          <w:iCs/>
          <w:i/>
        </w:rPr>
        <w:t xml:space="preserve">Eur J Nutr</w:t>
      </w:r>
      <w:r>
        <w:t xml:space="preserve"> </w:t>
      </w:r>
      <w:r>
        <w:t xml:space="preserve">· Winter cholecalciferol supplementation at 55°N has little effect on markers of innate immune defense in healthy children aged 4-8 years: a secondary analysis from a randomized controlled trial. PMID 29572676</w:t>
      </w:r>
    </w:p>
    <w:p>
      <w:pPr>
        <w:numPr>
          <w:ilvl w:val="0"/>
          <w:numId w:val="1391"/>
        </w:numPr>
        <w:pStyle w:val="Compact"/>
      </w:pPr>
      <w:r>
        <w:t xml:space="preserve">2018 · Savonius O ·</w:t>
      </w:r>
      <w:r>
        <w:t xml:space="preserve"> </w:t>
      </w:r>
      <w:r>
        <w:rPr>
          <w:iCs/>
          <w:i/>
        </w:rPr>
        <w:t xml:space="preserve">Acta Paediatr</w:t>
      </w:r>
      <w:r>
        <w:t xml:space="preserve"> </w:t>
      </w:r>
      <w:r>
        <w:t xml:space="preserve">· Vitamin D was not associated with survival or cerebrospinal fluid cathelicidin levels in children with bacterial meningitis. PMID 29751358</w:t>
      </w:r>
    </w:p>
    <w:p>
      <w:pPr>
        <w:numPr>
          <w:ilvl w:val="0"/>
          <w:numId w:val="1391"/>
        </w:numPr>
        <w:pStyle w:val="Compact"/>
      </w:pPr>
      <w:r>
        <w:t xml:space="preserve">2018 · Ramos-Martínez E ·</w:t>
      </w:r>
      <w:r>
        <w:t xml:space="preserve"> </w:t>
      </w:r>
      <w:r>
        <w:rPr>
          <w:iCs/>
          <w:i/>
        </w:rPr>
        <w:t xml:space="preserve">Cytokine</w:t>
      </w:r>
      <w:r>
        <w:t xml:space="preserve"> </w:t>
      </w:r>
      <w:r>
        <w:t xml:space="preserve">· Reduction of respiratory infections in asthma patients supplemented with vitamin D is related to increased serum IL-10 and IFNγ levels and cathelicidin expression. PMID 29402723</w:t>
      </w:r>
    </w:p>
    <w:p>
      <w:pPr>
        <w:numPr>
          <w:ilvl w:val="0"/>
          <w:numId w:val="1391"/>
        </w:numPr>
        <w:pStyle w:val="Compact"/>
      </w:pPr>
      <w:r>
        <w:t xml:space="preserve">2018 · Savonius O ·</w:t>
      </w:r>
      <w:r>
        <w:t xml:space="preserve"> </w:t>
      </w:r>
      <w:r>
        <w:rPr>
          <w:iCs/>
          <w:i/>
        </w:rPr>
        <w:t xml:space="preserve">Pediatr Infect Dis J</w:t>
      </w:r>
      <w:r>
        <w:t xml:space="preserve"> </w:t>
      </w:r>
      <w:r>
        <w:t xml:space="preserve">· Cerebrospinal Fluid Cathelicidin Correlates With the Bacterial Load and Outcomes in Childhood Bacterial Meningitis. PMID 28827496</w:t>
      </w:r>
    </w:p>
    <w:p>
      <w:pPr>
        <w:numPr>
          <w:ilvl w:val="0"/>
          <w:numId w:val="1391"/>
        </w:numPr>
        <w:pStyle w:val="Compact"/>
      </w:pPr>
      <w:r>
        <w:t xml:space="preserve">2018 · Alvarez JA ·</w:t>
      </w:r>
      <w:r>
        <w:t xml:space="preserve"> </w:t>
      </w:r>
      <w:r>
        <w:rPr>
          <w:iCs/>
          <w:i/>
        </w:rPr>
        <w:t xml:space="preserve">J Steroid Biochem Mol Biol</w:t>
      </w:r>
      <w:r>
        <w:t xml:space="preserve"> </w:t>
      </w:r>
      <w:r>
        <w:t xml:space="preserve">· Vitamin D deficiency is associated with an oxidized plasma cysteine redox potential in critically Ill children. PMID 27641738</w:t>
      </w:r>
    </w:p>
    <w:p>
      <w:pPr>
        <w:numPr>
          <w:ilvl w:val="0"/>
          <w:numId w:val="1391"/>
        </w:numPr>
        <w:pStyle w:val="Compact"/>
      </w:pPr>
      <w:r>
        <w:t xml:space="preserve">2017 · Sigal GB ·</w:t>
      </w:r>
      <w:r>
        <w:t xml:space="preserve"> </w:t>
      </w:r>
      <w:r>
        <w:rPr>
          <w:iCs/>
          <w:i/>
        </w:rPr>
        <w:t xml:space="preserve">EBioMedicine</w:t>
      </w:r>
      <w:r>
        <w:t xml:space="preserve"> </w:t>
      </w:r>
      <w:r>
        <w:t xml:space="preserve">· Biomarkers of Tuberculosis Severity and Treatment Effect: A Directed Screen of 70 Host Markers in a Randomized Clinical Trial. PMID 29100778</w:t>
      </w:r>
    </w:p>
    <w:p>
      <w:pPr>
        <w:numPr>
          <w:ilvl w:val="0"/>
          <w:numId w:val="1391"/>
        </w:numPr>
        <w:pStyle w:val="Compact"/>
      </w:pPr>
      <w:r>
        <w:t xml:space="preserve">2017 · Wirth PJ ·</w:t>
      </w:r>
      <w:r>
        <w:t xml:space="preserve"> </w:t>
      </w:r>
      <w:r>
        <w:rPr>
          <w:iCs/>
          <w:i/>
        </w:rPr>
        <w:t xml:space="preserve">Skin Therapy Lett</w:t>
      </w:r>
      <w:r>
        <w:t xml:space="preserve"> </w:t>
      </w:r>
      <w:r>
        <w:t xml:space="preserve">· Real-World Efficacy of Azelaic Acid 15% Gel for the Reduction of Inflammatory Lesions of Rosacea. PMID 29091380</w:t>
      </w:r>
    </w:p>
    <w:p>
      <w:pPr>
        <w:numPr>
          <w:ilvl w:val="0"/>
          <w:numId w:val="1391"/>
        </w:numPr>
        <w:pStyle w:val="Compact"/>
      </w:pPr>
      <w:r>
        <w:t xml:space="preserve">2017 · Uruska A ·</w:t>
      </w:r>
      <w:r>
        <w:t xml:space="preserve"> </w:t>
      </w:r>
      <w:r>
        <w:rPr>
          <w:iCs/>
          <w:i/>
        </w:rPr>
        <w:t xml:space="preserve">Clin Biochem</w:t>
      </w:r>
      <w:r>
        <w:t xml:space="preserve"> </w:t>
      </w:r>
      <w:r>
        <w:t xml:space="preserve">· Is cathelicidin a novel marker of diabetic microangiopathy in patients with type 1 diabetes?. PMID 28964758</w:t>
      </w:r>
    </w:p>
    <w:p>
      <w:pPr>
        <w:numPr>
          <w:ilvl w:val="0"/>
          <w:numId w:val="1391"/>
        </w:numPr>
        <w:pStyle w:val="Compact"/>
      </w:pPr>
      <w:r>
        <w:t xml:space="preserve">2017 · Majewski K ·</w:t>
      </w:r>
      <w:r>
        <w:t xml:space="preserve"> </w:t>
      </w:r>
      <w:r>
        <w:rPr>
          <w:iCs/>
          <w:i/>
        </w:rPr>
        <w:t xml:space="preserve">J Biol Regul Homeost Agents</w:t>
      </w:r>
      <w:r>
        <w:t xml:space="preserve"> </w:t>
      </w:r>
      <w:r>
        <w:t xml:space="preserve">· Serum level of cathelicidin LL-37 in patients with active tuberculosis and other infectious diseases. PMID 28956425</w:t>
      </w:r>
    </w:p>
    <w:p>
      <w:pPr>
        <w:numPr>
          <w:ilvl w:val="0"/>
          <w:numId w:val="1391"/>
        </w:numPr>
        <w:pStyle w:val="Compact"/>
      </w:pPr>
      <w:r>
        <w:t xml:space="preserve">2017 · Corsello G ·</w:t>
      </w:r>
      <w:r>
        <w:t xml:space="preserve"> </w:t>
      </w:r>
      <w:r>
        <w:rPr>
          <w:iCs/>
          <w:i/>
        </w:rPr>
        <w:t xml:space="preserve">Nutrients</w:t>
      </w:r>
      <w:r>
        <w:t xml:space="preserve"> </w:t>
      </w:r>
      <w:r>
        <w:t xml:space="preserve">· Preventive Effect of Cow’s Milk Fermented with Lactobacillus paracasei CBA L74 on Common Infectious Diseases in Children: A Multicenter Randomized Controlled Trial. PMID 28654019</w:t>
      </w:r>
    </w:p>
    <w:p>
      <w:pPr>
        <w:numPr>
          <w:ilvl w:val="0"/>
          <w:numId w:val="1391"/>
        </w:numPr>
        <w:pStyle w:val="Compact"/>
      </w:pPr>
      <w:r>
        <w:t xml:space="preserve">2017 · Han JE ·</w:t>
      </w:r>
      <w:r>
        <w:t xml:space="preserve"> </w:t>
      </w:r>
      <w:r>
        <w:rPr>
          <w:iCs/>
          <w:i/>
        </w:rPr>
        <w:t xml:space="preserve">Nutrition</w:t>
      </w:r>
      <w:r>
        <w:t xml:space="preserve"> </w:t>
      </w:r>
      <w:r>
        <w:t xml:space="preserve">· Impact of high-dose vitamin D(3) on plasma free 25-hydroxyvitamin D concentrations and antimicrobial peptides in critically ill mechanically ventilated adults. PMID 28526374</w:t>
      </w:r>
    </w:p>
    <w:p>
      <w:pPr>
        <w:numPr>
          <w:ilvl w:val="0"/>
          <w:numId w:val="1391"/>
        </w:numPr>
        <w:pStyle w:val="Compact"/>
      </w:pPr>
      <w:r>
        <w:t xml:space="preserve">2017 · Nakatsuji T ·</w:t>
      </w:r>
      <w:r>
        <w:t xml:space="preserve"> </w:t>
      </w:r>
      <w:r>
        <w:rPr>
          <w:iCs/>
          <w:i/>
        </w:rPr>
        <w:t xml:space="preserve">Sci Transl Med</w:t>
      </w:r>
      <w:r>
        <w:t xml:space="preserve"> </w:t>
      </w:r>
      <w:r>
        <w:t xml:space="preserve">· Antimicrobials from human skin commensal bacteria protect against Staphylococcus aureus and are deficient in atopic dermatitis. PMID 28228596</w:t>
      </w:r>
    </w:p>
    <w:p>
      <w:pPr>
        <w:numPr>
          <w:ilvl w:val="0"/>
          <w:numId w:val="1391"/>
        </w:numPr>
        <w:pStyle w:val="Compact"/>
      </w:pPr>
      <w:r>
        <w:t xml:space="preserve">2017 · Majewski K ·</w:t>
      </w:r>
      <w:r>
        <w:t xml:space="preserve"> </w:t>
      </w:r>
      <w:r>
        <w:rPr>
          <w:iCs/>
          <w:i/>
        </w:rPr>
        <w:t xml:space="preserve">Clin Invest Med</w:t>
      </w:r>
      <w:r>
        <w:t xml:space="preserve"> </w:t>
      </w:r>
      <w:r>
        <w:t xml:space="preserve">· Circulating cathelicidin LL-37 in adult patients with pulmonary infectious diseases. PMID 28218580</w:t>
      </w:r>
    </w:p>
    <w:p>
      <w:pPr>
        <w:numPr>
          <w:ilvl w:val="0"/>
          <w:numId w:val="1391"/>
        </w:numPr>
        <w:pStyle w:val="Compact"/>
      </w:pPr>
      <w:r>
        <w:t xml:space="preserve">2017 · Mathapathi MS ·</w:t>
      </w:r>
      <w:r>
        <w:t xml:space="preserve"> </w:t>
      </w:r>
      <w:r>
        <w:rPr>
          <w:iCs/>
          <w:i/>
        </w:rPr>
        <w:t xml:space="preserve">Exp Dermatol</w:t>
      </w:r>
      <w:r>
        <w:t xml:space="preserve"> </w:t>
      </w:r>
      <w:r>
        <w:t xml:space="preserve">· Niacinamide leave-on formulation provides long-lasting protection against bacteria in vivo. PMID 28094872</w:t>
      </w:r>
    </w:p>
    <w:p>
      <w:pPr>
        <w:numPr>
          <w:ilvl w:val="0"/>
          <w:numId w:val="1391"/>
        </w:numPr>
        <w:pStyle w:val="Compact"/>
      </w:pPr>
      <w:r>
        <w:t xml:space="preserve">2017 · Todd JJ ·</w:t>
      </w:r>
      <w:r>
        <w:t xml:space="preserve"> </w:t>
      </w:r>
      <w:r>
        <w:rPr>
          <w:iCs/>
          <w:i/>
        </w:rPr>
        <w:t xml:space="preserve">Scand J Med Sci Sports</w:t>
      </w:r>
      <w:r>
        <w:t xml:space="preserve"> </w:t>
      </w:r>
      <w:r>
        <w:t xml:space="preserve">· Oral spray wintertime vitamin D(3) supplementation has no impact on inflammation in Gaelic footballers. PMID 27704631</w:t>
      </w:r>
    </w:p>
    <w:p>
      <w:pPr>
        <w:numPr>
          <w:ilvl w:val="0"/>
          <w:numId w:val="1391"/>
        </w:numPr>
        <w:pStyle w:val="Compact"/>
      </w:pPr>
      <w:r>
        <w:t xml:space="preserve">2017 · Nocerino R ·</w:t>
      </w:r>
      <w:r>
        <w:t xml:space="preserve"> </w:t>
      </w:r>
      <w:r>
        <w:rPr>
          <w:iCs/>
          <w:i/>
        </w:rPr>
        <w:t xml:space="preserve">Clin Nutr</w:t>
      </w:r>
      <w:r>
        <w:t xml:space="preserve"> </w:t>
      </w:r>
      <w:r>
        <w:t xml:space="preserve">· Cow’s milk and rice fermented with Lactobacillus paracasei CBA L74 prevent infectious diseases in children: A randomized controlled trial. PMID 26732025</w:t>
      </w:r>
    </w:p>
    <w:p>
      <w:pPr>
        <w:numPr>
          <w:ilvl w:val="0"/>
          <w:numId w:val="1391"/>
        </w:numPr>
        <w:pStyle w:val="Compact"/>
      </w:pPr>
      <w:r>
        <w:t xml:space="preserve">2016 · Gupta P ·</w:t>
      </w:r>
      <w:r>
        <w:t xml:space="preserve"> </w:t>
      </w:r>
      <w:r>
        <w:rPr>
          <w:iCs/>
          <w:i/>
        </w:rPr>
        <w:t xml:space="preserve">Indian Pediatr</w:t>
      </w:r>
      <w:r>
        <w:t xml:space="preserve"> </w:t>
      </w:r>
      <w:r>
        <w:t xml:space="preserve">· Vitamin D Supplementation for Treatment and Prevention of Pneumonia in Under-five Children: A Randomized Double-blind Placebo Controlled Trial. PMID 27889723</w:t>
      </w:r>
    </w:p>
    <w:p>
      <w:pPr>
        <w:numPr>
          <w:ilvl w:val="0"/>
          <w:numId w:val="1391"/>
        </w:numPr>
        <w:pStyle w:val="Compact"/>
      </w:pPr>
      <w:r>
        <w:t xml:space="preserve">2016 · Zheng JQ ·</w:t>
      </w:r>
      <w:r>
        <w:t xml:space="preserve"> </w:t>
      </w:r>
      <w:r>
        <w:rPr>
          <w:iCs/>
          <w:i/>
        </w:rPr>
        <w:t xml:space="preserve">Nutrients</w:t>
      </w:r>
      <w:r>
        <w:t xml:space="preserve"> </w:t>
      </w:r>
      <w:r>
        <w:t xml:space="preserve">· Cholecalciferol Additively Reduces Serum Parathyroid Hormone and Increases Vitamin D and Cathelicidin Levels in Paricalcitol-Treated Secondary Hyperparathyroid Hemodialysis Patients. PMID 27827962</w:t>
      </w:r>
    </w:p>
    <w:p>
      <w:pPr>
        <w:numPr>
          <w:ilvl w:val="0"/>
          <w:numId w:val="1391"/>
        </w:numPr>
        <w:pStyle w:val="Compact"/>
      </w:pPr>
      <w:r>
        <w:t xml:space="preserve">2016 · Sharifi A ·</w:t>
      </w:r>
      <w:r>
        <w:t xml:space="preserve"> </w:t>
      </w:r>
      <w:r>
        <w:rPr>
          <w:iCs/>
          <w:i/>
        </w:rPr>
        <w:t xml:space="preserve">Saudi J Gastroenterol</w:t>
      </w:r>
      <w:r>
        <w:t xml:space="preserve"> </w:t>
      </w:r>
      <w:r>
        <w:t xml:space="preserve">· A randomized controlled trial on the effect of vitamin D3 on inflammation and cathelicidin gene expression in ulcerative colitis patients. PMID 27488327</w:t>
      </w:r>
    </w:p>
    <w:p>
      <w:pPr>
        <w:numPr>
          <w:ilvl w:val="0"/>
          <w:numId w:val="1391"/>
        </w:numPr>
        <w:pStyle w:val="Compact"/>
      </w:pPr>
      <w:r>
        <w:t xml:space="preserve">2016 · Two AM ·</w:t>
      </w:r>
      <w:r>
        <w:t xml:space="preserve"> </w:t>
      </w:r>
      <w:r>
        <w:rPr>
          <w:iCs/>
          <w:i/>
        </w:rPr>
        <w:t xml:space="preserve">J Invest Dermatol</w:t>
      </w:r>
      <w:r>
        <w:t xml:space="preserve"> </w:t>
      </w:r>
      <w:r>
        <w:t xml:space="preserve">· The Cutaneous Microbiome and Aspects of Skin Antimicrobial Defense System Resist Acute Treatment with Topical Skin Cleansers. PMID 27377698</w:t>
      </w:r>
    </w:p>
    <w:p>
      <w:pPr>
        <w:numPr>
          <w:ilvl w:val="0"/>
          <w:numId w:val="1391"/>
        </w:numPr>
        <w:pStyle w:val="Compact"/>
      </w:pPr>
      <w:r>
        <w:t xml:space="preserve">2016 · Di Nardo A ·</w:t>
      </w:r>
      <w:r>
        <w:t xml:space="preserve"> </w:t>
      </w:r>
      <w:r>
        <w:rPr>
          <w:iCs/>
          <w:i/>
        </w:rPr>
        <w:t xml:space="preserve">J Am Acad Dermatol</w:t>
      </w:r>
      <w:r>
        <w:t xml:space="preserve"> </w:t>
      </w:r>
      <w:r>
        <w:t xml:space="preserve">· Improved clinical outcome and biomarkers in adults with papulopustular rosacea treated with doxycycline modified-release capsules in a randomized trial. PMID 26951940</w:t>
      </w:r>
    </w:p>
    <w:p>
      <w:pPr>
        <w:numPr>
          <w:ilvl w:val="0"/>
          <w:numId w:val="1391"/>
        </w:numPr>
        <w:pStyle w:val="Compact"/>
      </w:pPr>
      <w:r>
        <w:t xml:space="preserve">2016 · He CS ·</w:t>
      </w:r>
      <w:r>
        <w:t xml:space="preserve"> </w:t>
      </w:r>
      <w:r>
        <w:rPr>
          <w:iCs/>
          <w:i/>
        </w:rPr>
        <w:t xml:space="preserve">J Sports Sci</w:t>
      </w:r>
      <w:r>
        <w:t xml:space="preserve"> </w:t>
      </w:r>
      <w:r>
        <w:t xml:space="preserve">· The effect of 14 weeks of vitamin D3 supplementation on antimicrobial peptides and proteins in athletes. PMID 25861808</w:t>
      </w:r>
    </w:p>
    <w:p>
      <w:pPr>
        <w:numPr>
          <w:ilvl w:val="0"/>
          <w:numId w:val="1391"/>
        </w:numPr>
        <w:pStyle w:val="Compact"/>
      </w:pPr>
      <w:r>
        <w:t xml:space="preserve">2015 · Udompataikul M ·</w:t>
      </w:r>
      <w:r>
        <w:t xml:space="preserve"> </w:t>
      </w:r>
      <w:r>
        <w:rPr>
          <w:iCs/>
          <w:i/>
        </w:rPr>
        <w:t xml:space="preserve">J Med Assoc Thai</w:t>
      </w:r>
      <w:r>
        <w:t xml:space="preserve"> </w:t>
      </w:r>
      <w:r>
        <w:t xml:space="preserve">· The Effects of Oral Vitamin D Supplement on Atopic Dermatitis: A Clinical Trial with Staphylococcus aureus Colonization Determination. PMID 26817206</w:t>
      </w:r>
    </w:p>
    <w:p>
      <w:pPr>
        <w:numPr>
          <w:ilvl w:val="0"/>
          <w:numId w:val="1391"/>
        </w:numPr>
        <w:pStyle w:val="Compact"/>
      </w:pPr>
      <w:r>
        <w:t xml:space="preserve">2015 · Thijs W ·</w:t>
      </w:r>
      <w:r>
        <w:t xml:space="preserve"> </w:t>
      </w:r>
      <w:r>
        <w:rPr>
          <w:iCs/>
          <w:i/>
        </w:rPr>
        <w:t xml:space="preserve">PLoS One</w:t>
      </w:r>
      <w:r>
        <w:t xml:space="preserve"> </w:t>
      </w:r>
      <w:r>
        <w:t xml:space="preserve">· Nasal Levels of Antimicrobial Peptides in Allergic Asthma Patients and Healthy Controls: Differences and Effect of a Short 1,25(OH)2 Vitamin D3 Treatment. PMID 26545199</w:t>
      </w:r>
    </w:p>
    <w:p>
      <w:pPr>
        <w:numPr>
          <w:ilvl w:val="0"/>
          <w:numId w:val="1391"/>
        </w:numPr>
        <w:pStyle w:val="Compact"/>
      </w:pPr>
      <w:r>
        <w:t xml:space="preserve">2015 · Mily A ·</w:t>
      </w:r>
      <w:r>
        <w:t xml:space="preserve"> </w:t>
      </w:r>
      <w:r>
        <w:rPr>
          <w:iCs/>
          <w:i/>
        </w:rPr>
        <w:t xml:space="preserve">PLoS One</w:t>
      </w:r>
      <w:r>
        <w:t xml:space="preserve"> </w:t>
      </w:r>
      <w:r>
        <w:t xml:space="preserve">· Significant Effects of Oral Phenylbutyrate and Vitamin D3 Adjunctive Therapy in Pulmonary Tuberculosis: A Randomized Controlled Trial. PMID 26394045</w:t>
      </w:r>
    </w:p>
    <w:p>
      <w:pPr>
        <w:numPr>
          <w:ilvl w:val="0"/>
          <w:numId w:val="1391"/>
        </w:numPr>
        <w:pStyle w:val="Compact"/>
      </w:pPr>
      <w:r>
        <w:t xml:space="preserve">2015 · Nair P ·</w:t>
      </w:r>
      <w:r>
        <w:t xml:space="preserve"> </w:t>
      </w:r>
      <w:r>
        <w:rPr>
          <w:iCs/>
          <w:i/>
        </w:rPr>
        <w:t xml:space="preserve">Crit Care Med</w:t>
      </w:r>
      <w:r>
        <w:t xml:space="preserve"> </w:t>
      </w:r>
      <w:r>
        <w:t xml:space="preserve">· A Randomized Study of a Single Dose of Intramuscular Cholecalciferol in Critically Ill Adults. PMID 26186566</w:t>
      </w:r>
    </w:p>
    <w:p>
      <w:pPr>
        <w:numPr>
          <w:ilvl w:val="0"/>
          <w:numId w:val="1391"/>
        </w:numPr>
        <w:pStyle w:val="Compact"/>
      </w:pPr>
      <w:r>
        <w:t xml:space="preserve">2015 · Quraishi SA ·</w:t>
      </w:r>
      <w:r>
        <w:t xml:space="preserve"> </w:t>
      </w:r>
      <w:r>
        <w:rPr>
          <w:iCs/>
          <w:i/>
        </w:rPr>
        <w:t xml:space="preserve">Crit Care Med</w:t>
      </w:r>
      <w:r>
        <w:t xml:space="preserve"> </w:t>
      </w:r>
      <w:r>
        <w:t xml:space="preserve">· Effect of Cholecalciferol Supplementation on Vitamin D Status and Cathelicidin Levels in Sepsis: A Randomized, Placebo-Controlled Trial. PMID 26086941</w:t>
      </w:r>
    </w:p>
    <w:p>
      <w:pPr>
        <w:numPr>
          <w:ilvl w:val="0"/>
          <w:numId w:val="1391"/>
        </w:numPr>
        <w:pStyle w:val="Compact"/>
      </w:pPr>
      <w:r>
        <w:t xml:space="preserve">2015 · Lachmann R ·</w:t>
      </w:r>
      <w:r>
        <w:t xml:space="preserve"> </w:t>
      </w:r>
      <w:r>
        <w:rPr>
          <w:iCs/>
          <w:i/>
        </w:rPr>
        <w:t xml:space="preserve">AIDS</w:t>
      </w:r>
      <w:r>
        <w:t xml:space="preserve"> </w:t>
      </w:r>
      <w:r>
        <w:t xml:space="preserve">· A comparative phase 1 clinical trial to identify anti-infective mechanisms of vitamin D in people with HIV infection. PMID 25870995</w:t>
      </w:r>
    </w:p>
    <w:p>
      <w:pPr>
        <w:numPr>
          <w:ilvl w:val="0"/>
          <w:numId w:val="1391"/>
        </w:numPr>
        <w:pStyle w:val="Compact"/>
      </w:pPr>
      <w:r>
        <w:t xml:space="preserve">2015 · Lim R ·</w:t>
      </w:r>
      <w:r>
        <w:t xml:space="preserve"> </w:t>
      </w:r>
      <w:r>
        <w:rPr>
          <w:iCs/>
          <w:i/>
        </w:rPr>
        <w:t xml:space="preserve">J Reprod Immunol</w:t>
      </w:r>
      <w:r>
        <w:t xml:space="preserve"> </w:t>
      </w:r>
      <w:r>
        <w:t xml:space="preserve">· Human cathelicidin antimicrobial protein 18 (hCAP18/LL-37) is increased in foetal membranes and myometrium after spontaneous labour and delivery. PMID 25435436</w:t>
      </w:r>
    </w:p>
    <w:p>
      <w:pPr>
        <w:numPr>
          <w:ilvl w:val="0"/>
          <w:numId w:val="1391"/>
        </w:numPr>
        <w:pStyle w:val="Compact"/>
      </w:pPr>
      <w:r>
        <w:t xml:space="preserve">2015 · Gad GI ·</w:t>
      </w:r>
      <w:r>
        <w:t xml:space="preserve"> </w:t>
      </w:r>
      <w:r>
        <w:rPr>
          <w:iCs/>
          <w:i/>
        </w:rPr>
        <w:t xml:space="preserve">J Matern Fetal Neonatal Med</w:t>
      </w:r>
      <w:r>
        <w:t xml:space="preserve"> </w:t>
      </w:r>
      <w:r>
        <w:t xml:space="preserve">· Diagnostic value of anti-microbial peptide, cathelicidin in congenital pneumonia. PMID 25354286</w:t>
      </w:r>
    </w:p>
    <w:p>
      <w:pPr>
        <w:numPr>
          <w:ilvl w:val="0"/>
          <w:numId w:val="1391"/>
        </w:numPr>
        <w:pStyle w:val="Compact"/>
      </w:pPr>
      <w:r>
        <w:t xml:space="preserve">2014 · Montreekachon P ·</w:t>
      </w:r>
      <w:r>
        <w:t xml:space="preserve"> </w:t>
      </w:r>
      <w:r>
        <w:rPr>
          <w:iCs/>
          <w:i/>
        </w:rPr>
        <w:t xml:space="preserve">Asian Pac J Allergy Immunol</w:t>
      </w:r>
      <w:r>
        <w:t xml:space="preserve"> </w:t>
      </w:r>
      <w:r>
        <w:t xml:space="preserve">· Favorable interleukin-8 induction in human gingival epithelial cells by the antimicrobial peptide LL-37. PMID 25268344</w:t>
      </w:r>
    </w:p>
    <w:p>
      <w:pPr>
        <w:numPr>
          <w:ilvl w:val="0"/>
          <w:numId w:val="1391"/>
        </w:numPr>
        <w:pStyle w:val="Compact"/>
      </w:pPr>
      <w:r>
        <w:t xml:space="preserve">2014 · Raqib R ·</w:t>
      </w:r>
      <w:r>
        <w:t xml:space="preserve"> </w:t>
      </w:r>
      <w:r>
        <w:rPr>
          <w:iCs/>
          <w:i/>
        </w:rPr>
        <w:t xml:space="preserve">Br J Nutr</w:t>
      </w:r>
      <w:r>
        <w:t xml:space="preserve"> </w:t>
      </w:r>
      <w:r>
        <w:t xml:space="preserve">· Prenatal vitamin D₃ supplementation suppresses LL-37 peptide expression in ex vivo activated neonatal macrophages but not their killing capacity. PMID 25089537</w:t>
      </w:r>
    </w:p>
    <w:p>
      <w:pPr>
        <w:numPr>
          <w:ilvl w:val="0"/>
          <w:numId w:val="1391"/>
        </w:numPr>
        <w:pStyle w:val="Compact"/>
      </w:pPr>
      <w:r>
        <w:t xml:space="preserve">2014 · Grönberg A ·</w:t>
      </w:r>
      <w:r>
        <w:t xml:space="preserve"> </w:t>
      </w:r>
      <w:r>
        <w:rPr>
          <w:iCs/>
          <w:i/>
        </w:rPr>
        <w:t xml:space="preserve">Wound Repair Regen</w:t>
      </w:r>
      <w:r>
        <w:t xml:space="preserve"> </w:t>
      </w:r>
      <w:r>
        <w:t xml:space="preserve">· Treatment with LL-37 is safe and effective in enhancing healing of hard-to-heal venous leg ulcers: a randomized, placebo-controlled clinical trial. PMID 25041740</w:t>
      </w:r>
    </w:p>
    <w:p>
      <w:pPr>
        <w:numPr>
          <w:ilvl w:val="0"/>
          <w:numId w:val="1391"/>
        </w:numPr>
        <w:pStyle w:val="Compact"/>
      </w:pPr>
      <w:r>
        <w:t xml:space="preserve">2014 · Leaf DE ·</w:t>
      </w:r>
      <w:r>
        <w:t xml:space="preserve"> </w:t>
      </w:r>
      <w:r>
        <w:rPr>
          <w:iCs/>
          <w:i/>
        </w:rPr>
        <w:t xml:space="preserve">Am J Respir Crit Care Med</w:t>
      </w:r>
      <w:r>
        <w:t xml:space="preserve"> </w:t>
      </w:r>
      <w:r>
        <w:t xml:space="preserve">· Randomized controlled trial of calcitriol in severe sepsis. PMID 25029202</w:t>
      </w:r>
    </w:p>
    <w:p>
      <w:pPr>
        <w:numPr>
          <w:ilvl w:val="0"/>
          <w:numId w:val="1391"/>
        </w:numPr>
        <w:pStyle w:val="Compact"/>
      </w:pPr>
      <w:r>
        <w:t xml:space="preserve">2014 · Koziel J ·</w:t>
      </w:r>
      <w:r>
        <w:t xml:space="preserve"> </w:t>
      </w:r>
      <w:r>
        <w:rPr>
          <w:iCs/>
          <w:i/>
        </w:rPr>
        <w:t xml:space="preserve">J Immunol</w:t>
      </w:r>
      <w:r>
        <w:t xml:space="preserve"> </w:t>
      </w:r>
      <w:r>
        <w:t xml:space="preserve">· Citrullination alters immunomodulatory function of LL-37 essential for prevention of endotoxin-induced sepsis. PMID 24771854</w:t>
      </w:r>
    </w:p>
    <w:p>
      <w:pPr>
        <w:numPr>
          <w:ilvl w:val="0"/>
          <w:numId w:val="1391"/>
        </w:numPr>
        <w:pStyle w:val="Compact"/>
      </w:pPr>
      <w:r>
        <w:t xml:space="preserve">2014 · Limoli DH ·</w:t>
      </w:r>
      <w:r>
        <w:t xml:space="preserve"> </w:t>
      </w:r>
      <w:r>
        <w:rPr>
          <w:iCs/>
          <w:i/>
        </w:rPr>
        <w:t xml:space="preserve">PLoS Pathog</w:t>
      </w:r>
      <w:r>
        <w:t xml:space="preserve"> </w:t>
      </w:r>
      <w:r>
        <w:t xml:space="preserve">· Cationic antimicrobial peptides promote microbial mutagenesis and pathoadaptation in chronic infections. PMID 24763694</w:t>
      </w:r>
    </w:p>
    <w:p>
      <w:pPr>
        <w:numPr>
          <w:ilvl w:val="0"/>
          <w:numId w:val="1391"/>
        </w:numPr>
        <w:pStyle w:val="Compact"/>
      </w:pPr>
      <w:r>
        <w:t xml:space="preserve">2014 · Wheelwright M ·</w:t>
      </w:r>
      <w:r>
        <w:t xml:space="preserve"> </w:t>
      </w:r>
      <w:r>
        <w:rPr>
          <w:iCs/>
          <w:i/>
        </w:rPr>
        <w:t xml:space="preserve">J Immunol</w:t>
      </w:r>
      <w:r>
        <w:t xml:space="preserve"> </w:t>
      </w:r>
      <w:r>
        <w:t xml:space="preserve">· All-trans retinoic acid-triggered antimicrobial activity against Mycobacterium tuberculosis is dependent on NPC2. PMID 24501203</w:t>
      </w:r>
    </w:p>
    <w:p>
      <w:pPr>
        <w:numPr>
          <w:ilvl w:val="0"/>
          <w:numId w:val="1391"/>
        </w:numPr>
        <w:pStyle w:val="Compact"/>
      </w:pPr>
      <w:r>
        <w:t xml:space="preserve">2014 · Das M ·</w:t>
      </w:r>
      <w:r>
        <w:t xml:space="preserve"> </w:t>
      </w:r>
      <w:r>
        <w:rPr>
          <w:iCs/>
          <w:i/>
        </w:rPr>
        <w:t xml:space="preserve">Eur J Clin Nutr</w:t>
      </w:r>
      <w:r>
        <w:t xml:space="preserve"> </w:t>
      </w:r>
      <w:r>
        <w:t xml:space="preserve">· Effect of vitamin D supplementation on cathelicidin, IFN-γ, IL-4 and Th1/Th2 transcription factors in young healthy females. PMID 24398649</w:t>
      </w:r>
    </w:p>
    <w:p>
      <w:pPr>
        <w:numPr>
          <w:ilvl w:val="0"/>
          <w:numId w:val="1391"/>
        </w:numPr>
        <w:pStyle w:val="Compact"/>
      </w:pPr>
      <w:r>
        <w:t xml:space="preserve">2014 · Hata TR ·</w:t>
      </w:r>
      <w:r>
        <w:t xml:space="preserve"> </w:t>
      </w:r>
      <w:r>
        <w:rPr>
          <w:iCs/>
          <w:i/>
        </w:rPr>
        <w:t xml:space="preserve">J Eur Acad Dermatol Venereol</w:t>
      </w:r>
      <w:r>
        <w:t xml:space="preserve"> </w:t>
      </w:r>
      <w:r>
        <w:t xml:space="preserve">· A randomized controlled double-blind investigation of the effects of vitamin D dietary supplementation in subjects with atopic dermatitis. PMID 23638978</w:t>
      </w:r>
    </w:p>
    <w:p>
      <w:pPr>
        <w:numPr>
          <w:ilvl w:val="0"/>
          <w:numId w:val="1391"/>
        </w:numPr>
        <w:pStyle w:val="Compact"/>
      </w:pPr>
      <w:r>
        <w:t xml:space="preserve">2013 · Mily A ·</w:t>
      </w:r>
      <w:r>
        <w:t xml:space="preserve"> </w:t>
      </w:r>
      <w:r>
        <w:rPr>
          <w:iCs/>
          <w:i/>
        </w:rPr>
        <w:t xml:space="preserve">BMC Pulm Med</w:t>
      </w:r>
      <w:r>
        <w:t xml:space="preserve"> </w:t>
      </w:r>
      <w:r>
        <w:t xml:space="preserve">· Oral intake of phenylbutyrate with or without vitamin D3 upregulates the cathelicidin LL-37 in human macrophages: a dose finding study for treatment of tuberculosis. PMID 23590701</w:t>
      </w:r>
    </w:p>
    <w:p>
      <w:pPr>
        <w:numPr>
          <w:ilvl w:val="0"/>
          <w:numId w:val="1391"/>
        </w:numPr>
        <w:pStyle w:val="Compact"/>
      </w:pPr>
      <w:r>
        <w:t xml:space="preserve">2013 · Gollwitzer H ·</w:t>
      </w:r>
      <w:r>
        <w:t xml:space="preserve"> </w:t>
      </w:r>
      <w:r>
        <w:rPr>
          <w:iCs/>
          <w:i/>
        </w:rPr>
        <w:t xml:space="preserve">J Bone Joint Surg Am</w:t>
      </w:r>
      <w:r>
        <w:t xml:space="preserve"> </w:t>
      </w:r>
      <w:r>
        <w:t xml:space="preserve">· Antimicrobial peptides and proinflammatory cytokines in periprosthetic joint infection. PMID 23553300</w:t>
      </w:r>
    </w:p>
    <w:p>
      <w:pPr>
        <w:numPr>
          <w:ilvl w:val="0"/>
          <w:numId w:val="1391"/>
        </w:numPr>
        <w:pStyle w:val="Compact"/>
      </w:pPr>
      <w:r>
        <w:t xml:space="preserve">2013 · Alvarez JA ·</w:t>
      </w:r>
      <w:r>
        <w:t xml:space="preserve"> </w:t>
      </w:r>
      <w:r>
        <w:rPr>
          <w:iCs/>
          <w:i/>
        </w:rPr>
        <w:t xml:space="preserve">Eur J Clin Nutr</w:t>
      </w:r>
      <w:r>
        <w:t xml:space="preserve"> </w:t>
      </w:r>
      <w:r>
        <w:t xml:space="preserve">· Effects of high-dose cholecalciferol on serum markers of inflammation and immunity in patients with early chronic kidney disease. PMID 23361158</w:t>
      </w:r>
    </w:p>
    <w:p>
      <w:pPr>
        <w:numPr>
          <w:ilvl w:val="0"/>
          <w:numId w:val="1391"/>
        </w:numPr>
        <w:pStyle w:val="Compact"/>
      </w:pPr>
      <w:r>
        <w:t xml:space="preserve">2013 · Klug-Micu GM ·</w:t>
      </w:r>
      <w:r>
        <w:t xml:space="preserve"> </w:t>
      </w:r>
      <w:r>
        <w:rPr>
          <w:iCs/>
          <w:i/>
        </w:rPr>
        <w:t xml:space="preserve">Immunology</w:t>
      </w:r>
      <w:r>
        <w:t xml:space="preserve"> </w:t>
      </w:r>
      <w:r>
        <w:t xml:space="preserve">· CD40 ligand and interferon-γ induce an antimicrobial response against Mycobacterium tuberculosis in human monocytes. PMID 23289765</w:t>
      </w:r>
    </w:p>
    <w:p>
      <w:pPr>
        <w:numPr>
          <w:ilvl w:val="0"/>
          <w:numId w:val="1391"/>
        </w:numPr>
        <w:pStyle w:val="Compact"/>
      </w:pPr>
      <w:r>
        <w:t xml:space="preserve">2012 · Campbell GR ·</w:t>
      </w:r>
      <w:r>
        <w:t xml:space="preserve"> </w:t>
      </w:r>
      <w:r>
        <w:rPr>
          <w:iCs/>
          <w:i/>
        </w:rPr>
        <w:t xml:space="preserve">PLoS Pathog</w:t>
      </w:r>
      <w:r>
        <w:t xml:space="preserve"> </w:t>
      </w:r>
      <w:r>
        <w:t xml:space="preserve">· Toll-like receptor 8 ligands activate a vitamin D mediated autophagic response that inhibits human immunodeficiency virus type 1. PMID 23166493</w:t>
      </w:r>
    </w:p>
    <w:p>
      <w:pPr>
        <w:numPr>
          <w:ilvl w:val="0"/>
          <w:numId w:val="1391"/>
        </w:numPr>
        <w:pStyle w:val="Compact"/>
      </w:pPr>
      <w:r>
        <w:t xml:space="preserve">2012 · Grossmann RE ·</w:t>
      </w:r>
      <w:r>
        <w:t xml:space="preserve"> </w:t>
      </w:r>
      <w:r>
        <w:rPr>
          <w:iCs/>
          <w:i/>
        </w:rPr>
        <w:t xml:space="preserve">Eur J Clin Nutr</w:t>
      </w:r>
      <w:r>
        <w:t xml:space="preserve"> </w:t>
      </w:r>
      <w:r>
        <w:t xml:space="preserve">· Impact of vitamin D supplementation on markers of inflammation in adults with cystic fibrosis hospitalized for a pulmonary exacerbation. PMID 22805498</w:t>
      </w:r>
    </w:p>
    <w:p>
      <w:pPr>
        <w:numPr>
          <w:ilvl w:val="0"/>
          <w:numId w:val="1391"/>
        </w:numPr>
        <w:pStyle w:val="Compact"/>
      </w:pPr>
      <w:r>
        <w:t xml:space="preserve">2012 · Raqib R ·</w:t>
      </w:r>
      <w:r>
        <w:t xml:space="preserve"> </w:t>
      </w:r>
      <w:r>
        <w:rPr>
          <w:iCs/>
          <w:i/>
        </w:rPr>
        <w:t xml:space="preserve">BMC Infect Dis</w:t>
      </w:r>
      <w:r>
        <w:t xml:space="preserve"> </w:t>
      </w:r>
      <w:r>
        <w:t xml:space="preserve">· Efficacy of sodium butyrate adjunct therapy in shigellosis: a randomized, double-blind, placebo-controlled clinical trial. PMID 22574737</w:t>
      </w:r>
    </w:p>
    <w:p>
      <w:pPr>
        <w:numPr>
          <w:ilvl w:val="0"/>
          <w:numId w:val="1391"/>
        </w:numPr>
        <w:pStyle w:val="Compact"/>
      </w:pPr>
      <w:r>
        <w:t xml:space="preserve">2012 · Nijnik A ·</w:t>
      </w:r>
      <w:r>
        <w:t xml:space="preserve"> </w:t>
      </w:r>
      <w:r>
        <w:rPr>
          <w:iCs/>
          <w:i/>
        </w:rPr>
        <w:t xml:space="preserve">J Leukoc Biol</w:t>
      </w:r>
      <w:r>
        <w:t xml:space="preserve"> </w:t>
      </w:r>
      <w:r>
        <w:t xml:space="preserve">· The role of the Src family kinase Lyn in the immunomodulatory activities of cathelicidin peptide LL-37 on monocytic cells. PMID 22246800</w:t>
      </w:r>
    </w:p>
    <w:p>
      <w:pPr>
        <w:numPr>
          <w:ilvl w:val="0"/>
          <w:numId w:val="1391"/>
        </w:numPr>
        <w:pStyle w:val="Compact"/>
      </w:pPr>
      <w:r>
        <w:t xml:space="preserve">2011 · Usui T ·</w:t>
      </w:r>
      <w:r>
        <w:t xml:space="preserve"> </w:t>
      </w:r>
      <w:r>
        <w:rPr>
          <w:iCs/>
          <w:i/>
        </w:rPr>
        <w:t xml:space="preserve">Eur J Appl Physiol</w:t>
      </w:r>
      <w:r>
        <w:t xml:space="preserve"> </w:t>
      </w:r>
      <w:r>
        <w:t xml:space="preserve">· Changes in salivary antimicrobial peptides, immunoglobulin A and cortisol after prolonged strenuous exercise. PMID 21249386</w:t>
      </w:r>
    </w:p>
    <w:p>
      <w:pPr>
        <w:numPr>
          <w:ilvl w:val="0"/>
          <w:numId w:val="1391"/>
        </w:numPr>
        <w:pStyle w:val="Compact"/>
      </w:pPr>
      <w:r>
        <w:t xml:space="preserve">2010 · Muratov V ·</w:t>
      </w:r>
      <w:r>
        <w:t xml:space="preserve"> </w:t>
      </w:r>
      <w:r>
        <w:rPr>
          <w:iCs/>
          <w:i/>
        </w:rPr>
        <w:t xml:space="preserve">J Clin Apher</w:t>
      </w:r>
      <w:r>
        <w:t xml:space="preserve"> </w:t>
      </w:r>
      <w:r>
        <w:t xml:space="preserve">· Safety and tolerability of a modified filter-type device for leukocytapheresis using ACD-A as anticoagulant in patients with mild to moderately active ulcerative colitis. Results of a pilot study. PMID 20806415</w:t>
      </w:r>
    </w:p>
    <w:p>
      <w:pPr>
        <w:numPr>
          <w:ilvl w:val="0"/>
          <w:numId w:val="1391"/>
        </w:numPr>
        <w:pStyle w:val="Compact"/>
      </w:pPr>
      <w:r>
        <w:t xml:space="preserve">2010 · Dhaliwal W ·</w:t>
      </w:r>
      <w:r>
        <w:t xml:space="preserve"> </w:t>
      </w:r>
      <w:r>
        <w:rPr>
          <w:iCs/>
          <w:i/>
        </w:rPr>
        <w:t xml:space="preserve">J Infect Dis</w:t>
      </w:r>
      <w:r>
        <w:t xml:space="preserve"> </w:t>
      </w:r>
      <w:r>
        <w:t xml:space="preserve">· Intestinal antimicrobial gene expression: impact of micronutrients in malnourished adults during a randomized trial. PMID 20695797</w:t>
      </w:r>
    </w:p>
    <w:p>
      <w:pPr>
        <w:numPr>
          <w:ilvl w:val="0"/>
          <w:numId w:val="1391"/>
        </w:numPr>
        <w:pStyle w:val="Compact"/>
      </w:pPr>
      <w:r>
        <w:t xml:space="preserve">2010 · Yamshchikov AV ·</w:t>
      </w:r>
      <w:r>
        <w:t xml:space="preserve"> </w:t>
      </w:r>
      <w:r>
        <w:rPr>
          <w:iCs/>
          <w:i/>
        </w:rPr>
        <w:t xml:space="preserve">Am J Clin Nutr</w:t>
      </w:r>
      <w:r>
        <w:t xml:space="preserve"> </w:t>
      </w:r>
      <w:r>
        <w:t xml:space="preserve">· Vitamin D status and antimicrobial peptide cathelicidin (LL-37) concentrations in patients with active pulmonary tuberculosis. PMID 20610636</w:t>
      </w:r>
    </w:p>
    <w:p>
      <w:pPr>
        <w:numPr>
          <w:ilvl w:val="0"/>
          <w:numId w:val="1391"/>
        </w:numPr>
        <w:pStyle w:val="Compact"/>
      </w:pPr>
      <w:r>
        <w:t xml:space="preserve">2010 · Park KY ·</w:t>
      </w:r>
      <w:r>
        <w:t xml:space="preserve"> </w:t>
      </w:r>
      <w:r>
        <w:rPr>
          <w:iCs/>
          <w:i/>
        </w:rPr>
        <w:t xml:space="preserve">J Korean Med Sci</w:t>
      </w:r>
      <w:r>
        <w:t xml:space="preserve"> </w:t>
      </w:r>
      <w:r>
        <w:t xml:space="preserve">· Changes of antimicrobial peptides and transepidermal water loss after topical application of tacrolimus and ceramide-dominant emollient in patients with atopic dermatitis. PMID 20436715</w:t>
      </w:r>
    </w:p>
    <w:p>
      <w:pPr>
        <w:numPr>
          <w:ilvl w:val="0"/>
          <w:numId w:val="1391"/>
        </w:numPr>
        <w:pStyle w:val="Compact"/>
      </w:pPr>
      <w:r>
        <w:t xml:space="preserve">2010 · Heilborn JD ·</w:t>
      </w:r>
      <w:r>
        <w:t xml:space="preserve"> </w:t>
      </w:r>
      <w:r>
        <w:rPr>
          <w:iCs/>
          <w:i/>
        </w:rPr>
        <w:t xml:space="preserve">Exp Dermatol</w:t>
      </w:r>
      <w:r>
        <w:t xml:space="preserve"> </w:t>
      </w:r>
      <w:r>
        <w:t xml:space="preserve">· Topical treatment with the vitamin D analogue calcipotriol enhances the upregulation of the antimicrobial protein hCAP18/LL-37 during wounding in human skin in vivo. PMID 19878298</w:t>
      </w:r>
    </w:p>
    <w:p>
      <w:pPr>
        <w:numPr>
          <w:ilvl w:val="0"/>
          <w:numId w:val="1391"/>
        </w:numPr>
        <w:pStyle w:val="Compact"/>
      </w:pPr>
      <w:r>
        <w:t xml:space="preserve">2009 · Misawa Y ·</w:t>
      </w:r>
      <w:r>
        <w:t xml:space="preserve"> </w:t>
      </w:r>
      <w:r>
        <w:rPr>
          <w:iCs/>
          <w:i/>
        </w:rPr>
        <w:t xml:space="preserve">Int J Hematol</w:t>
      </w:r>
      <w:r>
        <w:t xml:space="preserve"> </w:t>
      </w:r>
      <w:r>
        <w:t xml:space="preserve">· Vitamin D(3) induces expression of human cathelicidin antimicrobial peptide 18 in newborns. PMID 19943126</w:t>
      </w:r>
    </w:p>
    <w:p>
      <w:pPr>
        <w:numPr>
          <w:ilvl w:val="0"/>
          <w:numId w:val="1391"/>
        </w:numPr>
        <w:pStyle w:val="Compact"/>
      </w:pPr>
      <w:r>
        <w:t xml:space="preserve">2009 · Levinson P ·</w:t>
      </w:r>
      <w:r>
        <w:t xml:space="preserve"> </w:t>
      </w:r>
      <w:r>
        <w:rPr>
          <w:iCs/>
          <w:i/>
        </w:rPr>
        <w:t xml:space="preserve">AIDS</w:t>
      </w:r>
      <w:r>
        <w:t xml:space="preserve"> </w:t>
      </w:r>
      <w:r>
        <w:t xml:space="preserve">· Levels of innate immune factors in genital fluids: association of alpha defensins and LL-37 with genital infections and increased HIV acquisition. PMID 19114868</w:t>
      </w:r>
    </w:p>
    <w:p>
      <w:pPr>
        <w:numPr>
          <w:ilvl w:val="0"/>
          <w:numId w:val="1391"/>
        </w:numPr>
        <w:pStyle w:val="Compact"/>
      </w:pPr>
      <w:r>
        <w:t xml:space="preserve">2008 · Hata TR ·</w:t>
      </w:r>
      <w:r>
        <w:t xml:space="preserve"> </w:t>
      </w:r>
      <w:r>
        <w:rPr>
          <w:iCs/>
          <w:i/>
        </w:rPr>
        <w:t xml:space="preserve">J Allergy Clin Immunol</w:t>
      </w:r>
      <w:r>
        <w:t xml:space="preserve"> </w:t>
      </w:r>
      <w:r>
        <w:t xml:space="preserve">· Administration of oral vitamin D induces cathelicidin production in atopic individuals. PMID 19014773</w:t>
      </w:r>
    </w:p>
    <w:p>
      <w:pPr>
        <w:numPr>
          <w:ilvl w:val="0"/>
          <w:numId w:val="1391"/>
        </w:numPr>
        <w:pStyle w:val="Compact"/>
      </w:pPr>
      <w:r>
        <w:t xml:space="preserve">2007 · Christensen RD ·</w:t>
      </w:r>
      <w:r>
        <w:t xml:space="preserve"> </w:t>
      </w:r>
      <w:r>
        <w:rPr>
          <w:iCs/>
          <w:i/>
        </w:rPr>
        <w:t xml:space="preserve">J Perinatol</w:t>
      </w:r>
      <w:r>
        <w:t xml:space="preserve"> </w:t>
      </w:r>
      <w:r>
        <w:t xml:space="preserve">· ETCare: a randomized, controlled, masked trial comparing two solutions for upper airway care in the NICU. PMID 17568755</w:t>
      </w:r>
    </w:p>
    <w:p>
      <w:pPr>
        <w:numPr>
          <w:ilvl w:val="0"/>
          <w:numId w:val="1391"/>
        </w:numPr>
        <w:pStyle w:val="Compact"/>
      </w:pPr>
      <w:r>
        <w:t xml:space="preserve">2006 · Schauber J ·</w:t>
      </w:r>
      <w:r>
        <w:t xml:space="preserve"> </w:t>
      </w:r>
      <w:r>
        <w:rPr>
          <w:iCs/>
          <w:i/>
        </w:rPr>
        <w:t xml:space="preserve">Mol Nutr Food Res</w:t>
      </w:r>
      <w:r>
        <w:t xml:space="preserve"> </w:t>
      </w:r>
      <w:r>
        <w:t xml:space="preserve">· Human rectal mucosal gene expression after consumption of digestible and non-digestible carbohydrates. PMID 17039460</w:t>
      </w:r>
    </w:p>
    <w:bookmarkEnd w:id="3033"/>
    <w:bookmarkStart w:id="3034" w:name="ara-290-cibinetide-5"/>
    <w:p>
      <w:pPr>
        <w:pStyle w:val="Heading2"/>
      </w:pPr>
      <w:r>
        <w:t xml:space="preserve">ARA-290 (cibinetide) (5)</w:t>
      </w:r>
    </w:p>
    <w:p>
      <w:pPr>
        <w:numPr>
          <w:ilvl w:val="0"/>
          <w:numId w:val="1392"/>
        </w:numPr>
        <w:pStyle w:val="Compact"/>
      </w:pPr>
      <w:r>
        <w:t xml:space="preserve">2017 · Culver DA ·</w:t>
      </w:r>
      <w:r>
        <w:t xml:space="preserve"> </w:t>
      </w:r>
      <w:r>
        <w:rPr>
          <w:iCs/>
          <w:i/>
        </w:rPr>
        <w:t xml:space="preserve">Invest Ophthalmol Vis Sci</w:t>
      </w:r>
      <w:r>
        <w:t xml:space="preserve"> </w:t>
      </w:r>
      <w:r>
        <w:t xml:space="preserve">· Cibinetide Improves Corneal Nerve Fiber Abundance in Patients With Sarcoidosis-Associated Small Nerve Fiber Loss and Neuropathic Pain. PMID 28475703</w:t>
      </w:r>
    </w:p>
    <w:p>
      <w:pPr>
        <w:numPr>
          <w:ilvl w:val="0"/>
          <w:numId w:val="1392"/>
        </w:numPr>
        <w:pStyle w:val="Compact"/>
      </w:pPr>
      <w:r>
        <w:t xml:space="preserve">2015 · Cerit H ·</w:t>
      </w:r>
      <w:r>
        <w:t xml:space="preserve"> </w:t>
      </w:r>
      <w:r>
        <w:rPr>
          <w:iCs/>
          <w:i/>
        </w:rPr>
        <w:t xml:space="preserve">Eur Neuropsychopharmacol</w:t>
      </w:r>
      <w:r>
        <w:t xml:space="preserve"> </w:t>
      </w:r>
      <w:r>
        <w:t xml:space="preserve">· Testing the antidepressant properties of the peptide ARA290 in a human neuropsychological model of drug action. PMID 26431906</w:t>
      </w:r>
    </w:p>
    <w:p>
      <w:pPr>
        <w:numPr>
          <w:ilvl w:val="0"/>
          <w:numId w:val="1392"/>
        </w:numPr>
        <w:pStyle w:val="Compact"/>
      </w:pPr>
      <w:r>
        <w:t xml:space="preserve">2015 · Brines M ·</w:t>
      </w:r>
      <w:r>
        <w:t xml:space="preserve"> </w:t>
      </w:r>
      <w:r>
        <w:rPr>
          <w:iCs/>
          <w:i/>
        </w:rPr>
        <w:t xml:space="preserve">Mol Med</w:t>
      </w:r>
      <w:r>
        <w:t xml:space="preserve"> </w:t>
      </w:r>
      <w:r>
        <w:t xml:space="preserve">· ARA 290, a nonerythropoietic peptide engineered from erythropoietin, improves metabolic control and neuropathic symptoms in patients with type 2 diabetes. PMID 25387363</w:t>
      </w:r>
    </w:p>
    <w:p>
      <w:pPr>
        <w:numPr>
          <w:ilvl w:val="0"/>
          <w:numId w:val="1392"/>
        </w:numPr>
        <w:pStyle w:val="Compact"/>
      </w:pPr>
      <w:r>
        <w:t xml:space="preserve">2013 · Dahan A ·</w:t>
      </w:r>
      <w:r>
        <w:t xml:space="preserve"> </w:t>
      </w:r>
      <w:r>
        <w:rPr>
          <w:iCs/>
          <w:i/>
        </w:rPr>
        <w:t xml:space="preserve">Mol Med</w:t>
      </w:r>
      <w:r>
        <w:t xml:space="preserve"> </w:t>
      </w:r>
      <w:r>
        <w:t xml:space="preserve">· ARA 290 improves symptoms in patients with sarcoidosis-associated small nerve fiber loss and increases corneal nerve fiber density. PMID 24136731</w:t>
      </w:r>
    </w:p>
    <w:p>
      <w:pPr>
        <w:numPr>
          <w:ilvl w:val="0"/>
          <w:numId w:val="1392"/>
        </w:numPr>
        <w:pStyle w:val="Compact"/>
      </w:pPr>
      <w:r>
        <w:t xml:space="preserve">2012 · Heij L ·</w:t>
      </w:r>
      <w:r>
        <w:t xml:space="preserve"> </w:t>
      </w:r>
      <w:r>
        <w:rPr>
          <w:iCs/>
          <w:i/>
        </w:rPr>
        <w:t xml:space="preserve">Mol Med</w:t>
      </w:r>
      <w:r>
        <w:t xml:space="preserve"> </w:t>
      </w:r>
      <w:r>
        <w:t xml:space="preserve">· Safety and efficacy of ARA 290 in sarcoidosis patients with symptoms of small fiber neuropathy: a randomized, double-blind pilot study. PMID 23168581</w:t>
      </w:r>
    </w:p>
    <w:bookmarkEnd w:id="3034"/>
    <w:bookmarkStart w:id="3035" w:name="larazotide-4"/>
    <w:p>
      <w:pPr>
        <w:pStyle w:val="Heading2"/>
      </w:pPr>
      <w:r>
        <w:t xml:space="preserve">Larazotide (4)</w:t>
      </w:r>
    </w:p>
    <w:p>
      <w:pPr>
        <w:numPr>
          <w:ilvl w:val="0"/>
          <w:numId w:val="1393"/>
        </w:numPr>
        <w:pStyle w:val="Compact"/>
      </w:pPr>
      <w:r>
        <w:t xml:space="preserve">2025 · Yonker LM ·</w:t>
      </w:r>
      <w:r>
        <w:t xml:space="preserve"> </w:t>
      </w:r>
      <w:r>
        <w:rPr>
          <w:iCs/>
          <w:i/>
        </w:rPr>
        <w:t xml:space="preserve">Sci Transl Med</w:t>
      </w:r>
      <w:r>
        <w:t xml:space="preserve"> </w:t>
      </w:r>
      <w:r>
        <w:t xml:space="preserve">· Viral spike antigen clearance and augmented recovery in children with post-COVID multisystem inflammatory syndrome treated with larazotide. PMID 40737433</w:t>
      </w:r>
    </w:p>
    <w:p>
      <w:pPr>
        <w:numPr>
          <w:ilvl w:val="0"/>
          <w:numId w:val="1393"/>
        </w:numPr>
        <w:pStyle w:val="Compact"/>
      </w:pPr>
      <w:r>
        <w:t xml:space="preserve">2015 · Leffler DA ·</w:t>
      </w:r>
      <w:r>
        <w:t xml:space="preserve"> </w:t>
      </w:r>
      <w:r>
        <w:rPr>
          <w:iCs/>
          <w:i/>
        </w:rPr>
        <w:t xml:space="preserve">Gastroenterology</w:t>
      </w:r>
      <w:r>
        <w:t xml:space="preserve"> </w:t>
      </w:r>
      <w:r>
        <w:t xml:space="preserve">· Larazotide acetate for persistent symptoms of celiac disease despite a gluten-free diet: a randomized controlled trial. PMID 25683116</w:t>
      </w:r>
    </w:p>
    <w:p>
      <w:pPr>
        <w:numPr>
          <w:ilvl w:val="0"/>
          <w:numId w:val="1393"/>
        </w:numPr>
        <w:pStyle w:val="Compact"/>
      </w:pPr>
      <w:r>
        <w:t xml:space="preserve">2013 · Kelly CP ·</w:t>
      </w:r>
      <w:r>
        <w:t xml:space="preserve"> </w:t>
      </w:r>
      <w:r>
        <w:rPr>
          <w:iCs/>
          <w:i/>
        </w:rPr>
        <w:t xml:space="preserve">Aliment Pharmacol Ther</w:t>
      </w:r>
      <w:r>
        <w:t xml:space="preserve"> </w:t>
      </w:r>
      <w:r>
        <w:t xml:space="preserve">· Larazotide acetate in patients with coeliac disease undergoing a gluten challenge: a randomised placebo-controlled study. PMID 23163616</w:t>
      </w:r>
    </w:p>
    <w:p>
      <w:pPr>
        <w:numPr>
          <w:ilvl w:val="0"/>
          <w:numId w:val="1393"/>
        </w:numPr>
        <w:pStyle w:val="Compact"/>
      </w:pPr>
      <w:r>
        <w:t xml:space="preserve">2012 · Leffler DA ·</w:t>
      </w:r>
      <w:r>
        <w:t xml:space="preserve"> </w:t>
      </w:r>
      <w:r>
        <w:rPr>
          <w:iCs/>
          <w:i/>
        </w:rPr>
        <w:t xml:space="preserve">Am J Gastroenterol</w:t>
      </w:r>
      <w:r>
        <w:t xml:space="preserve"> </w:t>
      </w:r>
      <w:r>
        <w:t xml:space="preserve">· A randomized, double-blind study of larazotide acetate to prevent the activation of celiac disease during gluten challenge. PMID 22825365</w:t>
      </w:r>
    </w:p>
    <w:bookmarkEnd w:id="3035"/>
    <w:bookmarkStart w:id="3036" w:name="timalina-e-timogeno-17"/>
    <w:p>
      <w:pPr>
        <w:pStyle w:val="Heading2"/>
      </w:pPr>
      <w:r>
        <w:t xml:space="preserve">Timalina e timogeno (17)</w:t>
      </w:r>
    </w:p>
    <w:p>
      <w:pPr>
        <w:numPr>
          <w:ilvl w:val="0"/>
          <w:numId w:val="1394"/>
        </w:numPr>
        <w:pStyle w:val="Compact"/>
      </w:pPr>
      <w:r>
        <w:t xml:space="preserve">2015 · Litvinenko GI ·</w:t>
      </w:r>
      <w:r>
        <w:t xml:space="preserve"> </w:t>
      </w:r>
      <w:r>
        <w:rPr>
          <w:iCs/>
          <w:i/>
        </w:rPr>
        <w:t xml:space="preserve">Bull Exp Biol Med</w:t>
      </w:r>
      <w:r>
        <w:t xml:space="preserve"> </w:t>
      </w:r>
      <w:r>
        <w:t xml:space="preserve">· Chrono- and Immunocorrection of Inflammatory Disorders of Internal Reproductive Organs in Women of Reproductive Age. PMID 26033592</w:t>
      </w:r>
    </w:p>
    <w:p>
      <w:pPr>
        <w:numPr>
          <w:ilvl w:val="0"/>
          <w:numId w:val="1394"/>
        </w:numPr>
        <w:pStyle w:val="Compact"/>
      </w:pPr>
      <w:r>
        <w:t xml:space="preserve">2011 · Smirnov VS ·</w:t>
      </w:r>
      <w:r>
        <w:t xml:space="preserve"> </w:t>
      </w:r>
      <w:r>
        <w:rPr>
          <w:iCs/>
          <w:i/>
        </w:rPr>
        <w:t xml:space="preserve">Adv Gerontol</w:t>
      </w:r>
      <w:r>
        <w:t xml:space="preserve"> </w:t>
      </w:r>
      <w:r>
        <w:t xml:space="preserve">· [Application thymogen for preoperative preparation of elderly patients with tumor processes in abdominal cavity]. PMID 21957588</w:t>
      </w:r>
    </w:p>
    <w:p>
      <w:pPr>
        <w:numPr>
          <w:ilvl w:val="0"/>
          <w:numId w:val="1394"/>
        </w:numPr>
        <w:pStyle w:val="Compact"/>
      </w:pPr>
      <w:r>
        <w:t xml:space="preserve">2004 · Kopchak VM ·</w:t>
      </w:r>
      <w:r>
        <w:t xml:space="preserve"> </w:t>
      </w:r>
      <w:r>
        <w:rPr>
          <w:iCs/>
          <w:i/>
        </w:rPr>
        <w:t xml:space="preserve">Klin Khir</w:t>
      </w:r>
      <w:r>
        <w:t xml:space="preserve"> </w:t>
      </w:r>
      <w:r>
        <w:t xml:space="preserve">· [The application efficacy of immunomodulators in complex of treatment of an acute necrotic pancreatitis]. PMID 15560588</w:t>
      </w:r>
    </w:p>
    <w:p>
      <w:pPr>
        <w:numPr>
          <w:ilvl w:val="0"/>
          <w:numId w:val="1394"/>
        </w:numPr>
        <w:pStyle w:val="Compact"/>
      </w:pPr>
      <w:r>
        <w:t xml:space="preserve">2003 · Khavinson VKh ·</w:t>
      </w:r>
      <w:r>
        <w:t xml:space="preserve"> </w:t>
      </w:r>
      <w:r>
        <w:rPr>
          <w:iCs/>
          <w:i/>
        </w:rPr>
        <w:t xml:space="preserve">Neuro Endocrinol Lett</w:t>
      </w:r>
      <w:r>
        <w:t xml:space="preserve"> </w:t>
      </w:r>
      <w:r>
        <w:t xml:space="preserve">· Peptides of pineal gland and thymus prolong human life. PMID 14523363</w:t>
      </w:r>
    </w:p>
    <w:p>
      <w:pPr>
        <w:numPr>
          <w:ilvl w:val="0"/>
          <w:numId w:val="1394"/>
        </w:numPr>
        <w:pStyle w:val="Compact"/>
      </w:pPr>
      <w:r>
        <w:t xml:space="preserve">2000 · Potiĭ VV ·</w:t>
      </w:r>
      <w:r>
        <w:t xml:space="preserve"> </w:t>
      </w:r>
      <w:r>
        <w:rPr>
          <w:iCs/>
          <w:i/>
        </w:rPr>
        <w:t xml:space="preserve">Klin Khir</w:t>
      </w:r>
      <w:r>
        <w:t xml:space="preserve"> </w:t>
      </w:r>
      <w:r>
        <w:t xml:space="preserve">· [Applications of immunomodulators in complex of treatment of the soft tissue purulent wounds]. PMID 11247420</w:t>
      </w:r>
    </w:p>
    <w:p>
      <w:pPr>
        <w:numPr>
          <w:ilvl w:val="0"/>
          <w:numId w:val="1394"/>
        </w:numPr>
        <w:pStyle w:val="Compact"/>
      </w:pPr>
      <w:r>
        <w:t xml:space="preserve">1999 · Medus AI ·</w:t>
      </w:r>
      <w:r>
        <w:t xml:space="preserve"> </w:t>
      </w:r>
      <w:r>
        <w:rPr>
          <w:iCs/>
          <w:i/>
        </w:rPr>
        <w:t xml:space="preserve">Voen Med Zh</w:t>
      </w:r>
      <w:r>
        <w:t xml:space="preserve"> </w:t>
      </w:r>
      <w:r>
        <w:t xml:space="preserve">· [The effect of thymogen on the state of immunity in destructive pulmonary tuberculosis]. PMID 10605346</w:t>
      </w:r>
    </w:p>
    <w:p>
      <w:pPr>
        <w:numPr>
          <w:ilvl w:val="0"/>
          <w:numId w:val="1394"/>
        </w:numPr>
        <w:pStyle w:val="Compact"/>
      </w:pPr>
      <w:r>
        <w:t xml:space="preserve">1999 · Musienko GV ·</w:t>
      </w:r>
      <w:r>
        <w:t xml:space="preserve"> </w:t>
      </w:r>
      <w:r>
        <w:rPr>
          <w:iCs/>
          <w:i/>
        </w:rPr>
        <w:t xml:space="preserve">Lik Sprava</w:t>
      </w:r>
      <w:r>
        <w:t xml:space="preserve"> </w:t>
      </w:r>
      <w:r>
        <w:t xml:space="preserve">· [Thymalin in the combined treatment of parkinsonism patients]. PMID 10424021</w:t>
      </w:r>
    </w:p>
    <w:p>
      <w:pPr>
        <w:numPr>
          <w:ilvl w:val="0"/>
          <w:numId w:val="1394"/>
        </w:numPr>
        <w:pStyle w:val="Compact"/>
      </w:pPr>
      <w:r>
        <w:t xml:space="preserve">1994 · Bushmelev VA ·</w:t>
      </w:r>
      <w:r>
        <w:t xml:space="preserve"> </w:t>
      </w:r>
      <w:r>
        <w:rPr>
          <w:iCs/>
          <w:i/>
        </w:rPr>
        <w:t xml:space="preserve">Khirurgiia (Mosk)</w:t>
      </w:r>
      <w:r>
        <w:t xml:space="preserve"> </w:t>
      </w:r>
      <w:r>
        <w:t xml:space="preserve">· [Prevention of postoperative complications in diffuse purulent peritonitis in children]. PMID 7990325</w:t>
      </w:r>
    </w:p>
    <w:p>
      <w:pPr>
        <w:numPr>
          <w:ilvl w:val="0"/>
          <w:numId w:val="1394"/>
        </w:numPr>
        <w:pStyle w:val="Compact"/>
      </w:pPr>
      <w:r>
        <w:t xml:space="preserve">1994 · Litvinova NV ·</w:t>
      </w:r>
      <w:r>
        <w:t xml:space="preserve"> </w:t>
      </w:r>
      <w:r>
        <w:rPr>
          <w:iCs/>
          <w:i/>
        </w:rPr>
        <w:t xml:space="preserve">Probl Tuberk</w:t>
      </w:r>
      <w:r>
        <w:t xml:space="preserve"> </w:t>
      </w:r>
      <w:r>
        <w:t xml:space="preserve">· [Changes of immune and non-specific reactivity in patients with chronic suppurative obstructive bronchitis in comprehensive treatment with thymogen]. PMID 7984617</w:t>
      </w:r>
    </w:p>
    <w:p>
      <w:pPr>
        <w:numPr>
          <w:ilvl w:val="0"/>
          <w:numId w:val="1394"/>
        </w:numPr>
        <w:pStyle w:val="Compact"/>
      </w:pPr>
      <w:r>
        <w:t xml:space="preserve">1994 · Ivanova LA ·</w:t>
      </w:r>
      <w:r>
        <w:t xml:space="preserve"> </w:t>
      </w:r>
      <w:r>
        <w:rPr>
          <w:iCs/>
          <w:i/>
        </w:rPr>
        <w:t xml:space="preserve">Probl Tuberk</w:t>
      </w:r>
      <w:r>
        <w:t xml:space="preserve"> </w:t>
      </w:r>
      <w:r>
        <w:t xml:space="preserve">· [Immunotherapy in the combined treatment of chronic destructive pulmonary tuberculosis]. PMID 7937662</w:t>
      </w:r>
    </w:p>
    <w:p>
      <w:pPr>
        <w:numPr>
          <w:ilvl w:val="0"/>
          <w:numId w:val="1394"/>
        </w:numPr>
        <w:pStyle w:val="Compact"/>
      </w:pPr>
      <w:r>
        <w:t xml:space="preserve">1992 · Tsvelev IuV ·</w:t>
      </w:r>
      <w:r>
        <w:t xml:space="preserve"> </w:t>
      </w:r>
      <w:r>
        <w:rPr>
          <w:iCs/>
          <w:i/>
        </w:rPr>
        <w:t xml:space="preserve">Akush Ginekol (Mosk)</w:t>
      </w:r>
      <w:r>
        <w:t xml:space="preserve"> </w:t>
      </w:r>
      <w:r>
        <w:t xml:space="preserve">· [Thymogen in the complex treatment of inflammatory diseases of the female genital system]. PMID 1476231</w:t>
      </w:r>
    </w:p>
    <w:p>
      <w:pPr>
        <w:numPr>
          <w:ilvl w:val="0"/>
          <w:numId w:val="1394"/>
        </w:numPr>
        <w:pStyle w:val="Compact"/>
      </w:pPr>
      <w:r>
        <w:t xml:space="preserve">1992 · Tkach SM ·</w:t>
      </w:r>
      <w:r>
        <w:t xml:space="preserve"> </w:t>
      </w:r>
      <w:r>
        <w:rPr>
          <w:iCs/>
          <w:i/>
        </w:rPr>
        <w:t xml:space="preserve">Lik Sprava</w:t>
      </w:r>
      <w:r>
        <w:t xml:space="preserve"> </w:t>
      </w:r>
      <w:r>
        <w:t xml:space="preserve">· [Differentiated immunocorrective therapy in nonspecific ulcerative colitis]. PMID 1441366</w:t>
      </w:r>
    </w:p>
    <w:p>
      <w:pPr>
        <w:numPr>
          <w:ilvl w:val="0"/>
          <w:numId w:val="1394"/>
        </w:numPr>
        <w:pStyle w:val="Compact"/>
      </w:pPr>
      <w:r>
        <w:t xml:space="preserve">1990 · Govorin NV ·</w:t>
      </w:r>
      <w:r>
        <w:t xml:space="preserve"> </w:t>
      </w:r>
      <w:r>
        <w:rPr>
          <w:iCs/>
          <w:i/>
        </w:rPr>
        <w:t xml:space="preserve">Zh Nevropatol Psikhiatr Im S S Korsakova</w:t>
      </w:r>
      <w:r>
        <w:t xml:space="preserve"> </w:t>
      </w:r>
      <w:r>
        <w:t xml:space="preserve">· [Use of thymic peptide thymalin in the complex treatment of therapy-resistant schizophrenia]. PMID 2163147</w:t>
      </w:r>
    </w:p>
    <w:p>
      <w:pPr>
        <w:numPr>
          <w:ilvl w:val="0"/>
          <w:numId w:val="1394"/>
        </w:numPr>
        <w:pStyle w:val="Compact"/>
      </w:pPr>
      <w:r>
        <w:t xml:space="preserve">1990 · Kogosova LS ·</w:t>
      </w:r>
      <w:r>
        <w:t xml:space="preserve"> </w:t>
      </w:r>
      <w:r>
        <w:rPr>
          <w:iCs/>
          <w:i/>
        </w:rPr>
        <w:t xml:space="preserve">Probl Tuberk</w:t>
      </w:r>
      <w:r>
        <w:t xml:space="preserve"> </w:t>
      </w:r>
      <w:r>
        <w:t xml:space="preserve">· [Effectiveness of administration of thymalin in the complex treatment of pulmonary tuberculosis]. PMID 2080155</w:t>
      </w:r>
    </w:p>
    <w:p>
      <w:pPr>
        <w:numPr>
          <w:ilvl w:val="0"/>
          <w:numId w:val="1394"/>
        </w:numPr>
        <w:pStyle w:val="Compact"/>
      </w:pPr>
      <w:r>
        <w:t xml:space="preserve">1987 · Pateiuk VG ·</w:t>
      </w:r>
      <w:r>
        <w:t xml:space="preserve"> </w:t>
      </w:r>
      <w:r>
        <w:rPr>
          <w:iCs/>
          <w:i/>
        </w:rPr>
        <w:t xml:space="preserve">Klin Med (Mosk)</w:t>
      </w:r>
      <w:r>
        <w:t xml:space="preserve"> </w:t>
      </w:r>
      <w:r>
        <w:t xml:space="preserve">· [Thymalin in the treatment of patients with erysipelas]. PMID 3312790</w:t>
      </w:r>
    </w:p>
    <w:p>
      <w:pPr>
        <w:numPr>
          <w:ilvl w:val="0"/>
          <w:numId w:val="1394"/>
        </w:numPr>
        <w:pStyle w:val="Compact"/>
      </w:pPr>
      <w:r>
        <w:t xml:space="preserve">1985 · Boĭko IN ·</w:t>
      </w:r>
      <w:r>
        <w:t xml:space="preserve"> </w:t>
      </w:r>
      <w:r>
        <w:rPr>
          <w:iCs/>
          <w:i/>
        </w:rPr>
        <w:t xml:space="preserve">Voen Med Zh</w:t>
      </w:r>
      <w:r>
        <w:t xml:space="preserve"> </w:t>
      </w:r>
      <w:r>
        <w:t xml:space="preserve">· [Effectiveness of thymalin and prodigiozan in the complex treatment of patients with dysentery]. PMID 3901509</w:t>
      </w:r>
    </w:p>
    <w:p>
      <w:pPr>
        <w:numPr>
          <w:ilvl w:val="0"/>
          <w:numId w:val="1394"/>
        </w:numPr>
        <w:pStyle w:val="Compact"/>
      </w:pPr>
      <w:r>
        <w:t xml:space="preserve">1982 · Khavinson VKh ·</w:t>
      </w:r>
      <w:r>
        <w:t xml:space="preserve"> </w:t>
      </w:r>
      <w:r>
        <w:rPr>
          <w:iCs/>
          <w:i/>
        </w:rPr>
        <w:t xml:space="preserve">Voen Med Zh</w:t>
      </w:r>
      <w:r>
        <w:t xml:space="preserve"> </w:t>
      </w:r>
      <w:r>
        <w:t xml:space="preserve">· [Experimental and clinical study of a new immunoregulator preparation thymalin]. PMID 7048731</w:t>
      </w:r>
    </w:p>
    <w:bookmarkEnd w:id="3036"/>
    <w:bookmarkStart w:id="3037" w:name="sermorelina-0"/>
    <w:p>
      <w:pPr>
        <w:pStyle w:val="Heading2"/>
      </w:pPr>
      <w:r>
        <w:t xml:space="preserve">Sermorelina (0)</w:t>
      </w:r>
    </w:p>
    <w:p>
      <w:pPr>
        <w:pStyle w:val="FirstParagraph"/>
      </w:pPr>
      <w:r>
        <w:t xml:space="preserve">Nessuna pubblicazione di studi clinici sull’uomo trovata.</w:t>
      </w:r>
    </w:p>
    <w:bookmarkEnd w:id="3037"/>
    <w:bookmarkStart w:id="3038" w:name="tesamorelina-23"/>
    <w:p>
      <w:pPr>
        <w:pStyle w:val="Heading2"/>
      </w:pPr>
      <w:r>
        <w:t xml:space="preserve">Tesamorelina (23)</w:t>
      </w:r>
    </w:p>
    <w:p>
      <w:pPr>
        <w:numPr>
          <w:ilvl w:val="0"/>
          <w:numId w:val="1395"/>
        </w:numPr>
        <w:pStyle w:val="Compact"/>
      </w:pPr>
      <w:r>
        <w:t xml:space="preserve">2025 · Ellis RJ ·</w:t>
      </w:r>
      <w:r>
        <w:t xml:space="preserve"> </w:t>
      </w:r>
      <w:r>
        <w:rPr>
          <w:iCs/>
          <w:i/>
        </w:rPr>
        <w:t xml:space="preserve">J Infect Dis</w:t>
      </w:r>
      <w:r>
        <w:t xml:space="preserve"> </w:t>
      </w:r>
      <w:r>
        <w:t xml:space="preserve">· Effects of Tesamorelin on Neurocognitive Impairment in Persons With HIV and Abdominal Obesity. PMID 39813152</w:t>
      </w:r>
    </w:p>
    <w:p>
      <w:pPr>
        <w:numPr>
          <w:ilvl w:val="0"/>
          <w:numId w:val="1395"/>
        </w:numPr>
        <w:pStyle w:val="Compact"/>
      </w:pPr>
      <w:r>
        <w:t xml:space="preserve">2024 · Russo SC ·</w:t>
      </w:r>
      <w:r>
        <w:t xml:space="preserve"> </w:t>
      </w:r>
      <w:r>
        <w:rPr>
          <w:iCs/>
          <w:i/>
        </w:rPr>
        <w:t xml:space="preserve">AIDS</w:t>
      </w:r>
      <w:r>
        <w:t xml:space="preserve"> </w:t>
      </w:r>
      <w:r>
        <w:t xml:space="preserve">· Efficacy and safety of tesamorelin in people with HIV on integrase inhibitors. PMID 38905488</w:t>
      </w:r>
    </w:p>
    <w:p>
      <w:pPr>
        <w:numPr>
          <w:ilvl w:val="0"/>
          <w:numId w:val="1395"/>
        </w:numPr>
        <w:pStyle w:val="Compact"/>
      </w:pPr>
      <w:r>
        <w:t xml:space="preserve">2021 · Stanley TL ·</w:t>
      </w:r>
      <w:r>
        <w:t xml:space="preserve"> </w:t>
      </w:r>
      <w:r>
        <w:rPr>
          <w:iCs/>
          <w:i/>
        </w:rPr>
        <w:t xml:space="preserve">Clin Infect Dis</w:t>
      </w:r>
      <w:r>
        <w:t xml:space="preserve"> </w:t>
      </w:r>
      <w:r>
        <w:t xml:space="preserve">· Growth Hormone Releasing Hormone Reduces Circulating Markers of Immune Activation in Parallel with Effects on Hepatic Immune Pathways in Individuals with HIV-infection and Nonalcoholic Fatty Liver Disease. PMID 33852720</w:t>
      </w:r>
    </w:p>
    <w:p>
      <w:pPr>
        <w:numPr>
          <w:ilvl w:val="0"/>
          <w:numId w:val="1395"/>
        </w:numPr>
        <w:pStyle w:val="Compact"/>
      </w:pPr>
      <w:r>
        <w:t xml:space="preserve">2021 · Fourman LT ·</w:t>
      </w:r>
      <w:r>
        <w:t xml:space="preserve"> </w:t>
      </w:r>
      <w:r>
        <w:rPr>
          <w:iCs/>
          <w:i/>
        </w:rPr>
        <w:t xml:space="preserve">Clin Infect Dis</w:t>
      </w:r>
      <w:r>
        <w:t xml:space="preserve"> </w:t>
      </w:r>
      <w:r>
        <w:t xml:space="preserve">· Clinical Predictors of Liver Fibrosis Presence and Progression in Human Immunodeficiency Virus-Associated Nonalcoholic Fatty Liver Disease. PMID 32270862</w:t>
      </w:r>
    </w:p>
    <w:p>
      <w:pPr>
        <w:numPr>
          <w:ilvl w:val="0"/>
          <w:numId w:val="1395"/>
        </w:numPr>
        <w:pStyle w:val="Compact"/>
      </w:pPr>
      <w:r>
        <w:t xml:space="preserve">2020 · Fourman LT ·</w:t>
      </w:r>
      <w:r>
        <w:t xml:space="preserve"> </w:t>
      </w:r>
      <w:r>
        <w:rPr>
          <w:iCs/>
          <w:i/>
        </w:rPr>
        <w:t xml:space="preserve">JCI Insight</w:t>
      </w:r>
      <w:r>
        <w:t xml:space="preserve"> </w:t>
      </w:r>
      <w:r>
        <w:t xml:space="preserve">· Effects of tesamorelin on hepatic transcriptomic signatures in HIV-associated NAFLD. PMID 32701508</w:t>
      </w:r>
    </w:p>
    <w:p>
      <w:pPr>
        <w:numPr>
          <w:ilvl w:val="0"/>
          <w:numId w:val="1395"/>
        </w:numPr>
        <w:pStyle w:val="Compact"/>
      </w:pPr>
      <w:r>
        <w:t xml:space="preserve">2019 · Stanley TL ·</w:t>
      </w:r>
      <w:r>
        <w:t xml:space="preserve"> </w:t>
      </w:r>
      <w:r>
        <w:rPr>
          <w:iCs/>
          <w:i/>
        </w:rPr>
        <w:t xml:space="preserve">Lancet HIV</w:t>
      </w:r>
      <w:r>
        <w:t xml:space="preserve"> </w:t>
      </w:r>
      <w:r>
        <w:t xml:space="preserve">· Effects of tesamorelin on non-alcoholic fatty liver disease in HIV: a randomised, double-blind, multicentre trial. PMID 31611038</w:t>
      </w:r>
    </w:p>
    <w:p>
      <w:pPr>
        <w:numPr>
          <w:ilvl w:val="0"/>
          <w:numId w:val="1395"/>
        </w:numPr>
        <w:pStyle w:val="Compact"/>
      </w:pPr>
      <w:r>
        <w:t xml:space="preserve">2019 · Adrian S ·</w:t>
      </w:r>
      <w:r>
        <w:t xml:space="preserve"> </w:t>
      </w:r>
      <w:r>
        <w:rPr>
          <w:iCs/>
          <w:i/>
        </w:rPr>
        <w:t xml:space="preserve">J Frailty Aging</w:t>
      </w:r>
      <w:r>
        <w:t xml:space="preserve"> </w:t>
      </w:r>
      <w:r>
        <w:t xml:space="preserve">· The Growth Hormone Releasing Hormone Analogue, Tesamorelin, Decreases Muscle Fat and Increases Muscle Area in Adults with HIV. PMID 31237318</w:t>
      </w:r>
    </w:p>
    <w:p>
      <w:pPr>
        <w:numPr>
          <w:ilvl w:val="0"/>
          <w:numId w:val="1395"/>
        </w:numPr>
        <w:pStyle w:val="Compact"/>
      </w:pPr>
      <w:r>
        <w:t xml:space="preserve">2017 · Braun LR ·</w:t>
      </w:r>
      <w:r>
        <w:t xml:space="preserve"> </w:t>
      </w:r>
      <w:r>
        <w:rPr>
          <w:iCs/>
          <w:i/>
        </w:rPr>
        <w:t xml:space="preserve">Growth Horm IGF Res</w:t>
      </w:r>
      <w:r>
        <w:t xml:space="preserve"> </w:t>
      </w:r>
      <w:r>
        <w:t xml:space="preserve">· Fibroblast growth factor 21 decreases after liver fat reduction via growth hormone augmentation. PMID 29031905</w:t>
      </w:r>
    </w:p>
    <w:p>
      <w:pPr>
        <w:numPr>
          <w:ilvl w:val="0"/>
          <w:numId w:val="1395"/>
        </w:numPr>
        <w:pStyle w:val="Compact"/>
      </w:pPr>
      <w:r>
        <w:t xml:space="preserve">2017 · Clemmons DR ·</w:t>
      </w:r>
      <w:r>
        <w:t xml:space="preserve"> </w:t>
      </w:r>
      <w:r>
        <w:rPr>
          <w:iCs/>
          <w:i/>
        </w:rPr>
        <w:t xml:space="preserve">PLoS One</w:t>
      </w:r>
      <w:r>
        <w:t xml:space="preserve"> </w:t>
      </w:r>
      <w:r>
        <w:t xml:space="preserve">· Safety and metabolic effects of tesamorelin, a growth hormone-releasing factor analogue, in patients with type 2 diabetes: A randomized, placebo-controlled trial. PMID 28617838</w:t>
      </w:r>
    </w:p>
    <w:p>
      <w:pPr>
        <w:numPr>
          <w:ilvl w:val="0"/>
          <w:numId w:val="1395"/>
        </w:numPr>
        <w:pStyle w:val="Compact"/>
      </w:pPr>
      <w:r>
        <w:t xml:space="preserve">2015 · Mangili A ·</w:t>
      </w:r>
      <w:r>
        <w:t xml:space="preserve"> </w:t>
      </w:r>
      <w:r>
        <w:rPr>
          <w:iCs/>
          <w:i/>
        </w:rPr>
        <w:t xml:space="preserve">PLoS One</w:t>
      </w:r>
      <w:r>
        <w:t xml:space="preserve"> </w:t>
      </w:r>
      <w:r>
        <w:t xml:space="preserve">· Predictors of Treatment Response to Tesamorelin, a Growth Hormone-Releasing Factor Analog, in HIV-Infected Patients with Excess Abdominal Fat. PMID 26457580</w:t>
      </w:r>
    </w:p>
    <w:p>
      <w:pPr>
        <w:numPr>
          <w:ilvl w:val="0"/>
          <w:numId w:val="1395"/>
        </w:numPr>
        <w:pStyle w:val="Compact"/>
      </w:pPr>
      <w:r>
        <w:t xml:space="preserve">2015 · González-Sales M ·</w:t>
      </w:r>
      <w:r>
        <w:t xml:space="preserve"> </w:t>
      </w:r>
      <w:r>
        <w:rPr>
          <w:iCs/>
          <w:i/>
        </w:rPr>
        <w:t xml:space="preserve">J Pharmacokinet Pharmacodyn</w:t>
      </w:r>
      <w:r>
        <w:t xml:space="preserve"> </w:t>
      </w:r>
      <w:r>
        <w:t xml:space="preserve">· Population pharmacokinetic and pharmacodynamic analysis of tesamorelin in HIV-infected patients and healthy subjects. PMID 25895899</w:t>
      </w:r>
    </w:p>
    <w:p>
      <w:pPr>
        <w:numPr>
          <w:ilvl w:val="0"/>
          <w:numId w:val="1395"/>
        </w:numPr>
        <w:pStyle w:val="Compact"/>
      </w:pPr>
      <w:r>
        <w:t xml:space="preserve">2015 · González-Sales M ·</w:t>
      </w:r>
      <w:r>
        <w:t xml:space="preserve"> </w:t>
      </w:r>
      <w:r>
        <w:rPr>
          <w:iCs/>
          <w:i/>
        </w:rPr>
        <w:t xml:space="preserve">Clin Pharmacokinet</w:t>
      </w:r>
      <w:r>
        <w:t xml:space="preserve"> </w:t>
      </w:r>
      <w:r>
        <w:t xml:space="preserve">· Population pharmacokinetic analysis of tesamorelin in HIV-infected patients and healthy subjects. PMID 25358450</w:t>
      </w:r>
    </w:p>
    <w:p>
      <w:pPr>
        <w:numPr>
          <w:ilvl w:val="0"/>
          <w:numId w:val="1395"/>
        </w:numPr>
        <w:pStyle w:val="Compact"/>
      </w:pPr>
      <w:r>
        <w:t xml:space="preserve">2014 · Stanley TL ·</w:t>
      </w:r>
      <w:r>
        <w:t xml:space="preserve"> </w:t>
      </w:r>
      <w:r>
        <w:rPr>
          <w:iCs/>
          <w:i/>
        </w:rPr>
        <w:t xml:space="preserve">JAMA</w:t>
      </w:r>
      <w:r>
        <w:t xml:space="preserve"> </w:t>
      </w:r>
      <w:r>
        <w:t xml:space="preserve">· Effect of tesamorelin on visceral fat and liver fat in HIV-infected patients with abdominal fat accumulation: a randomized clinical trial. PMID 25038357</w:t>
      </w:r>
    </w:p>
    <w:p>
      <w:pPr>
        <w:numPr>
          <w:ilvl w:val="0"/>
          <w:numId w:val="1395"/>
        </w:numPr>
        <w:pStyle w:val="Compact"/>
      </w:pPr>
      <w:r>
        <w:t xml:space="preserve">2014 · Makimura H ·</w:t>
      </w:r>
      <w:r>
        <w:t xml:space="preserve"> </w:t>
      </w:r>
      <w:r>
        <w:rPr>
          <w:iCs/>
          <w:i/>
        </w:rPr>
        <w:t xml:space="preserve">J Clin Endocrinol Metab</w:t>
      </w:r>
      <w:r>
        <w:t xml:space="preserve"> </w:t>
      </w:r>
      <w:r>
        <w:t xml:space="preserve">· The effects of tesamorelin on phosphocreatine recovery in obese subjects with reduced GH. PMID 24178787</w:t>
      </w:r>
    </w:p>
    <w:p>
      <w:pPr>
        <w:numPr>
          <w:ilvl w:val="0"/>
          <w:numId w:val="1395"/>
        </w:numPr>
        <w:pStyle w:val="Compact"/>
      </w:pPr>
      <w:r>
        <w:t xml:space="preserve">2013 · Friedman SD ·</w:t>
      </w:r>
      <w:r>
        <w:t xml:space="preserve"> </w:t>
      </w:r>
      <w:r>
        <w:rPr>
          <w:iCs/>
          <w:i/>
        </w:rPr>
        <w:t xml:space="preserve">JAMA Neurol</w:t>
      </w:r>
      <w:r>
        <w:t xml:space="preserve"> </w:t>
      </w:r>
      <w:r>
        <w:t xml:space="preserve">· Growth hormone-releasing hormone effects on brain γ-aminobutyric acid levels in mild cognitive impairment and healthy aging. PMID 23689947</w:t>
      </w:r>
    </w:p>
    <w:p>
      <w:pPr>
        <w:numPr>
          <w:ilvl w:val="0"/>
          <w:numId w:val="1395"/>
        </w:numPr>
        <w:pStyle w:val="Compact"/>
      </w:pPr>
      <w:r>
        <w:t xml:space="preserve">2012 · Makimura H ·</w:t>
      </w:r>
      <w:r>
        <w:t xml:space="preserve"> </w:t>
      </w:r>
      <w:r>
        <w:rPr>
          <w:iCs/>
          <w:i/>
        </w:rPr>
        <w:t xml:space="preserve">J Clin Endocrinol Metab</w:t>
      </w:r>
      <w:r>
        <w:t xml:space="preserve"> </w:t>
      </w:r>
      <w:r>
        <w:t xml:space="preserve">· Metabolic effects of a growth hormone-releasing factor in obese subjects with reduced growth hormone secretion: a randomized controlled trial. PMID 23015655</w:t>
      </w:r>
    </w:p>
    <w:p>
      <w:pPr>
        <w:numPr>
          <w:ilvl w:val="0"/>
          <w:numId w:val="1395"/>
        </w:numPr>
        <w:pStyle w:val="Compact"/>
      </w:pPr>
      <w:r>
        <w:t xml:space="preserve">2012 · Baker LD ·</w:t>
      </w:r>
      <w:r>
        <w:t xml:space="preserve"> </w:t>
      </w:r>
      <w:r>
        <w:rPr>
          <w:iCs/>
          <w:i/>
        </w:rPr>
        <w:t xml:space="preserve">Arch Neurol</w:t>
      </w:r>
      <w:r>
        <w:t xml:space="preserve"> </w:t>
      </w:r>
      <w:r>
        <w:t xml:space="preserve">· Effects of growth hormone–releasing hormone on cognitive function in adults with mild cognitive impairment and healthy older adults: results of a controlled trial. PMID 22869065</w:t>
      </w:r>
    </w:p>
    <w:p>
      <w:pPr>
        <w:numPr>
          <w:ilvl w:val="0"/>
          <w:numId w:val="1395"/>
        </w:numPr>
        <w:pStyle w:val="Compact"/>
      </w:pPr>
      <w:r>
        <w:t xml:space="preserve">2012 · Stanley TL ·</w:t>
      </w:r>
      <w:r>
        <w:t xml:space="preserve"> </w:t>
      </w:r>
      <w:r>
        <w:rPr>
          <w:iCs/>
          <w:i/>
        </w:rPr>
        <w:t xml:space="preserve">Clin Infect Dis</w:t>
      </w:r>
      <w:r>
        <w:t xml:space="preserve"> </w:t>
      </w:r>
      <w:r>
        <w:t xml:space="preserve">· Reduction in visceral adiposity is associated with an improved metabolic profile in HIV-infected patients receiving tesamorelin. PMID 22495074</w:t>
      </w:r>
    </w:p>
    <w:p>
      <w:pPr>
        <w:numPr>
          <w:ilvl w:val="0"/>
          <w:numId w:val="1395"/>
        </w:numPr>
        <w:pStyle w:val="Compact"/>
      </w:pPr>
      <w:r>
        <w:t xml:space="preserve">2011 · Makimura H ·</w:t>
      </w:r>
      <w:r>
        <w:t xml:space="preserve"> </w:t>
      </w:r>
      <w:r>
        <w:rPr>
          <w:iCs/>
          <w:i/>
        </w:rPr>
        <w:t xml:space="preserve">Growth Horm IGF Res</w:t>
      </w:r>
      <w:r>
        <w:t xml:space="preserve"> </w:t>
      </w:r>
      <w:r>
        <w:t xml:space="preserve">· Relationship of adiponectin to endogenous GH pulse secretion parameters in response to stimulation with a growth hormone releasing factor. PMID 21531600</w:t>
      </w:r>
    </w:p>
    <w:p>
      <w:pPr>
        <w:numPr>
          <w:ilvl w:val="0"/>
          <w:numId w:val="1395"/>
        </w:numPr>
        <w:pStyle w:val="Compact"/>
      </w:pPr>
      <w:r>
        <w:t xml:space="preserve">2011 · Stanley TL ·</w:t>
      </w:r>
      <w:r>
        <w:t xml:space="preserve"> </w:t>
      </w:r>
      <w:r>
        <w:rPr>
          <w:iCs/>
          <w:i/>
        </w:rPr>
        <w:t xml:space="preserve">AIDS</w:t>
      </w:r>
      <w:r>
        <w:t xml:space="preserve"> </w:t>
      </w:r>
      <w:r>
        <w:t xml:space="preserve">· Effects of tesamorelin on inflammatory markers in HIV patients with excess abdominal fat: relationship with visceral adipose reduction. PMID 21516030</w:t>
      </w:r>
    </w:p>
    <w:p>
      <w:pPr>
        <w:numPr>
          <w:ilvl w:val="0"/>
          <w:numId w:val="1395"/>
        </w:numPr>
        <w:pStyle w:val="Compact"/>
      </w:pPr>
      <w:r>
        <w:t xml:space="preserve">2010 · Falutz J ·</w:t>
      </w:r>
      <w:r>
        <w:t xml:space="preserve"> </w:t>
      </w:r>
      <w:r>
        <w:rPr>
          <w:iCs/>
          <w:i/>
        </w:rPr>
        <w:t xml:space="preserve">J Acquir Immune Defic Syndr</w:t>
      </w:r>
      <w:r>
        <w:t xml:space="preserve"> </w:t>
      </w:r>
      <w:r>
        <w:t xml:space="preserve">· Effects of tesamorelin, a growth hormone-releasing factor, in HIV-infected patients with abdominal fat accumulation: a randomized placebo-controlled trial with a safety extension. PMID 20101189</w:t>
      </w:r>
    </w:p>
    <w:p>
      <w:pPr>
        <w:numPr>
          <w:ilvl w:val="0"/>
          <w:numId w:val="1395"/>
        </w:numPr>
        <w:pStyle w:val="Compact"/>
      </w:pPr>
      <w:r>
        <w:t xml:space="preserve">2008 · Falutz J ·</w:t>
      </w:r>
      <w:r>
        <w:t xml:space="preserve"> </w:t>
      </w:r>
      <w:r>
        <w:rPr>
          <w:iCs/>
          <w:i/>
        </w:rPr>
        <w:t xml:space="preserve">AIDS</w:t>
      </w:r>
      <w:r>
        <w:t xml:space="preserve"> </w:t>
      </w:r>
      <w:r>
        <w:t xml:space="preserve">· Long-term safety and effects of tesamorelin, a growth hormone-releasing factor analogue, in HIV patients with abdominal fat accumulation. PMID 18690162</w:t>
      </w:r>
    </w:p>
    <w:p>
      <w:pPr>
        <w:numPr>
          <w:ilvl w:val="0"/>
          <w:numId w:val="1395"/>
        </w:numPr>
        <w:pStyle w:val="Compact"/>
      </w:pPr>
      <w:r>
        <w:t xml:space="preserve">2007 · Falutz J ·</w:t>
      </w:r>
      <w:r>
        <w:t xml:space="preserve"> </w:t>
      </w:r>
      <w:r>
        <w:rPr>
          <w:iCs/>
          <w:i/>
        </w:rPr>
        <w:t xml:space="preserve">N Engl J Med</w:t>
      </w:r>
      <w:r>
        <w:t xml:space="preserve"> </w:t>
      </w:r>
      <w:r>
        <w:t xml:space="preserve">· Metabolic effects of a growth hormone-releasing factor in patients with HIV. PMID 18057338</w:t>
      </w:r>
    </w:p>
    <w:bookmarkEnd w:id="3038"/>
    <w:bookmarkStart w:id="3039" w:name="cjc-1295-2"/>
    <w:p>
      <w:pPr>
        <w:pStyle w:val="Heading2"/>
      </w:pPr>
      <w:r>
        <w:t xml:space="preserve">CJC-1295 (2)</w:t>
      </w:r>
    </w:p>
    <w:p>
      <w:pPr>
        <w:numPr>
          <w:ilvl w:val="0"/>
          <w:numId w:val="1396"/>
        </w:numPr>
        <w:pStyle w:val="Compact"/>
      </w:pPr>
      <w:r>
        <w:t xml:space="preserve">2006 · Ionescu M ·</w:t>
      </w:r>
      <w:r>
        <w:t xml:space="preserve"> </w:t>
      </w:r>
      <w:r>
        <w:rPr>
          <w:iCs/>
          <w:i/>
        </w:rPr>
        <w:t xml:space="preserve">J Clin Endocrinol Metab</w:t>
      </w:r>
      <w:r>
        <w:t xml:space="preserve"> </w:t>
      </w:r>
      <w:r>
        <w:t xml:space="preserve">· Pulsatile secretion of growth hormone (GH) persists during continuous stimulation by CJC-1295, a long-acting GH-releasing hormone analog. PMID 17018654</w:t>
      </w:r>
    </w:p>
    <w:p>
      <w:pPr>
        <w:numPr>
          <w:ilvl w:val="0"/>
          <w:numId w:val="1396"/>
        </w:numPr>
        <w:pStyle w:val="Compact"/>
      </w:pPr>
      <w:r>
        <w:t xml:space="preserve">2006 · Teichman SL ·</w:t>
      </w:r>
      <w:r>
        <w:t xml:space="preserve"> </w:t>
      </w:r>
      <w:r>
        <w:rPr>
          <w:iCs/>
          <w:i/>
        </w:rPr>
        <w:t xml:space="preserve">J Clin Endocrinol Metab</w:t>
      </w:r>
      <w:r>
        <w:t xml:space="preserve"> </w:t>
      </w:r>
      <w:r>
        <w:t xml:space="preserve">· Prolonged stimulation of growth hormone (GH) and insulin-like growth factor I secretion by CJC-1295, a long-acting analog of GH-releasing hormone, in healthy adults. PMID 16352683</w:t>
      </w:r>
    </w:p>
    <w:bookmarkEnd w:id="3039"/>
    <w:bookmarkStart w:id="3040" w:name="ipamorelina-2"/>
    <w:p>
      <w:pPr>
        <w:pStyle w:val="Heading2"/>
      </w:pPr>
      <w:r>
        <w:t xml:space="preserve">Ipamorelina (2)</w:t>
      </w:r>
    </w:p>
    <w:p>
      <w:pPr>
        <w:numPr>
          <w:ilvl w:val="0"/>
          <w:numId w:val="1397"/>
        </w:numPr>
        <w:pStyle w:val="Compact"/>
      </w:pPr>
      <w:r>
        <w:t xml:space="preserve">2014 · Beck DE ·</w:t>
      </w:r>
      <w:r>
        <w:t xml:space="preserve"> </w:t>
      </w:r>
      <w:r>
        <w:rPr>
          <w:iCs/>
          <w:i/>
        </w:rPr>
        <w:t xml:space="preserve">Int J Colorectal Dis</w:t>
      </w:r>
      <w:r>
        <w:t xml:space="preserve"> </w:t>
      </w:r>
      <w:r>
        <w:t xml:space="preserve">· Prospective, randomized, controlled, proof-of-concept study of the Ghrelin mimetic ipamorelin for the management of postoperative ileus in bowel resection patients. PMID 25331030</w:t>
      </w:r>
    </w:p>
    <w:p>
      <w:pPr>
        <w:numPr>
          <w:ilvl w:val="0"/>
          <w:numId w:val="1397"/>
        </w:numPr>
        <w:pStyle w:val="Compact"/>
      </w:pPr>
      <w:r>
        <w:t xml:space="preserve">1999 · Gobburu JV ·</w:t>
      </w:r>
      <w:r>
        <w:t xml:space="preserve"> </w:t>
      </w:r>
      <w:r>
        <w:rPr>
          <w:iCs/>
          <w:i/>
        </w:rPr>
        <w:t xml:space="preserve">Pharm Res</w:t>
      </w:r>
      <w:r>
        <w:t xml:space="preserve"> </w:t>
      </w:r>
      <w:r>
        <w:t xml:space="preserve">· Pharmacokinetic-pharmacodynamic modeling of ipamorelin, a growth hormone releasing peptide, in human volunteers. PMID 10496658</w:t>
      </w:r>
    </w:p>
    <w:bookmarkEnd w:id="3040"/>
    <w:bookmarkStart w:id="3041" w:name="ghrp-2-pralmorelina-55"/>
    <w:p>
      <w:pPr>
        <w:pStyle w:val="Heading2"/>
      </w:pPr>
      <w:r>
        <w:t xml:space="preserve">GHRP-2 (pralmorelina) (55)</w:t>
      </w:r>
    </w:p>
    <w:p>
      <w:pPr>
        <w:numPr>
          <w:ilvl w:val="0"/>
          <w:numId w:val="1398"/>
        </w:numPr>
        <w:pStyle w:val="Compact"/>
      </w:pPr>
      <w:r>
        <w:t xml:space="preserve">2016 · Arimura H ·</w:t>
      </w:r>
      <w:r>
        <w:t xml:space="preserve"> </w:t>
      </w:r>
      <w:r>
        <w:rPr>
          <w:iCs/>
          <w:i/>
        </w:rPr>
        <w:t xml:space="preserve">Endocr J</w:t>
      </w:r>
      <w:r>
        <w:t xml:space="preserve"> </w:t>
      </w:r>
      <w:r>
        <w:t xml:space="preserve">· Investigation of the clinical significance of the growth hormone-releasing peptide-2 test for the diagnosis of secondary adrenal failure. PMID 27020037</w:t>
      </w:r>
    </w:p>
    <w:p>
      <w:pPr>
        <w:numPr>
          <w:ilvl w:val="0"/>
          <w:numId w:val="1398"/>
        </w:numPr>
        <w:pStyle w:val="Compact"/>
      </w:pPr>
      <w:r>
        <w:t xml:space="preserve">2013 · Norman C ·</w:t>
      </w:r>
      <w:r>
        <w:t xml:space="preserve"> </w:t>
      </w:r>
      <w:r>
        <w:rPr>
          <w:iCs/>
          <w:i/>
        </w:rPr>
        <w:t xml:space="preserve">Am J Physiol Regul Integr Comp Physiol</w:t>
      </w:r>
      <w:r>
        <w:t xml:space="preserve"> </w:t>
      </w:r>
      <w:r>
        <w:t xml:space="preserve">· Differential pulsatile secretagogue control of GH secretion in healthy men. PMID 23485864</w:t>
      </w:r>
    </w:p>
    <w:p>
      <w:pPr>
        <w:numPr>
          <w:ilvl w:val="0"/>
          <w:numId w:val="1398"/>
        </w:numPr>
        <w:pStyle w:val="Compact"/>
      </w:pPr>
      <w:r>
        <w:t xml:space="preserve">2011 · Veldhuis JD ·</w:t>
      </w:r>
      <w:r>
        <w:t xml:space="preserve"> </w:t>
      </w:r>
      <w:r>
        <w:rPr>
          <w:iCs/>
          <w:i/>
        </w:rPr>
        <w:t xml:space="preserve">Am J Physiol Regul Integr Comp Physiol</w:t>
      </w:r>
      <w:r>
        <w:t xml:space="preserve"> </w:t>
      </w:r>
      <w:r>
        <w:t xml:space="preserve">· Regulated recovery of pulsatile growth hormone secretion from negative feedback: a preclinical investigation. PMID 21795635</w:t>
      </w:r>
    </w:p>
    <w:p>
      <w:pPr>
        <w:numPr>
          <w:ilvl w:val="0"/>
          <w:numId w:val="1398"/>
        </w:numPr>
        <w:pStyle w:val="Compact"/>
      </w:pPr>
      <w:r>
        <w:t xml:space="preserve">2011 · Veldhuis JD ·</w:t>
      </w:r>
      <w:r>
        <w:t xml:space="preserve"> </w:t>
      </w:r>
      <w:r>
        <w:rPr>
          <w:iCs/>
          <w:i/>
        </w:rPr>
        <w:t xml:space="preserve">J Clin Endocrinol Metab</w:t>
      </w:r>
      <w:r>
        <w:t xml:space="preserve"> </w:t>
      </w:r>
      <w:r>
        <w:t xml:space="preserve">· Gender, sex-steroid, and secretagogue-selective recovery from growth hormone-induced feedback in older women and men. PMID 21613353</w:t>
      </w:r>
    </w:p>
    <w:p>
      <w:pPr>
        <w:numPr>
          <w:ilvl w:val="0"/>
          <w:numId w:val="1398"/>
        </w:numPr>
        <w:pStyle w:val="Compact"/>
      </w:pPr>
      <w:r>
        <w:t xml:space="preserve">2011 · Veldhuis JD ·</w:t>
      </w:r>
      <w:r>
        <w:t xml:space="preserve"> </w:t>
      </w:r>
      <w:r>
        <w:rPr>
          <w:iCs/>
          <w:i/>
        </w:rPr>
        <w:t xml:space="preserve">Am J Physiol Endocrinol Metab</w:t>
      </w:r>
      <w:r>
        <w:t xml:space="preserve"> </w:t>
      </w:r>
      <w:r>
        <w:t xml:space="preserve">· Complex regulation of GH autofeedback under dual-peptide drive: studies under a pharmacological GH and sex steroid clamp. PMID 21467302</w:t>
      </w:r>
    </w:p>
    <w:p>
      <w:pPr>
        <w:numPr>
          <w:ilvl w:val="0"/>
          <w:numId w:val="1398"/>
        </w:numPr>
        <w:pStyle w:val="Compact"/>
      </w:pPr>
      <w:r>
        <w:t xml:space="preserve">2010 · Iranmanesh A ·</w:t>
      </w:r>
      <w:r>
        <w:t xml:space="preserve"> </w:t>
      </w:r>
      <w:r>
        <w:rPr>
          <w:iCs/>
          <w:i/>
        </w:rPr>
        <w:t xml:space="preserve">Eur J Endocrinol</w:t>
      </w:r>
      <w:r>
        <w:t xml:space="preserve"> </w:t>
      </w:r>
      <w:r>
        <w:t xml:space="preserve">· Secretagogue type, sex-steroid milieu, and abdominal visceral adiposity individually determine secretagogue-stimulated cortisol secretion. PMID 20299490</w:t>
      </w:r>
    </w:p>
    <w:p>
      <w:pPr>
        <w:numPr>
          <w:ilvl w:val="0"/>
          <w:numId w:val="1398"/>
        </w:numPr>
        <w:pStyle w:val="Compact"/>
      </w:pPr>
      <w:r>
        <w:t xml:space="preserve">2010 · Hudson SB ·</w:t>
      </w:r>
      <w:r>
        <w:t xml:space="preserve"> </w:t>
      </w:r>
      <w:r>
        <w:rPr>
          <w:iCs/>
          <w:i/>
        </w:rPr>
        <w:t xml:space="preserve">J Clin Endocrinol Metab</w:t>
      </w:r>
      <w:r>
        <w:t xml:space="preserve"> </w:t>
      </w:r>
      <w:r>
        <w:t xml:space="preserve">· Pre- versus postmenopausal age, estradiol, and peptide-secretagogue type determine pulsatile growth hormone secretion in healthy women: studies using submaximal agonist drive and an estrogen clamp. PMID 19858315</w:t>
      </w:r>
    </w:p>
    <w:p>
      <w:pPr>
        <w:numPr>
          <w:ilvl w:val="0"/>
          <w:numId w:val="1398"/>
        </w:numPr>
        <w:pStyle w:val="Compact"/>
      </w:pPr>
      <w:r>
        <w:t xml:space="preserve">2009 · Veldhuis JD ·</w:t>
      </w:r>
      <w:r>
        <w:t xml:space="preserve"> </w:t>
      </w:r>
      <w:r>
        <w:rPr>
          <w:iCs/>
          <w:i/>
        </w:rPr>
        <w:t xml:space="preserve">Am J Physiol Endocrinol Metab</w:t>
      </w:r>
      <w:r>
        <w:t xml:space="preserve"> </w:t>
      </w:r>
      <w:r>
        <w:t xml:space="preserve">· Relative effects of estrogen, age, and visceral fat on pulsatile growth hormone secretion in healthy women. PMID 19470834</w:t>
      </w:r>
    </w:p>
    <w:p>
      <w:pPr>
        <w:numPr>
          <w:ilvl w:val="0"/>
          <w:numId w:val="1398"/>
        </w:numPr>
        <w:pStyle w:val="Compact"/>
      </w:pPr>
      <w:r>
        <w:t xml:space="preserve">2009 · Veldhuis JD ·</w:t>
      </w:r>
      <w:r>
        <w:t xml:space="preserve"> </w:t>
      </w:r>
      <w:r>
        <w:rPr>
          <w:iCs/>
          <w:i/>
        </w:rPr>
        <w:t xml:space="preserve">Eur J Endocrinol</w:t>
      </w:r>
      <w:r>
        <w:t xml:space="preserve"> </w:t>
      </w:r>
      <w:r>
        <w:t xml:space="preserve">· Preservation of GHRH and GH-releasing peptide-2 efficacy in young men with experimentally induced hypogonadism. PMID 19458139</w:t>
      </w:r>
    </w:p>
    <w:p>
      <w:pPr>
        <w:numPr>
          <w:ilvl w:val="0"/>
          <w:numId w:val="1398"/>
        </w:numPr>
        <w:pStyle w:val="Compact"/>
      </w:pPr>
      <w:r>
        <w:t xml:space="preserve">2009 · Veldhuis JD ·</w:t>
      </w:r>
      <w:r>
        <w:t xml:space="preserve"> </w:t>
      </w:r>
      <w:r>
        <w:rPr>
          <w:iCs/>
          <w:i/>
        </w:rPr>
        <w:t xml:space="preserve">J Clin Endocrinol Metab</w:t>
      </w:r>
      <w:r>
        <w:t xml:space="preserve"> </w:t>
      </w:r>
      <w:r>
        <w:t xml:space="preserve">· Factors other than sex steroids modulate GHRH and GHRP-2 efficacies in men: evaluation using a GnRH agonist/testosterone clamp. PMID 19351731</w:t>
      </w:r>
    </w:p>
    <w:p>
      <w:pPr>
        <w:numPr>
          <w:ilvl w:val="0"/>
          <w:numId w:val="1398"/>
        </w:numPr>
        <w:pStyle w:val="Compact"/>
      </w:pPr>
      <w:r>
        <w:t xml:space="preserve">2009 · Veldhuis JD ·</w:t>
      </w:r>
      <w:r>
        <w:t xml:space="preserve"> </w:t>
      </w:r>
      <w:r>
        <w:rPr>
          <w:iCs/>
          <w:i/>
        </w:rPr>
        <w:t xml:space="preserve">J Clin Endocrinol Metab</w:t>
      </w:r>
      <w:r>
        <w:t xml:space="preserve"> </w:t>
      </w:r>
      <w:r>
        <w:t xml:space="preserve">· Novel relationships of age, visceral adiposity, insulin-like growth factor (IGF)-I and IGF binding protein concentrations to growth hormone (GH) releasing-hormone and GH releasing-peptide efficacies in men during experimental hypogonadal clamp. PMID 19351723</w:t>
      </w:r>
    </w:p>
    <w:p>
      <w:pPr>
        <w:numPr>
          <w:ilvl w:val="0"/>
          <w:numId w:val="1398"/>
        </w:numPr>
        <w:pStyle w:val="Compact"/>
      </w:pPr>
      <w:r>
        <w:t xml:space="preserve">2009 · Veldhuis JD ·</w:t>
      </w:r>
      <w:r>
        <w:t xml:space="preserve"> </w:t>
      </w:r>
      <w:r>
        <w:rPr>
          <w:iCs/>
          <w:i/>
        </w:rPr>
        <w:t xml:space="preserve">Am J Physiol Endocrinol Metab</w:t>
      </w:r>
      <w:r>
        <w:t xml:space="preserve"> </w:t>
      </w:r>
      <w:r>
        <w:t xml:space="preserve">· Determinants of GH-releasing hormone and GH-releasing peptide synergy in men. PMID 19240251</w:t>
      </w:r>
    </w:p>
    <w:p>
      <w:pPr>
        <w:numPr>
          <w:ilvl w:val="0"/>
          <w:numId w:val="1398"/>
        </w:numPr>
        <w:pStyle w:val="Compact"/>
      </w:pPr>
      <w:r>
        <w:t xml:space="preserve">2009 · Veldhuis JD ·</w:t>
      </w:r>
      <w:r>
        <w:t xml:space="preserve"> </w:t>
      </w:r>
      <w:r>
        <w:rPr>
          <w:iCs/>
          <w:i/>
        </w:rPr>
        <w:t xml:space="preserve">J Clin Endocrinol Metab</w:t>
      </w:r>
      <w:r>
        <w:t xml:space="preserve"> </w:t>
      </w:r>
      <w:r>
        <w:t xml:space="preserve">· Aromatase and 5alpha-reductase inhibition during an exogenous testosterone clamp unveils selective sex steroid modulation of somatostatin and growth hormone secretagogue actions in healthy older men. PMID 19088159</w:t>
      </w:r>
    </w:p>
    <w:p>
      <w:pPr>
        <w:numPr>
          <w:ilvl w:val="0"/>
          <w:numId w:val="1398"/>
        </w:numPr>
        <w:pStyle w:val="Compact"/>
      </w:pPr>
      <w:r>
        <w:t xml:space="preserve">2008 · Veldhuis JD ·</w:t>
      </w:r>
      <w:r>
        <w:t xml:space="preserve"> </w:t>
      </w:r>
      <w:r>
        <w:rPr>
          <w:iCs/>
          <w:i/>
        </w:rPr>
        <w:t xml:space="preserve">Eur J Endocrinol</w:t>
      </w:r>
      <w:r>
        <w:t xml:space="preserve"> </w:t>
      </w:r>
      <w:r>
        <w:t xml:space="preserve">· Secretagogues govern GH secretory-burst waveform and mass in healthy eugonadal and short-term hypogonadal men. PMID 18703567</w:t>
      </w:r>
    </w:p>
    <w:p>
      <w:pPr>
        <w:numPr>
          <w:ilvl w:val="0"/>
          <w:numId w:val="1398"/>
        </w:numPr>
        <w:pStyle w:val="Compact"/>
      </w:pPr>
      <w:r>
        <w:t xml:space="preserve">2008 · Paulo RC ·</w:t>
      </w:r>
      <w:r>
        <w:t xml:space="preserve"> </w:t>
      </w:r>
      <w:r>
        <w:rPr>
          <w:iCs/>
          <w:i/>
        </w:rPr>
        <w:t xml:space="preserve">J Clin Endocrinol Metab</w:t>
      </w:r>
      <w:r>
        <w:t xml:space="preserve"> </w:t>
      </w:r>
      <w:r>
        <w:t xml:space="preserve">· Gonadal status and body mass index jointly determine growth hormone (GH)-releasing hormone/GH-releasing peptide synergy in healthy men. PMID 18073313</w:t>
      </w:r>
    </w:p>
    <w:p>
      <w:pPr>
        <w:numPr>
          <w:ilvl w:val="0"/>
          <w:numId w:val="1398"/>
        </w:numPr>
        <w:pStyle w:val="Compact"/>
      </w:pPr>
      <w:r>
        <w:t xml:space="preserve">2007 · Veldhuis JD ·</w:t>
      </w:r>
      <w:r>
        <w:t xml:space="preserve"> </w:t>
      </w:r>
      <w:r>
        <w:rPr>
          <w:iCs/>
          <w:i/>
        </w:rPr>
        <w:t xml:space="preserve">Am J Physiol Regul Integr Comp Physiol</w:t>
      </w:r>
      <w:r>
        <w:t xml:space="preserve"> </w:t>
      </w:r>
      <w:r>
        <w:t xml:space="preserve">· Peripheral estrogen receptor-alpha selectively modulates the waveform of GH secretory bursts in healthy women. PMID 17686882</w:t>
      </w:r>
    </w:p>
    <w:p>
      <w:pPr>
        <w:numPr>
          <w:ilvl w:val="0"/>
          <w:numId w:val="1398"/>
        </w:numPr>
        <w:pStyle w:val="Compact"/>
      </w:pPr>
      <w:r>
        <w:t xml:space="preserve">2007 · Chihara K ·</w:t>
      </w:r>
      <w:r>
        <w:t xml:space="preserve"> </w:t>
      </w:r>
      <w:r>
        <w:rPr>
          <w:iCs/>
          <w:i/>
        </w:rPr>
        <w:t xml:space="preserve">Eur J Endocrinol</w:t>
      </w:r>
      <w:r>
        <w:t xml:space="preserve"> </w:t>
      </w:r>
      <w:r>
        <w:t xml:space="preserve">· A simple diagnostic test using GH-releasing peptide-2 in adult GH deficiency. PMID 17609397</w:t>
      </w:r>
    </w:p>
    <w:p>
      <w:pPr>
        <w:numPr>
          <w:ilvl w:val="0"/>
          <w:numId w:val="1398"/>
        </w:numPr>
        <w:pStyle w:val="Compact"/>
      </w:pPr>
      <w:r>
        <w:t xml:space="preserve">2007 · Veldhuis JD ·</w:t>
      </w:r>
      <w:r>
        <w:t xml:space="preserve"> </w:t>
      </w:r>
      <w:r>
        <w:rPr>
          <w:iCs/>
          <w:i/>
        </w:rPr>
        <w:t xml:space="preserve">Am J Physiol Regul Integr Comp Physiol</w:t>
      </w:r>
      <w:r>
        <w:t xml:space="preserve"> </w:t>
      </w:r>
      <w:r>
        <w:t xml:space="preserve">· Estimation of the size and shape of GH secretory bursts in healthy women using a physiological estradiol clamp and variable-waveform deconvolution model. PMID 17537842</w:t>
      </w:r>
    </w:p>
    <w:p>
      <w:pPr>
        <w:numPr>
          <w:ilvl w:val="0"/>
          <w:numId w:val="1398"/>
        </w:numPr>
        <w:pStyle w:val="Compact"/>
      </w:pPr>
      <w:r>
        <w:t xml:space="preserve">2007 · Veldhuis JD ·</w:t>
      </w:r>
      <w:r>
        <w:t xml:space="preserve"> </w:t>
      </w:r>
      <w:r>
        <w:rPr>
          <w:iCs/>
          <w:i/>
        </w:rPr>
        <w:t xml:space="preserve">J Clin Endocrinol Metab</w:t>
      </w:r>
      <w:r>
        <w:t xml:space="preserve"> </w:t>
      </w:r>
      <w:r>
        <w:t xml:space="preserve">· Tripartite control of growth hormone secretion in women during controlled estradiol repletion. PMID 17405836</w:t>
      </w:r>
    </w:p>
    <w:p>
      <w:pPr>
        <w:numPr>
          <w:ilvl w:val="0"/>
          <w:numId w:val="1398"/>
        </w:numPr>
        <w:pStyle w:val="Compact"/>
      </w:pPr>
      <w:r>
        <w:t xml:space="preserve">2006 · Salvatori R ·</w:t>
      </w:r>
      <w:r>
        <w:t xml:space="preserve"> </w:t>
      </w:r>
      <w:r>
        <w:rPr>
          <w:iCs/>
          <w:i/>
        </w:rPr>
        <w:t xml:space="preserve">J Endocrinol Invest</w:t>
      </w:r>
      <w:r>
        <w:t xml:space="preserve"> </w:t>
      </w:r>
      <w:r>
        <w:t xml:space="preserve">· GH response to hypoglycemia and clonidine in the GH-releasing hormone resistance syndrome. PMID 17114911</w:t>
      </w:r>
    </w:p>
    <w:p>
      <w:pPr>
        <w:numPr>
          <w:ilvl w:val="0"/>
          <w:numId w:val="1398"/>
        </w:numPr>
        <w:pStyle w:val="Compact"/>
      </w:pPr>
      <w:r>
        <w:t xml:space="preserve">2006 · Laferrère B ·</w:t>
      </w:r>
      <w:r>
        <w:t xml:space="preserve"> </w:t>
      </w:r>
      <w:r>
        <w:rPr>
          <w:iCs/>
          <w:i/>
        </w:rPr>
        <w:t xml:space="preserve">Obesity (Silver Spring)</w:t>
      </w:r>
      <w:r>
        <w:t xml:space="preserve"> </w:t>
      </w:r>
      <w:r>
        <w:t xml:space="preserve">· Obese subjects respond to the stimulatory effect of the ghrelin agonist growth hormone-releasing peptide-2 on food intake. PMID 16861611</w:t>
      </w:r>
    </w:p>
    <w:p>
      <w:pPr>
        <w:numPr>
          <w:ilvl w:val="0"/>
          <w:numId w:val="1398"/>
        </w:numPr>
        <w:pStyle w:val="Compact"/>
      </w:pPr>
      <w:r>
        <w:t xml:space="preserve">2005 · Veldhuis JD ·</w:t>
      </w:r>
      <w:r>
        <w:t xml:space="preserve"> </w:t>
      </w:r>
      <w:r>
        <w:rPr>
          <w:iCs/>
          <w:i/>
        </w:rPr>
        <w:t xml:space="preserve">Eur J Endocrinol</w:t>
      </w:r>
      <w:r>
        <w:t xml:space="preserve"> </w:t>
      </w:r>
      <w:r>
        <w:t xml:space="preserve">· Testosterone supplementation in healthy older men drives GH and IGF-I secretion without potentiating peptidyl secretagogue efficacy. PMID 16189179</w:t>
      </w:r>
    </w:p>
    <w:p>
      <w:pPr>
        <w:numPr>
          <w:ilvl w:val="0"/>
          <w:numId w:val="1398"/>
        </w:numPr>
        <w:pStyle w:val="Compact"/>
      </w:pPr>
      <w:r>
        <w:t xml:space="preserve">2005 · Soares-Welch C ·</w:t>
      </w:r>
      <w:r>
        <w:t xml:space="preserve"> </w:t>
      </w:r>
      <w:r>
        <w:rPr>
          <w:iCs/>
          <w:i/>
        </w:rPr>
        <w:t xml:space="preserve">Clin Endocrinol (Oxf)</w:t>
      </w:r>
      <w:r>
        <w:t xml:space="preserve"> </w:t>
      </w:r>
      <w:r>
        <w:t xml:space="preserve">· Short-term testosterone supplementation does not activate GH and IGF-I production in postmenopausal women. PMID 15963058</w:t>
      </w:r>
    </w:p>
    <w:p>
      <w:pPr>
        <w:numPr>
          <w:ilvl w:val="0"/>
          <w:numId w:val="1398"/>
        </w:numPr>
        <w:pStyle w:val="Compact"/>
      </w:pPr>
      <w:r>
        <w:t xml:space="preserve">2005 · Veldhuis JD ·</w:t>
      </w:r>
      <w:r>
        <w:t xml:space="preserve"> </w:t>
      </w:r>
      <w:r>
        <w:rPr>
          <w:iCs/>
          <w:i/>
        </w:rPr>
        <w:t xml:space="preserve">J Clin Endocrinol Metab</w:t>
      </w:r>
      <w:r>
        <w:t xml:space="preserve"> </w:t>
      </w:r>
      <w:r>
        <w:t xml:space="preserve">· Joint mechanisms of impaired growth-hormone pulse renewal in aging men. PMID 15811926</w:t>
      </w:r>
    </w:p>
    <w:p>
      <w:pPr>
        <w:numPr>
          <w:ilvl w:val="0"/>
          <w:numId w:val="1398"/>
        </w:numPr>
        <w:pStyle w:val="Compact"/>
      </w:pPr>
      <w:r>
        <w:t xml:space="preserve">2005 · Erickson D ·</w:t>
      </w:r>
      <w:r>
        <w:t xml:space="preserve"> </w:t>
      </w:r>
      <w:r>
        <w:rPr>
          <w:iCs/>
          <w:i/>
        </w:rPr>
        <w:t xml:space="preserve">J Clin Endocrinol Metab</w:t>
      </w:r>
      <w:r>
        <w:t xml:space="preserve"> </w:t>
      </w:r>
      <w:r>
        <w:t xml:space="preserve">· Determinants of dual secretagogue drive of burst-like growth hormone secretion in premenopausal women studied under a selective estradiol clamp. PMID 15613434</w:t>
      </w:r>
    </w:p>
    <w:p>
      <w:pPr>
        <w:numPr>
          <w:ilvl w:val="0"/>
          <w:numId w:val="1398"/>
        </w:numPr>
        <w:pStyle w:val="Compact"/>
      </w:pPr>
      <w:r>
        <w:t xml:space="preserve">2004 · Veldhuis JD ·</w:t>
      </w:r>
      <w:r>
        <w:t xml:space="preserve"> </w:t>
      </w:r>
      <w:r>
        <w:rPr>
          <w:iCs/>
          <w:i/>
        </w:rPr>
        <w:t xml:space="preserve">J Clin Endocrinol Metab</w:t>
      </w:r>
      <w:r>
        <w:t xml:space="preserve"> </w:t>
      </w:r>
      <w:r>
        <w:t xml:space="preserve">· Contributions of gender and systemic estradiol and testosterone concentrations to maximal secretagogue drive of burst-like growth hormone secretion in healthy middle-aged and older adults. PMID 15579792</w:t>
      </w:r>
    </w:p>
    <w:p>
      <w:pPr>
        <w:numPr>
          <w:ilvl w:val="0"/>
          <w:numId w:val="1398"/>
        </w:numPr>
        <w:pStyle w:val="Compact"/>
      </w:pPr>
      <w:r>
        <w:t xml:space="preserve">2004 · Iranmanesh A ·</w:t>
      </w:r>
      <w:r>
        <w:t xml:space="preserve"> </w:t>
      </w:r>
      <w:r>
        <w:rPr>
          <w:iCs/>
          <w:i/>
        </w:rPr>
        <w:t xml:space="preserve">J Clin Endocrinol Metab</w:t>
      </w:r>
      <w:r>
        <w:t xml:space="preserve"> </w:t>
      </w:r>
      <w:r>
        <w:t xml:space="preserve">· Activation of somatostatin-receptor subtype-2/-5 suppresses the mass, frequency, and irregularity of growth hormone (GH)-releasing peptide-2-stimulated GH secretion in men. PMID 15356066</w:t>
      </w:r>
    </w:p>
    <w:p>
      <w:pPr>
        <w:numPr>
          <w:ilvl w:val="0"/>
          <w:numId w:val="1398"/>
        </w:numPr>
        <w:pStyle w:val="Compact"/>
      </w:pPr>
      <w:r>
        <w:t xml:space="preserve">2004 · Veldhuis JD ·</w:t>
      </w:r>
      <w:r>
        <w:t xml:space="preserve"> </w:t>
      </w:r>
      <w:r>
        <w:rPr>
          <w:iCs/>
          <w:i/>
        </w:rPr>
        <w:t xml:space="preserve">J Clin Endocrinol Metab</w:t>
      </w:r>
      <w:r>
        <w:t xml:space="preserve"> </w:t>
      </w:r>
      <w:r>
        <w:t xml:space="preserve">· Short-term testosterone supplementation relieves growth hormone autonegative feedback in men. PMID 15001624</w:t>
      </w:r>
    </w:p>
    <w:p>
      <w:pPr>
        <w:numPr>
          <w:ilvl w:val="0"/>
          <w:numId w:val="1398"/>
        </w:numPr>
        <w:pStyle w:val="Compact"/>
      </w:pPr>
      <w:r>
        <w:t xml:space="preserve">2003 · Mericq V ·</w:t>
      </w:r>
      <w:r>
        <w:t xml:space="preserve"> </w:t>
      </w:r>
      <w:r>
        <w:rPr>
          <w:iCs/>
          <w:i/>
        </w:rPr>
        <w:t xml:space="preserve">J Pediatr Endocrinol Metab</w:t>
      </w:r>
      <w:r>
        <w:t xml:space="preserve"> </w:t>
      </w:r>
      <w:r>
        <w:t xml:space="preserve">· Changes in appetite and body weight in response to long-term oral administration of the ghrelin agonist GHRP-2 in growth hormone deficient children. PMID 14513874</w:t>
      </w:r>
    </w:p>
    <w:p>
      <w:pPr>
        <w:numPr>
          <w:ilvl w:val="0"/>
          <w:numId w:val="1398"/>
        </w:numPr>
        <w:pStyle w:val="Compact"/>
      </w:pPr>
      <w:r>
        <w:t xml:space="preserve">2002 · Van den Berghe G ·</w:t>
      </w:r>
      <w:r>
        <w:t xml:space="preserve"> </w:t>
      </w:r>
      <w:r>
        <w:rPr>
          <w:iCs/>
          <w:i/>
        </w:rPr>
        <w:t xml:space="preserve">Clin Endocrinol (Oxf)</w:t>
      </w:r>
      <w:r>
        <w:t xml:space="preserve"> </w:t>
      </w:r>
      <w:r>
        <w:t xml:space="preserve">· The combined administration of GH-releasing peptide-2 (GHRP-2), TRH and GnRH to men with prolonged critical illness evokes superior endocrine and metabolic effects compared to treatment with GHRP-2 alone. PMID 12030918</w:t>
      </w:r>
    </w:p>
    <w:p>
      <w:pPr>
        <w:numPr>
          <w:ilvl w:val="0"/>
          <w:numId w:val="1398"/>
        </w:numPr>
        <w:pStyle w:val="Compact"/>
      </w:pPr>
      <w:r>
        <w:t xml:space="preserve">2002 · Veldhuis JD ·</w:t>
      </w:r>
      <w:r>
        <w:t xml:space="preserve"> </w:t>
      </w:r>
      <w:r>
        <w:rPr>
          <w:iCs/>
          <w:i/>
        </w:rPr>
        <w:t xml:space="preserve">J Clin Endocrinol Metab</w:t>
      </w:r>
      <w:r>
        <w:t xml:space="preserve"> </w:t>
      </w:r>
      <w:r>
        <w:t xml:space="preserve">· Impact of estradiol supplementation on dual peptidyl drive of GH secretion in postmenopausal women. PMID 11836333</w:t>
      </w:r>
    </w:p>
    <w:p>
      <w:pPr>
        <w:numPr>
          <w:ilvl w:val="0"/>
          <w:numId w:val="1398"/>
        </w:numPr>
        <w:pStyle w:val="Compact"/>
      </w:pPr>
      <w:r>
        <w:t xml:space="preserve">2001 · Anderson SM ·</w:t>
      </w:r>
      <w:r>
        <w:t xml:space="preserve"> </w:t>
      </w:r>
      <w:r>
        <w:rPr>
          <w:iCs/>
          <w:i/>
        </w:rPr>
        <w:t xml:space="preserve">J Clin Endocrinol Metab</w:t>
      </w:r>
      <w:r>
        <w:t xml:space="preserve"> </w:t>
      </w:r>
      <w:r>
        <w:t xml:space="preserve">· E2 supplementation selectively relieves GH’s autonegative feedback on GH-releasing peptide-2-stimulated GH secretion. PMID 11739462</w:t>
      </w:r>
    </w:p>
    <w:p>
      <w:pPr>
        <w:numPr>
          <w:ilvl w:val="0"/>
          <w:numId w:val="1398"/>
        </w:numPr>
        <w:pStyle w:val="Compact"/>
      </w:pPr>
      <w:r>
        <w:t xml:space="preserve">2001 · Bowers CY ·</w:t>
      </w:r>
      <w:r>
        <w:t xml:space="preserve"> </w:t>
      </w:r>
      <w:r>
        <w:rPr>
          <w:iCs/>
          <w:i/>
        </w:rPr>
        <w:t xml:space="preserve">Endocrine</w:t>
      </w:r>
      <w:r>
        <w:t xml:space="preserve"> </w:t>
      </w:r>
      <w:r>
        <w:t xml:space="preserve">· Growth hormone/insulin-like growth factor-1 response to acute and chronic growth hormone-releasing peptide-2, growth hormone-releasing hormone 1-44NH2 and in combination in older men and women with decreased growth hormone secretion. PMID 11322505</w:t>
      </w:r>
    </w:p>
    <w:p>
      <w:pPr>
        <w:numPr>
          <w:ilvl w:val="0"/>
          <w:numId w:val="1398"/>
        </w:numPr>
        <w:pStyle w:val="Compact"/>
      </w:pPr>
      <w:r>
        <w:t xml:space="preserve">2000 · Van Dam PS ·</w:t>
      </w:r>
      <w:r>
        <w:t xml:space="preserve"> </w:t>
      </w:r>
      <w:r>
        <w:rPr>
          <w:iCs/>
          <w:i/>
        </w:rPr>
        <w:t xml:space="preserve">J Clin Endocrinol Metab</w:t>
      </w:r>
      <w:r>
        <w:t xml:space="preserve"> </w:t>
      </w:r>
      <w:r>
        <w:t xml:space="preserve">· Reduction of free fatty acids by acipimox enhances the growth hormone (GH) responses to GH-releasing peptide 2 in elderly men. PMID 11134132</w:t>
      </w:r>
    </w:p>
    <w:p>
      <w:pPr>
        <w:numPr>
          <w:ilvl w:val="0"/>
          <w:numId w:val="1398"/>
        </w:numPr>
        <w:pStyle w:val="Compact"/>
      </w:pPr>
      <w:r>
        <w:t xml:space="preserve">2000 · Wideman L ·</w:t>
      </w:r>
      <w:r>
        <w:t xml:space="preserve"> </w:t>
      </w:r>
      <w:r>
        <w:rPr>
          <w:iCs/>
          <w:i/>
        </w:rPr>
        <w:t xml:space="preserve">Am J Physiol Regul Integr Comp Physiol</w:t>
      </w:r>
      <w:r>
        <w:t xml:space="preserve"> </w:t>
      </w:r>
      <w:r>
        <w:t xml:space="preserve">· Synergy of L-arginine and GHRP-2 stimulation of growth hormone in men and women: modulation by exercise. PMID 11004017</w:t>
      </w:r>
    </w:p>
    <w:p>
      <w:pPr>
        <w:numPr>
          <w:ilvl w:val="0"/>
          <w:numId w:val="1398"/>
        </w:numPr>
        <w:pStyle w:val="Compact"/>
      </w:pPr>
      <w:r>
        <w:t xml:space="preserve">2000 · Shah N ·</w:t>
      </w:r>
      <w:r>
        <w:t xml:space="preserve"> </w:t>
      </w:r>
      <w:r>
        <w:rPr>
          <w:iCs/>
          <w:i/>
        </w:rPr>
        <w:t xml:space="preserve">J Clin Endocrinol Metab</w:t>
      </w:r>
      <w:r>
        <w:t xml:space="preserve"> </w:t>
      </w:r>
      <w:r>
        <w:t xml:space="preserve">· Oral estradiol administration modulates continuous intravenous growth hormone (GH)-releasing peptide-2-driven GH secretion in postmenopausal women. PMID 10946861</w:t>
      </w:r>
    </w:p>
    <w:p>
      <w:pPr>
        <w:numPr>
          <w:ilvl w:val="0"/>
          <w:numId w:val="1398"/>
        </w:numPr>
        <w:pStyle w:val="Compact"/>
      </w:pPr>
      <w:r>
        <w:t xml:space="preserve">2000 · Van den Berghe G ·</w:t>
      </w:r>
      <w:r>
        <w:t xml:space="preserve"> </w:t>
      </w:r>
      <w:r>
        <w:rPr>
          <w:iCs/>
          <w:i/>
        </w:rPr>
        <w:t xml:space="preserve">J Clin Endocrinol Metab</w:t>
      </w:r>
      <w:r>
        <w:t xml:space="preserve"> </w:t>
      </w:r>
      <w:r>
        <w:t xml:space="preserve">· A paradoxical gender dissociation within the growth hormone/insulin-like growth factor I axis during protracted critical illness. PMID 10634385</w:t>
      </w:r>
    </w:p>
    <w:p>
      <w:pPr>
        <w:numPr>
          <w:ilvl w:val="0"/>
          <w:numId w:val="1398"/>
        </w:numPr>
        <w:pStyle w:val="Compact"/>
      </w:pPr>
      <w:r>
        <w:t xml:space="preserve">1999 · Shah N ·</w:t>
      </w:r>
      <w:r>
        <w:t xml:space="preserve"> </w:t>
      </w:r>
      <w:r>
        <w:rPr>
          <w:iCs/>
          <w:i/>
        </w:rPr>
        <w:t xml:space="preserve">J Clin Endocrinol Metab</w:t>
      </w:r>
      <w:r>
        <w:t xml:space="preserve"> </w:t>
      </w:r>
      <w:r>
        <w:t xml:space="preserve">· Tripartite neuroendocrine activation of the human growth hormone (GH) axis in women by continuous 24-hour GH-releasing peptide infusion: pulsatile, entropic, and nyctohemeral mechanisms. PMID 10372723</w:t>
      </w:r>
    </w:p>
    <w:p>
      <w:pPr>
        <w:numPr>
          <w:ilvl w:val="0"/>
          <w:numId w:val="1398"/>
        </w:numPr>
        <w:pStyle w:val="Compact"/>
      </w:pPr>
      <w:r>
        <w:t xml:space="preserve">1999 · Meacham LR ·</w:t>
      </w:r>
      <w:r>
        <w:t xml:space="preserve"> </w:t>
      </w:r>
      <w:r>
        <w:rPr>
          <w:iCs/>
          <w:i/>
        </w:rPr>
        <w:t xml:space="preserve">Metabolism</w:t>
      </w:r>
      <w:r>
        <w:t xml:space="preserve"> </w:t>
      </w:r>
      <w:r>
        <w:t xml:space="preserve">· Preservation of growth hormone secretion in response to growth hormone-releasing peptide-2 during prednisone therapy. PMID 10337858</w:t>
      </w:r>
    </w:p>
    <w:p>
      <w:pPr>
        <w:numPr>
          <w:ilvl w:val="0"/>
          <w:numId w:val="1398"/>
        </w:numPr>
        <w:pStyle w:val="Compact"/>
      </w:pPr>
      <w:r>
        <w:t xml:space="preserve">1999 · Van den Berghe G ·</w:t>
      </w:r>
      <w:r>
        <w:t xml:space="preserve"> </w:t>
      </w:r>
      <w:r>
        <w:rPr>
          <w:iCs/>
          <w:i/>
        </w:rPr>
        <w:t xml:space="preserve">J Clin Endocrinol Metab</w:t>
      </w:r>
      <w:r>
        <w:t xml:space="preserve"> </w:t>
      </w:r>
      <w:r>
        <w:t xml:space="preserve">· Reactivation of pituitary hormone release and metabolic improvement by infusion of growth hormone-releasing peptide and thyrotropin-releasing hormone in patients with protracted critical illness. PMID 10199772</w:t>
      </w:r>
    </w:p>
    <w:p>
      <w:pPr>
        <w:numPr>
          <w:ilvl w:val="0"/>
          <w:numId w:val="1398"/>
        </w:numPr>
        <w:pStyle w:val="Compact"/>
      </w:pPr>
      <w:r>
        <w:t xml:space="preserve">1999 · Arvat E ·</w:t>
      </w:r>
      <w:r>
        <w:t xml:space="preserve"> </w:t>
      </w:r>
      <w:r>
        <w:rPr>
          <w:iCs/>
          <w:i/>
        </w:rPr>
        <w:t xml:space="preserve">J Endocrinol Invest</w:t>
      </w:r>
      <w:r>
        <w:t xml:space="preserve"> </w:t>
      </w:r>
      <w:r>
        <w:t xml:space="preserve">· Tyr-Ala-Hexarelin, a synthetic octapeptide, possesses the same endocrine activities of Hexarelin and GHRP-2 in humans. PMID 10195374</w:t>
      </w:r>
    </w:p>
    <w:p>
      <w:pPr>
        <w:numPr>
          <w:ilvl w:val="0"/>
          <w:numId w:val="1398"/>
        </w:numPr>
        <w:pStyle w:val="Compact"/>
      </w:pPr>
      <w:r>
        <w:t xml:space="preserve">1999 · Van den Berghe G ·</w:t>
      </w:r>
      <w:r>
        <w:t xml:space="preserve"> </w:t>
      </w:r>
      <w:r>
        <w:rPr>
          <w:iCs/>
          <w:i/>
        </w:rPr>
        <w:t xml:space="preserve">Eur J Endocrinol</w:t>
      </w:r>
      <w:r>
        <w:t xml:space="preserve"> </w:t>
      </w:r>
      <w:r>
        <w:t xml:space="preserve">· Growth hormone-releasing peptide-2 infusion synchronizes growth hormone, thyrotrophin and prolactin release in prolonged critical illness. PMID 10037246</w:t>
      </w:r>
    </w:p>
    <w:p>
      <w:pPr>
        <w:numPr>
          <w:ilvl w:val="0"/>
          <w:numId w:val="1398"/>
        </w:numPr>
        <w:pStyle w:val="Compact"/>
      </w:pPr>
      <w:r>
        <w:t xml:space="preserve">1998 · Van den Berghe G ·</w:t>
      </w:r>
      <w:r>
        <w:t xml:space="preserve"> </w:t>
      </w:r>
      <w:r>
        <w:rPr>
          <w:iCs/>
          <w:i/>
        </w:rPr>
        <w:t xml:space="preserve">J Clin Endocrinol Metab</w:t>
      </w:r>
      <w:r>
        <w:t xml:space="preserve"> </w:t>
      </w:r>
      <w:r>
        <w:t xml:space="preserve">· Leptin levels in protracted critical illness: effects of growth hormone-secretagogues and thyrotropin-releasing hormone. PMID 9745404</w:t>
      </w:r>
    </w:p>
    <w:p>
      <w:pPr>
        <w:numPr>
          <w:ilvl w:val="0"/>
          <w:numId w:val="1398"/>
        </w:numPr>
        <w:pStyle w:val="Compact"/>
      </w:pPr>
      <w:r>
        <w:t xml:space="preserve">1998 · Mericq V ·</w:t>
      </w:r>
      <w:r>
        <w:t xml:space="preserve"> </w:t>
      </w:r>
      <w:r>
        <w:rPr>
          <w:iCs/>
          <w:i/>
        </w:rPr>
        <w:t xml:space="preserve">J Clin Endocrinol Metab</w:t>
      </w:r>
      <w:r>
        <w:t xml:space="preserve"> </w:t>
      </w:r>
      <w:r>
        <w:t xml:space="preserve">· Effects of eight months treatment with graded doses of a growth hormone (GH)-releasing peptide in GH-deficient children. PMID 9661608</w:t>
      </w:r>
    </w:p>
    <w:p>
      <w:pPr>
        <w:numPr>
          <w:ilvl w:val="0"/>
          <w:numId w:val="1398"/>
        </w:numPr>
        <w:pStyle w:val="Compact"/>
      </w:pPr>
      <w:r>
        <w:t xml:space="preserve">1998 · Moreno-Reyes R ·</w:t>
      </w:r>
      <w:r>
        <w:t xml:space="preserve"> </w:t>
      </w:r>
      <w:r>
        <w:rPr>
          <w:iCs/>
          <w:i/>
        </w:rPr>
        <w:t xml:space="preserve">Am J Physiol</w:t>
      </w:r>
      <w:r>
        <w:t xml:space="preserve"> </w:t>
      </w:r>
      <w:r>
        <w:t xml:space="preserve">· Evidence against a role for the growth hormone-releasing peptide axis in human slow-wave sleep regulation. PMID 9612233</w:t>
      </w:r>
    </w:p>
    <w:p>
      <w:pPr>
        <w:numPr>
          <w:ilvl w:val="0"/>
          <w:numId w:val="1398"/>
        </w:numPr>
        <w:pStyle w:val="Compact"/>
      </w:pPr>
      <w:r>
        <w:t xml:space="preserve">1998 · Pihoker C ·</w:t>
      </w:r>
      <w:r>
        <w:t xml:space="preserve"> </w:t>
      </w:r>
      <w:r>
        <w:rPr>
          <w:iCs/>
          <w:i/>
        </w:rPr>
        <w:t xml:space="preserve">J Clin Endocrinol Metab</w:t>
      </w:r>
      <w:r>
        <w:t xml:space="preserve"> </w:t>
      </w:r>
      <w:r>
        <w:t xml:space="preserve">· Pharmacokinetics and pharmacodynamics of growth hormone-releasing peptide-2: a phase I study in children. PMID 9543135</w:t>
      </w:r>
    </w:p>
    <w:p>
      <w:pPr>
        <w:numPr>
          <w:ilvl w:val="0"/>
          <w:numId w:val="1398"/>
        </w:numPr>
        <w:pStyle w:val="Compact"/>
      </w:pPr>
      <w:r>
        <w:t xml:space="preserve">1998 · Van den Berghe G ·</w:t>
      </w:r>
      <w:r>
        <w:t xml:space="preserve"> </w:t>
      </w:r>
      <w:r>
        <w:rPr>
          <w:iCs/>
          <w:i/>
        </w:rPr>
        <w:t xml:space="preserve">J Clin Endocrinol Metab</w:t>
      </w:r>
      <w:r>
        <w:t xml:space="preserve"> </w:t>
      </w:r>
      <w:r>
        <w:t xml:space="preserve">· Neuroendocrinology of prolonged critical illness: effects of exogenous thyrotropin-releasing hormone and its combination with growth hormone secretagogues. PMID 9467533</w:t>
      </w:r>
    </w:p>
    <w:p>
      <w:pPr>
        <w:numPr>
          <w:ilvl w:val="0"/>
          <w:numId w:val="1398"/>
        </w:numPr>
        <w:pStyle w:val="Compact"/>
      </w:pPr>
      <w:r>
        <w:t xml:space="preserve">1997 · Van den Berghe G ·</w:t>
      </w:r>
      <w:r>
        <w:t xml:space="preserve"> </w:t>
      </w:r>
      <w:r>
        <w:rPr>
          <w:iCs/>
          <w:i/>
        </w:rPr>
        <w:t xml:space="preserve">Clin Endocrinol (Oxf)</w:t>
      </w:r>
      <w:r>
        <w:t xml:space="preserve"> </w:t>
      </w:r>
      <w:r>
        <w:t xml:space="preserve">· Thyrotrophin and prolactin release in prolonged critical illness: dynamics of spontaneous secretion and effects of growth hormone-secretagogues. PMID 9425400</w:t>
      </w:r>
    </w:p>
    <w:p>
      <w:pPr>
        <w:numPr>
          <w:ilvl w:val="0"/>
          <w:numId w:val="1398"/>
        </w:numPr>
        <w:pStyle w:val="Compact"/>
      </w:pPr>
      <w:r>
        <w:t xml:space="preserve">1997 · Pihoker C ·</w:t>
      </w:r>
      <w:r>
        <w:t xml:space="preserve"> </w:t>
      </w:r>
      <w:r>
        <w:rPr>
          <w:iCs/>
          <w:i/>
        </w:rPr>
        <w:t xml:space="preserve">J Endocrinol</w:t>
      </w:r>
      <w:r>
        <w:t xml:space="preserve"> </w:t>
      </w:r>
      <w:r>
        <w:t xml:space="preserve">· Treatment effects of intranasal growth hormone releasing peptide-2 in children with short stature. PMID 9390009</w:t>
      </w:r>
    </w:p>
    <w:p>
      <w:pPr>
        <w:numPr>
          <w:ilvl w:val="0"/>
          <w:numId w:val="1398"/>
        </w:numPr>
        <w:pStyle w:val="Compact"/>
      </w:pPr>
      <w:r>
        <w:t xml:space="preserve">1997 · Van den Berghe G ·</w:t>
      </w:r>
      <w:r>
        <w:t xml:space="preserve"> </w:t>
      </w:r>
      <w:r>
        <w:rPr>
          <w:iCs/>
          <w:i/>
        </w:rPr>
        <w:t xml:space="preserve">J Clin Endocrinol Metab</w:t>
      </w:r>
      <w:r>
        <w:t xml:space="preserve"> </w:t>
      </w:r>
      <w:r>
        <w:t xml:space="preserve">· The somatotropic axis in critical illness: effect of continuous growth hormone (GH)-releasing hormone and GH-releasing peptide-2 infusion. PMID 9024260</w:t>
      </w:r>
    </w:p>
    <w:p>
      <w:pPr>
        <w:numPr>
          <w:ilvl w:val="0"/>
          <w:numId w:val="1398"/>
        </w:numPr>
        <w:pStyle w:val="Compact"/>
      </w:pPr>
      <w:r>
        <w:t xml:space="preserve">1996 · Van den Berghe G ·</w:t>
      </w:r>
      <w:r>
        <w:t xml:space="preserve"> </w:t>
      </w:r>
      <w:r>
        <w:rPr>
          <w:iCs/>
          <w:i/>
        </w:rPr>
        <w:t xml:space="preserve">Clin Endocrinol (Oxf)</w:t>
      </w:r>
      <w:r>
        <w:t xml:space="preserve"> </w:t>
      </w:r>
      <w:r>
        <w:t xml:space="preserve">· Pituitary responsiveness to GH-releasing hormone, GH-releasing peptide-2 and thyrotrophin-releasing hormone in critical illness. PMID 8949573</w:t>
      </w:r>
    </w:p>
    <w:p>
      <w:pPr>
        <w:numPr>
          <w:ilvl w:val="0"/>
          <w:numId w:val="1398"/>
        </w:numPr>
        <w:pStyle w:val="Compact"/>
      </w:pPr>
      <w:r>
        <w:t xml:space="preserve">1996 · Bowers CY ·</w:t>
      </w:r>
      <w:r>
        <w:t xml:space="preserve"> </w:t>
      </w:r>
      <w:r>
        <w:rPr>
          <w:iCs/>
          <w:i/>
        </w:rPr>
        <w:t xml:space="preserve">J Pediatr Endocrinol Metab</w:t>
      </w:r>
      <w:r>
        <w:t xml:space="preserve"> </w:t>
      </w:r>
      <w:r>
        <w:t xml:space="preserve">· GHRP-2, GHRH and SRIF interrelationships during chronic administration of GHRP-2 to humans. PMID 8887169</w:t>
      </w:r>
    </w:p>
    <w:p>
      <w:pPr>
        <w:numPr>
          <w:ilvl w:val="0"/>
          <w:numId w:val="1398"/>
        </w:numPr>
        <w:pStyle w:val="Compact"/>
      </w:pPr>
      <w:r>
        <w:t xml:space="preserve">1995 · Tuilpakov AN ·</w:t>
      </w:r>
      <w:r>
        <w:t xml:space="preserve"> </w:t>
      </w:r>
      <w:r>
        <w:rPr>
          <w:iCs/>
          <w:i/>
        </w:rPr>
        <w:t xml:space="preserve">Metabolism</w:t>
      </w:r>
      <w:r>
        <w:t xml:space="preserve"> </w:t>
      </w:r>
      <w:r>
        <w:t xml:space="preserve">· Growth hormone (GH)-releasing effects of synthetic peptide GH-releasing peptide-2 and GH-releasing hormone (1-29NH2) in children with GH insufficiency and idiopathic short stature. PMID 7666796</w:t>
      </w:r>
    </w:p>
    <w:p>
      <w:pPr>
        <w:numPr>
          <w:ilvl w:val="0"/>
          <w:numId w:val="1398"/>
        </w:numPr>
        <w:pStyle w:val="Compact"/>
      </w:pPr>
      <w:r>
        <w:t xml:space="preserve">1995 · Tiulpakov AN ·</w:t>
      </w:r>
      <w:r>
        <w:t xml:space="preserve"> </w:t>
      </w:r>
      <w:r>
        <w:rPr>
          <w:iCs/>
          <w:i/>
        </w:rPr>
        <w:t xml:space="preserve">Clin Endocrinol (Oxf)</w:t>
      </w:r>
      <w:r>
        <w:t xml:space="preserve"> </w:t>
      </w:r>
      <w:r>
        <w:t xml:space="preserve">· GH responses to intravenous bolus infusions of GH releasing hormone and GH releasing peptide 2 separately and in combination in adult volunteers. PMID 7586605</w:t>
      </w:r>
    </w:p>
    <w:p>
      <w:pPr>
        <w:numPr>
          <w:ilvl w:val="0"/>
          <w:numId w:val="1398"/>
        </w:numPr>
        <w:pStyle w:val="Compact"/>
      </w:pPr>
      <w:r>
        <w:t xml:space="preserve">1995 · Pihoker C ·</w:t>
      </w:r>
      <w:r>
        <w:t xml:space="preserve"> </w:t>
      </w:r>
      <w:r>
        <w:rPr>
          <w:iCs/>
          <w:i/>
        </w:rPr>
        <w:t xml:space="preserve">J Clin Endocrinol Metab</w:t>
      </w:r>
      <w:r>
        <w:t xml:space="preserve"> </w:t>
      </w:r>
      <w:r>
        <w:t xml:space="preserve">· Diagnostic studies with intravenous and intranasal growth hormone-releasing peptide-2 in children of short stature. PMID 7559885</w:t>
      </w:r>
    </w:p>
    <w:bookmarkEnd w:id="3041"/>
    <w:bookmarkStart w:id="3042" w:name="ghrp-6-40"/>
    <w:p>
      <w:pPr>
        <w:pStyle w:val="Heading2"/>
      </w:pPr>
      <w:r>
        <w:t xml:space="preserve">GHRP-6 (40)</w:t>
      </w:r>
    </w:p>
    <w:p>
      <w:pPr>
        <w:numPr>
          <w:ilvl w:val="0"/>
          <w:numId w:val="1399"/>
        </w:numPr>
        <w:pStyle w:val="Compact"/>
      </w:pPr>
      <w:r>
        <w:t xml:space="preserve">2013 · Cabrales A ·</w:t>
      </w:r>
      <w:r>
        <w:t xml:space="preserve"> </w:t>
      </w:r>
      <w:r>
        <w:rPr>
          <w:iCs/>
          <w:i/>
        </w:rPr>
        <w:t xml:space="preserve">Eur J Pharm Sci</w:t>
      </w:r>
      <w:r>
        <w:t xml:space="preserve"> </w:t>
      </w:r>
      <w:r>
        <w:t xml:space="preserve">· Pharmacokinetic study of Growth Hormone-Releasing Peptide 6 (GHRP-6) in nine male healthy volunteers. PMID 23099431</w:t>
      </w:r>
    </w:p>
    <w:p>
      <w:pPr>
        <w:numPr>
          <w:ilvl w:val="0"/>
          <w:numId w:val="1399"/>
        </w:numPr>
        <w:pStyle w:val="Compact"/>
      </w:pPr>
      <w:r>
        <w:t xml:space="preserve">2010 · Molica P ·</w:t>
      </w:r>
      <w:r>
        <w:t xml:space="preserve"> </w:t>
      </w:r>
      <w:r>
        <w:rPr>
          <w:iCs/>
          <w:i/>
        </w:rPr>
        <w:t xml:space="preserve">Pituitary</w:t>
      </w:r>
      <w:r>
        <w:t xml:space="preserve"> </w:t>
      </w:r>
      <w:r>
        <w:t xml:space="preserve">· Effects of ghrelin, GH-releasing peptide-6 (GHRP-6) and GHRH on GH, ACTH and cortisol release in hyperthyroidism before and after treatment. PMID 20602173</w:t>
      </w:r>
    </w:p>
    <w:p>
      <w:pPr>
        <w:numPr>
          <w:ilvl w:val="0"/>
          <w:numId w:val="1399"/>
        </w:numPr>
        <w:pStyle w:val="Compact"/>
      </w:pPr>
      <w:r>
        <w:t xml:space="preserve">2010 · de Sá LB ·</w:t>
      </w:r>
      <w:r>
        <w:t xml:space="preserve"> </w:t>
      </w:r>
      <w:r>
        <w:rPr>
          <w:iCs/>
          <w:i/>
        </w:rPr>
        <w:t xml:space="preserve">Metabolism</w:t>
      </w:r>
      <w:r>
        <w:t xml:space="preserve"> </w:t>
      </w:r>
      <w:r>
        <w:t xml:space="preserve">· Effects of ghrelin, growth hormone-releasing peptide-6, and growth hormone-releasing hormone on growth hormone, adrenocorticotropic hormone, and cortisol release in type 1 diabetes mellitus. PMID 20189610</w:t>
      </w:r>
    </w:p>
    <w:p>
      <w:pPr>
        <w:numPr>
          <w:ilvl w:val="0"/>
          <w:numId w:val="1399"/>
        </w:numPr>
        <w:pStyle w:val="Compact"/>
      </w:pPr>
      <w:r>
        <w:t xml:space="preserve">2010 · Alaioubi B ·</w:t>
      </w:r>
      <w:r>
        <w:t xml:space="preserve"> </w:t>
      </w:r>
      <w:r>
        <w:rPr>
          <w:iCs/>
          <w:i/>
        </w:rPr>
        <w:t xml:space="preserve">Horm Metab Res</w:t>
      </w:r>
      <w:r>
        <w:t xml:space="preserve"> </w:t>
      </w:r>
      <w:r>
        <w:t xml:space="preserve">· Diagnosis of adrenal insufficiency using the GHRP-6 Test: comparison with the insulin tolerance test in patients with hypothalamic-pituitary-adrenal disease. PMID 19946832</w:t>
      </w:r>
    </w:p>
    <w:p>
      <w:pPr>
        <w:numPr>
          <w:ilvl w:val="0"/>
          <w:numId w:val="1399"/>
        </w:numPr>
        <w:pStyle w:val="Compact"/>
      </w:pPr>
      <w:r>
        <w:t xml:space="preserve">2010 · Correa-Silva SR ·</w:t>
      </w:r>
      <w:r>
        <w:t xml:space="preserve"> </w:t>
      </w:r>
      <w:r>
        <w:rPr>
          <w:iCs/>
          <w:i/>
        </w:rPr>
        <w:t xml:space="preserve">Clin Endocrinol (Oxf)</w:t>
      </w:r>
      <w:r>
        <w:t xml:space="preserve"> </w:t>
      </w:r>
      <w:r>
        <w:t xml:space="preserve">· Adrenocorticotrophic hormone (ACTH) responsiveness to ghrelin increases after 6 months of ketoconazole use in patients with Cushing’s disease: comparison with GH-releasing peptide-6 (GHRP-6). PMID 19453623</w:t>
      </w:r>
    </w:p>
    <w:p>
      <w:pPr>
        <w:numPr>
          <w:ilvl w:val="0"/>
          <w:numId w:val="1399"/>
        </w:numPr>
        <w:pStyle w:val="Compact"/>
      </w:pPr>
      <w:r>
        <w:t xml:space="preserve">2009 · Nascif SO ·</w:t>
      </w:r>
      <w:r>
        <w:t xml:space="preserve"> </w:t>
      </w:r>
      <w:r>
        <w:rPr>
          <w:iCs/>
          <w:i/>
        </w:rPr>
        <w:t xml:space="preserve">Pituitary</w:t>
      </w:r>
      <w:r>
        <w:t xml:space="preserve"> </w:t>
      </w:r>
      <w:r>
        <w:t xml:space="preserve">· Ghrelin and GHRP-6-induced ACTH and cortisol release in thyrotoxicosis. PMID 19396632</w:t>
      </w:r>
    </w:p>
    <w:p>
      <w:pPr>
        <w:numPr>
          <w:ilvl w:val="0"/>
          <w:numId w:val="1399"/>
        </w:numPr>
        <w:pStyle w:val="Compact"/>
      </w:pPr>
      <w:r>
        <w:t xml:space="preserve">2008 · Machado MC ·</w:t>
      </w:r>
      <w:r>
        <w:t xml:space="preserve"> </w:t>
      </w:r>
      <w:r>
        <w:rPr>
          <w:iCs/>
          <w:i/>
        </w:rPr>
        <w:t xml:space="preserve">Eur J Endocrinol</w:t>
      </w:r>
      <w:r>
        <w:t xml:space="preserve"> </w:t>
      </w:r>
      <w:r>
        <w:t xml:space="preserve">· Association between tumoral GH-releasing peptide receptor type 1a mRNA expression and in vivo response to GH-releasing peptide-6 in ACTH-dependent Cushing’s syndrome patients. PMID 18426818</w:t>
      </w:r>
    </w:p>
    <w:p>
      <w:pPr>
        <w:numPr>
          <w:ilvl w:val="0"/>
          <w:numId w:val="1399"/>
        </w:numPr>
        <w:pStyle w:val="Compact"/>
      </w:pPr>
      <w:r>
        <w:t xml:space="preserve">2007 · Nascif SO ·</w:t>
      </w:r>
      <w:r>
        <w:t xml:space="preserve"> </w:t>
      </w:r>
      <w:r>
        <w:rPr>
          <w:iCs/>
          <w:i/>
        </w:rPr>
        <w:t xml:space="preserve">Pituitary</w:t>
      </w:r>
      <w:r>
        <w:t xml:space="preserve"> </w:t>
      </w:r>
      <w:r>
        <w:t xml:space="preserve">· Decreased ghrelin-induced GH release in thyrotoxicosis: comparison with GH-releasing peptide-6 (GHRP-6) and GHRH. PMID 17410412</w:t>
      </w:r>
    </w:p>
    <w:p>
      <w:pPr>
        <w:numPr>
          <w:ilvl w:val="0"/>
          <w:numId w:val="1399"/>
        </w:numPr>
        <w:pStyle w:val="Compact"/>
      </w:pPr>
      <w:r>
        <w:t xml:space="preserve">2006 · Correa-Silva SR ·</w:t>
      </w:r>
      <w:r>
        <w:t xml:space="preserve"> </w:t>
      </w:r>
      <w:r>
        <w:rPr>
          <w:iCs/>
          <w:i/>
        </w:rPr>
        <w:t xml:space="preserve">Pituitary</w:t>
      </w:r>
      <w:r>
        <w:t xml:space="preserve"> </w:t>
      </w:r>
      <w:r>
        <w:t xml:space="preserve">· Decreased GH secretion and enhanced ACTH and cortisol release after ghrelin administration in Cushing’s disease: comparison with GH-releasing peptide-6 (GHRP-6) and GHRH. PMID 16832586</w:t>
      </w:r>
    </w:p>
    <w:p>
      <w:pPr>
        <w:numPr>
          <w:ilvl w:val="0"/>
          <w:numId w:val="1399"/>
        </w:numPr>
        <w:pStyle w:val="Compact"/>
      </w:pPr>
      <w:r>
        <w:t xml:space="preserve">2004 · Frieboes RM ·</w:t>
      </w:r>
      <w:r>
        <w:t xml:space="preserve"> </w:t>
      </w:r>
      <w:r>
        <w:rPr>
          <w:iCs/>
          <w:i/>
        </w:rPr>
        <w:t xml:space="preserve">Psychoneuroendocrinology</w:t>
      </w:r>
      <w:r>
        <w:t xml:space="preserve"> </w:t>
      </w:r>
      <w:r>
        <w:t xml:space="preserve">· Hexarelin decreases slow-wave sleep and stimulates the secretion of GH, ACTH, cortisol and prolactin during sleep in healthy volunteers. PMID 15177700</w:t>
      </w:r>
    </w:p>
    <w:p>
      <w:pPr>
        <w:numPr>
          <w:ilvl w:val="0"/>
          <w:numId w:val="1399"/>
        </w:numPr>
        <w:pStyle w:val="Compact"/>
      </w:pPr>
      <w:r>
        <w:t xml:space="preserve">2004 · Micic D ·</w:t>
      </w:r>
      <w:r>
        <w:t xml:space="preserve"> </w:t>
      </w:r>
      <w:r>
        <w:rPr>
          <w:iCs/>
          <w:i/>
        </w:rPr>
        <w:t xml:space="preserve">Diabetes Res Clin Pract</w:t>
      </w:r>
      <w:r>
        <w:t xml:space="preserve"> </w:t>
      </w:r>
      <w:r>
        <w:t xml:space="preserve">· Growth hormone response to GHRH + GHRP-6 in type 2 diabetes during euglycemic and hyperglycemic clamp. PMID 14693411</w:t>
      </w:r>
    </w:p>
    <w:p>
      <w:pPr>
        <w:numPr>
          <w:ilvl w:val="0"/>
          <w:numId w:val="1399"/>
        </w:numPr>
        <w:pStyle w:val="Compact"/>
      </w:pPr>
      <w:r>
        <w:t xml:space="preserve">2003 · Cordido F ·</w:t>
      </w:r>
      <w:r>
        <w:t xml:space="preserve"> </w:t>
      </w:r>
      <w:r>
        <w:rPr>
          <w:iCs/>
          <w:i/>
        </w:rPr>
        <w:t xml:space="preserve">Eur J Endocrinol</w:t>
      </w:r>
      <w:r>
        <w:t xml:space="preserve"> </w:t>
      </w:r>
      <w:r>
        <w:t xml:space="preserve">· Comparison between insulin tolerance test, growth hormone (GH)-releasing hormone (GHRH), GHRH plus acipimox and GHRH plus GH-releasing peptide-6 for the diagnosis of adult GH deficiency in normal subjects, obese and hypopituitary patients. PMID 12887288</w:t>
      </w:r>
    </w:p>
    <w:p>
      <w:pPr>
        <w:numPr>
          <w:ilvl w:val="0"/>
          <w:numId w:val="1399"/>
        </w:numPr>
        <w:pStyle w:val="Compact"/>
      </w:pPr>
      <w:r>
        <w:t xml:space="preserve">2003 · Micić D ·</w:t>
      </w:r>
      <w:r>
        <w:t xml:space="preserve"> </w:t>
      </w:r>
      <w:r>
        <w:rPr>
          <w:iCs/>
          <w:i/>
        </w:rPr>
        <w:t xml:space="preserve">J Endocrinol Invest</w:t>
      </w:r>
      <w:r>
        <w:t xml:space="preserve"> </w:t>
      </w:r>
      <w:r>
        <w:t xml:space="preserve">· Growth-hormone response to combined stimulation with GHRH plus GH-releasing peptide-6 in obese patients with polycystic ovary syndrome before and after short-term fasting. PMID 12841541</w:t>
      </w:r>
    </w:p>
    <w:p>
      <w:pPr>
        <w:numPr>
          <w:ilvl w:val="0"/>
          <w:numId w:val="1399"/>
        </w:numPr>
        <w:pStyle w:val="Compact"/>
      </w:pPr>
      <w:r>
        <w:t xml:space="preserve">2003 · Oliveira JH ·</w:t>
      </w:r>
      <w:r>
        <w:t xml:space="preserve"> </w:t>
      </w:r>
      <w:r>
        <w:rPr>
          <w:iCs/>
          <w:i/>
        </w:rPr>
        <w:t xml:space="preserve">J Endocrinol Invest</w:t>
      </w:r>
      <w:r>
        <w:t xml:space="preserve"> </w:t>
      </w:r>
      <w:r>
        <w:t xml:space="preserve">· GHRP-6 is able to stimulate cortisol and ACTH release in patients with Cushing’s disease: comparison with DDAVP. PMID 12809173</w:t>
      </w:r>
    </w:p>
    <w:p>
      <w:pPr>
        <w:numPr>
          <w:ilvl w:val="0"/>
          <w:numId w:val="1399"/>
        </w:numPr>
        <w:pStyle w:val="Compact"/>
      </w:pPr>
      <w:r>
        <w:t xml:space="preserve">2003 · Martins MR ·</w:t>
      </w:r>
      <w:r>
        <w:t xml:space="preserve"> </w:t>
      </w:r>
      <w:r>
        <w:rPr>
          <w:iCs/>
          <w:i/>
        </w:rPr>
        <w:t xml:space="preserve">J Endocrinol Invest</w:t>
      </w:r>
      <w:r>
        <w:t xml:space="preserve"> </w:t>
      </w:r>
      <w:r>
        <w:t xml:space="preserve">· GH-releasing peptide (GHRP-6)-induced ACTH release in patients with addison’s disease: effect of glucocorticoid withdrawal. PMID 12739742</w:t>
      </w:r>
    </w:p>
    <w:p>
      <w:pPr>
        <w:numPr>
          <w:ilvl w:val="0"/>
          <w:numId w:val="1399"/>
        </w:numPr>
        <w:pStyle w:val="Compact"/>
      </w:pPr>
      <w:r>
        <w:t xml:space="preserve">2002 · Bhatti SF ·</w:t>
      </w:r>
      <w:r>
        <w:t xml:space="preserve"> </w:t>
      </w:r>
      <w:r>
        <w:rPr>
          <w:iCs/>
          <w:i/>
        </w:rPr>
        <w:t xml:space="preserve">Mol Cell Endocrinol</w:t>
      </w:r>
      <w:r>
        <w:t xml:space="preserve"> </w:t>
      </w:r>
      <w:r>
        <w:t xml:space="preserve">· Effects of growth hormone-releasing peptides in healthy dogs and in dogs with pituitary-dependent hyperadrenocorticism. PMID 12431802</w:t>
      </w:r>
    </w:p>
    <w:p>
      <w:pPr>
        <w:numPr>
          <w:ilvl w:val="0"/>
          <w:numId w:val="1399"/>
        </w:numPr>
        <w:pStyle w:val="Compact"/>
      </w:pPr>
      <w:r>
        <w:t xml:space="preserve">2002 · Popovic V ·</w:t>
      </w:r>
      <w:r>
        <w:t xml:space="preserve"> </w:t>
      </w:r>
      <w:r>
        <w:rPr>
          <w:iCs/>
          <w:i/>
        </w:rPr>
        <w:t xml:space="preserve">Clin Endocrinol (Oxf)</w:t>
      </w:r>
      <w:r>
        <w:t xml:space="preserve"> </w:t>
      </w:r>
      <w:r>
        <w:t xml:space="preserve">· Physical activity or food intake prior to testing did not affect the reproducibility of GH secretion elicited by GH releasing hormone plus GH-releasing hexapeptide in normal adult subjects. PMID 11849251</w:t>
      </w:r>
    </w:p>
    <w:p>
      <w:pPr>
        <w:numPr>
          <w:ilvl w:val="0"/>
          <w:numId w:val="1399"/>
        </w:numPr>
        <w:pStyle w:val="Compact"/>
      </w:pPr>
      <w:r>
        <w:t xml:space="preserve">2001 · Muller AF ·</w:t>
      </w:r>
      <w:r>
        <w:t xml:space="preserve"> </w:t>
      </w:r>
      <w:r>
        <w:rPr>
          <w:iCs/>
          <w:i/>
        </w:rPr>
        <w:t xml:space="preserve">Clin Endocrinol (Oxf)</w:t>
      </w:r>
      <w:r>
        <w:t xml:space="preserve"> </w:t>
      </w:r>
      <w:r>
        <w:t xml:space="preserve">· Effects of fasting and pegvisomant on the GH-releasing hormone and GH-releasing peptide-6 stimulated growth hormone secretion. PMID 11678828</w:t>
      </w:r>
    </w:p>
    <w:p>
      <w:pPr>
        <w:numPr>
          <w:ilvl w:val="0"/>
          <w:numId w:val="1399"/>
        </w:numPr>
        <w:pStyle w:val="Compact"/>
      </w:pPr>
      <w:r>
        <w:t xml:space="preserve">2000 · Popovic V ·</w:t>
      </w:r>
      <w:r>
        <w:t xml:space="preserve"> </w:t>
      </w:r>
      <w:r>
        <w:rPr>
          <w:iCs/>
          <w:i/>
        </w:rPr>
        <w:t xml:space="preserve">Lancet</w:t>
      </w:r>
      <w:r>
        <w:t xml:space="preserve"> </w:t>
      </w:r>
      <w:r>
        <w:t xml:space="preserve">· GH-releasing hormone and GH-releasing peptide-6 for diagnostic testing in GH-deficient adults. PMID 11030292</w:t>
      </w:r>
    </w:p>
    <w:p>
      <w:pPr>
        <w:numPr>
          <w:ilvl w:val="0"/>
          <w:numId w:val="1399"/>
        </w:numPr>
        <w:pStyle w:val="Compact"/>
      </w:pPr>
      <w:r>
        <w:t xml:space="preserve">2000 · Pinto AC ·</w:t>
      </w:r>
      <w:r>
        <w:t xml:space="preserve"> </w:t>
      </w:r>
      <w:r>
        <w:rPr>
          <w:iCs/>
          <w:i/>
        </w:rPr>
        <w:t xml:space="preserve">J Clin Endocrinol Metab</w:t>
      </w:r>
      <w:r>
        <w:t xml:space="preserve"> </w:t>
      </w:r>
      <w:r>
        <w:t xml:space="preserve">· Effects of short-term glucocorticoid deprivation on growth hormone (GH) response to GH-releasing peptide-6: studies in normal men and in patients with adrenal insufficiency. PMID 10770194</w:t>
      </w:r>
    </w:p>
    <w:p>
      <w:pPr>
        <w:numPr>
          <w:ilvl w:val="0"/>
          <w:numId w:val="1399"/>
        </w:numPr>
        <w:pStyle w:val="Compact"/>
      </w:pPr>
      <w:r>
        <w:t xml:space="preserve">1999 · Pinto AC ·</w:t>
      </w:r>
      <w:r>
        <w:t xml:space="preserve"> </w:t>
      </w:r>
      <w:r>
        <w:rPr>
          <w:iCs/>
          <w:i/>
        </w:rPr>
        <w:t xml:space="preserve">Clin Endocrinol (Oxf)</w:t>
      </w:r>
      <w:r>
        <w:t xml:space="preserve"> </w:t>
      </w:r>
      <w:r>
        <w:t xml:space="preserve">· Acute dexamethasone administration enhances GH responsiveness to GH releasing peptide-6 (GHRP-6) in man. PMID 10583306</w:t>
      </w:r>
    </w:p>
    <w:p>
      <w:pPr>
        <w:numPr>
          <w:ilvl w:val="0"/>
          <w:numId w:val="1399"/>
        </w:numPr>
        <w:pStyle w:val="Compact"/>
      </w:pPr>
      <w:r>
        <w:t xml:space="preserve">1999 · Frieboes RM ·</w:t>
      </w:r>
      <w:r>
        <w:t xml:space="preserve"> </w:t>
      </w:r>
      <w:r>
        <w:rPr>
          <w:iCs/>
          <w:i/>
        </w:rPr>
        <w:t xml:space="preserve">J Neuroendocrinol</w:t>
      </w:r>
      <w:r>
        <w:t xml:space="preserve"> </w:t>
      </w:r>
      <w:r>
        <w:t xml:space="preserve">· Effects of growth hormone-releasing peptide-6 on the nocturnal secretion of GH, ACTH and cortisol and on the sleep EEG in man: role of routes of administration. PMID 10336729</w:t>
      </w:r>
    </w:p>
    <w:p>
      <w:pPr>
        <w:numPr>
          <w:ilvl w:val="0"/>
          <w:numId w:val="1399"/>
        </w:numPr>
        <w:pStyle w:val="Compact"/>
      </w:pPr>
      <w:r>
        <w:t xml:space="preserve">1999 · Micić D ·</w:t>
      </w:r>
      <w:r>
        <w:t xml:space="preserve"> </w:t>
      </w:r>
      <w:r>
        <w:rPr>
          <w:iCs/>
          <w:i/>
        </w:rPr>
        <w:t xml:space="preserve">Metabolism</w:t>
      </w:r>
      <w:r>
        <w:t xml:space="preserve"> </w:t>
      </w:r>
      <w:r>
        <w:t xml:space="preserve">· Growth hormone (GH) response to GH-releasing peptide-6 and GH-releasing hormone in normal-weight and overweight patients with non-insulin-dependent diabetes mellitus. PMID 10206449</w:t>
      </w:r>
    </w:p>
    <w:p>
      <w:pPr>
        <w:numPr>
          <w:ilvl w:val="0"/>
          <w:numId w:val="1399"/>
        </w:numPr>
        <w:pStyle w:val="Compact"/>
      </w:pPr>
      <w:r>
        <w:t xml:space="preserve">1999 · Arvat E ·</w:t>
      </w:r>
      <w:r>
        <w:t xml:space="preserve"> </w:t>
      </w:r>
      <w:r>
        <w:rPr>
          <w:iCs/>
          <w:i/>
        </w:rPr>
        <w:t xml:space="preserve">J Endocrinol Invest</w:t>
      </w:r>
      <w:r>
        <w:t xml:space="preserve"> </w:t>
      </w:r>
      <w:r>
        <w:t xml:space="preserve">· Tyr-Ala-Hexarelin, a synthetic octapeptide, possesses the same endocrine activities of Hexarelin and GHRP-2 in humans. PMID 10195374</w:t>
      </w:r>
    </w:p>
    <w:p>
      <w:pPr>
        <w:numPr>
          <w:ilvl w:val="0"/>
          <w:numId w:val="1399"/>
        </w:numPr>
        <w:pStyle w:val="Compact"/>
      </w:pPr>
      <w:r>
        <w:t xml:space="preserve">1998 · Micic D ·</w:t>
      </w:r>
      <w:r>
        <w:t xml:space="preserve"> </w:t>
      </w:r>
      <w:r>
        <w:rPr>
          <w:iCs/>
          <w:i/>
        </w:rPr>
        <w:t xml:space="preserve">J Clin Endocrinol Metab</w:t>
      </w:r>
      <w:r>
        <w:t xml:space="preserve"> </w:t>
      </w:r>
      <w:r>
        <w:t xml:space="preserve">· Preserved growth hormone (GH) secretion in aged and very old subjects after testing with the combined stimulus GH-releasing hormone plus GH-releasing hexapeptide-6. PMID 9661645</w:t>
      </w:r>
    </w:p>
    <w:p>
      <w:pPr>
        <w:numPr>
          <w:ilvl w:val="0"/>
          <w:numId w:val="1399"/>
        </w:numPr>
        <w:pStyle w:val="Compact"/>
      </w:pPr>
      <w:r>
        <w:t xml:space="preserve">1998 · Pandya N ·</w:t>
      </w:r>
      <w:r>
        <w:t xml:space="preserve"> </w:t>
      </w:r>
      <w:r>
        <w:rPr>
          <w:iCs/>
          <w:i/>
        </w:rPr>
        <w:t xml:space="preserve">J Clin Endocrinol Metab</w:t>
      </w:r>
      <w:r>
        <w:t xml:space="preserve"> </w:t>
      </w:r>
      <w:r>
        <w:t xml:space="preserve">· Growth hormone (GH)-releasing peptide-6 requires endogenous hypothalamic GH-releasing hormone for maximal GH stimulation. PMID 9543138</w:t>
      </w:r>
    </w:p>
    <w:p>
      <w:pPr>
        <w:numPr>
          <w:ilvl w:val="0"/>
          <w:numId w:val="1399"/>
        </w:numPr>
        <w:pStyle w:val="Compact"/>
      </w:pPr>
      <w:r>
        <w:t xml:space="preserve">1997 · Borges MH ·</w:t>
      </w:r>
      <w:r>
        <w:t xml:space="preserve"> </w:t>
      </w:r>
      <w:r>
        <w:rPr>
          <w:iCs/>
          <w:i/>
        </w:rPr>
        <w:t xml:space="preserve">Clin Endocrinol (Oxf)</w:t>
      </w:r>
      <w:r>
        <w:t xml:space="preserve"> </w:t>
      </w:r>
      <w:r>
        <w:t xml:space="preserve">· Different effects of growth hormone releasing peptide (GHRP-6) and GH-releasing hormone on GH release in endogenous and exogenous hypercortisolism. PMID 9274702</w:t>
      </w:r>
    </w:p>
    <w:p>
      <w:pPr>
        <w:numPr>
          <w:ilvl w:val="0"/>
          <w:numId w:val="1399"/>
        </w:numPr>
        <w:pStyle w:val="Compact"/>
      </w:pPr>
      <w:r>
        <w:t xml:space="preserve">1997 · Pimentel-Filho FR ·</w:t>
      </w:r>
      <w:r>
        <w:t xml:space="preserve"> </w:t>
      </w:r>
      <w:r>
        <w:rPr>
          <w:iCs/>
          <w:i/>
        </w:rPr>
        <w:t xml:space="preserve">Clin Endocrinol (Oxf)</w:t>
      </w:r>
      <w:r>
        <w:t xml:space="preserve"> </w:t>
      </w:r>
      <w:r>
        <w:t xml:space="preserve">· Growth hormone responses to GH-releasing peptide (GHRP-6) in hypothyroidism. PMID 9156038</w:t>
      </w:r>
    </w:p>
    <w:p>
      <w:pPr>
        <w:numPr>
          <w:ilvl w:val="0"/>
          <w:numId w:val="1399"/>
        </w:numPr>
        <w:pStyle w:val="Compact"/>
      </w:pPr>
      <w:r>
        <w:t xml:space="preserve">1997 · Nooitgedagt A ·</w:t>
      </w:r>
      <w:r>
        <w:t xml:space="preserve"> </w:t>
      </w:r>
      <w:r>
        <w:rPr>
          <w:iCs/>
          <w:i/>
        </w:rPr>
        <w:t xml:space="preserve">Clin Endocrinol (Oxf)</w:t>
      </w:r>
      <w:r>
        <w:t xml:space="preserve"> </w:t>
      </w:r>
      <w:r>
        <w:t xml:space="preserve">· Influence of endogenous cholinergic tone and growth hormone-releasing peptide-6 on exercise induced growth hormone release. PMID 9135702</w:t>
      </w:r>
    </w:p>
    <w:p>
      <w:pPr>
        <w:numPr>
          <w:ilvl w:val="0"/>
          <w:numId w:val="1399"/>
        </w:numPr>
        <w:pStyle w:val="Compact"/>
      </w:pPr>
      <w:r>
        <w:t xml:space="preserve">1996 · Cordido F ·</w:t>
      </w:r>
      <w:r>
        <w:t xml:space="preserve"> </w:t>
      </w:r>
      <w:r>
        <w:rPr>
          <w:iCs/>
          <w:i/>
        </w:rPr>
        <w:t xml:space="preserve">J Clin Endocrinol Metab</w:t>
      </w:r>
      <w:r>
        <w:t xml:space="preserve"> </w:t>
      </w:r>
      <w:r>
        <w:t xml:space="preserve">· Impaired growth hormone secretion in obese subjects is partially reversed by acipimox-mediated plasma free fatty acid depression. PMID 8772550</w:t>
      </w:r>
    </w:p>
    <w:p>
      <w:pPr>
        <w:numPr>
          <w:ilvl w:val="0"/>
          <w:numId w:val="1399"/>
        </w:numPr>
        <w:pStyle w:val="Compact"/>
      </w:pPr>
      <w:r>
        <w:t xml:space="preserve">1996 · Peino R ·</w:t>
      </w:r>
      <w:r>
        <w:t xml:space="preserve"> </w:t>
      </w:r>
      <w:r>
        <w:rPr>
          <w:iCs/>
          <w:i/>
        </w:rPr>
        <w:t xml:space="preserve">J Clin Endocrinol Metab</w:t>
      </w:r>
      <w:r>
        <w:t xml:space="preserve"> </w:t>
      </w:r>
      <w:r>
        <w:t xml:space="preserve">· Acipimox-mediated plasma free fatty acid depression per se stimulates growth hormone (GH) secretion in normal subjects and potentiates the response to other GH-releasing stimuli. PMID 8772549</w:t>
      </w:r>
    </w:p>
    <w:p>
      <w:pPr>
        <w:numPr>
          <w:ilvl w:val="0"/>
          <w:numId w:val="1399"/>
        </w:numPr>
        <w:pStyle w:val="Compact"/>
      </w:pPr>
      <w:r>
        <w:t xml:space="preserve">1996 · Ciccarelli E ·</w:t>
      </w:r>
      <w:r>
        <w:t xml:space="preserve"> </w:t>
      </w:r>
      <w:r>
        <w:rPr>
          <w:iCs/>
          <w:i/>
        </w:rPr>
        <w:t xml:space="preserve">Clin Endocrinol (Oxf)</w:t>
      </w:r>
      <w:r>
        <w:t xml:space="preserve"> </w:t>
      </w:r>
      <w:r>
        <w:t xml:space="preserve">· Hexarelin, a synthetic growth hormone releasing peptide, stimulates prolactin secretion in acromegalic but not in hyperprolactinaemic patients. PMID 8706295</w:t>
      </w:r>
    </w:p>
    <w:p>
      <w:pPr>
        <w:numPr>
          <w:ilvl w:val="0"/>
          <w:numId w:val="1399"/>
        </w:numPr>
        <w:pStyle w:val="Compact"/>
      </w:pPr>
      <w:r>
        <w:t xml:space="preserve">1995 · Leal-Cerro A ·</w:t>
      </w:r>
      <w:r>
        <w:t xml:space="preserve"> </w:t>
      </w:r>
      <w:r>
        <w:rPr>
          <w:iCs/>
          <w:i/>
        </w:rPr>
        <w:t xml:space="preserve">Eur J Endocrinol</w:t>
      </w:r>
      <w:r>
        <w:t xml:space="preserve"> </w:t>
      </w:r>
      <w:r>
        <w:t xml:space="preserve">· Growth hormone (GH) responses to the combined administration of GH-releasing hormone plus GH-releasing peptide 6 in adults with GH deficiency. PMID 7788011</w:t>
      </w:r>
    </w:p>
    <w:p>
      <w:pPr>
        <w:numPr>
          <w:ilvl w:val="0"/>
          <w:numId w:val="1399"/>
        </w:numPr>
        <w:pStyle w:val="Compact"/>
      </w:pPr>
      <w:r>
        <w:t xml:space="preserve">1995 · Micic D ·</w:t>
      </w:r>
      <w:r>
        <w:t xml:space="preserve"> </w:t>
      </w:r>
      <w:r>
        <w:rPr>
          <w:iCs/>
          <w:i/>
        </w:rPr>
        <w:t xml:space="preserve">Clin Endocrinol (Oxf)</w:t>
      </w:r>
      <w:r>
        <w:t xml:space="preserve"> </w:t>
      </w:r>
      <w:r>
        <w:t xml:space="preserve">· Growth hormone secretion after the administration of GHRP-6 or GHRH combined with GHRP-6 does not decline in late adulthood. PMID 7734029</w:t>
      </w:r>
    </w:p>
    <w:p>
      <w:pPr>
        <w:numPr>
          <w:ilvl w:val="0"/>
          <w:numId w:val="1399"/>
        </w:numPr>
        <w:pStyle w:val="Compact"/>
      </w:pPr>
      <w:r>
        <w:t xml:space="preserve">1995 · Frieboes RM ·</w:t>
      </w:r>
      <w:r>
        <w:t xml:space="preserve"> </w:t>
      </w:r>
      <w:r>
        <w:rPr>
          <w:iCs/>
          <w:i/>
        </w:rPr>
        <w:t xml:space="preserve">Neuroendocrinology</w:t>
      </w:r>
      <w:r>
        <w:t xml:space="preserve"> </w:t>
      </w:r>
      <w:r>
        <w:t xml:space="preserve">· Growth hormone-releasing peptide-6 stimulates sleep, growth hormone, ACTH and cortisol release in normal man. PMID 7617137</w:t>
      </w:r>
    </w:p>
    <w:p>
      <w:pPr>
        <w:numPr>
          <w:ilvl w:val="0"/>
          <w:numId w:val="1399"/>
        </w:numPr>
        <w:pStyle w:val="Compact"/>
      </w:pPr>
      <w:r>
        <w:t xml:space="preserve">1995 · Pombo M ·</w:t>
      </w:r>
      <w:r>
        <w:t xml:space="preserve"> </w:t>
      </w:r>
      <w:r>
        <w:rPr>
          <w:iCs/>
          <w:i/>
        </w:rPr>
        <w:t xml:space="preserve">J Clin Endocrinol Metab</w:t>
      </w:r>
      <w:r>
        <w:t xml:space="preserve"> </w:t>
      </w:r>
      <w:r>
        <w:t xml:space="preserve">· Absence of growth hormone (GH) secretion after the administration of either GH-releasing hormone (GHRH), GH-releasing peptide (GHRP-6), or GHRH plus GHRP-6 in children with neonatal pituitary stalk transection. PMID 7593423</w:t>
      </w:r>
    </w:p>
    <w:p>
      <w:pPr>
        <w:numPr>
          <w:ilvl w:val="0"/>
          <w:numId w:val="1399"/>
        </w:numPr>
        <w:pStyle w:val="Compact"/>
      </w:pPr>
      <w:r>
        <w:t xml:space="preserve">1995 · Korbonits M ·</w:t>
      </w:r>
      <w:r>
        <w:t xml:space="preserve"> </w:t>
      </w:r>
      <w:r>
        <w:rPr>
          <w:iCs/>
          <w:i/>
        </w:rPr>
        <w:t xml:space="preserve">Clin Endocrinol (Oxf)</w:t>
      </w:r>
      <w:r>
        <w:t xml:space="preserve"> </w:t>
      </w:r>
      <w:r>
        <w:t xml:space="preserve">· The effect of an opiate antagonist on the hormonal changes induced by hexarelin. PMID 7586608</w:t>
      </w:r>
    </w:p>
    <w:p>
      <w:pPr>
        <w:numPr>
          <w:ilvl w:val="0"/>
          <w:numId w:val="1399"/>
        </w:numPr>
        <w:pStyle w:val="Compact"/>
      </w:pPr>
      <w:r>
        <w:t xml:space="preserve">1995 · Bellone J ·</w:t>
      </w:r>
      <w:r>
        <w:t xml:space="preserve"> </w:t>
      </w:r>
      <w:r>
        <w:rPr>
          <w:iCs/>
          <w:i/>
        </w:rPr>
        <w:t xml:space="preserve">Eur J Endocrinol</w:t>
      </w:r>
      <w:r>
        <w:t xml:space="preserve"> </w:t>
      </w:r>
      <w:r>
        <w:t xml:space="preserve">· Growth hormone-releasing effect of oral growth hormone-releasing peptide 6 (GHRP-6) administration in children with short stature. PMID 7581965</w:t>
      </w:r>
    </w:p>
    <w:p>
      <w:pPr>
        <w:numPr>
          <w:ilvl w:val="0"/>
          <w:numId w:val="1399"/>
        </w:numPr>
        <w:pStyle w:val="Compact"/>
      </w:pPr>
      <w:r>
        <w:t xml:space="preserve">1994 · Ghigo E ·</w:t>
      </w:r>
      <w:r>
        <w:t xml:space="preserve"> </w:t>
      </w:r>
      <w:r>
        <w:rPr>
          <w:iCs/>
          <w:i/>
        </w:rPr>
        <w:t xml:space="preserve">J Endocrinol Invest</w:t>
      </w:r>
      <w:r>
        <w:t xml:space="preserve"> </w:t>
      </w:r>
      <w:r>
        <w:t xml:space="preserve">· Arginine enhances the growth hormone-releasing activity of a synthetic hexapeptide (GHRP-6) in elderly but not in young subjects after oral administration. PMID 8051337</w:t>
      </w:r>
    </w:p>
    <w:p>
      <w:pPr>
        <w:numPr>
          <w:ilvl w:val="0"/>
          <w:numId w:val="1399"/>
        </w:numPr>
        <w:pStyle w:val="Compact"/>
      </w:pPr>
      <w:r>
        <w:t xml:space="preserve">1994 · Ghigo E ·</w:t>
      </w:r>
      <w:r>
        <w:t xml:space="preserve"> </w:t>
      </w:r>
      <w:r>
        <w:rPr>
          <w:iCs/>
          <w:i/>
        </w:rPr>
        <w:t xml:space="preserve">Eur J Endocrinol</w:t>
      </w:r>
      <w:r>
        <w:t xml:space="preserve"> </w:t>
      </w:r>
      <w:r>
        <w:t xml:space="preserve">· Growth hormone-releasing activity of growth hormone-releasing peptide-6 is maintained after short-term oral pretreatment with the hexapeptide in normal aging. PMID 7952160</w:t>
      </w:r>
    </w:p>
    <w:bookmarkEnd w:id="3042"/>
    <w:bookmarkStart w:id="3043" w:name="exarelina-58"/>
    <w:p>
      <w:pPr>
        <w:pStyle w:val="Heading2"/>
      </w:pPr>
      <w:r>
        <w:t xml:space="preserve">Exarelina (58)</w:t>
      </w:r>
    </w:p>
    <w:p>
      <w:pPr>
        <w:numPr>
          <w:ilvl w:val="0"/>
          <w:numId w:val="1400"/>
        </w:numPr>
        <w:pStyle w:val="Compact"/>
      </w:pPr>
      <w:r>
        <w:t xml:space="preserve">2004 · Janssen JA ·</w:t>
      </w:r>
      <w:r>
        <w:t xml:space="preserve"> </w:t>
      </w:r>
      <w:r>
        <w:rPr>
          <w:iCs/>
          <w:i/>
        </w:rPr>
        <w:t xml:space="preserve">J Endocrinol Invest</w:t>
      </w:r>
      <w:r>
        <w:t xml:space="preserve"> </w:t>
      </w:r>
      <w:r>
        <w:t xml:space="preserve">· There are no acute cardiac effects of a single iv dose of human ghrelin in severe growth hormone deficient patients. PMID 15505990</w:t>
      </w:r>
    </w:p>
    <w:p>
      <w:pPr>
        <w:numPr>
          <w:ilvl w:val="0"/>
          <w:numId w:val="1400"/>
        </w:numPr>
        <w:pStyle w:val="Compact"/>
      </w:pPr>
      <w:r>
        <w:t xml:space="preserve">2004 · de Vries WR ·</w:t>
      </w:r>
      <w:r>
        <w:t xml:space="preserve"> </w:t>
      </w:r>
      <w:r>
        <w:rPr>
          <w:iCs/>
          <w:i/>
        </w:rPr>
        <w:t xml:space="preserve">Horm Metab Res</w:t>
      </w:r>
      <w:r>
        <w:t xml:space="preserve"> </w:t>
      </w:r>
      <w:r>
        <w:t xml:space="preserve">· Age-related differences in growth hormone (GH) regulation during strenuous exercise. PMID 15305235</w:t>
      </w:r>
    </w:p>
    <w:p>
      <w:pPr>
        <w:numPr>
          <w:ilvl w:val="0"/>
          <w:numId w:val="1400"/>
        </w:numPr>
        <w:pStyle w:val="Compact"/>
      </w:pPr>
      <w:r>
        <w:t xml:space="preserve">2004 · Frieboes RM ·</w:t>
      </w:r>
      <w:r>
        <w:t xml:space="preserve"> </w:t>
      </w:r>
      <w:r>
        <w:rPr>
          <w:iCs/>
          <w:i/>
        </w:rPr>
        <w:t xml:space="preserve">Psychoneuroendocrinology</w:t>
      </w:r>
      <w:r>
        <w:t xml:space="preserve"> </w:t>
      </w:r>
      <w:r>
        <w:t xml:space="preserve">· Hexarelin decreases slow-wave sleep and stimulates the secretion of GH, ACTH, cortisol and prolactin during sleep in healthy volunteers. PMID 15177700</w:t>
      </w:r>
    </w:p>
    <w:p>
      <w:pPr>
        <w:numPr>
          <w:ilvl w:val="0"/>
          <w:numId w:val="1400"/>
        </w:numPr>
        <w:pStyle w:val="Compact"/>
      </w:pPr>
      <w:r>
        <w:t xml:space="preserve">2003 · Benso A ·</w:t>
      </w:r>
      <w:r>
        <w:t xml:space="preserve"> </w:t>
      </w:r>
      <w:r>
        <w:rPr>
          <w:iCs/>
          <w:i/>
        </w:rPr>
        <w:t xml:space="preserve">J Endocrinol Invest</w:t>
      </w:r>
      <w:r>
        <w:t xml:space="preserve"> </w:t>
      </w:r>
      <w:r>
        <w:t xml:space="preserve">· Effects of cortistatin-14 and somatostatin-14 on the endocrine response to hexarelin in humans. PMID 14594107</w:t>
      </w:r>
    </w:p>
    <w:p>
      <w:pPr>
        <w:numPr>
          <w:ilvl w:val="0"/>
          <w:numId w:val="1400"/>
        </w:numPr>
        <w:pStyle w:val="Compact"/>
      </w:pPr>
      <w:r>
        <w:t xml:space="preserve">2003 · Oliveira JH ·</w:t>
      </w:r>
      <w:r>
        <w:t xml:space="preserve"> </w:t>
      </w:r>
      <w:r>
        <w:rPr>
          <w:iCs/>
          <w:i/>
        </w:rPr>
        <w:t xml:space="preserve">J Endocrinol Invest</w:t>
      </w:r>
      <w:r>
        <w:t xml:space="preserve"> </w:t>
      </w:r>
      <w:r>
        <w:t xml:space="preserve">· GHRP-6 is able to stimulate cortisol and ACTH release in patients with Cushing’s disease: comparison with DDAVP. PMID 12809173</w:t>
      </w:r>
    </w:p>
    <w:p>
      <w:pPr>
        <w:numPr>
          <w:ilvl w:val="0"/>
          <w:numId w:val="1400"/>
        </w:numPr>
        <w:pStyle w:val="Compact"/>
      </w:pPr>
      <w:r>
        <w:t xml:space="preserve">2002 · Broglio F ·</w:t>
      </w:r>
      <w:r>
        <w:t xml:space="preserve"> </w:t>
      </w:r>
      <w:r>
        <w:rPr>
          <w:iCs/>
          <w:i/>
        </w:rPr>
        <w:t xml:space="preserve">Clin Endocrinol (Oxf)</w:t>
      </w:r>
      <w:r>
        <w:t xml:space="preserve"> </w:t>
      </w:r>
      <w:r>
        <w:t xml:space="preserve">· Effects of glucose, free fatty acids or arginine load on the GH-releasing activity of ghrelin in humans. PMID 12153607</w:t>
      </w:r>
    </w:p>
    <w:p>
      <w:pPr>
        <w:numPr>
          <w:ilvl w:val="0"/>
          <w:numId w:val="1400"/>
        </w:numPr>
        <w:pStyle w:val="Compact"/>
      </w:pPr>
      <w:r>
        <w:t xml:space="preserve">2002 · Broglio F ·</w:t>
      </w:r>
      <w:r>
        <w:t xml:space="preserve"> </w:t>
      </w:r>
      <w:r>
        <w:rPr>
          <w:iCs/>
          <w:i/>
        </w:rPr>
        <w:t xml:space="preserve">Eur J Pharmacol</w:t>
      </w:r>
      <w:r>
        <w:t xml:space="preserve"> </w:t>
      </w:r>
      <w:r>
        <w:t xml:space="preserve">· Effects of acute hexarelin administration on cardiac performance in patients with coronary artery disease during by-pass surgery. PMID 12144941</w:t>
      </w:r>
    </w:p>
    <w:p>
      <w:pPr>
        <w:numPr>
          <w:ilvl w:val="0"/>
          <w:numId w:val="1400"/>
        </w:numPr>
        <w:pStyle w:val="Compact"/>
      </w:pPr>
      <w:r>
        <w:t xml:space="preserve">2002 · Maccario M ·</w:t>
      </w:r>
      <w:r>
        <w:t xml:space="preserve"> </w:t>
      </w:r>
      <w:r>
        <w:rPr>
          <w:iCs/>
          <w:i/>
        </w:rPr>
        <w:t xml:space="preserve">Eur J Endocrinol</w:t>
      </w:r>
      <w:r>
        <w:t xml:space="preserve"> </w:t>
      </w:r>
      <w:r>
        <w:t xml:space="preserve">· Impact of two or three daily subcutaneous injections of hexarelin, a synthetic growth hormone (GH) secretagogue, on 24-h GH, prolactin, adrenocorticotropin and cortisol secretion in humans. PMID 11888836</w:t>
      </w:r>
    </w:p>
    <w:p>
      <w:pPr>
        <w:numPr>
          <w:ilvl w:val="0"/>
          <w:numId w:val="1400"/>
        </w:numPr>
        <w:pStyle w:val="Compact"/>
      </w:pPr>
      <w:r>
        <w:t xml:space="preserve">2001 · Broglio F ·</w:t>
      </w:r>
      <w:r>
        <w:t xml:space="preserve"> </w:t>
      </w:r>
      <w:r>
        <w:rPr>
          <w:iCs/>
          <w:i/>
        </w:rPr>
        <w:t xml:space="preserve">J Clin Endocrinol Metab</w:t>
      </w:r>
      <w:r>
        <w:t xml:space="preserve"> </w:t>
      </w:r>
      <w:r>
        <w:t xml:space="preserve">· Ghrelin, a natural GH secretagogue produced by the stomach, induces hyperglycemia and reduces insulin secretion in humans. PMID 11600590</w:t>
      </w:r>
    </w:p>
    <w:p>
      <w:pPr>
        <w:numPr>
          <w:ilvl w:val="0"/>
          <w:numId w:val="1400"/>
        </w:numPr>
        <w:pStyle w:val="Compact"/>
      </w:pPr>
      <w:r>
        <w:t xml:space="preserve">2001 · Broglio F ·</w:t>
      </w:r>
      <w:r>
        <w:t xml:space="preserve"> </w:t>
      </w:r>
      <w:r>
        <w:rPr>
          <w:iCs/>
          <w:i/>
        </w:rPr>
        <w:t xml:space="preserve">Endocrine</w:t>
      </w:r>
      <w:r>
        <w:t xml:space="preserve"> </w:t>
      </w:r>
      <w:r>
        <w:t xml:space="preserve">· Growth hormone-independent cardiotropic activities of growth hormone-releasing peptides in normal subjects, in patients with growth hormone deficiency, and in patients with idiopathic or ischemic dilated cardiomyopathy. PMID 11322491</w:t>
      </w:r>
    </w:p>
    <w:p>
      <w:pPr>
        <w:numPr>
          <w:ilvl w:val="0"/>
          <w:numId w:val="1400"/>
        </w:numPr>
        <w:pStyle w:val="Compact"/>
      </w:pPr>
      <w:r>
        <w:t xml:space="preserve">2001 · Gianotti L ·</w:t>
      </w:r>
      <w:r>
        <w:t xml:space="preserve"> </w:t>
      </w:r>
      <w:r>
        <w:rPr>
          <w:iCs/>
          <w:i/>
        </w:rPr>
        <w:t xml:space="preserve">J Endocrinol Invest</w:t>
      </w:r>
      <w:r>
        <w:t xml:space="preserve"> </w:t>
      </w:r>
      <w:r>
        <w:t xml:space="preserve">· Recombinant human IGF-I does not modify the ACTH and cortisol responses to hCRH and hexarelin, a peptidyl GH secretagogue, in humans. PMID 11263473</w:t>
      </w:r>
    </w:p>
    <w:p>
      <w:pPr>
        <w:numPr>
          <w:ilvl w:val="0"/>
          <w:numId w:val="1400"/>
        </w:numPr>
        <w:pStyle w:val="Compact"/>
      </w:pPr>
      <w:r>
        <w:t xml:space="preserve">2001 · Arvat E ·</w:t>
      </w:r>
      <w:r>
        <w:t xml:space="preserve"> </w:t>
      </w:r>
      <w:r>
        <w:rPr>
          <w:iCs/>
          <w:i/>
        </w:rPr>
        <w:t xml:space="preserve">J Clin Endocrinol Metab</w:t>
      </w:r>
      <w:r>
        <w:t xml:space="preserve"> </w:t>
      </w:r>
      <w:r>
        <w:t xml:space="preserve">· Endocrine activities of ghrelin, a natural growth hormone secretagogue (GHS), in humans: comparison and interactions with hexarelin, a nonnatural peptidyl GHS, and GH-releasing hormone. PMID 11238504</w:t>
      </w:r>
    </w:p>
    <w:p>
      <w:pPr>
        <w:numPr>
          <w:ilvl w:val="0"/>
          <w:numId w:val="1400"/>
        </w:numPr>
        <w:pStyle w:val="Compact"/>
      </w:pPr>
      <w:r>
        <w:t xml:space="preserve">2000 · Arvat E ·</w:t>
      </w:r>
      <w:r>
        <w:t xml:space="preserve"> </w:t>
      </w:r>
      <w:r>
        <w:rPr>
          <w:iCs/>
          <w:i/>
        </w:rPr>
        <w:t xml:space="preserve">Eur J Endocrinol</w:t>
      </w:r>
      <w:r>
        <w:t xml:space="preserve"> </w:t>
      </w:r>
      <w:r>
        <w:t xml:space="preserve">· Interaction between glucagon and hexarelin, a peptidyl GH secretagogue, on somatotroph and corticotroph secretion in humans. PMID 11078983</w:t>
      </w:r>
    </w:p>
    <w:p>
      <w:pPr>
        <w:numPr>
          <w:ilvl w:val="0"/>
          <w:numId w:val="1400"/>
        </w:numPr>
        <w:pStyle w:val="Compact"/>
      </w:pPr>
      <w:r>
        <w:t xml:space="preserve">2000 · Broglio F ·</w:t>
      </w:r>
      <w:r>
        <w:t xml:space="preserve"> </w:t>
      </w:r>
      <w:r>
        <w:rPr>
          <w:iCs/>
          <w:i/>
        </w:rPr>
        <w:t xml:space="preserve">Eur J Endocrinol</w:t>
      </w:r>
      <w:r>
        <w:t xml:space="preserve"> </w:t>
      </w:r>
      <w:r>
        <w:t xml:space="preserve">· Endocrine activities of alexamorelin (Ala-His-d-2-methyl-Trp-Ala-Trp-d-Phe-Lys-NH2), a synthetic GH secretagogue, in humans. PMID 11022186</w:t>
      </w:r>
    </w:p>
    <w:p>
      <w:pPr>
        <w:numPr>
          <w:ilvl w:val="0"/>
          <w:numId w:val="1400"/>
        </w:numPr>
        <w:pStyle w:val="Compact"/>
      </w:pPr>
      <w:r>
        <w:t xml:space="preserve">2000 · Coiro V ·</w:t>
      </w:r>
      <w:r>
        <w:t xml:space="preserve"> </w:t>
      </w:r>
      <w:r>
        <w:rPr>
          <w:iCs/>
          <w:i/>
        </w:rPr>
        <w:t xml:space="preserve">J Intern Med</w:t>
      </w:r>
      <w:r>
        <w:t xml:space="preserve"> </w:t>
      </w:r>
      <w:r>
        <w:t xml:space="preserve">· Desmopressin and hexarelin tests in alcohol-induced pseudo-Cushing’s syndrome. PMID 10886488</w:t>
      </w:r>
    </w:p>
    <w:p>
      <w:pPr>
        <w:numPr>
          <w:ilvl w:val="0"/>
          <w:numId w:val="1400"/>
        </w:numPr>
        <w:pStyle w:val="Compact"/>
      </w:pPr>
      <w:r>
        <w:t xml:space="preserve">2000 · De Marinis L ·</w:t>
      </w:r>
      <w:r>
        <w:t xml:space="preserve"> </w:t>
      </w:r>
      <w:r>
        <w:rPr>
          <w:iCs/>
          <w:i/>
        </w:rPr>
        <w:t xml:space="preserve">Horm Metab Res</w:t>
      </w:r>
      <w:r>
        <w:t xml:space="preserve"> </w:t>
      </w:r>
      <w:r>
        <w:t xml:space="preserve">· Role of food intake in the modulation of hexarelin-induced growth hormone release in normal human subjects. PMID 10824712</w:t>
      </w:r>
    </w:p>
    <w:p>
      <w:pPr>
        <w:numPr>
          <w:ilvl w:val="0"/>
          <w:numId w:val="1400"/>
        </w:numPr>
        <w:pStyle w:val="Compact"/>
      </w:pPr>
      <w:r>
        <w:t xml:space="preserve">2000 · Bellone J ·</w:t>
      </w:r>
      <w:r>
        <w:t xml:space="preserve"> </w:t>
      </w:r>
      <w:r>
        <w:rPr>
          <w:iCs/>
          <w:i/>
        </w:rPr>
        <w:t xml:space="preserve">J Endocrinol Invest</w:t>
      </w:r>
      <w:r>
        <w:t xml:space="preserve"> </w:t>
      </w:r>
      <w:r>
        <w:t xml:space="preserve">· The negative GH auto-feedback in childhood: effects of rhGH and/or GHRH on the somatotroph response to GHRH or hexarelin, a peptidyl GH secretagogue, in children. PMID 10803472</w:t>
      </w:r>
    </w:p>
    <w:p>
      <w:pPr>
        <w:numPr>
          <w:ilvl w:val="0"/>
          <w:numId w:val="1400"/>
        </w:numPr>
        <w:pStyle w:val="Compact"/>
      </w:pPr>
      <w:r>
        <w:t xml:space="preserve">1999 · Ghigo E ·</w:t>
      </w:r>
      <w:r>
        <w:t xml:space="preserve"> </w:t>
      </w:r>
      <w:r>
        <w:rPr>
          <w:iCs/>
          <w:i/>
        </w:rPr>
        <w:t xml:space="preserve">J Clin Endocrinol Metab</w:t>
      </w:r>
      <w:r>
        <w:t xml:space="preserve"> </w:t>
      </w:r>
      <w:r>
        <w:t xml:space="preserve">· Effects of recombinant human insulin-like growth factor I administration on growth hormone (GH) secretion, both spontaneous and stimulated by GH-releasing hormone or hexarelin, a peptidyl GH secretagogue, in humans. PMID 9920097</w:t>
      </w:r>
    </w:p>
    <w:p>
      <w:pPr>
        <w:numPr>
          <w:ilvl w:val="0"/>
          <w:numId w:val="1400"/>
        </w:numPr>
        <w:pStyle w:val="Compact"/>
      </w:pPr>
      <w:r>
        <w:t xml:space="preserve">1999 · Grottoli S ·</w:t>
      </w:r>
      <w:r>
        <w:t xml:space="preserve"> </w:t>
      </w:r>
      <w:r>
        <w:rPr>
          <w:iCs/>
          <w:i/>
        </w:rPr>
        <w:t xml:space="preserve">Pituitary</w:t>
      </w:r>
      <w:r>
        <w:t xml:space="preserve"> </w:t>
      </w:r>
      <w:r>
        <w:t xml:space="preserve">· Effects of alprazolam, a benzodiazepine, on the ACTH-, GH- and PRL-releasing activity of hexarelin, a synthetic peptidyl GH secretagogue (GHS), in patients with simple obesity and in patients with Cushing’s disease. PMID 11081154</w:t>
      </w:r>
    </w:p>
    <w:p>
      <w:pPr>
        <w:numPr>
          <w:ilvl w:val="0"/>
          <w:numId w:val="1400"/>
        </w:numPr>
        <w:pStyle w:val="Compact"/>
      </w:pPr>
      <w:r>
        <w:t xml:space="preserve">1999 · Bisi G ·</w:t>
      </w:r>
      <w:r>
        <w:t xml:space="preserve"> </w:t>
      </w:r>
      <w:r>
        <w:rPr>
          <w:iCs/>
          <w:i/>
        </w:rPr>
        <w:t xml:space="preserve">Eur J Pharmacol</w:t>
      </w:r>
      <w:r>
        <w:t xml:space="preserve"> </w:t>
      </w:r>
      <w:r>
        <w:t xml:space="preserve">· Cardiac effects of hexarelin in hypopituitary adults. PMID 10528131</w:t>
      </w:r>
    </w:p>
    <w:p>
      <w:pPr>
        <w:numPr>
          <w:ilvl w:val="0"/>
          <w:numId w:val="1400"/>
        </w:numPr>
        <w:pStyle w:val="Compact"/>
      </w:pPr>
      <w:r>
        <w:t xml:space="preserve">1999 · Arvat E ·</w:t>
      </w:r>
      <w:r>
        <w:t xml:space="preserve"> </w:t>
      </w:r>
      <w:r>
        <w:rPr>
          <w:iCs/>
          <w:i/>
        </w:rPr>
        <w:t xml:space="preserve">Neuroendocrinology</w:t>
      </w:r>
      <w:r>
        <w:t xml:space="preserve"> </w:t>
      </w:r>
      <w:r>
        <w:t xml:space="preserve">· Corticotropin-releasing effect of hexarelin, a peptidyl GH secretagogue, in normal subjects pretreated with metyrapone or RU-486, a glucocorticoid receptor antagonist, and in patients with Addison’s disease. PMID 10516483</w:t>
      </w:r>
    </w:p>
    <w:p>
      <w:pPr>
        <w:numPr>
          <w:ilvl w:val="0"/>
          <w:numId w:val="1400"/>
        </w:numPr>
        <w:pStyle w:val="Compact"/>
      </w:pPr>
      <w:r>
        <w:t xml:space="preserve">1999 · Korbonits M ·</w:t>
      </w:r>
      <w:r>
        <w:t xml:space="preserve"> </w:t>
      </w:r>
      <w:r>
        <w:rPr>
          <w:iCs/>
          <w:i/>
        </w:rPr>
        <w:t xml:space="preserve">J Clin Endocrinol Metab</w:t>
      </w:r>
      <w:r>
        <w:t xml:space="preserve"> </w:t>
      </w:r>
      <w:r>
        <w:t xml:space="preserve">· The growth hormone secretagogue hexarelin stimulates the hypothalamo-pituitary-adrenal axis via arginine vasopressin. PMID 10404825</w:t>
      </w:r>
    </w:p>
    <w:p>
      <w:pPr>
        <w:numPr>
          <w:ilvl w:val="0"/>
          <w:numId w:val="1400"/>
        </w:numPr>
        <w:pStyle w:val="Compact"/>
      </w:pPr>
      <w:r>
        <w:t xml:space="preserve">1999 · Bisi G ·</w:t>
      </w:r>
      <w:r>
        <w:t xml:space="preserve"> </w:t>
      </w:r>
      <w:r>
        <w:rPr>
          <w:iCs/>
          <w:i/>
        </w:rPr>
        <w:t xml:space="preserve">J Endocrinol Invest</w:t>
      </w:r>
      <w:r>
        <w:t xml:space="preserve"> </w:t>
      </w:r>
      <w:r>
        <w:t xml:space="preserve">· Acute cardiovascular and hormonal effects of GH and hexarelin, a synthetic GH-releasing peptide, in humans. PMID 10342360</w:t>
      </w:r>
    </w:p>
    <w:p>
      <w:pPr>
        <w:numPr>
          <w:ilvl w:val="0"/>
          <w:numId w:val="1400"/>
        </w:numPr>
        <w:pStyle w:val="Compact"/>
      </w:pPr>
      <w:r>
        <w:t xml:space="preserve">1999 · Rahim A ·</w:t>
      </w:r>
      <w:r>
        <w:t xml:space="preserve"> </w:t>
      </w:r>
      <w:r>
        <w:rPr>
          <w:iCs/>
          <w:i/>
        </w:rPr>
        <w:t xml:space="preserve">Clin Endocrinol (Oxf)</w:t>
      </w:r>
      <w:r>
        <w:t xml:space="preserve"> </w:t>
      </w:r>
      <w:r>
        <w:t xml:space="preserve">· The effect of chronic hexarelin administration on the pituitary-adrenal axis and prolactin. PMID 10341859</w:t>
      </w:r>
    </w:p>
    <w:p>
      <w:pPr>
        <w:numPr>
          <w:ilvl w:val="0"/>
          <w:numId w:val="1400"/>
        </w:numPr>
        <w:pStyle w:val="Compact"/>
      </w:pPr>
      <w:r>
        <w:t xml:space="preserve">1999 · Jenkins RC ·</w:t>
      </w:r>
      <w:r>
        <w:t xml:space="preserve"> </w:t>
      </w:r>
      <w:r>
        <w:rPr>
          <w:iCs/>
          <w:i/>
        </w:rPr>
        <w:t xml:space="preserve">J Clin Endocrinol Metab</w:t>
      </w:r>
      <w:r>
        <w:t xml:space="preserve"> </w:t>
      </w:r>
      <w:r>
        <w:t xml:space="preserve">· The effects of dose, nutrition, and age on hexarelin-induced anterior pituitary hormone secretion in adult patients on maintenance hemodialysis. PMID 10199757</w:t>
      </w:r>
    </w:p>
    <w:p>
      <w:pPr>
        <w:numPr>
          <w:ilvl w:val="0"/>
          <w:numId w:val="1400"/>
        </w:numPr>
        <w:pStyle w:val="Compact"/>
      </w:pPr>
      <w:r>
        <w:t xml:space="preserve">1999 · Arvat E ·</w:t>
      </w:r>
      <w:r>
        <w:t xml:space="preserve"> </w:t>
      </w:r>
      <w:r>
        <w:rPr>
          <w:iCs/>
          <w:i/>
        </w:rPr>
        <w:t xml:space="preserve">J Endocrinol Invest</w:t>
      </w:r>
      <w:r>
        <w:t xml:space="preserve"> </w:t>
      </w:r>
      <w:r>
        <w:t xml:space="preserve">· Tyr-Ala-Hexarelin, a synthetic octapeptide, possesses the same endocrine activities of Hexarelin and GHRP-2 in humans. PMID 10195374</w:t>
      </w:r>
    </w:p>
    <w:p>
      <w:pPr>
        <w:numPr>
          <w:ilvl w:val="0"/>
          <w:numId w:val="1400"/>
        </w:numPr>
        <w:pStyle w:val="Compact"/>
      </w:pPr>
      <w:r>
        <w:t xml:space="preserve">1998 · Arvat E ·</w:t>
      </w:r>
      <w:r>
        <w:t xml:space="preserve"> </w:t>
      </w:r>
      <w:r>
        <w:rPr>
          <w:iCs/>
          <w:i/>
        </w:rPr>
        <w:t xml:space="preserve">J Clin Endocrinol Metab</w:t>
      </w:r>
      <w:r>
        <w:t xml:space="preserve"> </w:t>
      </w:r>
      <w:r>
        <w:t xml:space="preserve">· Adrenocorticotropin and cortisol hyperresponsiveness to hexarelin in patients with Cushing’s disease bearing a pituitary microadenoma, but not in those with macroadenoma. PMID 9851753</w:t>
      </w:r>
    </w:p>
    <w:p>
      <w:pPr>
        <w:numPr>
          <w:ilvl w:val="0"/>
          <w:numId w:val="1400"/>
        </w:numPr>
        <w:pStyle w:val="Compact"/>
      </w:pPr>
      <w:r>
        <w:t xml:space="preserve">1998 · Maghnie M ·</w:t>
      </w:r>
      <w:r>
        <w:t xml:space="preserve"> </w:t>
      </w:r>
      <w:r>
        <w:rPr>
          <w:iCs/>
          <w:i/>
        </w:rPr>
        <w:t xml:space="preserve">J Clin Endocrinol Metab</w:t>
      </w:r>
      <w:r>
        <w:t xml:space="preserve"> </w:t>
      </w:r>
      <w:r>
        <w:t xml:space="preserve">· The growth hormone response to hexarelin in patients with different hypothalamic-pituitary abnormalities. PMID 9814463</w:t>
      </w:r>
    </w:p>
    <w:p>
      <w:pPr>
        <w:numPr>
          <w:ilvl w:val="0"/>
          <w:numId w:val="1400"/>
        </w:numPr>
        <w:pStyle w:val="Compact"/>
      </w:pPr>
      <w:r>
        <w:t xml:space="preserve">1998 · Arvat E ·</w:t>
      </w:r>
      <w:r>
        <w:t xml:space="preserve"> </w:t>
      </w:r>
      <w:r>
        <w:rPr>
          <w:iCs/>
          <w:i/>
        </w:rPr>
        <w:t xml:space="preserve">Neuroendocrinology</w:t>
      </w:r>
      <w:r>
        <w:t xml:space="preserve"> </w:t>
      </w:r>
      <w:r>
        <w:t xml:space="preserve">· Effects of dexamethasone and alprazolam, a benzodiazepine, on the stimulatory effect of hexarelin, a synthetic GHRP, on ACTH, cortisol and GH secretion in humans. PMID 9641612</w:t>
      </w:r>
    </w:p>
    <w:p>
      <w:pPr>
        <w:numPr>
          <w:ilvl w:val="0"/>
          <w:numId w:val="1400"/>
        </w:numPr>
        <w:pStyle w:val="Compact"/>
      </w:pPr>
      <w:r>
        <w:t xml:space="preserve">1998 · Arosio M ·</w:t>
      </w:r>
      <w:r>
        <w:t xml:space="preserve"> </w:t>
      </w:r>
      <w:r>
        <w:rPr>
          <w:iCs/>
          <w:i/>
        </w:rPr>
        <w:t xml:space="preserve">J Endocrinol Invest</w:t>
      </w:r>
      <w:r>
        <w:t xml:space="preserve"> </w:t>
      </w:r>
      <w:r>
        <w:t xml:space="preserve">· Lack of effect of hexarelin on TRH-induced TSH response in normal adult man. PMID 9624598</w:t>
      </w:r>
    </w:p>
    <w:p>
      <w:pPr>
        <w:numPr>
          <w:ilvl w:val="0"/>
          <w:numId w:val="1400"/>
        </w:numPr>
        <w:pStyle w:val="Compact"/>
      </w:pPr>
      <w:r>
        <w:t xml:space="preserve">1998 · Rahim A ·</w:t>
      </w:r>
      <w:r>
        <w:t xml:space="preserve"> </w:t>
      </w:r>
      <w:r>
        <w:rPr>
          <w:iCs/>
          <w:i/>
        </w:rPr>
        <w:t xml:space="preserve">J Clin Endocrinol Metab</w:t>
      </w:r>
      <w:r>
        <w:t xml:space="preserve"> </w:t>
      </w:r>
      <w:r>
        <w:t xml:space="preserve">· Growth hormone status during long-term hexarelin therapy. PMID 9589671</w:t>
      </w:r>
    </w:p>
    <w:p>
      <w:pPr>
        <w:numPr>
          <w:ilvl w:val="0"/>
          <w:numId w:val="1400"/>
        </w:numPr>
        <w:pStyle w:val="Compact"/>
      </w:pPr>
      <w:r>
        <w:t xml:space="preserve">1998 · Rahim A ·</w:t>
      </w:r>
      <w:r>
        <w:t xml:space="preserve"> </w:t>
      </w:r>
      <w:r>
        <w:rPr>
          <w:iCs/>
          <w:i/>
        </w:rPr>
        <w:t xml:space="preserve">Growth Horm IGF Res</w:t>
      </w:r>
      <w:r>
        <w:t xml:space="preserve"> </w:t>
      </w:r>
      <w:r>
        <w:t xml:space="preserve">· Does desensitization to hexarelin occur?. PMID 10990150</w:t>
      </w:r>
    </w:p>
    <w:p>
      <w:pPr>
        <w:numPr>
          <w:ilvl w:val="0"/>
          <w:numId w:val="1400"/>
        </w:numPr>
        <w:pStyle w:val="Compact"/>
      </w:pPr>
      <w:r>
        <w:t xml:space="preserve">1998 · Guzzaloni G ·</w:t>
      </w:r>
      <w:r>
        <w:t xml:space="preserve"> </w:t>
      </w:r>
      <w:r>
        <w:rPr>
          <w:iCs/>
          <w:i/>
        </w:rPr>
        <w:t xml:space="preserve">Minerva Endocrinol</w:t>
      </w:r>
      <w:r>
        <w:t xml:space="preserve"> </w:t>
      </w:r>
      <w:r>
        <w:t xml:space="preserve">· Growth hormone response to hexarelin, growth hormone-releasing hormone plus pyridostigmine and arginine plus estrogen in prepubertal and early pubertal short children. PMID 10361807</w:t>
      </w:r>
    </w:p>
    <w:p>
      <w:pPr>
        <w:numPr>
          <w:ilvl w:val="0"/>
          <w:numId w:val="1400"/>
        </w:numPr>
        <w:pStyle w:val="Compact"/>
      </w:pPr>
      <w:r>
        <w:t xml:space="preserve">1997 · Arvat E ·</w:t>
      </w:r>
      <w:r>
        <w:t xml:space="preserve"> </w:t>
      </w:r>
      <w:r>
        <w:rPr>
          <w:iCs/>
          <w:i/>
        </w:rPr>
        <w:t xml:space="preserve">Neuroendocrinology</w:t>
      </w:r>
      <w:r>
        <w:t xml:space="preserve"> </w:t>
      </w:r>
      <w:r>
        <w:t xml:space="preserve">· Hexarelin, a synthetic growth-hormone releasing peptide, shows no interaction with corticotropin-releasing hormone and vasopressin on adrenocorticotropin and cortisol secretion in humans. PMID 9430449</w:t>
      </w:r>
    </w:p>
    <w:p>
      <w:pPr>
        <w:numPr>
          <w:ilvl w:val="0"/>
          <w:numId w:val="1400"/>
        </w:numPr>
        <w:pStyle w:val="Compact"/>
      </w:pPr>
      <w:r>
        <w:t xml:space="preserve">1997 · Massoud AF ·</w:t>
      </w:r>
      <w:r>
        <w:t xml:space="preserve"> </w:t>
      </w:r>
      <w:r>
        <w:rPr>
          <w:iCs/>
          <w:i/>
        </w:rPr>
        <w:t xml:space="preserve">Clin Endocrinol (Oxf)</w:t>
      </w:r>
      <w:r>
        <w:t xml:space="preserve"> </w:t>
      </w:r>
      <w:r>
        <w:t xml:space="preserve">· Interaction of the growth hormone releasing peptide hexarelin with somatostatin. PMID 9425393</w:t>
      </w:r>
    </w:p>
    <w:p>
      <w:pPr>
        <w:numPr>
          <w:ilvl w:val="0"/>
          <w:numId w:val="1400"/>
        </w:numPr>
        <w:pStyle w:val="Compact"/>
      </w:pPr>
      <w:r>
        <w:t xml:space="preserve">1997 · Arvat E ·</w:t>
      </w:r>
      <w:r>
        <w:t xml:space="preserve"> </w:t>
      </w:r>
      <w:r>
        <w:rPr>
          <w:iCs/>
          <w:i/>
        </w:rPr>
        <w:t xml:space="preserve">Clin Endocrinol (Oxf)</w:t>
      </w:r>
      <w:r>
        <w:t xml:space="preserve"> </w:t>
      </w:r>
      <w:r>
        <w:t xml:space="preserve">· Low hexarelin dose and pyridostigmine have additive effect and potentiate to the same extent the GHRH-induced GH response in man. PMID 9404449</w:t>
      </w:r>
    </w:p>
    <w:p>
      <w:pPr>
        <w:numPr>
          <w:ilvl w:val="0"/>
          <w:numId w:val="1400"/>
        </w:numPr>
        <w:pStyle w:val="Compact"/>
      </w:pPr>
      <w:r>
        <w:t xml:space="preserve">1997 · Tolis G ·</w:t>
      </w:r>
      <w:r>
        <w:t xml:space="preserve"> </w:t>
      </w:r>
      <w:r>
        <w:rPr>
          <w:iCs/>
          <w:i/>
        </w:rPr>
        <w:t xml:space="preserve">J Pediatr Endocrinol Metab</w:t>
      </w:r>
      <w:r>
        <w:t xml:space="preserve"> </w:t>
      </w:r>
      <w:r>
        <w:t xml:space="preserve">· Growth hormone release by the novel GH releasing peptide hexarelin in patients with homozygous beta-thalassemia. PMID 9364340</w:t>
      </w:r>
    </w:p>
    <w:p>
      <w:pPr>
        <w:numPr>
          <w:ilvl w:val="0"/>
          <w:numId w:val="1400"/>
        </w:numPr>
        <w:pStyle w:val="Compact"/>
      </w:pPr>
      <w:r>
        <w:t xml:space="preserve">1997 · Giusti M ·</w:t>
      </w:r>
      <w:r>
        <w:t xml:space="preserve"> </w:t>
      </w:r>
      <w:r>
        <w:rPr>
          <w:iCs/>
          <w:i/>
        </w:rPr>
        <w:t xml:space="preserve">J Endocrinol Invest</w:t>
      </w:r>
      <w:r>
        <w:t xml:space="preserve"> </w:t>
      </w:r>
      <w:r>
        <w:t xml:space="preserve">· Hexarelin is a stronger GH-releasing peptide than GHRH in normal cycling women but not in anorexia nervosa. PMID 9258804</w:t>
      </w:r>
    </w:p>
    <w:p>
      <w:pPr>
        <w:numPr>
          <w:ilvl w:val="0"/>
          <w:numId w:val="1400"/>
        </w:numPr>
        <w:pStyle w:val="Compact"/>
      </w:pPr>
      <w:r>
        <w:t xml:space="preserve">1997 · Sartorio A ·</w:t>
      </w:r>
      <w:r>
        <w:t xml:space="preserve"> </w:t>
      </w:r>
      <w:r>
        <w:rPr>
          <w:iCs/>
          <w:i/>
        </w:rPr>
        <w:t xml:space="preserve">Clin Endocrinol (Oxf)</w:t>
      </w:r>
      <w:r>
        <w:t xml:space="preserve"> </w:t>
      </w:r>
      <w:r>
        <w:t xml:space="preserve">· Non-parametric deconvolution provides an objective assessment of GH responsiveness to GH-releasing stimuli in normal subjects. PMID 9196598</w:t>
      </w:r>
    </w:p>
    <w:p>
      <w:pPr>
        <w:numPr>
          <w:ilvl w:val="0"/>
          <w:numId w:val="1400"/>
        </w:numPr>
        <w:pStyle w:val="Compact"/>
      </w:pPr>
      <w:r>
        <w:t xml:space="preserve">1997 · Arvat E ·</w:t>
      </w:r>
      <w:r>
        <w:t xml:space="preserve"> </w:t>
      </w:r>
      <w:r>
        <w:rPr>
          <w:iCs/>
          <w:i/>
        </w:rPr>
        <w:t xml:space="preserve">Eur J Endocrinol</w:t>
      </w:r>
      <w:r>
        <w:t xml:space="preserve"> </w:t>
      </w:r>
      <w:r>
        <w:t xml:space="preserve">· Oestrogen replacement does not restore the reduced GH-releasing activity of Hexarelin, a synthetic hexapeptide, in post-menopausal women. PMID 9186268</w:t>
      </w:r>
    </w:p>
    <w:p>
      <w:pPr>
        <w:numPr>
          <w:ilvl w:val="0"/>
          <w:numId w:val="1400"/>
        </w:numPr>
        <w:pStyle w:val="Compact"/>
      </w:pPr>
      <w:r>
        <w:t xml:space="preserve">1997 · Loche S ·</w:t>
      </w:r>
      <w:r>
        <w:t xml:space="preserve"> </w:t>
      </w:r>
      <w:r>
        <w:rPr>
          <w:iCs/>
          <w:i/>
        </w:rPr>
        <w:t xml:space="preserve">Clin Endocrinol (Oxf)</w:t>
      </w:r>
      <w:r>
        <w:t xml:space="preserve"> </w:t>
      </w:r>
      <w:r>
        <w:t xml:space="preserve">· Acute administration of hexarelin stimulates GH secretion during day and night in normal men. PMID 9156035</w:t>
      </w:r>
    </w:p>
    <w:p>
      <w:pPr>
        <w:numPr>
          <w:ilvl w:val="0"/>
          <w:numId w:val="1400"/>
        </w:numPr>
        <w:pStyle w:val="Compact"/>
      </w:pPr>
      <w:r>
        <w:t xml:space="preserve">1997 · Arvat E ·</w:t>
      </w:r>
      <w:r>
        <w:t xml:space="preserve"> </w:t>
      </w:r>
      <w:r>
        <w:rPr>
          <w:iCs/>
          <w:i/>
        </w:rPr>
        <w:t xml:space="preserve">Metabolism</w:t>
      </w:r>
      <w:r>
        <w:t xml:space="preserve"> </w:t>
      </w:r>
      <w:r>
        <w:t xml:space="preserve">· Mechanisms underlying the negative growth hormone (GH) autofeedback on the GH-releasing effect of hexarelin in man. PMID 9005975</w:t>
      </w:r>
    </w:p>
    <w:p>
      <w:pPr>
        <w:numPr>
          <w:ilvl w:val="0"/>
          <w:numId w:val="1400"/>
        </w:numPr>
        <w:pStyle w:val="Compact"/>
      </w:pPr>
      <w:r>
        <w:t xml:space="preserve">1996 · Micic D ·</w:t>
      </w:r>
      <w:r>
        <w:t xml:space="preserve"> </w:t>
      </w:r>
      <w:r>
        <w:rPr>
          <w:iCs/>
          <w:i/>
        </w:rPr>
        <w:t xml:space="preserve">Clin Endocrinol (Oxf)</w:t>
      </w:r>
      <w:r>
        <w:t xml:space="preserve"> </w:t>
      </w:r>
      <w:r>
        <w:t xml:space="preserve">· The sequential administration of growth hormone-releasing hormone followed 120 minutes later by hexarelin, as an effective test to assess the pituitary GH reserve in man. PMID 8977750</w:t>
      </w:r>
    </w:p>
    <w:p>
      <w:pPr>
        <w:numPr>
          <w:ilvl w:val="0"/>
          <w:numId w:val="1400"/>
        </w:numPr>
        <w:pStyle w:val="Compact"/>
      </w:pPr>
      <w:r>
        <w:t xml:space="preserve">1996 · Massoud AF ·</w:t>
      </w:r>
      <w:r>
        <w:t xml:space="preserve"> </w:t>
      </w:r>
      <w:r>
        <w:rPr>
          <w:iCs/>
          <w:i/>
        </w:rPr>
        <w:t xml:space="preserve">J Clin Endocrinol Metab</w:t>
      </w:r>
      <w:r>
        <w:t xml:space="preserve"> </w:t>
      </w:r>
      <w:r>
        <w:t xml:space="preserve">· Hexarelin-induced growth hormone, cortisol, and prolactin release: a dose-response study. PMID 8954038</w:t>
      </w:r>
    </w:p>
    <w:p>
      <w:pPr>
        <w:numPr>
          <w:ilvl w:val="0"/>
          <w:numId w:val="1400"/>
        </w:numPr>
        <w:pStyle w:val="Compact"/>
      </w:pPr>
      <w:r>
        <w:t xml:space="preserve">1996 · Ghigo E ·</w:t>
      </w:r>
      <w:r>
        <w:t xml:space="preserve"> </w:t>
      </w:r>
      <w:r>
        <w:rPr>
          <w:iCs/>
          <w:i/>
        </w:rPr>
        <w:t xml:space="preserve">Eur J Endocrinol</w:t>
      </w:r>
      <w:r>
        <w:t xml:space="preserve"> </w:t>
      </w:r>
      <w:r>
        <w:t xml:space="preserve">· Short-term administration of intranasal or oral Hexarelin, a synthetic hexapeptide, does not desensitize the growth hormone responsiveness in human aging. PMID 8921821</w:t>
      </w:r>
    </w:p>
    <w:p>
      <w:pPr>
        <w:numPr>
          <w:ilvl w:val="0"/>
          <w:numId w:val="1400"/>
        </w:numPr>
        <w:pStyle w:val="Compact"/>
      </w:pPr>
      <w:r>
        <w:t xml:space="preserve">1996 · Arvat E ·</w:t>
      </w:r>
      <w:r>
        <w:t xml:space="preserve"> </w:t>
      </w:r>
      <w:r>
        <w:rPr>
          <w:iCs/>
          <w:i/>
        </w:rPr>
        <w:t xml:space="preserve">J Endocrinol Invest</w:t>
      </w:r>
      <w:r>
        <w:t xml:space="preserve"> </w:t>
      </w:r>
      <w:r>
        <w:t xml:space="preserve">· Influence of beta-adrenergic agonists and antagonists on the GH-releasing effect of Hexarelin in man. PMID 8851688</w:t>
      </w:r>
    </w:p>
    <w:p>
      <w:pPr>
        <w:numPr>
          <w:ilvl w:val="0"/>
          <w:numId w:val="1400"/>
        </w:numPr>
        <w:pStyle w:val="Compact"/>
      </w:pPr>
      <w:r>
        <w:t xml:space="preserve">1996 · Klinger B ·</w:t>
      </w:r>
      <w:r>
        <w:t xml:space="preserve"> </w:t>
      </w:r>
      <w:r>
        <w:rPr>
          <w:iCs/>
          <w:i/>
        </w:rPr>
        <w:t xml:space="preserve">Eur J Endocrinol</w:t>
      </w:r>
      <w:r>
        <w:t xml:space="preserve"> </w:t>
      </w:r>
      <w:r>
        <w:t xml:space="preserve">· Desensitization from long-term intranasal treatment with hexarelin does not interfere with the biological effects of this growth hormone-releasing peptide in short children. PMID 8766941</w:t>
      </w:r>
    </w:p>
    <w:p>
      <w:pPr>
        <w:numPr>
          <w:ilvl w:val="0"/>
          <w:numId w:val="1400"/>
        </w:numPr>
        <w:pStyle w:val="Compact"/>
      </w:pPr>
      <w:r>
        <w:t xml:space="preserve">1996 · Massoud AF ·</w:t>
      </w:r>
      <w:r>
        <w:t xml:space="preserve"> </w:t>
      </w:r>
      <w:r>
        <w:rPr>
          <w:iCs/>
          <w:i/>
        </w:rPr>
        <w:t xml:space="preserve">Clin Endocrinol (Oxf)</w:t>
      </w:r>
      <w:r>
        <w:t xml:space="preserve"> </w:t>
      </w:r>
      <w:r>
        <w:t xml:space="preserve">· The effect of repeated administration of hexarelin, a growth hormone releasing peptide, and growth hormone releasing hormone on growth hormone responsivity. PMID 8762732</w:t>
      </w:r>
    </w:p>
    <w:p>
      <w:pPr>
        <w:numPr>
          <w:ilvl w:val="0"/>
          <w:numId w:val="1400"/>
        </w:numPr>
        <w:pStyle w:val="Compact"/>
      </w:pPr>
      <w:r>
        <w:t xml:space="preserve">1996 · Ciccarelli E ·</w:t>
      </w:r>
      <w:r>
        <w:t xml:space="preserve"> </w:t>
      </w:r>
      <w:r>
        <w:rPr>
          <w:iCs/>
          <w:i/>
        </w:rPr>
        <w:t xml:space="preserve">Clin Endocrinol (Oxf)</w:t>
      </w:r>
      <w:r>
        <w:t xml:space="preserve"> </w:t>
      </w:r>
      <w:r>
        <w:t xml:space="preserve">· Hexarelin, a synthetic growth hormone releasing peptide, stimulates prolactin secretion in acromegalic but not in hyperprolactinaemic patients. PMID 8706295</w:t>
      </w:r>
    </w:p>
    <w:p>
      <w:pPr>
        <w:numPr>
          <w:ilvl w:val="0"/>
          <w:numId w:val="1400"/>
        </w:numPr>
        <w:pStyle w:val="Compact"/>
      </w:pPr>
      <w:r>
        <w:t xml:space="preserve">1995 · Sartorio A ·</w:t>
      </w:r>
      <w:r>
        <w:t xml:space="preserve"> </w:t>
      </w:r>
      <w:r>
        <w:rPr>
          <w:iCs/>
          <w:i/>
        </w:rPr>
        <w:t xml:space="preserve">J Endocrinol Invest</w:t>
      </w:r>
      <w:r>
        <w:t xml:space="preserve"> </w:t>
      </w:r>
      <w:r>
        <w:t xml:space="preserve">· GH responsiveness to repeated GHRH or hexarelin administration in normal adults. PMID 8719303</w:t>
      </w:r>
    </w:p>
    <w:p>
      <w:pPr>
        <w:numPr>
          <w:ilvl w:val="0"/>
          <w:numId w:val="1400"/>
        </w:numPr>
        <w:pStyle w:val="Compact"/>
      </w:pPr>
      <w:r>
        <w:t xml:space="preserve">1995 · Laron Z ·</w:t>
      </w:r>
      <w:r>
        <w:t xml:space="preserve"> </w:t>
      </w:r>
      <w:r>
        <w:rPr>
          <w:iCs/>
          <w:i/>
        </w:rPr>
        <w:t xml:space="preserve">Clin Endocrinol (Oxf)</w:t>
      </w:r>
      <w:r>
        <w:t xml:space="preserve"> </w:t>
      </w:r>
      <w:r>
        <w:t xml:space="preserve">· Intranasal administration of the GHRP hexarelin accelerates growth in short children. PMID 8548949</w:t>
      </w:r>
    </w:p>
    <w:p>
      <w:pPr>
        <w:numPr>
          <w:ilvl w:val="0"/>
          <w:numId w:val="1400"/>
        </w:numPr>
        <w:pStyle w:val="Compact"/>
      </w:pPr>
      <w:r>
        <w:t xml:space="preserve">1995 · Massoud AF ·</w:t>
      </w:r>
      <w:r>
        <w:t xml:space="preserve"> </w:t>
      </w:r>
      <w:r>
        <w:rPr>
          <w:iCs/>
          <w:i/>
        </w:rPr>
        <w:t xml:space="preserve">Clin Endocrinol (Oxf)</w:t>
      </w:r>
      <w:r>
        <w:t xml:space="preserve"> </w:t>
      </w:r>
      <w:r>
        <w:t xml:space="preserve">· Hexarelin induced growth hormone release is influenced by exogenous growth hormone. PMID 8548947</w:t>
      </w:r>
    </w:p>
    <w:p>
      <w:pPr>
        <w:numPr>
          <w:ilvl w:val="0"/>
          <w:numId w:val="1400"/>
        </w:numPr>
        <w:pStyle w:val="Compact"/>
      </w:pPr>
      <w:r>
        <w:t xml:space="preserve">1995 · Loche S ·</w:t>
      </w:r>
      <w:r>
        <w:t xml:space="preserve"> </w:t>
      </w:r>
      <w:r>
        <w:rPr>
          <w:iCs/>
          <w:i/>
        </w:rPr>
        <w:t xml:space="preserve">J Clin Endocrinol Metab</w:t>
      </w:r>
      <w:r>
        <w:t xml:space="preserve"> </w:t>
      </w:r>
      <w:r>
        <w:t xml:space="preserve">· The effect of hexarelin on growth hormone (GH) secretion in patients with GH deficiency. PMID 7673411</w:t>
      </w:r>
    </w:p>
    <w:p>
      <w:pPr>
        <w:numPr>
          <w:ilvl w:val="0"/>
          <w:numId w:val="1400"/>
        </w:numPr>
        <w:pStyle w:val="Compact"/>
      </w:pPr>
      <w:r>
        <w:t xml:space="preserve">1995 · Korbonits M ·</w:t>
      </w:r>
      <w:r>
        <w:t xml:space="preserve"> </w:t>
      </w:r>
      <w:r>
        <w:rPr>
          <w:iCs/>
          <w:i/>
        </w:rPr>
        <w:t xml:space="preserve">Clin Endocrinol (Oxf)</w:t>
      </w:r>
      <w:r>
        <w:t xml:space="preserve"> </w:t>
      </w:r>
      <w:r>
        <w:t xml:space="preserve">· The effect of an opiate antagonist on the hormonal changes induced by hexarelin. PMID 7586608</w:t>
      </w:r>
    </w:p>
    <w:p>
      <w:pPr>
        <w:numPr>
          <w:ilvl w:val="0"/>
          <w:numId w:val="1400"/>
        </w:numPr>
        <w:pStyle w:val="Compact"/>
      </w:pPr>
      <w:r>
        <w:t xml:space="preserve">1995 · Frenkel J ·</w:t>
      </w:r>
      <w:r>
        <w:t xml:space="preserve"> </w:t>
      </w:r>
      <w:r>
        <w:rPr>
          <w:iCs/>
          <w:i/>
        </w:rPr>
        <w:t xml:space="preserve">J Pediatr Endocrinol Metab</w:t>
      </w:r>
      <w:r>
        <w:t xml:space="preserve"> </w:t>
      </w:r>
      <w:r>
        <w:t xml:space="preserve">· Short term effect of intranasal administration of hexarelin–a synthetic growth hormone-releasing peptide. Preliminary communication. PMID 7584696</w:t>
      </w:r>
    </w:p>
    <w:p>
      <w:pPr>
        <w:numPr>
          <w:ilvl w:val="0"/>
          <w:numId w:val="1400"/>
        </w:numPr>
        <w:pStyle w:val="Compact"/>
      </w:pPr>
      <w:r>
        <w:t xml:space="preserve">1995 · Giustina A ·</w:t>
      </w:r>
      <w:r>
        <w:t xml:space="preserve"> </w:t>
      </w:r>
      <w:r>
        <w:rPr>
          <w:iCs/>
          <w:i/>
        </w:rPr>
        <w:t xml:space="preserve">J Endocrinol</w:t>
      </w:r>
      <w:r>
        <w:t xml:space="preserve"> </w:t>
      </w:r>
      <w:r>
        <w:t xml:space="preserve">· Comparison of the effects of growth hormone-releasing hormone and hexarelin, a novel growth hormone-releasing peptide-6 analog, on growth hormone secretion in humans with or without glucocorticoid excess. PMID 7561633</w:t>
      </w:r>
    </w:p>
    <w:p>
      <w:pPr>
        <w:numPr>
          <w:ilvl w:val="0"/>
          <w:numId w:val="1400"/>
        </w:numPr>
        <w:pStyle w:val="Compact"/>
      </w:pPr>
      <w:r>
        <w:t xml:space="preserve">1994 · Arvat E ·</w:t>
      </w:r>
      <w:r>
        <w:t xml:space="preserve"> </w:t>
      </w:r>
      <w:r>
        <w:rPr>
          <w:iCs/>
          <w:i/>
        </w:rPr>
        <w:t xml:space="preserve">J Clin Endocrinol Metab</w:t>
      </w:r>
      <w:r>
        <w:t xml:space="preserve"> </w:t>
      </w:r>
      <w:r>
        <w:t xml:space="preserve">· Arginine and growth hormone-releasing hormone restore the blunted growth hormone-releasing activity of hexarelin in elderly subjects. PMID 7962341</w:t>
      </w:r>
    </w:p>
    <w:p>
      <w:pPr>
        <w:numPr>
          <w:ilvl w:val="0"/>
          <w:numId w:val="1400"/>
        </w:numPr>
        <w:pStyle w:val="Compact"/>
      </w:pPr>
      <w:r>
        <w:t xml:space="preserve">1994 · Imbimbo BP ·</w:t>
      </w:r>
      <w:r>
        <w:t xml:space="preserve"> </w:t>
      </w:r>
      <w:r>
        <w:rPr>
          <w:iCs/>
          <w:i/>
        </w:rPr>
        <w:t xml:space="preserve">Eur J Clin Pharmacol</w:t>
      </w:r>
      <w:r>
        <w:t xml:space="preserve"> </w:t>
      </w:r>
      <w:r>
        <w:t xml:space="preserve">· Growth hormone-releasing activity of hexarelin in humans. A dose-response study. PMID 7957536</w:t>
      </w:r>
    </w:p>
    <w:bookmarkEnd w:id="3043"/>
    <w:bookmarkStart w:id="3044" w:name="macimorelina-4"/>
    <w:p>
      <w:pPr>
        <w:pStyle w:val="Heading2"/>
      </w:pPr>
      <w:r>
        <w:t xml:space="preserve">Macimorelina (4)</w:t>
      </w:r>
    </w:p>
    <w:p>
      <w:pPr>
        <w:numPr>
          <w:ilvl w:val="0"/>
          <w:numId w:val="1401"/>
        </w:numPr>
        <w:pStyle w:val="Compact"/>
      </w:pPr>
      <w:r>
        <w:t xml:space="preserve">2023 · Herodes M ·</w:t>
      </w:r>
      <w:r>
        <w:t xml:space="preserve"> </w:t>
      </w:r>
      <w:r>
        <w:rPr>
          <w:iCs/>
          <w:i/>
        </w:rPr>
        <w:t xml:space="preserve">J Cachexia Sarcopenia Muscle</w:t>
      </w:r>
      <w:r>
        <w:t xml:space="preserve"> </w:t>
      </w:r>
      <w:r>
        <w:t xml:space="preserve">· Pilot clinical trial of macimorelin to assess safety and efficacy in patients with cancer cachexia. PMID 36860137</w:t>
      </w:r>
    </w:p>
    <w:p>
      <w:pPr>
        <w:numPr>
          <w:ilvl w:val="0"/>
          <w:numId w:val="1401"/>
        </w:numPr>
        <w:pStyle w:val="Compact"/>
      </w:pPr>
      <w:r>
        <w:t xml:space="preserve">2021 · Lissy M ·</w:t>
      </w:r>
      <w:r>
        <w:t xml:space="preserve"> </w:t>
      </w:r>
      <w:r>
        <w:rPr>
          <w:iCs/>
          <w:i/>
        </w:rPr>
        <w:t xml:space="preserve">Clin Pharmacol Drug Dev</w:t>
      </w:r>
      <w:r>
        <w:t xml:space="preserve"> </w:t>
      </w:r>
      <w:r>
        <w:t xml:space="preserve">· Thorough QT/QTc Study Evaluating the Effect of Macimorelin on Cardiac Safety Parameters in Healthy Participants. PMID 32961034</w:t>
      </w:r>
    </w:p>
    <w:p>
      <w:pPr>
        <w:numPr>
          <w:ilvl w:val="0"/>
          <w:numId w:val="1401"/>
        </w:numPr>
        <w:pStyle w:val="Compact"/>
      </w:pPr>
      <w:r>
        <w:t xml:space="preserve">2020 · Klaus B ·</w:t>
      </w:r>
      <w:r>
        <w:t xml:space="preserve"> </w:t>
      </w:r>
      <w:r>
        <w:rPr>
          <w:iCs/>
          <w:i/>
        </w:rPr>
        <w:t xml:space="preserve">Growth Horm IGF Res</w:t>
      </w:r>
      <w:r>
        <w:t xml:space="preserve"> </w:t>
      </w:r>
      <w:r>
        <w:t xml:space="preserve">· Safety, tolerability, pharmacokinetics, and pharmacodynamics of macimorelin in healthy adults: Results of a single-dose, randomized controlled study. PMID 32325373</w:t>
      </w:r>
    </w:p>
    <w:p>
      <w:pPr>
        <w:numPr>
          <w:ilvl w:val="0"/>
          <w:numId w:val="1401"/>
        </w:numPr>
        <w:pStyle w:val="Compact"/>
      </w:pPr>
      <w:r>
        <w:t xml:space="preserve">2018 · Garcia JM ·</w:t>
      </w:r>
      <w:r>
        <w:t xml:space="preserve"> </w:t>
      </w:r>
      <w:r>
        <w:rPr>
          <w:iCs/>
          <w:i/>
        </w:rPr>
        <w:t xml:space="preserve">J Clin Endocrinol Metab</w:t>
      </w:r>
      <w:r>
        <w:t xml:space="preserve"> </w:t>
      </w:r>
      <w:r>
        <w:t xml:space="preserve">· Macimorelin as a Diagnostic Test for Adult GH Deficiency. PMID 29860473</w:t>
      </w:r>
    </w:p>
    <w:bookmarkEnd w:id="3044"/>
    <w:bookmarkStart w:id="3045" w:name="mecasermina-igf-1-21"/>
    <w:p>
      <w:pPr>
        <w:pStyle w:val="Heading2"/>
      </w:pPr>
      <w:r>
        <w:t xml:space="preserve">Mecasermina (IGF-1) (21)</w:t>
      </w:r>
    </w:p>
    <w:p>
      <w:pPr>
        <w:numPr>
          <w:ilvl w:val="0"/>
          <w:numId w:val="1402"/>
        </w:numPr>
        <w:pStyle w:val="Compact"/>
      </w:pPr>
      <w:r>
        <w:t xml:space="preserve">2021 · Haines MS ·</w:t>
      </w:r>
      <w:r>
        <w:t xml:space="preserve"> </w:t>
      </w:r>
      <w:r>
        <w:rPr>
          <w:iCs/>
          <w:i/>
        </w:rPr>
        <w:t xml:space="preserve">J Bone Miner Res</w:t>
      </w:r>
      <w:r>
        <w:t xml:space="preserve"> </w:t>
      </w:r>
      <w:r>
        <w:t xml:space="preserve">· Sequential Therapy With Recombinant Human IGF-1 Followed by Risedronate Increases Spine Bone Mineral Density in Women With Anorexia Nervosa: A Randomized, Placebo-Controlled Trial. PMID 34355814</w:t>
      </w:r>
    </w:p>
    <w:p>
      <w:pPr>
        <w:numPr>
          <w:ilvl w:val="0"/>
          <w:numId w:val="1402"/>
        </w:numPr>
        <w:pStyle w:val="Compact"/>
      </w:pPr>
      <w:r>
        <w:t xml:space="preserve">2021 · Singhal V ·</w:t>
      </w:r>
      <w:r>
        <w:t xml:space="preserve"> </w:t>
      </w:r>
      <w:r>
        <w:rPr>
          <w:iCs/>
          <w:i/>
        </w:rPr>
        <w:t xml:space="preserve">J Clin Endocrinol Metab</w:t>
      </w:r>
      <w:r>
        <w:t xml:space="preserve"> </w:t>
      </w:r>
      <w:r>
        <w:t xml:space="preserve">· Effect of Transdermal Estradiol and Insulin-like Growth Factor-1 on Bone Endpoints of Young Women With Anorexia Nervosa. PMID 33693703</w:t>
      </w:r>
    </w:p>
    <w:p>
      <w:pPr>
        <w:numPr>
          <w:ilvl w:val="0"/>
          <w:numId w:val="1402"/>
        </w:numPr>
        <w:pStyle w:val="Compact"/>
      </w:pPr>
      <w:r>
        <w:t xml:space="preserve">2021 · Guha N ·</w:t>
      </w:r>
      <w:r>
        <w:t xml:space="preserve"> </w:t>
      </w:r>
      <w:r>
        <w:rPr>
          <w:iCs/>
          <w:i/>
        </w:rPr>
        <w:t xml:space="preserve">Clin Endocrinol (Oxf)</w:t>
      </w:r>
      <w:r>
        <w:t xml:space="preserve"> </w:t>
      </w:r>
      <w:r>
        <w:t xml:space="preserve">· The effects of recombinant human insulin-like growth factor-1/insulin-like growth factor binding protein-3 administration on lipid and carbohydrate metabolism in recreational athletes. PMID 33249593</w:t>
      </w:r>
    </w:p>
    <w:p>
      <w:pPr>
        <w:numPr>
          <w:ilvl w:val="0"/>
          <w:numId w:val="1402"/>
        </w:numPr>
        <w:pStyle w:val="Compact"/>
      </w:pPr>
      <w:r>
        <w:t xml:space="preserve">2020 · Rutter MM ·</w:t>
      </w:r>
      <w:r>
        <w:t xml:space="preserve"> </w:t>
      </w:r>
      <w:r>
        <w:rPr>
          <w:iCs/>
          <w:i/>
        </w:rPr>
        <w:t xml:space="preserve">Muscle Nerve</w:t>
      </w:r>
      <w:r>
        <w:t xml:space="preserve"> </w:t>
      </w:r>
      <w:r>
        <w:t xml:space="preserve">· Recombinant human insulin-like growth factor-1 therapy for 6 months improves growth but not motor function in boys with Duchenne muscular dystrophy. PMID 32108355</w:t>
      </w:r>
    </w:p>
    <w:p>
      <w:pPr>
        <w:numPr>
          <w:ilvl w:val="0"/>
          <w:numId w:val="1402"/>
        </w:numPr>
        <w:pStyle w:val="Compact"/>
      </w:pPr>
      <w:r>
        <w:t xml:space="preserve">2019 · Ley D ·</w:t>
      </w:r>
      <w:r>
        <w:t xml:space="preserve"> </w:t>
      </w:r>
      <w:r>
        <w:rPr>
          <w:iCs/>
          <w:i/>
        </w:rPr>
        <w:t xml:space="preserve">J Pediatr</w:t>
      </w:r>
      <w:r>
        <w:t xml:space="preserve"> </w:t>
      </w:r>
      <w:r>
        <w:t xml:space="preserve">· rhIGF-1/rhIGFBP-3 in Preterm Infants: A Phase 2 Randomized Controlled Trial. PMID 30471715</w:t>
      </w:r>
    </w:p>
    <w:p>
      <w:pPr>
        <w:numPr>
          <w:ilvl w:val="0"/>
          <w:numId w:val="1402"/>
        </w:numPr>
        <w:pStyle w:val="Compact"/>
      </w:pPr>
      <w:r>
        <w:t xml:space="preserve">2017 · Cabrera-Salcedo C ·</w:t>
      </w:r>
      <w:r>
        <w:t xml:space="preserve"> </w:t>
      </w:r>
      <w:r>
        <w:rPr>
          <w:iCs/>
          <w:i/>
        </w:rPr>
        <w:t xml:space="preserve">J Clin Endocrinol Metab</w:t>
      </w:r>
      <w:r>
        <w:t xml:space="preserve"> </w:t>
      </w:r>
      <w:r>
        <w:t xml:space="preserve">· Pharmacokinetics of IGF-1 in PAPP-A2-Deficient Patients, Growth Response, and Effects on Glucose and Bone Density. PMID 29029190</w:t>
      </w:r>
    </w:p>
    <w:p>
      <w:pPr>
        <w:numPr>
          <w:ilvl w:val="0"/>
          <w:numId w:val="1402"/>
        </w:numPr>
        <w:pStyle w:val="Compact"/>
      </w:pPr>
      <w:r>
        <w:t xml:space="preserve">2017 · Hansen-Pupp I ·</w:t>
      </w:r>
      <w:r>
        <w:t xml:space="preserve"> </w:t>
      </w:r>
      <w:r>
        <w:rPr>
          <w:iCs/>
          <w:i/>
        </w:rPr>
        <w:t xml:space="preserve">Growth Horm IGF Res</w:t>
      </w:r>
      <w:r>
        <w:t xml:space="preserve"> </w:t>
      </w:r>
      <w:r>
        <w:t xml:space="preserve">· Continuous longitudinal infusion of rhIGF-1/rhIGFBP-3 in extremely preterm infants: Evaluation of feasibility in a phase II study. PMID 28934640</w:t>
      </w:r>
    </w:p>
    <w:p>
      <w:pPr>
        <w:numPr>
          <w:ilvl w:val="0"/>
          <w:numId w:val="1402"/>
        </w:numPr>
        <w:pStyle w:val="Compact"/>
      </w:pPr>
      <w:r>
        <w:t xml:space="preserve">2017 · Dy ME ·</w:t>
      </w:r>
      <w:r>
        <w:t xml:space="preserve"> </w:t>
      </w:r>
      <w:r>
        <w:rPr>
          <w:iCs/>
          <w:i/>
        </w:rPr>
        <w:t xml:space="preserve">Pediatr Neurol</w:t>
      </w:r>
      <w:r>
        <w:t xml:space="preserve"> </w:t>
      </w:r>
      <w:r>
        <w:t xml:space="preserve">· Defining Hand Stereotypies in Rett Syndrome: A Movement Disorders Perspective. PMID 28838622</w:t>
      </w:r>
    </w:p>
    <w:p>
      <w:pPr>
        <w:numPr>
          <w:ilvl w:val="0"/>
          <w:numId w:val="1402"/>
        </w:numPr>
        <w:pStyle w:val="Compact"/>
      </w:pPr>
      <w:r>
        <w:t xml:space="preserve">2017 · Chung JK ·</w:t>
      </w:r>
      <w:r>
        <w:t xml:space="preserve"> </w:t>
      </w:r>
      <w:r>
        <w:rPr>
          <w:iCs/>
          <w:i/>
        </w:rPr>
        <w:t xml:space="preserve">Pediatr Res</w:t>
      </w:r>
      <w:r>
        <w:t xml:space="preserve"> </w:t>
      </w:r>
      <w:r>
        <w:t xml:space="preserve">· Development and verification of a pharmacokinetic model to optimize physiologic replacement of rhIGF-1/rhIGFBP-3 in preterm infants. PMID 27870826</w:t>
      </w:r>
    </w:p>
    <w:p>
      <w:pPr>
        <w:numPr>
          <w:ilvl w:val="0"/>
          <w:numId w:val="1402"/>
        </w:numPr>
        <w:pStyle w:val="Compact"/>
      </w:pPr>
      <w:r>
        <w:t xml:space="preserve">2015 · Backeljauw PF ·</w:t>
      </w:r>
      <w:r>
        <w:t xml:space="preserve"> </w:t>
      </w:r>
      <w:r>
        <w:rPr>
          <w:iCs/>
          <w:i/>
        </w:rPr>
        <w:t xml:space="preserve">Horm Res Paediatr</w:t>
      </w:r>
      <w:r>
        <w:t xml:space="preserve"> </w:t>
      </w:r>
      <w:r>
        <w:t xml:space="preserve">· Recombinant human growth hormone plus recombinant human insulin-like growth factor-1 coadministration therapy in short children with low insulin-like growth factor-1 and growth hormone sufficiency: results from a randomized, multicenter, open-label, parallel-group, active treatment-controlled trial. PMID 25765099</w:t>
      </w:r>
    </w:p>
    <w:p>
      <w:pPr>
        <w:numPr>
          <w:ilvl w:val="0"/>
          <w:numId w:val="1402"/>
        </w:numPr>
        <w:pStyle w:val="Compact"/>
      </w:pPr>
      <w:r>
        <w:t xml:space="preserve">2011 · Heatwole CR ·</w:t>
      </w:r>
      <w:r>
        <w:t xml:space="preserve"> </w:t>
      </w:r>
      <w:r>
        <w:rPr>
          <w:iCs/>
          <w:i/>
        </w:rPr>
        <w:t xml:space="preserve">Arch Neurol</w:t>
      </w:r>
      <w:r>
        <w:t xml:space="preserve"> </w:t>
      </w:r>
      <w:r>
        <w:t xml:space="preserve">· Open-label trial of recombinant human insulin-like growth factor 1/recombinant human insulin-like growth factor binding protein 3 in myotonic dystrophy type 1. PMID 20837825</w:t>
      </w:r>
    </w:p>
    <w:p>
      <w:pPr>
        <w:numPr>
          <w:ilvl w:val="0"/>
          <w:numId w:val="1402"/>
        </w:numPr>
        <w:pStyle w:val="Compact"/>
      </w:pPr>
      <w:r>
        <w:t xml:space="preserve">2003 · Hladunewich MA ·</w:t>
      </w:r>
      <w:r>
        <w:t xml:space="preserve"> </w:t>
      </w:r>
      <w:r>
        <w:rPr>
          <w:iCs/>
          <w:i/>
        </w:rPr>
        <w:t xml:space="preserve">Kidney Int</w:t>
      </w:r>
      <w:r>
        <w:t xml:space="preserve"> </w:t>
      </w:r>
      <w:r>
        <w:t xml:space="preserve">· A randomized, placebo-controlled trial of IGF-1 for delayed graft function: a human model to study postischemic ARF. PMID 12846755</w:t>
      </w:r>
    </w:p>
    <w:p>
      <w:pPr>
        <w:numPr>
          <w:ilvl w:val="0"/>
          <w:numId w:val="1402"/>
        </w:numPr>
        <w:pStyle w:val="Compact"/>
      </w:pPr>
      <w:r>
        <w:t xml:space="preserve">2002 · Frank JA ·</w:t>
      </w:r>
      <w:r>
        <w:t xml:space="preserve"> </w:t>
      </w:r>
      <w:r>
        <w:rPr>
          <w:iCs/>
          <w:i/>
        </w:rPr>
        <w:t xml:space="preserve">Mult Scler</w:t>
      </w:r>
      <w:r>
        <w:t xml:space="preserve"> </w:t>
      </w:r>
      <w:r>
        <w:t xml:space="preserve">· A pilot study of recombinant insulin-like growth factor-1 in seven multiple sderosis patients. PMID 11936485</w:t>
      </w:r>
    </w:p>
    <w:p>
      <w:pPr>
        <w:numPr>
          <w:ilvl w:val="0"/>
          <w:numId w:val="1402"/>
        </w:numPr>
        <w:pStyle w:val="Compact"/>
      </w:pPr>
      <w:r>
        <w:t xml:space="preserve">2000 · Fouque D ·</w:t>
      </w:r>
      <w:r>
        <w:t xml:space="preserve"> </w:t>
      </w:r>
      <w:r>
        <w:rPr>
          <w:iCs/>
          <w:i/>
        </w:rPr>
        <w:t xml:space="preserve">Kidney Int</w:t>
      </w:r>
      <w:r>
        <w:t xml:space="preserve"> </w:t>
      </w:r>
      <w:r>
        <w:t xml:space="preserve">· Recombinant human insulin-like growth factor-1 induces an anabolic response in malnourished CAPD patients. PMID 10652043</w:t>
      </w:r>
    </w:p>
    <w:p>
      <w:pPr>
        <w:numPr>
          <w:ilvl w:val="0"/>
          <w:numId w:val="1402"/>
        </w:numPr>
        <w:pStyle w:val="Compact"/>
      </w:pPr>
      <w:r>
        <w:t xml:space="preserve">1999 · Rockich KT ·</w:t>
      </w:r>
      <w:r>
        <w:t xml:space="preserve"> </w:t>
      </w:r>
      <w:r>
        <w:rPr>
          <w:iCs/>
          <w:i/>
        </w:rPr>
        <w:t xml:space="preserve">Pharmacotherapy</w:t>
      </w:r>
      <w:r>
        <w:t xml:space="preserve"> </w:t>
      </w:r>
      <w:r>
        <w:t xml:space="preserve">· Effect of recombinant human growth hormone and insulin-like growth factor-1 administration on IGF-1 and IGF-binding protein-3 levels in brain injury. PMID 10600092</w:t>
      </w:r>
    </w:p>
    <w:p>
      <w:pPr>
        <w:numPr>
          <w:ilvl w:val="0"/>
          <w:numId w:val="1402"/>
        </w:numPr>
        <w:pStyle w:val="Compact"/>
      </w:pPr>
      <w:r>
        <w:t xml:space="preserve">1998 · Fouque D ·</w:t>
      </w:r>
      <w:r>
        <w:t xml:space="preserve"> </w:t>
      </w:r>
      <w:r>
        <w:rPr>
          <w:iCs/>
          <w:i/>
        </w:rPr>
        <w:t xml:space="preserve">Kidney Int</w:t>
      </w:r>
      <w:r>
        <w:t xml:space="preserve"> </w:t>
      </w:r>
      <w:r>
        <w:t xml:space="preserve">· Acute leptin regulation in end-stage renal failure: the role of growth hormone and IGF-1. PMID 9734619</w:t>
      </w:r>
    </w:p>
    <w:p>
      <w:pPr>
        <w:numPr>
          <w:ilvl w:val="0"/>
          <w:numId w:val="1402"/>
        </w:numPr>
        <w:pStyle w:val="Compact"/>
      </w:pPr>
      <w:r>
        <w:t xml:space="preserve">1998 · Nguyen BY ·</w:t>
      </w:r>
      <w:r>
        <w:t xml:space="preserve"> </w:t>
      </w:r>
      <w:r>
        <w:rPr>
          <w:iCs/>
          <w:i/>
        </w:rPr>
        <w:t xml:space="preserve">AIDS</w:t>
      </w:r>
      <w:r>
        <w:t xml:space="preserve"> </w:t>
      </w:r>
      <w:r>
        <w:t xml:space="preserve">· Pilot study of the immunologic effects of recombinant human growth hormone and recombinant insulin-like growth factor in HIV-infected patients. PMID 9631143</w:t>
      </w:r>
    </w:p>
    <w:p>
      <w:pPr>
        <w:numPr>
          <w:ilvl w:val="0"/>
          <w:numId w:val="1402"/>
        </w:numPr>
        <w:pStyle w:val="Compact"/>
      </w:pPr>
      <w:r>
        <w:t xml:space="preserve">1998 · Tabakian A ·</w:t>
      </w:r>
      <w:r>
        <w:t xml:space="preserve"> </w:t>
      </w:r>
      <w:r>
        <w:rPr>
          <w:iCs/>
          <w:i/>
        </w:rPr>
        <w:t xml:space="preserve">Miner Electrolyte Metab</w:t>
      </w:r>
      <w:r>
        <w:t xml:space="preserve"> </w:t>
      </w:r>
      <w:r>
        <w:t xml:space="preserve">· Effects of recombinant growth factors on energy expenditure in maintenance hemodialysis patients. PMID 9554567</w:t>
      </w:r>
    </w:p>
    <w:p>
      <w:pPr>
        <w:numPr>
          <w:ilvl w:val="0"/>
          <w:numId w:val="1402"/>
        </w:numPr>
        <w:pStyle w:val="Compact"/>
      </w:pPr>
      <w:r>
        <w:t xml:space="preserve">1996 · Waters D ·</w:t>
      </w:r>
      <w:r>
        <w:t xml:space="preserve"> </w:t>
      </w:r>
      <w:r>
        <w:rPr>
          <w:iCs/>
          <w:i/>
        </w:rPr>
        <w:t xml:space="preserve">Ann Intern Med</w:t>
      </w:r>
      <w:r>
        <w:t xml:space="preserve"> </w:t>
      </w:r>
      <w:r>
        <w:t xml:space="preserve">· Recombinant human growth hormone, insulin-like growth factor 1, and combination therapy in AIDS-associated wasting. A randomized, double-blind, placebo-controlled trial. PMID 8967666</w:t>
      </w:r>
    </w:p>
    <w:p>
      <w:pPr>
        <w:numPr>
          <w:ilvl w:val="0"/>
          <w:numId w:val="1402"/>
        </w:numPr>
        <w:pStyle w:val="Compact"/>
      </w:pPr>
      <w:r>
        <w:t xml:space="preserve">1995 · Fouque D ·</w:t>
      </w:r>
      <w:r>
        <w:t xml:space="preserve"> </w:t>
      </w:r>
      <w:r>
        <w:rPr>
          <w:iCs/>
          <w:i/>
        </w:rPr>
        <w:t xml:space="preserve">Kidney Int</w:t>
      </w:r>
      <w:r>
        <w:t xml:space="preserve"> </w:t>
      </w:r>
      <w:r>
        <w:t xml:space="preserve">· Impaired metabolic response to recombinant insulin-like growth factor-1 in dialysis patients. PMID 7752587</w:t>
      </w:r>
    </w:p>
    <w:p>
      <w:pPr>
        <w:numPr>
          <w:ilvl w:val="0"/>
          <w:numId w:val="1402"/>
        </w:numPr>
        <w:pStyle w:val="Compact"/>
      </w:pPr>
      <w:r>
        <w:t xml:space="preserve">1995 · Fouque D ·</w:t>
      </w:r>
      <w:r>
        <w:t xml:space="preserve"> </w:t>
      </w:r>
      <w:r>
        <w:rPr>
          <w:iCs/>
          <w:i/>
        </w:rPr>
        <w:t xml:space="preserve">Kidney Int</w:t>
      </w:r>
      <w:r>
        <w:t xml:space="preserve"> </w:t>
      </w:r>
      <w:r>
        <w:t xml:space="preserve">· Pharmacokinetics of recombinant human insulin-like growth factor-1 in dialysis patients. PMID 7752586</w:t>
      </w:r>
    </w:p>
    <w:bookmarkEnd w:id="3045"/>
    <w:bookmarkStart w:id="3046" w:name="igf-1-lr3-0"/>
    <w:p>
      <w:pPr>
        <w:pStyle w:val="Heading2"/>
      </w:pPr>
      <w:r>
        <w:t xml:space="preserve">IGF-1 LR3 (0)</w:t>
      </w:r>
    </w:p>
    <w:p>
      <w:pPr>
        <w:pStyle w:val="FirstParagraph"/>
      </w:pPr>
      <w:r>
        <w:t xml:space="preserve">Nessuna pubblicazione di studi clinici sull’uomo trovata.</w:t>
      </w:r>
    </w:p>
    <w:bookmarkEnd w:id="3046"/>
    <w:bookmarkStart w:id="3047" w:name="ibutamoren-mk-677-19"/>
    <w:p>
      <w:pPr>
        <w:pStyle w:val="Heading2"/>
      </w:pPr>
      <w:r>
        <w:t xml:space="preserve">Ibutamoren (MK-677) (19)</w:t>
      </w:r>
    </w:p>
    <w:p>
      <w:pPr>
        <w:numPr>
          <w:ilvl w:val="0"/>
          <w:numId w:val="1403"/>
        </w:numPr>
        <w:pStyle w:val="Compact"/>
      </w:pPr>
      <w:r>
        <w:t xml:space="preserve">2018 · Campbell GA ·</w:t>
      </w:r>
      <w:r>
        <w:t xml:space="preserve"> </w:t>
      </w:r>
      <w:r>
        <w:rPr>
          <w:iCs/>
          <w:i/>
        </w:rPr>
        <w:t xml:space="preserve">Nephrol Dial Transplant</w:t>
      </w:r>
      <w:r>
        <w:t xml:space="preserve"> </w:t>
      </w:r>
      <w:r>
        <w:t xml:space="preserve">· Oral ghrelin receptor agonist MK-0677 increases serum insulin-like growth factor 1 in hemodialysis patients: a randomized blinded study. PMID 28340044</w:t>
      </w:r>
    </w:p>
    <w:p>
      <w:pPr>
        <w:numPr>
          <w:ilvl w:val="0"/>
          <w:numId w:val="1403"/>
        </w:numPr>
        <w:pStyle w:val="Compact"/>
      </w:pPr>
      <w:r>
        <w:t xml:space="preserve">2011 · Adunsky A ·</w:t>
      </w:r>
      <w:r>
        <w:t xml:space="preserve"> </w:t>
      </w:r>
      <w:r>
        <w:rPr>
          <w:iCs/>
          <w:i/>
        </w:rPr>
        <w:t xml:space="preserve">Arch Gerontol Geriatr</w:t>
      </w:r>
      <w:r>
        <w:t xml:space="preserve"> </w:t>
      </w:r>
      <w:r>
        <w:t xml:space="preserve">· MK-0677 (ibutamoren mesylate) for the treatment of patients recovering from hip fracture: a multicenter, randomized, placebo-controlled phase IIb study. PMID 21067829</w:t>
      </w:r>
    </w:p>
    <w:p>
      <w:pPr>
        <w:numPr>
          <w:ilvl w:val="0"/>
          <w:numId w:val="1403"/>
        </w:numPr>
        <w:pStyle w:val="Compact"/>
      </w:pPr>
      <w:r>
        <w:t xml:space="preserve">2008 · Sevigny JJ ·</w:t>
      </w:r>
      <w:r>
        <w:t xml:space="preserve"> </w:t>
      </w:r>
      <w:r>
        <w:rPr>
          <w:iCs/>
          <w:i/>
        </w:rPr>
        <w:t xml:space="preserve">Neurology</w:t>
      </w:r>
      <w:r>
        <w:t xml:space="preserve"> </w:t>
      </w:r>
      <w:r>
        <w:t xml:space="preserve">· Growth hormone secretagogue MK-677: no clinical effect on AD progression in a randomized trial. PMID 19015485</w:t>
      </w:r>
    </w:p>
    <w:p>
      <w:pPr>
        <w:numPr>
          <w:ilvl w:val="0"/>
          <w:numId w:val="1403"/>
        </w:numPr>
        <w:pStyle w:val="Compact"/>
      </w:pPr>
      <w:r>
        <w:t xml:space="preserve">2008 · Nass R ·</w:t>
      </w:r>
      <w:r>
        <w:t xml:space="preserve"> </w:t>
      </w:r>
      <w:r>
        <w:rPr>
          <w:iCs/>
          <w:i/>
        </w:rPr>
        <w:t xml:space="preserve">Ann Intern Med</w:t>
      </w:r>
      <w:r>
        <w:t xml:space="preserve"> </w:t>
      </w:r>
      <w:r>
        <w:t xml:space="preserve">· Effects of an oral ghrelin mimetic on body composition and clinical outcomes in healthy older adults: a randomized trial. PMID 18981485</w:t>
      </w:r>
    </w:p>
    <w:p>
      <w:pPr>
        <w:numPr>
          <w:ilvl w:val="0"/>
          <w:numId w:val="1403"/>
        </w:numPr>
        <w:pStyle w:val="Compact"/>
      </w:pPr>
      <w:r>
        <w:t xml:space="preserve">2004 · Bach MA ·</w:t>
      </w:r>
      <w:r>
        <w:t xml:space="preserve"> </w:t>
      </w:r>
      <w:r>
        <w:rPr>
          <w:iCs/>
          <w:i/>
        </w:rPr>
        <w:t xml:space="preserve">J Am Geriatr Soc</w:t>
      </w:r>
      <w:r>
        <w:t xml:space="preserve"> </w:t>
      </w:r>
      <w:r>
        <w:t xml:space="preserve">· The effects of MK-0677, an oral growth hormone secretagogue, in patients with hip fracture. PMID 15066065</w:t>
      </w:r>
    </w:p>
    <w:p>
      <w:pPr>
        <w:numPr>
          <w:ilvl w:val="0"/>
          <w:numId w:val="1403"/>
        </w:numPr>
        <w:pStyle w:val="Compact"/>
      </w:pPr>
      <w:r>
        <w:t xml:space="preserve">2003 · Svensson J ·</w:t>
      </w:r>
      <w:r>
        <w:t xml:space="preserve"> </w:t>
      </w:r>
      <w:r>
        <w:rPr>
          <w:iCs/>
          <w:i/>
        </w:rPr>
        <w:t xml:space="preserve">Growth Horm IGF Res</w:t>
      </w:r>
      <w:r>
        <w:t xml:space="preserve"> </w:t>
      </w:r>
      <w:r>
        <w:t xml:space="preserve">· The effect of treatment with the oral growth hormone (GH) secretagogue MK-677 on GH isoforms. PMID 12550076</w:t>
      </w:r>
    </w:p>
    <w:p>
      <w:pPr>
        <w:numPr>
          <w:ilvl w:val="0"/>
          <w:numId w:val="1403"/>
        </w:numPr>
        <w:pStyle w:val="Compact"/>
      </w:pPr>
      <w:r>
        <w:t xml:space="preserve">2001 · Codner E ·</w:t>
      </w:r>
      <w:r>
        <w:t xml:space="preserve"> </w:t>
      </w:r>
      <w:r>
        <w:rPr>
          <w:iCs/>
          <w:i/>
        </w:rPr>
        <w:t xml:space="preserve">Clin Pharmacol Ther</w:t>
      </w:r>
      <w:r>
        <w:t xml:space="preserve"> </w:t>
      </w:r>
      <w:r>
        <w:t xml:space="preserve">· Effects of oral administration of ibutamoren mesylate, a nonpeptide growth hormone secretagogue, on the growth hormone-insulin-like growth factor I axis in growth hormone-deficient children. PMID 11452249</w:t>
      </w:r>
    </w:p>
    <w:p>
      <w:pPr>
        <w:numPr>
          <w:ilvl w:val="0"/>
          <w:numId w:val="1403"/>
        </w:numPr>
        <w:pStyle w:val="Compact"/>
      </w:pPr>
      <w:r>
        <w:t xml:space="preserve">2001 · Gianotti L ·</w:t>
      </w:r>
      <w:r>
        <w:t xml:space="preserve"> </w:t>
      </w:r>
      <w:r>
        <w:rPr>
          <w:iCs/>
          <w:i/>
        </w:rPr>
        <w:t xml:space="preserve">J Endocrinol Invest</w:t>
      </w:r>
      <w:r>
        <w:t xml:space="preserve"> </w:t>
      </w:r>
      <w:r>
        <w:t xml:space="preserve">· Recombinant human IGF-I does not modify the ACTH and cortisol responses to hCRH and hexarelin, a peptidyl GH secretagogue, in humans. PMID 11263473</w:t>
      </w:r>
    </w:p>
    <w:p>
      <w:pPr>
        <w:numPr>
          <w:ilvl w:val="0"/>
          <w:numId w:val="1403"/>
        </w:numPr>
        <w:pStyle w:val="Compact"/>
      </w:pPr>
      <w:r>
        <w:t xml:space="preserve">2001 · Murphy MG ·</w:t>
      </w:r>
      <w:r>
        <w:t xml:space="preserve"> </w:t>
      </w:r>
      <w:r>
        <w:rPr>
          <w:iCs/>
          <w:i/>
        </w:rPr>
        <w:t xml:space="preserve">J Clin Endocrinol Metab</w:t>
      </w:r>
      <w:r>
        <w:t xml:space="preserve"> </w:t>
      </w:r>
      <w:r>
        <w:t xml:space="preserve">· Effect of alendronate and MK-677 (a growth hormone secretagogue), individually and in combination, on markers of bone turnover and bone mineral density in postmenopausal osteoporotic women. PMID 11238495</w:t>
      </w:r>
    </w:p>
    <w:p>
      <w:pPr>
        <w:numPr>
          <w:ilvl w:val="0"/>
          <w:numId w:val="1403"/>
        </w:numPr>
        <w:pStyle w:val="Compact"/>
      </w:pPr>
      <w:r>
        <w:t xml:space="preserve">1999 · Svensson J ·</w:t>
      </w:r>
      <w:r>
        <w:t xml:space="preserve"> </w:t>
      </w:r>
      <w:r>
        <w:rPr>
          <w:iCs/>
          <w:i/>
        </w:rPr>
        <w:t xml:space="preserve">Clin Endocrinol (Oxf)</w:t>
      </w:r>
      <w:r>
        <w:t xml:space="preserve"> </w:t>
      </w:r>
      <w:r>
        <w:t xml:space="preserve">· Discrepancy between serum leptin values and total body fat in response to the oral growth hormone secretagogue MK-677. PMID 10468903</w:t>
      </w:r>
    </w:p>
    <w:p>
      <w:pPr>
        <w:numPr>
          <w:ilvl w:val="0"/>
          <w:numId w:val="1403"/>
        </w:numPr>
        <w:pStyle w:val="Compact"/>
      </w:pPr>
      <w:r>
        <w:t xml:space="preserve">1999 · Murphy MG ·</w:t>
      </w:r>
      <w:r>
        <w:t xml:space="preserve"> </w:t>
      </w:r>
      <w:r>
        <w:rPr>
          <w:iCs/>
          <w:i/>
        </w:rPr>
        <w:t xml:space="preserve">J Bone Miner Res</w:t>
      </w:r>
      <w:r>
        <w:t xml:space="preserve"> </w:t>
      </w:r>
      <w:r>
        <w:t xml:space="preserve">· Oral administration of the growth hormone secretagogue MK-677 increases markers of bone turnover in healthy and functionally impaired elderly adults. The MK-677 Study Group. PMID 10404019</w:t>
      </w:r>
    </w:p>
    <w:p>
      <w:pPr>
        <w:numPr>
          <w:ilvl w:val="0"/>
          <w:numId w:val="1403"/>
        </w:numPr>
        <w:pStyle w:val="Compact"/>
      </w:pPr>
      <w:r>
        <w:t xml:space="preserve">1999 · Svensson J ·</w:t>
      </w:r>
      <w:r>
        <w:t xml:space="preserve"> </w:t>
      </w:r>
      <w:r>
        <w:rPr>
          <w:iCs/>
          <w:i/>
        </w:rPr>
        <w:t xml:space="preserve">J Clin Endocrinol Metab</w:t>
      </w:r>
      <w:r>
        <w:t xml:space="preserve"> </w:t>
      </w:r>
      <w:r>
        <w:t xml:space="preserve">· Treatment of obese subjects with the oral growth hormone secretagogue MK-677 affects serum concentrations of several lipoproteins, but not lipoprotein(a). PMID 10372705</w:t>
      </w:r>
    </w:p>
    <w:p>
      <w:pPr>
        <w:numPr>
          <w:ilvl w:val="0"/>
          <w:numId w:val="1403"/>
        </w:numPr>
        <w:pStyle w:val="Compact"/>
      </w:pPr>
      <w:r>
        <w:t xml:space="preserve">1998 · Svensson J ·</w:t>
      </w:r>
      <w:r>
        <w:t xml:space="preserve"> </w:t>
      </w:r>
      <w:r>
        <w:rPr>
          <w:iCs/>
          <w:i/>
        </w:rPr>
        <w:t xml:space="preserve">J Bone Miner Res</w:t>
      </w:r>
      <w:r>
        <w:t xml:space="preserve"> </w:t>
      </w:r>
      <w:r>
        <w:t xml:space="preserve">· Treatment with the oral growth hormone secretagogue MK-677 increases markers of bone formation and bone resorption in obese young males. PMID 9661080</w:t>
      </w:r>
    </w:p>
    <w:p>
      <w:pPr>
        <w:numPr>
          <w:ilvl w:val="0"/>
          <w:numId w:val="1403"/>
        </w:numPr>
        <w:pStyle w:val="Compact"/>
      </w:pPr>
      <w:r>
        <w:t xml:space="preserve">1998 · Svensson J ·</w:t>
      </w:r>
      <w:r>
        <w:t xml:space="preserve"> </w:t>
      </w:r>
      <w:r>
        <w:rPr>
          <w:iCs/>
          <w:i/>
        </w:rPr>
        <w:t xml:space="preserve">J Clin Endocrinol Metab</w:t>
      </w:r>
      <w:r>
        <w:t xml:space="preserve"> </w:t>
      </w:r>
      <w:r>
        <w:t xml:space="preserve">· Two-month treatment of obese subjects with the oral growth hormone (GH) secretagogue MK-677 increases GH secretion, fat-free mass, and energy expenditure. PMID 9467542</w:t>
      </w:r>
    </w:p>
    <w:p>
      <w:pPr>
        <w:numPr>
          <w:ilvl w:val="0"/>
          <w:numId w:val="1403"/>
        </w:numPr>
        <w:pStyle w:val="Compact"/>
      </w:pPr>
      <w:r>
        <w:t xml:space="preserve">1998 · Murphy MG ·</w:t>
      </w:r>
      <w:r>
        <w:t xml:space="preserve"> </w:t>
      </w:r>
      <w:r>
        <w:rPr>
          <w:iCs/>
          <w:i/>
        </w:rPr>
        <w:t xml:space="preserve">J Clin Endocrinol Metab</w:t>
      </w:r>
      <w:r>
        <w:t xml:space="preserve"> </w:t>
      </w:r>
      <w:r>
        <w:t xml:space="preserve">· MK-677, an orally active growth hormone secretagogue, reverses diet-induced catabolism. PMID 9467534</w:t>
      </w:r>
    </w:p>
    <w:p>
      <w:pPr>
        <w:numPr>
          <w:ilvl w:val="0"/>
          <w:numId w:val="1403"/>
        </w:numPr>
        <w:pStyle w:val="Compact"/>
      </w:pPr>
      <w:r>
        <w:t xml:space="preserve">1997 · Copinschi G ·</w:t>
      </w:r>
      <w:r>
        <w:t xml:space="preserve"> </w:t>
      </w:r>
      <w:r>
        <w:rPr>
          <w:iCs/>
          <w:i/>
        </w:rPr>
        <w:t xml:space="preserve">Neuroendocrinology</w:t>
      </w:r>
      <w:r>
        <w:t xml:space="preserve"> </w:t>
      </w:r>
      <w:r>
        <w:t xml:space="preserve">· Prolonged oral treatment with MK-677, a novel growth hormone secretagogue, improves sleep quality in man. PMID 9349662</w:t>
      </w:r>
    </w:p>
    <w:p>
      <w:pPr>
        <w:numPr>
          <w:ilvl w:val="0"/>
          <w:numId w:val="1403"/>
        </w:numPr>
        <w:pStyle w:val="Compact"/>
      </w:pPr>
      <w:r>
        <w:t xml:space="preserve">1997 · Chapman IM ·</w:t>
      </w:r>
      <w:r>
        <w:t xml:space="preserve"> </w:t>
      </w:r>
      <w:r>
        <w:rPr>
          <w:iCs/>
          <w:i/>
        </w:rPr>
        <w:t xml:space="preserve">J Clin Endocrinol Metab</w:t>
      </w:r>
      <w:r>
        <w:t xml:space="preserve"> </w:t>
      </w:r>
      <w:r>
        <w:t xml:space="preserve">· Oral administration of growth hormone (GH) releasing peptide-mimetic MK-677 stimulates the GH/insulin-like growth factor-I axis in selected GH-deficient adults. PMID 9329386</w:t>
      </w:r>
    </w:p>
    <w:p>
      <w:pPr>
        <w:numPr>
          <w:ilvl w:val="0"/>
          <w:numId w:val="1403"/>
        </w:numPr>
        <w:pStyle w:val="Compact"/>
      </w:pPr>
      <w:r>
        <w:t xml:space="preserve">1996 · Chapman IM ·</w:t>
      </w:r>
      <w:r>
        <w:t xml:space="preserve"> </w:t>
      </w:r>
      <w:r>
        <w:rPr>
          <w:iCs/>
          <w:i/>
        </w:rPr>
        <w:t xml:space="preserve">J Clin Endocrinol Metab</w:t>
      </w:r>
      <w:r>
        <w:t xml:space="preserve"> </w:t>
      </w:r>
      <w:r>
        <w:t xml:space="preserve">· Stimulation of the growth hormone (GH)-insulin-like growth factor I axis by daily oral administration of a GH secretogogue (MK-677) in healthy elderly subjects. PMID 8954023</w:t>
      </w:r>
    </w:p>
    <w:p>
      <w:pPr>
        <w:numPr>
          <w:ilvl w:val="0"/>
          <w:numId w:val="1403"/>
        </w:numPr>
        <w:pStyle w:val="Compact"/>
      </w:pPr>
      <w:r>
        <w:t xml:space="preserve">1996 · Copinschi G ·</w:t>
      </w:r>
      <w:r>
        <w:t xml:space="preserve"> </w:t>
      </w:r>
      <w:r>
        <w:rPr>
          <w:iCs/>
          <w:i/>
        </w:rPr>
        <w:t xml:space="preserve">J Clin Endocrinol Metab</w:t>
      </w:r>
      <w:r>
        <w:t xml:space="preserve"> </w:t>
      </w:r>
      <w:r>
        <w:t xml:space="preserve">· Effects of a 7-day treatment with a novel, orally active, growth hormone (GH) secretagogue, MK-677, on 24-hour GH profiles, insulin-like growth factor I, and adrenocortical function in normal young men. PMID 8768828</w:t>
      </w:r>
    </w:p>
    <w:bookmarkEnd w:id="3047"/>
    <w:bookmarkStart w:id="3048" w:name="semax-4"/>
    <w:p>
      <w:pPr>
        <w:pStyle w:val="Heading2"/>
      </w:pPr>
      <w:r>
        <w:t xml:space="preserve">Semax (4)</w:t>
      </w:r>
    </w:p>
    <w:p>
      <w:pPr>
        <w:numPr>
          <w:ilvl w:val="0"/>
          <w:numId w:val="1404"/>
        </w:numPr>
        <w:pStyle w:val="Compact"/>
      </w:pPr>
      <w:r>
        <w:t xml:space="preserve">2018 · Gusev EI ·</w:t>
      </w:r>
      <w:r>
        <w:t xml:space="preserve"> </w:t>
      </w:r>
      <w:r>
        <w:rPr>
          <w:iCs/>
          <w:i/>
        </w:rPr>
        <w:t xml:space="preserve">Zh Nevrol Psikhiatr Im S S Korsakova</w:t>
      </w:r>
      <w:r>
        <w:t xml:space="preserve"> </w:t>
      </w:r>
      <w:r>
        <w:t xml:space="preserve">· [The efficacy of semax in the tretament of patients at different stages of ischemic stroke]. PMID 29798983</w:t>
      </w:r>
    </w:p>
    <w:p>
      <w:pPr>
        <w:numPr>
          <w:ilvl w:val="0"/>
          <w:numId w:val="1404"/>
        </w:numPr>
        <w:pStyle w:val="Compact"/>
      </w:pPr>
      <w:r>
        <w:t xml:space="preserve">2007 · Serdiuk AV ·</w:t>
      </w:r>
      <w:r>
        <w:t xml:space="preserve"> </w:t>
      </w:r>
      <w:r>
        <w:rPr>
          <w:iCs/>
          <w:i/>
        </w:rPr>
        <w:t xml:space="preserve">Zh Nevrol Psikhiatr Im S S Korsakova</w:t>
      </w:r>
      <w:r>
        <w:t xml:space="preserve"> </w:t>
      </w:r>
      <w:r>
        <w:t xml:space="preserve">· [The study of chronic partial denervation and quality of life in patients with motor neuron disease treated with semax]. PMID 18379501</w:t>
      </w:r>
    </w:p>
    <w:p>
      <w:pPr>
        <w:numPr>
          <w:ilvl w:val="0"/>
          <w:numId w:val="1404"/>
        </w:numPr>
        <w:pStyle w:val="Compact"/>
      </w:pPr>
      <w:r>
        <w:t xml:space="preserve">2000 · Polunin GS ·</w:t>
      </w:r>
      <w:r>
        <w:t xml:space="preserve"> </w:t>
      </w:r>
      <w:r>
        <w:rPr>
          <w:iCs/>
          <w:i/>
        </w:rPr>
        <w:t xml:space="preserve">Vestn Oftalmol</w:t>
      </w:r>
      <w:r>
        <w:t xml:space="preserve"> </w:t>
      </w:r>
      <w:r>
        <w:t xml:space="preserve">· [Evaluation of therapeutic effect of new Russian drug semax in optic nerve disease]. PMID 10741256</w:t>
      </w:r>
    </w:p>
    <w:p>
      <w:pPr>
        <w:numPr>
          <w:ilvl w:val="0"/>
          <w:numId w:val="1404"/>
        </w:numPr>
        <w:pStyle w:val="Compact"/>
      </w:pPr>
      <w:r>
        <w:t xml:space="preserve">1997 · Gusev EI ·</w:t>
      </w:r>
      <w:r>
        <w:t xml:space="preserve"> </w:t>
      </w:r>
      <w:r>
        <w:rPr>
          <w:iCs/>
          <w:i/>
        </w:rPr>
        <w:t xml:space="preserve">Zh Nevrol Psikhiatr Im S S Korsakova</w:t>
      </w:r>
      <w:r>
        <w:t xml:space="preserve"> </w:t>
      </w:r>
      <w:r>
        <w:t xml:space="preserve">· [Effectiveness of semax in acute period of hemispheric ischemic stroke (a clinical and electrophysiological study)]. PMID 11517472</w:t>
      </w:r>
    </w:p>
    <w:bookmarkEnd w:id="3048"/>
    <w:bookmarkStart w:id="3049" w:name="selank-3"/>
    <w:p>
      <w:pPr>
        <w:pStyle w:val="Heading2"/>
      </w:pPr>
      <w:r>
        <w:t xml:space="preserve">Selank (3)</w:t>
      </w:r>
    </w:p>
    <w:p>
      <w:pPr>
        <w:numPr>
          <w:ilvl w:val="0"/>
          <w:numId w:val="1405"/>
        </w:numPr>
        <w:pStyle w:val="Compact"/>
      </w:pPr>
      <w:r>
        <w:t xml:space="preserve">2015 · Medvedev VE ·</w:t>
      </w:r>
      <w:r>
        <w:t xml:space="preserve"> </w:t>
      </w:r>
      <w:r>
        <w:rPr>
          <w:iCs/>
          <w:i/>
        </w:rPr>
        <w:t xml:space="preserve">Zh Nevrol Psikhiatr Im S S Korsakova</w:t>
      </w:r>
      <w:r>
        <w:t xml:space="preserve"> </w:t>
      </w:r>
      <w:r>
        <w:t xml:space="preserve">· [Optimization of the treatment of anxiety disorders with selank]. PMID 26356395</w:t>
      </w:r>
    </w:p>
    <w:p>
      <w:pPr>
        <w:numPr>
          <w:ilvl w:val="0"/>
          <w:numId w:val="1405"/>
        </w:numPr>
        <w:pStyle w:val="Compact"/>
      </w:pPr>
      <w:r>
        <w:t xml:space="preserve">2014 · Medvedev VE ·</w:t>
      </w:r>
      <w:r>
        <w:t xml:space="preserve"> </w:t>
      </w:r>
      <w:r>
        <w:rPr>
          <w:iCs/>
          <w:i/>
        </w:rPr>
        <w:t xml:space="preserve">Zh Nevrol Psikhiatr Im S S Korsakova</w:t>
      </w:r>
      <w:r>
        <w:t xml:space="preserve"> </w:t>
      </w:r>
      <w:r>
        <w:t xml:space="preserve">· [A comparison of the anxiolytic effect and tolerability of selank and phenazepam in the treatment of anxiety disorders]. PMID 25176261</w:t>
      </w:r>
    </w:p>
    <w:p>
      <w:pPr>
        <w:numPr>
          <w:ilvl w:val="0"/>
          <w:numId w:val="1405"/>
        </w:numPr>
        <w:pStyle w:val="Compact"/>
      </w:pPr>
      <w:r>
        <w:t xml:space="preserve">2008 · Zozulia AA ·</w:t>
      </w:r>
      <w:r>
        <w:t xml:space="preserve"> </w:t>
      </w:r>
      <w:r>
        <w:rPr>
          <w:iCs/>
          <w:i/>
        </w:rPr>
        <w:t xml:space="preserve">Zh Nevrol Psikhiatr Im S S Korsakova</w:t>
      </w:r>
      <w:r>
        <w:t xml:space="preserve"> </w:t>
      </w:r>
      <w:r>
        <w:t xml:space="preserve">· [Efficacy and possible mechanisms of action of a new peptide anxiolytic selank in the therapy of generalized anxiety disorders and neurasthenia]. PMID 18454096</w:t>
      </w:r>
    </w:p>
    <w:bookmarkEnd w:id="3049"/>
    <w:bookmarkStart w:id="3050" w:name="cerebrolysin-88"/>
    <w:p>
      <w:pPr>
        <w:pStyle w:val="Heading2"/>
      </w:pPr>
      <w:r>
        <w:t xml:space="preserve">Cerebrolysin (88)</w:t>
      </w:r>
    </w:p>
    <w:p>
      <w:pPr>
        <w:numPr>
          <w:ilvl w:val="0"/>
          <w:numId w:val="1406"/>
        </w:numPr>
        <w:pStyle w:val="Compact"/>
      </w:pPr>
      <w:r>
        <w:t xml:space="preserve">2025 · Kalinin MN ·</w:t>
      </w:r>
      <w:r>
        <w:t xml:space="preserve"> </w:t>
      </w:r>
      <w:r>
        <w:rPr>
          <w:iCs/>
          <w:i/>
        </w:rPr>
        <w:t xml:space="preserve">Zh Nevrol Psikhiatr Im S S Korsakova</w:t>
      </w:r>
      <w:r>
        <w:t xml:space="preserve"> </w:t>
      </w:r>
      <w:r>
        <w:t xml:space="preserve">· [Cerebrolysin with reperfusion therapy in ischemic stroke: a prospective analysis of multimodal brain imaging data from the CEREHETIS trial]. PMID 40577185</w:t>
      </w:r>
    </w:p>
    <w:p>
      <w:pPr>
        <w:numPr>
          <w:ilvl w:val="0"/>
          <w:numId w:val="1406"/>
        </w:numPr>
        <w:pStyle w:val="Compact"/>
      </w:pPr>
      <w:r>
        <w:t xml:space="preserve">2025 · Staszewski J ·</w:t>
      </w:r>
      <w:r>
        <w:t xml:space="preserve"> </w:t>
      </w:r>
      <w:r>
        <w:rPr>
          <w:iCs/>
          <w:i/>
        </w:rPr>
        <w:t xml:space="preserve">Transl Stroke Res</w:t>
      </w:r>
      <w:r>
        <w:t xml:space="preserve"> </w:t>
      </w:r>
      <w:r>
        <w:t xml:space="preserve">· Efficacy of Cerebrolysin Treatment as an Add-On Therapy to Mechanical Thrombectomy in Patients with Acute Ischemic Stroke Due to Large Vessel Occlusion in Anterior Circulation: Results of a 3-Month Follow-up of a Prospective, Open Label, Single-Center Study. PMID 40325343</w:t>
      </w:r>
    </w:p>
    <w:p>
      <w:pPr>
        <w:numPr>
          <w:ilvl w:val="0"/>
          <w:numId w:val="1406"/>
        </w:numPr>
        <w:pStyle w:val="Compact"/>
      </w:pPr>
      <w:r>
        <w:t xml:space="preserve">2025 · Kalinin MN ·</w:t>
      </w:r>
      <w:r>
        <w:t xml:space="preserve"> </w:t>
      </w:r>
      <w:r>
        <w:rPr>
          <w:iCs/>
          <w:i/>
        </w:rPr>
        <w:t xml:space="preserve">Zh Nevrol Psikhiatr Im S S Korsakova</w:t>
      </w:r>
      <w:r>
        <w:t xml:space="preserve"> </w:t>
      </w:r>
      <w:r>
        <w:t xml:space="preserve">· [Cerebrolysin and the optimal timing of anticoagulation resumption in stroke: combined post hoc survival analysis of the CEREHETIS trial]. PMID 40123141</w:t>
      </w:r>
    </w:p>
    <w:p>
      <w:pPr>
        <w:numPr>
          <w:ilvl w:val="0"/>
          <w:numId w:val="1406"/>
        </w:numPr>
        <w:pStyle w:val="Compact"/>
      </w:pPr>
      <w:r>
        <w:t xml:space="preserve">2025 · Homberg V ·</w:t>
      </w:r>
      <w:r>
        <w:t xml:space="preserve"> </w:t>
      </w:r>
      <w:r>
        <w:rPr>
          <w:iCs/>
          <w:i/>
        </w:rPr>
        <w:t xml:space="preserve">Stroke</w:t>
      </w:r>
      <w:r>
        <w:t xml:space="preserve"> </w:t>
      </w:r>
      <w:r>
        <w:t xml:space="preserve">· Speech Therapy Combined With Cerebrolysin in Enhancing Nonfluent Aphasia Recovery After Acute Ischemic Stroke: ESCAS Randomized Pilot Study. PMID 39957612</w:t>
      </w:r>
    </w:p>
    <w:p>
      <w:pPr>
        <w:numPr>
          <w:ilvl w:val="0"/>
          <w:numId w:val="1406"/>
        </w:numPr>
        <w:pStyle w:val="Compact"/>
      </w:pPr>
      <w:r>
        <w:t xml:space="preserve">2024 · Ponomareva EV ·</w:t>
      </w:r>
      <w:r>
        <w:t xml:space="preserve"> </w:t>
      </w:r>
      <w:r>
        <w:rPr>
          <w:iCs/>
          <w:i/>
        </w:rPr>
        <w:t xml:space="preserve">Zh Nevrol Psikhiatr Im S S Korsakova</w:t>
      </w:r>
      <w:r>
        <w:t xml:space="preserve"> </w:t>
      </w:r>
      <w:r>
        <w:t xml:space="preserve">· [Cerebrolysin in the preventive therapy of dementia in elderly patients with mild cognitive impairment: a three-year prospective comparative study]. PMID 39435777</w:t>
      </w:r>
    </w:p>
    <w:p>
      <w:pPr>
        <w:numPr>
          <w:ilvl w:val="0"/>
          <w:numId w:val="1406"/>
        </w:numPr>
        <w:pStyle w:val="Compact"/>
      </w:pPr>
      <w:r>
        <w:t xml:space="preserve">2023 · Firstenfeld AJ ·</w:t>
      </w:r>
      <w:r>
        <w:t xml:space="preserve"> </w:t>
      </w:r>
      <w:r>
        <w:rPr>
          <w:iCs/>
          <w:i/>
        </w:rPr>
        <w:t xml:space="preserve">J Med Life</w:t>
      </w:r>
      <w:r>
        <w:t xml:space="preserve"> </w:t>
      </w:r>
      <w:r>
        <w:t xml:space="preserve">· Add-on treatment with Cerebrolysin improves clinical symptoms in patients with ALS: results from a prospective, single-center, placebo-controlled, randomized, double-blind, phase II study. PMID 38585517</w:t>
      </w:r>
    </w:p>
    <w:p>
      <w:pPr>
        <w:numPr>
          <w:ilvl w:val="0"/>
          <w:numId w:val="1406"/>
        </w:numPr>
        <w:pStyle w:val="Compact"/>
      </w:pPr>
      <w:r>
        <w:t xml:space="preserve">2023 · Hamed SA ·</w:t>
      </w:r>
      <w:r>
        <w:t xml:space="preserve"> </w:t>
      </w:r>
      <w:r>
        <w:rPr>
          <w:iCs/>
          <w:i/>
        </w:rPr>
        <w:t xml:space="preserve">Expert Rev Clin Pharmacol</w:t>
      </w:r>
      <w:r>
        <w:t xml:space="preserve"> </w:t>
      </w:r>
      <w:r>
        <w:t xml:space="preserve">· The effectiveness of cerebrolysin, a multi-modal neurotrophic factor, for treatment of post-covid-19 persistent olfactory, gustatory and trigeminal chemosensory dysfunctions: a randomized clinical trial. PMID 37950370</w:t>
      </w:r>
    </w:p>
    <w:p>
      <w:pPr>
        <w:numPr>
          <w:ilvl w:val="0"/>
          <w:numId w:val="1406"/>
        </w:numPr>
        <w:pStyle w:val="Compact"/>
      </w:pPr>
      <w:r>
        <w:t xml:space="preserve">2023 · Khasanova DR ·</w:t>
      </w:r>
      <w:r>
        <w:t xml:space="preserve"> </w:t>
      </w:r>
      <w:r>
        <w:rPr>
          <w:iCs/>
          <w:i/>
        </w:rPr>
        <w:t xml:space="preserve">Zh Nevrol Psikhiatr Im S S Korsakova</w:t>
      </w:r>
      <w:r>
        <w:t xml:space="preserve"> </w:t>
      </w:r>
      <w:r>
        <w:t xml:space="preserve">· [Effects of simultaneous use of Cerebrolysin and alteplase on hemorrhagic transformation of brain infarction and functional outcome in stroke patients: CEREHETIS, a randomized, multicenter pilot trial]. PMID 37682097</w:t>
      </w:r>
    </w:p>
    <w:p>
      <w:pPr>
        <w:numPr>
          <w:ilvl w:val="0"/>
          <w:numId w:val="1406"/>
        </w:numPr>
        <w:pStyle w:val="Compact"/>
      </w:pPr>
      <w:r>
        <w:t xml:space="preserve">2023 · Khasanova DR ·</w:t>
      </w:r>
      <w:r>
        <w:t xml:space="preserve"> </w:t>
      </w:r>
      <w:r>
        <w:rPr>
          <w:iCs/>
          <w:i/>
        </w:rPr>
        <w:t xml:space="preserve">BMC Neurol</w:t>
      </w:r>
      <w:r>
        <w:t xml:space="preserve"> </w:t>
      </w:r>
      <w:r>
        <w:t xml:space="preserve">· Cerebrolysin as an Early Add-on to Reperfusion Therapy: Risk of Hemorrhagic Transformation after Ischemic Stroke (CEREHETIS), a prospective, randomized, multicenter pilot study. PMID 36973684</w:t>
      </w:r>
    </w:p>
    <w:p>
      <w:pPr>
        <w:numPr>
          <w:ilvl w:val="0"/>
          <w:numId w:val="1406"/>
        </w:numPr>
        <w:pStyle w:val="Compact"/>
      </w:pPr>
      <w:r>
        <w:t xml:space="preserve">2023 · Mitrović SZ ·</w:t>
      </w:r>
      <w:r>
        <w:t xml:space="preserve"> </w:t>
      </w:r>
      <w:r>
        <w:rPr>
          <w:iCs/>
          <w:i/>
        </w:rPr>
        <w:t xml:space="preserve">Medicina (Kaunas)</w:t>
      </w:r>
      <w:r>
        <w:t xml:space="preserve"> </w:t>
      </w:r>
      <w:r>
        <w:t xml:space="preserve">· Extended Poststroke Rehabilitation Combined with Cerebrolysin Promotes Upper Limb Motor Recovery in Early Subacute Phase of Rehabilitation: A Randomized Clinical Study. PMID 36837492</w:t>
      </w:r>
    </w:p>
    <w:p>
      <w:pPr>
        <w:numPr>
          <w:ilvl w:val="0"/>
          <w:numId w:val="1406"/>
        </w:numPr>
        <w:pStyle w:val="Compact"/>
      </w:pPr>
      <w:r>
        <w:t xml:space="preserve">2023 · Sharma A ·</w:t>
      </w:r>
      <w:r>
        <w:t xml:space="preserve"> </w:t>
      </w:r>
      <w:r>
        <w:rPr>
          <w:iCs/>
          <w:i/>
        </w:rPr>
        <w:t xml:space="preserve">Spine (Phila Pa 1976)</w:t>
      </w:r>
      <w:r>
        <w:t xml:space="preserve"> </w:t>
      </w:r>
      <w:r>
        <w:t xml:space="preserve">· Prospective Randomized Control Trial to Compare the Role of Injection Cerebrolysin for 10 Days Duration Against Placebo in Operated Cases of Degenerative Cervical Myelopathy. PMID 36730671</w:t>
      </w:r>
    </w:p>
    <w:p>
      <w:pPr>
        <w:numPr>
          <w:ilvl w:val="0"/>
          <w:numId w:val="1406"/>
        </w:numPr>
        <w:pStyle w:val="Compact"/>
      </w:pPr>
      <w:r>
        <w:t xml:space="preserve">2022 · Alvarez XA ·</w:t>
      </w:r>
      <w:r>
        <w:t xml:space="preserve"> </w:t>
      </w:r>
      <w:r>
        <w:rPr>
          <w:iCs/>
          <w:i/>
        </w:rPr>
        <w:t xml:space="preserve">J Alzheimers Dis</w:t>
      </w:r>
      <w:r>
        <w:t xml:space="preserve"> </w:t>
      </w:r>
      <w:r>
        <w:t xml:space="preserve">· Modulation of Amyloid-β and Tau in Alzheimer’s Disease Plasma Neuronal-Derived Extracellular Vesicles by Cerebrolysin® and Donepezil. PMID 36155516</w:t>
      </w:r>
    </w:p>
    <w:p>
      <w:pPr>
        <w:numPr>
          <w:ilvl w:val="0"/>
          <w:numId w:val="1406"/>
        </w:numPr>
        <w:pStyle w:val="Compact"/>
      </w:pPr>
      <w:r>
        <w:t xml:space="preserve">2022 · Sharma A ·</w:t>
      </w:r>
      <w:r>
        <w:t xml:space="preserve"> </w:t>
      </w:r>
      <w:r>
        <w:rPr>
          <w:iCs/>
          <w:i/>
        </w:rPr>
        <w:t xml:space="preserve">Spine (Phila Pa 1976)</w:t>
      </w:r>
      <w:r>
        <w:t xml:space="preserve"> </w:t>
      </w:r>
      <w:r>
        <w:t xml:space="preserve">· Prospective Randomized Control Pilot Study to Compare the Role of Injection Cerebrolysin in Operated cases of Degenerative Cervical Myelopathy. PMID 34889883</w:t>
      </w:r>
    </w:p>
    <w:p>
      <w:pPr>
        <w:numPr>
          <w:ilvl w:val="0"/>
          <w:numId w:val="1406"/>
        </w:numPr>
        <w:pStyle w:val="Compact"/>
      </w:pPr>
      <w:r>
        <w:t xml:space="preserve">2022 · Samir A ·</w:t>
      </w:r>
      <w:r>
        <w:t xml:space="preserve"> </w:t>
      </w:r>
      <w:r>
        <w:rPr>
          <w:iCs/>
          <w:i/>
        </w:rPr>
        <w:t xml:space="preserve">J Neonatal Perinatal Med</w:t>
      </w:r>
      <w:r>
        <w:t xml:space="preserve"> </w:t>
      </w:r>
      <w:r>
        <w:t xml:space="preserve">· Effect of cerebrolysin on neurodevelopmental outcome of high risk preterm infants: A randomized controlled trial. PMID 33935111</w:t>
      </w:r>
    </w:p>
    <w:p>
      <w:pPr>
        <w:numPr>
          <w:ilvl w:val="0"/>
          <w:numId w:val="1406"/>
        </w:numPr>
        <w:pStyle w:val="Compact"/>
      </w:pPr>
      <w:r>
        <w:t xml:space="preserve">2021 · Poljakovic Z ·</w:t>
      </w:r>
      <w:r>
        <w:t xml:space="preserve"> </w:t>
      </w:r>
      <w:r>
        <w:rPr>
          <w:iCs/>
          <w:i/>
        </w:rPr>
        <w:t xml:space="preserve">Clin Neurol Neurosurg</w:t>
      </w:r>
      <w:r>
        <w:t xml:space="preserve"> </w:t>
      </w:r>
      <w:r>
        <w:t xml:space="preserve">· Efficacy and safety of Cerebrolysin after futile recanalisation therapy in patients with severe stroke. PMID 34214867</w:t>
      </w:r>
    </w:p>
    <w:p>
      <w:pPr>
        <w:numPr>
          <w:ilvl w:val="0"/>
          <w:numId w:val="1406"/>
        </w:numPr>
        <w:pStyle w:val="Compact"/>
      </w:pPr>
      <w:r>
        <w:t xml:space="preserve">2020 · Woo PYM ·</w:t>
      </w:r>
      <w:r>
        <w:t xml:space="preserve"> </w:t>
      </w:r>
      <w:r>
        <w:rPr>
          <w:iCs/>
          <w:i/>
        </w:rPr>
        <w:t xml:space="preserve">BMC Neurol</w:t>
      </w:r>
      <w:r>
        <w:t xml:space="preserve"> </w:t>
      </w:r>
      <w:r>
        <w:t xml:space="preserve">· Randomized, placebo-controlled, double-blind, pilot trial to investigate safety and efficacy of Cerebrolysin in patients with aneurysmal subarachnoid hemorrhage. PMID 33143640</w:t>
      </w:r>
    </w:p>
    <w:p>
      <w:pPr>
        <w:numPr>
          <w:ilvl w:val="0"/>
          <w:numId w:val="1406"/>
        </w:numPr>
        <w:pStyle w:val="Compact"/>
      </w:pPr>
      <w:r>
        <w:t xml:space="preserve">2020 · Birle C ·</w:t>
      </w:r>
      <w:r>
        <w:t xml:space="preserve"> </w:t>
      </w:r>
      <w:r>
        <w:rPr>
          <w:iCs/>
          <w:i/>
        </w:rPr>
        <w:t xml:space="preserve">J Med Life</w:t>
      </w:r>
      <w:r>
        <w:t xml:space="preserve"> </w:t>
      </w:r>
      <w:r>
        <w:t xml:space="preserve">· The Effect of Cerebrolysin on the Predictive Value of Baseline Prognostic Risk Score in Moderate and Severe Traumatic Brain Injury. PMID 33072197</w:t>
      </w:r>
    </w:p>
    <w:p>
      <w:pPr>
        <w:numPr>
          <w:ilvl w:val="0"/>
          <w:numId w:val="1406"/>
        </w:numPr>
        <w:pStyle w:val="Compact"/>
      </w:pPr>
      <w:r>
        <w:t xml:space="preserve">2020 · Muresanu DF ·</w:t>
      </w:r>
      <w:r>
        <w:t xml:space="preserve"> </w:t>
      </w:r>
      <w:r>
        <w:rPr>
          <w:iCs/>
          <w:i/>
        </w:rPr>
        <w:t xml:space="preserve">Neurol Sci</w:t>
      </w:r>
      <w:r>
        <w:t xml:space="preserve"> </w:t>
      </w:r>
      <w:r>
        <w:t xml:space="preserve">· Efficacy and safety of cerebrolysin in neurorecovery after moderate-severe traumatic brain injury: results from the CAPTAIN II trial. PMID 31897941</w:t>
      </w:r>
    </w:p>
    <w:p>
      <w:pPr>
        <w:numPr>
          <w:ilvl w:val="0"/>
          <w:numId w:val="1406"/>
        </w:numPr>
        <w:pStyle w:val="Compact"/>
      </w:pPr>
      <w:r>
        <w:t xml:space="preserve">2020 · Poon W ·</w:t>
      </w:r>
      <w:r>
        <w:t xml:space="preserve"> </w:t>
      </w:r>
      <w:r>
        <w:rPr>
          <w:iCs/>
          <w:i/>
        </w:rPr>
        <w:t xml:space="preserve">Neurol Sci</w:t>
      </w:r>
      <w:r>
        <w:t xml:space="preserve"> </w:t>
      </w:r>
      <w:r>
        <w:t xml:space="preserve">· Safety and efficacy of Cerebrolysin in acute brain injury and neurorecovery: CAPTAIN I-a randomized, placebo-controlled, double-blind, Asian-Pacific trial. PMID 31494820</w:t>
      </w:r>
    </w:p>
    <w:p>
      <w:pPr>
        <w:numPr>
          <w:ilvl w:val="0"/>
          <w:numId w:val="1406"/>
        </w:numPr>
        <w:pStyle w:val="Compact"/>
      </w:pPr>
      <w:r>
        <w:t xml:space="preserve">2018 · Allam AFA ·</w:t>
      </w:r>
      <w:r>
        <w:t xml:space="preserve"> </w:t>
      </w:r>
      <w:r>
        <w:rPr>
          <w:iCs/>
          <w:i/>
        </w:rPr>
        <w:t xml:space="preserve">Spine J</w:t>
      </w:r>
      <w:r>
        <w:t xml:space="preserve"> </w:t>
      </w:r>
      <w:r>
        <w:t xml:space="preserve">· Role of Cerebrolysin in cervical spondylotic myelopathy patients: a prospective randomized study. PMID 29155000</w:t>
      </w:r>
    </w:p>
    <w:p>
      <w:pPr>
        <w:numPr>
          <w:ilvl w:val="0"/>
          <w:numId w:val="1406"/>
        </w:numPr>
        <w:pStyle w:val="Compact"/>
      </w:pPr>
      <w:r>
        <w:t xml:space="preserve">2017 · Stan A ·</w:t>
      </w:r>
      <w:r>
        <w:t xml:space="preserve"> </w:t>
      </w:r>
      <w:r>
        <w:rPr>
          <w:iCs/>
          <w:i/>
        </w:rPr>
        <w:t xml:space="preserve">J Med Life</w:t>
      </w:r>
      <w:r>
        <w:t xml:space="preserve"> </w:t>
      </w:r>
      <w:r>
        <w:t xml:space="preserve">· Cerebrolysin and early neurorehabilitation in patients with acute ischemic stroke: a prospective, randomized, placebo-controlled clinical study. PMID 29362596</w:t>
      </w:r>
    </w:p>
    <w:p>
      <w:pPr>
        <w:numPr>
          <w:ilvl w:val="0"/>
          <w:numId w:val="1406"/>
        </w:numPr>
        <w:pStyle w:val="Compact"/>
      </w:pPr>
      <w:r>
        <w:t xml:space="preserve">2017 · Karakulova YV ·</w:t>
      </w:r>
      <w:r>
        <w:t xml:space="preserve"> </w:t>
      </w:r>
      <w:r>
        <w:rPr>
          <w:iCs/>
          <w:i/>
        </w:rPr>
        <w:t xml:space="preserve">Zh Nevrol Psikhiatr Im S S Korsakova</w:t>
      </w:r>
      <w:r>
        <w:t xml:space="preserve"> </w:t>
      </w:r>
      <w:r>
        <w:t xml:space="preserve">· [Monitoring of neurotrophic factors and cognitive function in patients with traumatic brain injury]. PMID 29171486</w:t>
      </w:r>
    </w:p>
    <w:p>
      <w:pPr>
        <w:numPr>
          <w:ilvl w:val="0"/>
          <w:numId w:val="1406"/>
        </w:numPr>
        <w:pStyle w:val="Compact"/>
      </w:pPr>
      <w:r>
        <w:t xml:space="preserve">2017 · Gharagozli K ·</w:t>
      </w:r>
      <w:r>
        <w:t xml:space="preserve"> </w:t>
      </w:r>
      <w:r>
        <w:rPr>
          <w:iCs/>
          <w:i/>
        </w:rPr>
        <w:t xml:space="preserve">J Med Life</w:t>
      </w:r>
      <w:r>
        <w:t xml:space="preserve"> </w:t>
      </w:r>
      <w:r>
        <w:t xml:space="preserve">· Efficacy and safety of Cerebrolysin treatment in early recovery after acute ischemic stroke: a randomized, placebo-controlled, double-blinded, multicenter clinical trial. PMID 29075343</w:t>
      </w:r>
    </w:p>
    <w:p>
      <w:pPr>
        <w:numPr>
          <w:ilvl w:val="0"/>
          <w:numId w:val="1406"/>
        </w:numPr>
        <w:pStyle w:val="Compact"/>
      </w:pPr>
      <w:r>
        <w:t xml:space="preserve">2017 · Nasiri J ·</w:t>
      </w:r>
      <w:r>
        <w:t xml:space="preserve"> </w:t>
      </w:r>
      <w:r>
        <w:rPr>
          <w:iCs/>
          <w:i/>
        </w:rPr>
        <w:t xml:space="preserve">Acta Neurol Belg</w:t>
      </w:r>
      <w:r>
        <w:t xml:space="preserve"> </w:t>
      </w:r>
      <w:r>
        <w:t xml:space="preserve">· Effect of cerebrolysin on gross motor function of children with cerebral palsy: a clinical trial. PMID 28074392</w:t>
      </w:r>
    </w:p>
    <w:p>
      <w:pPr>
        <w:numPr>
          <w:ilvl w:val="0"/>
          <w:numId w:val="1406"/>
        </w:numPr>
        <w:pStyle w:val="Compact"/>
      </w:pPr>
      <w:r>
        <w:t xml:space="preserve">2016 · Khabirov FA ·</w:t>
      </w:r>
      <w:r>
        <w:t xml:space="preserve"> </w:t>
      </w:r>
      <w:r>
        <w:rPr>
          <w:iCs/>
          <w:i/>
        </w:rPr>
        <w:t xml:space="preserve">Zh Nevrol Psikhiatr Im S S Korsakova</w:t>
      </w:r>
      <w:r>
        <w:t xml:space="preserve"> </w:t>
      </w:r>
      <w:r>
        <w:t xml:space="preserve">· [Effect of cerebrolysin on remyelination processes in multiple sclerosis patients in stage of relapse regression]. PMID 28139626</w:t>
      </w:r>
    </w:p>
    <w:p>
      <w:pPr>
        <w:numPr>
          <w:ilvl w:val="0"/>
          <w:numId w:val="1406"/>
        </w:numPr>
        <w:pStyle w:val="Compact"/>
      </w:pPr>
      <w:r>
        <w:t xml:space="preserve">2016 · Iznak AF ·</w:t>
      </w:r>
      <w:r>
        <w:t xml:space="preserve"> </w:t>
      </w:r>
      <w:r>
        <w:rPr>
          <w:iCs/>
          <w:i/>
        </w:rPr>
        <w:t xml:space="preserve">Zh Nevrol Psikhiatr Im S S Korsakova</w:t>
      </w:r>
      <w:r>
        <w:t xml:space="preserve"> </w:t>
      </w:r>
      <w:r>
        <w:t xml:space="preserve">· [Comparative dynamics of EEG parameters in elderly depressive patients during monotherapy and combined therapy]. PMID 26977625</w:t>
      </w:r>
    </w:p>
    <w:p>
      <w:pPr>
        <w:numPr>
          <w:ilvl w:val="0"/>
          <w:numId w:val="1406"/>
        </w:numPr>
        <w:pStyle w:val="Compact"/>
      </w:pPr>
      <w:r>
        <w:t xml:space="preserve">2016 · Chang WH ·</w:t>
      </w:r>
      <w:r>
        <w:t xml:space="preserve"> </w:t>
      </w:r>
      <w:r>
        <w:rPr>
          <w:iCs/>
          <w:i/>
        </w:rPr>
        <w:t xml:space="preserve">BMC Neurol</w:t>
      </w:r>
      <w:r>
        <w:t xml:space="preserve"> </w:t>
      </w:r>
      <w:r>
        <w:t xml:space="preserve">· Cerebrolysin combined with rehabilitation promotes motor recovery in patients with severe motor impairment after stroke. PMID 26934986</w:t>
      </w:r>
    </w:p>
    <w:p>
      <w:pPr>
        <w:numPr>
          <w:ilvl w:val="0"/>
          <w:numId w:val="1406"/>
        </w:numPr>
        <w:pStyle w:val="Compact"/>
      </w:pPr>
      <w:r>
        <w:t xml:space="preserve">2016 · Muresanu DF ·</w:t>
      </w:r>
      <w:r>
        <w:t xml:space="preserve"> </w:t>
      </w:r>
      <w:r>
        <w:rPr>
          <w:iCs/>
          <w:i/>
        </w:rPr>
        <w:t xml:space="preserve">Stroke</w:t>
      </w:r>
      <w:r>
        <w:t xml:space="preserve"> </w:t>
      </w:r>
      <w:r>
        <w:t xml:space="preserve">· Cerebrolysin and Recovery After Stroke (CARS): A Randomized, Placebo-Controlled, Double-Blind, Multicenter Trial. PMID 26564102</w:t>
      </w:r>
    </w:p>
    <w:p>
      <w:pPr>
        <w:numPr>
          <w:ilvl w:val="0"/>
          <w:numId w:val="1406"/>
        </w:numPr>
        <w:pStyle w:val="Compact"/>
      </w:pPr>
      <w:r>
        <w:t xml:space="preserve">2015 · Shishkova VN ·</w:t>
      </w:r>
      <w:r>
        <w:t xml:space="preserve"> </w:t>
      </w:r>
      <w:r>
        <w:rPr>
          <w:iCs/>
          <w:i/>
        </w:rPr>
        <w:t xml:space="preserve">Zh Nevrol Psikhiatr Im S S Korsakova</w:t>
      </w:r>
      <w:r>
        <w:t xml:space="preserve"> </w:t>
      </w:r>
      <w:r>
        <w:t xml:space="preserve">· [An assessment of cerebrolysin effect on BDNF level in patients with post stroke aphasia depending on carbohydrate metabolism disorders]. PMID 26356162</w:t>
      </w:r>
    </w:p>
    <w:p>
      <w:pPr>
        <w:numPr>
          <w:ilvl w:val="0"/>
          <w:numId w:val="1406"/>
        </w:numPr>
        <w:pStyle w:val="Compact"/>
      </w:pPr>
      <w:r>
        <w:t xml:space="preserve">2014 · Talypov AE ·</w:t>
      </w:r>
      <w:r>
        <w:t xml:space="preserve"> </w:t>
      </w:r>
      <w:r>
        <w:rPr>
          <w:iCs/>
          <w:i/>
        </w:rPr>
        <w:t xml:space="preserve">Zh Nevrol Psikhiatr Im S S Korsakova</w:t>
      </w:r>
      <w:r>
        <w:t xml:space="preserve"> </w:t>
      </w:r>
      <w:r>
        <w:t xml:space="preserve">· [Cerebrolysin in the treatment of brain injuries of moderate severity]. PMID 25591645</w:t>
      </w:r>
    </w:p>
    <w:p>
      <w:pPr>
        <w:numPr>
          <w:ilvl w:val="0"/>
          <w:numId w:val="1406"/>
        </w:numPr>
        <w:pStyle w:val="Compact"/>
      </w:pPr>
      <w:r>
        <w:t xml:space="preserve">2014 · Anisimova AV ·</w:t>
      </w:r>
      <w:r>
        <w:t xml:space="preserve"> </w:t>
      </w:r>
      <w:r>
        <w:rPr>
          <w:iCs/>
          <w:i/>
        </w:rPr>
        <w:t xml:space="preserve">Zh Nevrol Psikhiatr Im S S Korsakova</w:t>
      </w:r>
      <w:r>
        <w:t xml:space="preserve"> </w:t>
      </w:r>
      <w:r>
        <w:t xml:space="preserve">· [An impact of neuroprotective therapy on blood rheological and morphodensitometric parameters in patients with chronic cerebral ischemia]. PMID 25591521</w:t>
      </w:r>
    </w:p>
    <w:p>
      <w:pPr>
        <w:numPr>
          <w:ilvl w:val="0"/>
          <w:numId w:val="1406"/>
        </w:numPr>
        <w:pStyle w:val="Compact"/>
      </w:pPr>
      <w:r>
        <w:t xml:space="preserve">2014 · Anisimova AV ·</w:t>
      </w:r>
      <w:r>
        <w:t xml:space="preserve"> </w:t>
      </w:r>
      <w:r>
        <w:rPr>
          <w:iCs/>
          <w:i/>
        </w:rPr>
        <w:t xml:space="preserve">Zh Nevrol Psikhiatr Im S S Korsakova</w:t>
      </w:r>
      <w:r>
        <w:t xml:space="preserve"> </w:t>
      </w:r>
      <w:r>
        <w:t xml:space="preserve">· [Neuroprotective treatment of chronic cerebrovascular insufficiency]. PMID 25176263</w:t>
      </w:r>
    </w:p>
    <w:p>
      <w:pPr>
        <w:numPr>
          <w:ilvl w:val="0"/>
          <w:numId w:val="1406"/>
        </w:numPr>
        <w:pStyle w:val="Compact"/>
      </w:pPr>
      <w:r>
        <w:t xml:space="preserve">2013 · Zavadenko NN ·</w:t>
      </w:r>
      <w:r>
        <w:t xml:space="preserve"> </w:t>
      </w:r>
      <w:r>
        <w:rPr>
          <w:iCs/>
          <w:i/>
        </w:rPr>
        <w:t xml:space="preserve">Zh Nevrol Psikhiatr Im S S Korsakova</w:t>
      </w:r>
      <w:r>
        <w:t xml:space="preserve"> </w:t>
      </w:r>
      <w:r>
        <w:t xml:space="preserve">· [Developmental dysphasia in children: perspectives of neurotrophic therapy]. PMID 23739513</w:t>
      </w:r>
    </w:p>
    <w:p>
      <w:pPr>
        <w:numPr>
          <w:ilvl w:val="0"/>
          <w:numId w:val="1406"/>
        </w:numPr>
        <w:pStyle w:val="Compact"/>
      </w:pPr>
      <w:r>
        <w:t xml:space="preserve">2013 · Chen CC ·</w:t>
      </w:r>
      <w:r>
        <w:t xml:space="preserve"> </w:t>
      </w:r>
      <w:r>
        <w:rPr>
          <w:iCs/>
          <w:i/>
        </w:rPr>
        <w:t xml:space="preserve">Br J Neurosurg</w:t>
      </w:r>
      <w:r>
        <w:t xml:space="preserve"> </w:t>
      </w:r>
      <w:r>
        <w:t xml:space="preserve">· Cerebrolysin enhances cognitive recovery of mild traumatic brain injury patients: double-blind, placebo-controlled, randomized study. PMID 23656173</w:t>
      </w:r>
    </w:p>
    <w:p>
      <w:pPr>
        <w:numPr>
          <w:ilvl w:val="0"/>
          <w:numId w:val="1406"/>
        </w:numPr>
        <w:pStyle w:val="Compact"/>
      </w:pPr>
      <w:r>
        <w:t xml:space="preserve">2013 · Lang W ·</w:t>
      </w:r>
      <w:r>
        <w:t xml:space="preserve"> </w:t>
      </w:r>
      <w:r>
        <w:rPr>
          <w:iCs/>
          <w:i/>
        </w:rPr>
        <w:t xml:space="preserve">Int J Stroke</w:t>
      </w:r>
      <w:r>
        <w:t xml:space="preserve"> </w:t>
      </w:r>
      <w:r>
        <w:t xml:space="preserve">· A prospective, randomized, placebo-controlled, double-blind trial about safety and efficacy of combined treatment with alteplase (rt-PA) and Cerebrolysin in acute ischaemic hemispheric stroke. PMID 23009193</w:t>
      </w:r>
    </w:p>
    <w:p>
      <w:pPr>
        <w:numPr>
          <w:ilvl w:val="0"/>
          <w:numId w:val="1406"/>
        </w:numPr>
        <w:pStyle w:val="Compact"/>
      </w:pPr>
      <w:r>
        <w:t xml:space="preserve">2012 · Xiao S ·</w:t>
      </w:r>
      <w:r>
        <w:t xml:space="preserve"> </w:t>
      </w:r>
      <w:r>
        <w:rPr>
          <w:iCs/>
          <w:i/>
        </w:rPr>
        <w:t xml:space="preserve">Aust N Z J Psychiatry</w:t>
      </w:r>
      <w:r>
        <w:t xml:space="preserve"> </w:t>
      </w:r>
      <w:r>
        <w:t xml:space="preserve">· Therapeutic effects of cerebrolysin added to risperidone in patients with schizophrenia dominated by negative symptoms. PMID 22311531</w:t>
      </w:r>
    </w:p>
    <w:p>
      <w:pPr>
        <w:numPr>
          <w:ilvl w:val="0"/>
          <w:numId w:val="1406"/>
        </w:numPr>
        <w:pStyle w:val="Compact"/>
      </w:pPr>
      <w:r>
        <w:t xml:space="preserve">2012 · Heiss WD ·</w:t>
      </w:r>
      <w:r>
        <w:t xml:space="preserve"> </w:t>
      </w:r>
      <w:r>
        <w:rPr>
          <w:iCs/>
          <w:i/>
        </w:rPr>
        <w:t xml:space="preserve">Stroke</w:t>
      </w:r>
      <w:r>
        <w:t xml:space="preserve"> </w:t>
      </w:r>
      <w:r>
        <w:t xml:space="preserve">· Cerebrolysin in patients with acute ischemic stroke in Asia: results of a double-blind, placebo-controlled randomized trial. PMID 22282884</w:t>
      </w:r>
    </w:p>
    <w:p>
      <w:pPr>
        <w:numPr>
          <w:ilvl w:val="0"/>
          <w:numId w:val="1406"/>
        </w:numPr>
        <w:pStyle w:val="Compact"/>
      </w:pPr>
      <w:r>
        <w:t xml:space="preserve">2011 · Ershov VI ·</w:t>
      </w:r>
      <w:r>
        <w:t xml:space="preserve"> </w:t>
      </w:r>
      <w:r>
        <w:rPr>
          <w:iCs/>
          <w:i/>
        </w:rPr>
        <w:t xml:space="preserve">Zh Nevrol Psikhiatr Im S S Korsakova</w:t>
      </w:r>
      <w:r>
        <w:t xml:space="preserve"> </w:t>
      </w:r>
      <w:r>
        <w:t xml:space="preserve">· [Comparative aspects of using neuroprotectors in the management of patients with ischemic stroke]. PMID 22224244</w:t>
      </w:r>
    </w:p>
    <w:p>
      <w:pPr>
        <w:numPr>
          <w:ilvl w:val="0"/>
          <w:numId w:val="1406"/>
        </w:numPr>
        <w:pStyle w:val="Compact"/>
      </w:pPr>
      <w:r>
        <w:t xml:space="preserve">2011 · Alvarez XA ·</w:t>
      </w:r>
      <w:r>
        <w:t xml:space="preserve"> </w:t>
      </w:r>
      <w:r>
        <w:rPr>
          <w:iCs/>
          <w:i/>
        </w:rPr>
        <w:t xml:space="preserve">Curr Alzheimer Res</w:t>
      </w:r>
      <w:r>
        <w:t xml:space="preserve"> </w:t>
      </w:r>
      <w:r>
        <w:t xml:space="preserve">· Combination treatment in Alzheimer’s disease: results of a randomized, controlled trial with cerebrolysin and donepezil. PMID 21679156</w:t>
      </w:r>
    </w:p>
    <w:p>
      <w:pPr>
        <w:numPr>
          <w:ilvl w:val="0"/>
          <w:numId w:val="1406"/>
        </w:numPr>
        <w:pStyle w:val="Compact"/>
      </w:pPr>
      <w:r>
        <w:t xml:space="preserve">2011 · Zhivolupov SA ·</w:t>
      </w:r>
      <w:r>
        <w:t xml:space="preserve"> </w:t>
      </w:r>
      <w:r>
        <w:rPr>
          <w:iCs/>
          <w:i/>
        </w:rPr>
        <w:t xml:space="preserve">Zh Nevrol Psikhiatr Im S S Korsakova</w:t>
      </w:r>
      <w:r>
        <w:t xml:space="preserve"> </w:t>
      </w:r>
      <w:r>
        <w:t xml:space="preserve">· [The сomparative analysis of neyromidin and cerebrolysin effects on neurodynamic processes during craniocerebral injury]. PMID 21512498</w:t>
      </w:r>
    </w:p>
    <w:p>
      <w:pPr>
        <w:numPr>
          <w:ilvl w:val="0"/>
          <w:numId w:val="1406"/>
        </w:numPr>
        <w:pStyle w:val="Compact"/>
      </w:pPr>
      <w:r>
        <w:t xml:space="preserve">2011 · Bogdanov EI ·</w:t>
      </w:r>
      <w:r>
        <w:t xml:space="preserve"> </w:t>
      </w:r>
      <w:r>
        <w:rPr>
          <w:iCs/>
          <w:i/>
        </w:rPr>
        <w:t xml:space="preserve">Zh Nevrol Psikhiatr Im S S Korsakova</w:t>
      </w:r>
      <w:r>
        <w:t xml:space="preserve"> </w:t>
      </w:r>
      <w:r>
        <w:t xml:space="preserve">· [Efficiency of cerebrolysin in the diabetic polyneuropathy in patients with insulin-dependency diabetes mellitus]. PMID 21350421</w:t>
      </w:r>
    </w:p>
    <w:p>
      <w:pPr>
        <w:numPr>
          <w:ilvl w:val="0"/>
          <w:numId w:val="1406"/>
        </w:numPr>
        <w:pStyle w:val="Compact"/>
      </w:pPr>
      <w:r>
        <w:t xml:space="preserve">2011 · Guekht AB ·</w:t>
      </w:r>
      <w:r>
        <w:t xml:space="preserve"> </w:t>
      </w:r>
      <w:r>
        <w:rPr>
          <w:iCs/>
          <w:i/>
        </w:rPr>
        <w:t xml:space="preserve">J Stroke Cerebrovasc Dis</w:t>
      </w:r>
      <w:r>
        <w:t xml:space="preserve"> </w:t>
      </w:r>
      <w:r>
        <w:t xml:space="preserve">· Cerebrolysin in vascular dementia: improvement of clinical outcome in a randomized, double-blind, placebo-controlled multicenter trial. PMID 20656516</w:t>
      </w:r>
    </w:p>
    <w:p>
      <w:pPr>
        <w:numPr>
          <w:ilvl w:val="0"/>
          <w:numId w:val="1406"/>
        </w:numPr>
        <w:pStyle w:val="Compact"/>
      </w:pPr>
      <w:r>
        <w:t xml:space="preserve">2011 · Alvarez XA ·</w:t>
      </w:r>
      <w:r>
        <w:t xml:space="preserve"> </w:t>
      </w:r>
      <w:r>
        <w:rPr>
          <w:iCs/>
          <w:i/>
        </w:rPr>
        <w:t xml:space="preserve">Eur J Neurol</w:t>
      </w:r>
      <w:r>
        <w:t xml:space="preserve"> </w:t>
      </w:r>
      <w:r>
        <w:t xml:space="preserve">· Efficacy and safety of Cerebrolysin in moderate to moderately severe Alzheimer’s disease: results of a randomized, double-blind, controlled trial investigating three dosages of Cerebrolysin. PMID 20500802</w:t>
      </w:r>
    </w:p>
    <w:p>
      <w:pPr>
        <w:numPr>
          <w:ilvl w:val="0"/>
          <w:numId w:val="1406"/>
        </w:numPr>
        <w:pStyle w:val="Compact"/>
      </w:pPr>
      <w:r>
        <w:t xml:space="preserve">2010 · Shamalov NA ·</w:t>
      </w:r>
      <w:r>
        <w:t xml:space="preserve"> </w:t>
      </w:r>
      <w:r>
        <w:rPr>
          <w:iCs/>
          <w:i/>
        </w:rPr>
        <w:t xml:space="preserve">Zh Nevrol Psikhiatr Im S S Korsakova</w:t>
      </w:r>
      <w:r>
        <w:t xml:space="preserve"> </w:t>
      </w:r>
      <w:r>
        <w:t xml:space="preserve">· [The effect of cerebrolysin in dosage 50 ml on the volume of lesion in ischemic stroke]. PMID 21626816</w:t>
      </w:r>
    </w:p>
    <w:p>
      <w:pPr>
        <w:numPr>
          <w:ilvl w:val="0"/>
          <w:numId w:val="1406"/>
        </w:numPr>
        <w:pStyle w:val="Compact"/>
      </w:pPr>
      <w:r>
        <w:t xml:space="preserve">2010 · Iznak EV ·</w:t>
      </w:r>
      <w:r>
        <w:t xml:space="preserve"> </w:t>
      </w:r>
      <w:r>
        <w:rPr>
          <w:iCs/>
          <w:i/>
        </w:rPr>
        <w:t xml:space="preserve">Zh Nevrol Psikhiatr Im S S Korsakova</w:t>
      </w:r>
      <w:r>
        <w:t xml:space="preserve"> </w:t>
      </w:r>
      <w:r>
        <w:t xml:space="preserve">· [Electrophysiological correlates of efficacy of nootropic drugs in the treatment of consequences of traumatic brain injury in adolescents]. PMID 21322822</w:t>
      </w:r>
    </w:p>
    <w:p>
      <w:pPr>
        <w:numPr>
          <w:ilvl w:val="0"/>
          <w:numId w:val="1406"/>
        </w:numPr>
        <w:pStyle w:val="Compact"/>
      </w:pPr>
      <w:r>
        <w:t xml:space="preserve">2010 · Bajenaru O ·</w:t>
      </w:r>
      <w:r>
        <w:t xml:space="preserve"> </w:t>
      </w:r>
      <w:r>
        <w:rPr>
          <w:iCs/>
          <w:i/>
        </w:rPr>
        <w:t xml:space="preserve">J Med Life</w:t>
      </w:r>
      <w:r>
        <w:t xml:space="preserve"> </w:t>
      </w:r>
      <w:r>
        <w:t xml:space="preserve">· Efficacy and safety of Cerebrolysin in patients with hemorrhagic stroke. PMID 20968198</w:t>
      </w:r>
    </w:p>
    <w:p>
      <w:pPr>
        <w:numPr>
          <w:ilvl w:val="0"/>
          <w:numId w:val="1406"/>
        </w:numPr>
        <w:pStyle w:val="Compact"/>
      </w:pPr>
      <w:r>
        <w:t xml:space="preserve">2010 · Jianu DC ·</w:t>
      </w:r>
      <w:r>
        <w:t xml:space="preserve"> </w:t>
      </w:r>
      <w:r>
        <w:rPr>
          <w:iCs/>
          <w:i/>
        </w:rPr>
        <w:t xml:space="preserve">J Med Life</w:t>
      </w:r>
      <w:r>
        <w:t xml:space="preserve"> </w:t>
      </w:r>
      <w:r>
        <w:t xml:space="preserve">· Cerebrolysin adjuvant treatment in Broca’s aphasics following first acute ischemic stroke of the left middle cerebral artery. PMID 20945821</w:t>
      </w:r>
    </w:p>
    <w:p>
      <w:pPr>
        <w:numPr>
          <w:ilvl w:val="0"/>
          <w:numId w:val="1406"/>
        </w:numPr>
        <w:pStyle w:val="Compact"/>
      </w:pPr>
      <w:r>
        <w:t xml:space="preserve">2010 · Muresanu DF ·</w:t>
      </w:r>
      <w:r>
        <w:t xml:space="preserve"> </w:t>
      </w:r>
      <w:r>
        <w:rPr>
          <w:iCs/>
          <w:i/>
        </w:rPr>
        <w:t xml:space="preserve">J Neurol Sci</w:t>
      </w:r>
      <w:r>
        <w:t xml:space="preserve"> </w:t>
      </w:r>
      <w:r>
        <w:t xml:space="preserve">· Persistence of the effects of Cerebrolysin on cognition and qEEG slowing in vascular dementia patients: results of a 3-month extension study. PMID 20923712</w:t>
      </w:r>
    </w:p>
    <w:p>
      <w:pPr>
        <w:numPr>
          <w:ilvl w:val="0"/>
          <w:numId w:val="1406"/>
        </w:numPr>
        <w:pStyle w:val="Compact"/>
      </w:pPr>
      <w:r>
        <w:t xml:space="preserve">2010 · ·</w:t>
      </w:r>
      <w:r>
        <w:t xml:space="preserve"> </w:t>
      </w:r>
      <w:r>
        <w:rPr>
          <w:iCs/>
          <w:i/>
        </w:rPr>
        <w:t xml:space="preserve">Zh Nevrol Psikhiatr Im S S Korsakova</w:t>
      </w:r>
      <w:r>
        <w:t xml:space="preserve"> </w:t>
      </w:r>
      <w:r>
        <w:t xml:space="preserve">· [Electrophysiological correlates of efficacy of nootropic drugs in the treatment of consequences of traumatic brain injury in adolescents]. PMID 20559264</w:t>
      </w:r>
    </w:p>
    <w:p>
      <w:pPr>
        <w:numPr>
          <w:ilvl w:val="0"/>
          <w:numId w:val="1406"/>
        </w:numPr>
        <w:pStyle w:val="Compact"/>
      </w:pPr>
      <w:r>
        <w:t xml:space="preserve">2010 · Gavrilova SI ·</w:t>
      </w:r>
      <w:r>
        <w:t xml:space="preserve"> </w:t>
      </w:r>
      <w:r>
        <w:rPr>
          <w:iCs/>
          <w:i/>
        </w:rPr>
        <w:t xml:space="preserve">Zh Nevrol Psikhiatr Im S S Korsakova</w:t>
      </w:r>
      <w:r>
        <w:t xml:space="preserve"> </w:t>
      </w:r>
      <w:r>
        <w:t xml:space="preserve">· [Possibilities of preventive treatment of Alzheimer’s disease: results of the 3-year open prospective comparative study on efficacy and safety of the course therapy with cerebrolysin and cavinton in elderly patients with the syndrome of mild cognitive impairment]. PMID 20436440</w:t>
      </w:r>
    </w:p>
    <w:p>
      <w:pPr>
        <w:numPr>
          <w:ilvl w:val="0"/>
          <w:numId w:val="1406"/>
        </w:numPr>
        <w:pStyle w:val="Compact"/>
      </w:pPr>
      <w:r>
        <w:t xml:space="preserve">2009 · Hong Z ·</w:t>
      </w:r>
      <w:r>
        <w:t xml:space="preserve"> </w:t>
      </w:r>
      <w:r>
        <w:rPr>
          <w:iCs/>
          <w:i/>
        </w:rPr>
        <w:t xml:space="preserve">Int J Stroke</w:t>
      </w:r>
      <w:r>
        <w:t xml:space="preserve"> </w:t>
      </w:r>
      <w:r>
        <w:t xml:space="preserve">· A double-blind, placebo-controlled, randomized trial to evaluate the safety and efficacy of Cerebrolysin in patients with acute ischaemic stroke in Asia–CASTA. PMID 19765131</w:t>
      </w:r>
    </w:p>
    <w:p>
      <w:pPr>
        <w:numPr>
          <w:ilvl w:val="0"/>
          <w:numId w:val="1406"/>
        </w:numPr>
        <w:pStyle w:val="Compact"/>
      </w:pPr>
      <w:r>
        <w:t xml:space="preserve">2009 · Alvarez XA ·</w:t>
      </w:r>
      <w:r>
        <w:t xml:space="preserve"> </w:t>
      </w:r>
      <w:r>
        <w:rPr>
          <w:iCs/>
          <w:i/>
        </w:rPr>
        <w:t xml:space="preserve">Int J Neuropsychopharmacol</w:t>
      </w:r>
      <w:r>
        <w:t xml:space="preserve"> </w:t>
      </w:r>
      <w:r>
        <w:t xml:space="preserve">· Reduced TNF-α and increased IGF-I levels in the serum of Alzheimer’s disease patients treated with the neurotrophic agent cerebrolysin. PMID 19531281</w:t>
      </w:r>
    </w:p>
    <w:p>
      <w:pPr>
        <w:numPr>
          <w:ilvl w:val="0"/>
          <w:numId w:val="1406"/>
        </w:numPr>
        <w:pStyle w:val="Compact"/>
      </w:pPr>
      <w:r>
        <w:t xml:space="preserve">2009 · Maksimova MIu ·</w:t>
      </w:r>
      <w:r>
        <w:t xml:space="preserve"> </w:t>
      </w:r>
      <w:r>
        <w:rPr>
          <w:iCs/>
          <w:i/>
        </w:rPr>
        <w:t xml:space="preserve">Zh Nevrol Psikhiatr Im S S Korsakova</w:t>
      </w:r>
      <w:r>
        <w:t xml:space="preserve"> </w:t>
      </w:r>
      <w:r>
        <w:t xml:space="preserve">· [Effectiveness of cerebrolysin in hypertensive supratentorial intracranial hemorrhages: results of a randomized triple blind placebo-controled study]. PMID 19156082</w:t>
      </w:r>
    </w:p>
    <w:p>
      <w:pPr>
        <w:numPr>
          <w:ilvl w:val="0"/>
          <w:numId w:val="1406"/>
        </w:numPr>
        <w:pStyle w:val="Compact"/>
      </w:pPr>
      <w:r>
        <w:t xml:space="preserve">2008 · Kul’chikov AE ·</w:t>
      </w:r>
      <w:r>
        <w:t xml:space="preserve"> </w:t>
      </w:r>
      <w:r>
        <w:rPr>
          <w:iCs/>
          <w:i/>
        </w:rPr>
        <w:t xml:space="preserve">Eksp Klin Farmakol</w:t>
      </w:r>
      <w:r>
        <w:t xml:space="preserve"> </w:t>
      </w:r>
      <w:r>
        <w:t xml:space="preserve">· [Neuroimmunocorrection therapy for the prophylaxis of infectious complications in acute stroke patients]. PMID 19140514</w:t>
      </w:r>
    </w:p>
    <w:p>
      <w:pPr>
        <w:numPr>
          <w:ilvl w:val="0"/>
          <w:numId w:val="1406"/>
        </w:numPr>
        <w:pStyle w:val="Compact"/>
      </w:pPr>
      <w:r>
        <w:t xml:space="preserve">2008 · Serkina EV ·</w:t>
      </w:r>
      <w:r>
        <w:t xml:space="preserve"> </w:t>
      </w:r>
      <w:r>
        <w:rPr>
          <w:iCs/>
          <w:i/>
        </w:rPr>
        <w:t xml:space="preserve">Zh Nevrol Psikhiatr Im S S Korsakova</w:t>
      </w:r>
      <w:r>
        <w:t xml:space="preserve"> </w:t>
      </w:r>
      <w:r>
        <w:t xml:space="preserve">· [Cerebrolysin alleviates perinatal CNS disorders through the autoimmune modulation and antioxidant protection]. PMID 19008804</w:t>
      </w:r>
    </w:p>
    <w:p>
      <w:pPr>
        <w:numPr>
          <w:ilvl w:val="0"/>
          <w:numId w:val="1406"/>
        </w:numPr>
        <w:pStyle w:val="Compact"/>
      </w:pPr>
      <w:r>
        <w:t xml:space="preserve">2008 · Damulin IV ·</w:t>
      </w:r>
      <w:r>
        <w:t xml:space="preserve"> </w:t>
      </w:r>
      <w:r>
        <w:rPr>
          <w:iCs/>
          <w:i/>
        </w:rPr>
        <w:t xml:space="preserve">Neurosci Behav Physiol</w:t>
      </w:r>
      <w:r>
        <w:t xml:space="preserve"> </w:t>
      </w:r>
      <w:r>
        <w:t xml:space="preserve">· Effects of cerebrolysin on moderate cognitive impairments in cerebral vascular insufficiency (a clinical-electrophysiological study). PMID 18607744</w:t>
      </w:r>
    </w:p>
    <w:p>
      <w:pPr>
        <w:numPr>
          <w:ilvl w:val="0"/>
          <w:numId w:val="1406"/>
        </w:numPr>
        <w:pStyle w:val="Compact"/>
      </w:pPr>
      <w:r>
        <w:t xml:space="preserve">2008 · Alvarez XA ·</w:t>
      </w:r>
      <w:r>
        <w:t xml:space="preserve"> </w:t>
      </w:r>
      <w:r>
        <w:rPr>
          <w:iCs/>
          <w:i/>
        </w:rPr>
        <w:t xml:space="preserve">J Neural Transm (Vienna)</w:t>
      </w:r>
      <w:r>
        <w:t xml:space="preserve"> </w:t>
      </w:r>
      <w:r>
        <w:t xml:space="preserve">· Reductions in qEEG slowing over 1 year and after treatment with Cerebrolysin in patients with moderate-severe traumatic brain injury. PMID 18273537</w:t>
      </w:r>
    </w:p>
    <w:p>
      <w:pPr>
        <w:numPr>
          <w:ilvl w:val="0"/>
          <w:numId w:val="1406"/>
        </w:numPr>
        <w:pStyle w:val="Compact"/>
      </w:pPr>
      <w:r>
        <w:t xml:space="preserve">2008 · Muresanu DF ·</w:t>
      </w:r>
      <w:r>
        <w:t xml:space="preserve"> </w:t>
      </w:r>
      <w:r>
        <w:rPr>
          <w:iCs/>
          <w:i/>
        </w:rPr>
        <w:t xml:space="preserve">J Neurol Sci</w:t>
      </w:r>
      <w:r>
        <w:t xml:space="preserve"> </w:t>
      </w:r>
      <w:r>
        <w:t xml:space="preserve">· A pilot study to evaluate the effects of Cerebrolysin on cognition and qEEG in vascular dementia: cognitive improvement correlates with qEEG acceleration. PMID 18048059</w:t>
      </w:r>
    </w:p>
    <w:p>
      <w:pPr>
        <w:numPr>
          <w:ilvl w:val="0"/>
          <w:numId w:val="1406"/>
        </w:numPr>
        <w:pStyle w:val="Compact"/>
      </w:pPr>
      <w:r>
        <w:t xml:space="preserve">2007 · Damulin IV ·</w:t>
      </w:r>
      <w:r>
        <w:t xml:space="preserve"> </w:t>
      </w:r>
      <w:r>
        <w:rPr>
          <w:iCs/>
          <w:i/>
        </w:rPr>
        <w:t xml:space="preserve">Zh Nevrol Psikhiatr Im S S Korsakova</w:t>
      </w:r>
      <w:r>
        <w:t xml:space="preserve"> </w:t>
      </w:r>
      <w:r>
        <w:t xml:space="preserve">· [The effect of cerebrolysin on moderate cognitive impairment in cerebral vascular insufficiency (a clinical and electrophysiological study)]. PMID 18379494</w:t>
      </w:r>
    </w:p>
    <w:p>
      <w:pPr>
        <w:numPr>
          <w:ilvl w:val="0"/>
          <w:numId w:val="1406"/>
        </w:numPr>
        <w:pStyle w:val="Compact"/>
      </w:pPr>
      <w:r>
        <w:t xml:space="preserve">2006 · Skwortsova VI ·</w:t>
      </w:r>
      <w:r>
        <w:t xml:space="preserve"> </w:t>
      </w:r>
      <w:r>
        <w:rPr>
          <w:iCs/>
          <w:i/>
        </w:rPr>
        <w:t xml:space="preserve">Zh Nevrol Psikhiatr Im S S Korsakova</w:t>
      </w:r>
      <w:r>
        <w:t xml:space="preserve"> </w:t>
      </w:r>
      <w:r>
        <w:t xml:space="preserve">· [Results of the multicenter prospective study of cerebrolysin safety and efficacy in acute stroke]. PMID 18196634</w:t>
      </w:r>
    </w:p>
    <w:p>
      <w:pPr>
        <w:numPr>
          <w:ilvl w:val="0"/>
          <w:numId w:val="1406"/>
        </w:numPr>
        <w:pStyle w:val="Compact"/>
      </w:pPr>
      <w:r>
        <w:t xml:space="preserve">2006 · Skorokhodov AP ·</w:t>
      </w:r>
      <w:r>
        <w:t xml:space="preserve"> </w:t>
      </w:r>
      <w:r>
        <w:rPr>
          <w:iCs/>
          <w:i/>
        </w:rPr>
        <w:t xml:space="preserve">Zh Nevrol Psikhiatr Im S S Korsakova</w:t>
      </w:r>
      <w:r>
        <w:t xml:space="preserve"> </w:t>
      </w:r>
      <w:r>
        <w:t xml:space="preserve">· [Comparative analysis of efficacy of certain neuroprotectors in ischemic stroke]. PMID 18193579</w:t>
      </w:r>
    </w:p>
    <w:p>
      <w:pPr>
        <w:numPr>
          <w:ilvl w:val="0"/>
          <w:numId w:val="1406"/>
        </w:numPr>
        <w:pStyle w:val="Compact"/>
      </w:pPr>
      <w:r>
        <w:t xml:space="preserve">2006 · Gaĭtetdinova DD ·</w:t>
      </w:r>
      <w:r>
        <w:t xml:space="preserve"> </w:t>
      </w:r>
      <w:r>
        <w:rPr>
          <w:iCs/>
          <w:i/>
        </w:rPr>
        <w:t xml:space="preserve">Eksp Klin Farmakol</w:t>
      </w:r>
      <w:r>
        <w:t xml:space="preserve"> </w:t>
      </w:r>
      <w:r>
        <w:t xml:space="preserve">· [Clastogenic, aneugenic, pro- and antioxidant properties of some neurotropic preparations]. PMID 16878503</w:t>
      </w:r>
    </w:p>
    <w:p>
      <w:pPr>
        <w:numPr>
          <w:ilvl w:val="0"/>
          <w:numId w:val="1406"/>
        </w:numPr>
        <w:pStyle w:val="Compact"/>
      </w:pPr>
      <w:r>
        <w:t xml:space="preserve">2006 · Radzivil MG ·</w:t>
      </w:r>
      <w:r>
        <w:t xml:space="preserve"> </w:t>
      </w:r>
      <w:r>
        <w:rPr>
          <w:iCs/>
          <w:i/>
        </w:rPr>
        <w:t xml:space="preserve">Zh Nevrol Psikhiatr Im S S Korsakova</w:t>
      </w:r>
      <w:r>
        <w:t xml:space="preserve"> </w:t>
      </w:r>
      <w:r>
        <w:t xml:space="preserve">· [An effect of long-term cerebrolysin therapy in combination with neuroleptics on behavioral and cognitive disturbances in endogenous childhood autism]. PMID 16548370</w:t>
      </w:r>
    </w:p>
    <w:p>
      <w:pPr>
        <w:numPr>
          <w:ilvl w:val="0"/>
          <w:numId w:val="1406"/>
        </w:numPr>
        <w:pStyle w:val="Compact"/>
      </w:pPr>
      <w:r>
        <w:t xml:space="preserve">2006 · Alvarez XA ·</w:t>
      </w:r>
      <w:r>
        <w:t xml:space="preserve"> </w:t>
      </w:r>
      <w:r>
        <w:rPr>
          <w:iCs/>
          <w:i/>
        </w:rPr>
        <w:t xml:space="preserve">Eur J Neurol</w:t>
      </w:r>
      <w:r>
        <w:t xml:space="preserve"> </w:t>
      </w:r>
      <w:r>
        <w:t xml:space="preserve">· A 24-week, double-blind, placebo-controlled study of three dosages of Cerebrolysin in patients with mild to moderate Alzheimer’s disease. PMID 16420392</w:t>
      </w:r>
    </w:p>
    <w:p>
      <w:pPr>
        <w:numPr>
          <w:ilvl w:val="0"/>
          <w:numId w:val="1406"/>
        </w:numPr>
        <w:pStyle w:val="Compact"/>
      </w:pPr>
      <w:r>
        <w:t xml:space="preserve">2005 · Wong GK ·</w:t>
      </w:r>
      <w:r>
        <w:t xml:space="preserve"> </w:t>
      </w:r>
      <w:r>
        <w:rPr>
          <w:iCs/>
          <w:i/>
        </w:rPr>
        <w:t xml:space="preserve">Acta Neurochir Suppl</w:t>
      </w:r>
      <w:r>
        <w:t xml:space="preserve"> </w:t>
      </w:r>
      <w:r>
        <w:t xml:space="preserve">· Beneficial effect of cerebrolysin on moderate and severe head injury patients: result of a cohort study. PMID 16463821</w:t>
      </w:r>
    </w:p>
    <w:p>
      <w:pPr>
        <w:numPr>
          <w:ilvl w:val="0"/>
          <w:numId w:val="1406"/>
        </w:numPr>
        <w:pStyle w:val="Compact"/>
      </w:pPr>
      <w:r>
        <w:t xml:space="preserve">2005 · Gavrilova SI ·</w:t>
      </w:r>
      <w:r>
        <w:t xml:space="preserve"> </w:t>
      </w:r>
      <w:r>
        <w:rPr>
          <w:iCs/>
          <w:i/>
        </w:rPr>
        <w:t xml:space="preserve">Zh Nevrol Psikhiatr Im S S Korsakova</w:t>
      </w:r>
      <w:r>
        <w:t xml:space="preserve"> </w:t>
      </w:r>
      <w:r>
        <w:t xml:space="preserve">· [ApoE genotype and efficacy of neurotrophic and cholinergic therapy in Alzheimer’s disease]. PMID 15880838</w:t>
      </w:r>
    </w:p>
    <w:p>
      <w:pPr>
        <w:numPr>
          <w:ilvl w:val="0"/>
          <w:numId w:val="1406"/>
        </w:numPr>
        <w:pStyle w:val="Compact"/>
      </w:pPr>
      <w:r>
        <w:t xml:space="preserve">2005 · Crook TH ·</w:t>
      </w:r>
      <w:r>
        <w:t xml:space="preserve"> </w:t>
      </w:r>
      <w:r>
        <w:rPr>
          <w:iCs/>
          <w:i/>
        </w:rPr>
        <w:t xml:space="preserve">Int Clin Psychopharmacol</w:t>
      </w:r>
      <w:r>
        <w:t xml:space="preserve"> </w:t>
      </w:r>
      <w:r>
        <w:t xml:space="preserve">· Effects of N-PEP-12 on memory among older adults. PMID 15729085</w:t>
      </w:r>
    </w:p>
    <w:p>
      <w:pPr>
        <w:numPr>
          <w:ilvl w:val="0"/>
          <w:numId w:val="1406"/>
        </w:numPr>
        <w:pStyle w:val="Compact"/>
      </w:pPr>
      <w:r>
        <w:t xml:space="preserve">2005 · Roshchina IF ·</w:t>
      </w:r>
      <w:r>
        <w:t xml:space="preserve"> </w:t>
      </w:r>
      <w:r>
        <w:rPr>
          <w:iCs/>
          <w:i/>
        </w:rPr>
        <w:t xml:space="preserve">Zh Nevrol Psikhiatr Im S S Korsakova</w:t>
      </w:r>
      <w:r>
        <w:t xml:space="preserve"> </w:t>
      </w:r>
      <w:r>
        <w:t xml:space="preserve">· [Neuropsychological evaluation of long-term therapy of Alzheimer’s disease using different cerebrolysin dosages]. PMID 15704485</w:t>
      </w:r>
    </w:p>
    <w:p>
      <w:pPr>
        <w:numPr>
          <w:ilvl w:val="0"/>
          <w:numId w:val="1406"/>
        </w:numPr>
        <w:pStyle w:val="Compact"/>
      </w:pPr>
      <w:r>
        <w:t xml:space="preserve">2005 · Chukanova EI ·</w:t>
      </w:r>
      <w:r>
        <w:t xml:space="preserve"> </w:t>
      </w:r>
      <w:r>
        <w:rPr>
          <w:iCs/>
          <w:i/>
        </w:rPr>
        <w:t xml:space="preserve">Zh Nevrol Psikhiatr Im S S Korsakova</w:t>
      </w:r>
      <w:r>
        <w:t xml:space="preserve"> </w:t>
      </w:r>
      <w:r>
        <w:t xml:space="preserve">· [The effect of cerebrolysin on the clinical symptoms and the course of ischemic encephalopathy]. PMID 15704482</w:t>
      </w:r>
    </w:p>
    <w:p>
      <w:pPr>
        <w:numPr>
          <w:ilvl w:val="0"/>
          <w:numId w:val="1406"/>
        </w:numPr>
        <w:pStyle w:val="Compact"/>
      </w:pPr>
      <w:r>
        <w:t xml:space="preserve">2005 · Ladurner G ·</w:t>
      </w:r>
      <w:r>
        <w:t xml:space="preserve"> </w:t>
      </w:r>
      <w:r>
        <w:rPr>
          <w:iCs/>
          <w:i/>
        </w:rPr>
        <w:t xml:space="preserve">J Neural Transm (Vienna)</w:t>
      </w:r>
      <w:r>
        <w:t xml:space="preserve"> </w:t>
      </w:r>
      <w:r>
        <w:t xml:space="preserve">· Neuroprotective treatment with cerebrolysin in patients with acute stroke: a randomised controlled trial. PMID 15583955</w:t>
      </w:r>
    </w:p>
    <w:p>
      <w:pPr>
        <w:numPr>
          <w:ilvl w:val="0"/>
          <w:numId w:val="1406"/>
        </w:numPr>
        <w:pStyle w:val="Compact"/>
      </w:pPr>
      <w:r>
        <w:t xml:space="preserve">2004 · Skvortsova VI ·</w:t>
      </w:r>
      <w:r>
        <w:t xml:space="preserve"> </w:t>
      </w:r>
      <w:r>
        <w:rPr>
          <w:iCs/>
          <w:i/>
        </w:rPr>
        <w:t xml:space="preserve">Zh Nevrol Psikhiatr Im S S Korsakova</w:t>
      </w:r>
      <w:r>
        <w:t xml:space="preserve"> </w:t>
      </w:r>
      <w:r>
        <w:t xml:space="preserve">· [A randomized, double-blind, placebo-controlled study of Cerebrolysin safety and efficacy in the treatment of acute ischemic stroke]. PMID 15559222</w:t>
      </w:r>
    </w:p>
    <w:p>
      <w:pPr>
        <w:numPr>
          <w:ilvl w:val="0"/>
          <w:numId w:val="1406"/>
        </w:numPr>
        <w:pStyle w:val="Compact"/>
      </w:pPr>
      <w:r>
        <w:t xml:space="preserve">2003 · Alvarez XA ·</w:t>
      </w:r>
      <w:r>
        <w:t xml:space="preserve"> </w:t>
      </w:r>
      <w:r>
        <w:rPr>
          <w:iCs/>
          <w:i/>
        </w:rPr>
        <w:t xml:space="preserve">Int Clin Psychopharmacol</w:t>
      </w:r>
      <w:r>
        <w:t xml:space="preserve"> </w:t>
      </w:r>
      <w:r>
        <w:t xml:space="preserve">· Positive effects of cerebrolysin on electroencephalogram slowing, cognition and clinical outcome in patients with postacute traumatic brain injury: an exploratory study. PMID 12920387</w:t>
      </w:r>
    </w:p>
    <w:p>
      <w:pPr>
        <w:numPr>
          <w:ilvl w:val="0"/>
          <w:numId w:val="1406"/>
        </w:numPr>
        <w:pStyle w:val="Compact"/>
      </w:pPr>
      <w:r>
        <w:t xml:space="preserve">2002 · Muresanu DF ·</w:t>
      </w:r>
      <w:r>
        <w:t xml:space="preserve"> </w:t>
      </w:r>
      <w:r>
        <w:rPr>
          <w:iCs/>
          <w:i/>
        </w:rPr>
        <w:t xml:space="preserve">J Neural Transm Suppl</w:t>
      </w:r>
      <w:r>
        <w:t xml:space="preserve"> </w:t>
      </w:r>
      <w:r>
        <w:t xml:space="preserve">· Improved global function and activities of daily living in patients with AD: a placebo-controlled clinical study with the neurotrophic agent Cerebrolysin. PMID 12456070</w:t>
      </w:r>
    </w:p>
    <w:p>
      <w:pPr>
        <w:numPr>
          <w:ilvl w:val="0"/>
          <w:numId w:val="1406"/>
        </w:numPr>
        <w:pStyle w:val="Compact"/>
      </w:pPr>
      <w:r>
        <w:t xml:space="preserve">2002 · Ruether E ·</w:t>
      </w:r>
      <w:r>
        <w:t xml:space="preserve"> </w:t>
      </w:r>
      <w:r>
        <w:rPr>
          <w:iCs/>
          <w:i/>
        </w:rPr>
        <w:t xml:space="preserve">J Neural Transm Suppl</w:t>
      </w:r>
      <w:r>
        <w:t xml:space="preserve"> </w:t>
      </w:r>
      <w:r>
        <w:t xml:space="preserve">· Sustained improvement of cognition and global function in patients with moderately severe Alzheimer’s disease: a double-blind, placebo-controlled study with the neurotrophic agent Cerebrolysin. PMID 12456069</w:t>
      </w:r>
    </w:p>
    <w:p>
      <w:pPr>
        <w:numPr>
          <w:ilvl w:val="0"/>
          <w:numId w:val="1406"/>
        </w:numPr>
        <w:pStyle w:val="Compact"/>
      </w:pPr>
      <w:r>
        <w:t xml:space="preserve">2002 · Odinak MM ·</w:t>
      </w:r>
      <w:r>
        <w:t xml:space="preserve"> </w:t>
      </w:r>
      <w:r>
        <w:rPr>
          <w:iCs/>
          <w:i/>
        </w:rPr>
        <w:t xml:space="preserve">Zh Nevrol Psikhiatr Im S S Korsakova</w:t>
      </w:r>
      <w:r>
        <w:t xml:space="preserve"> </w:t>
      </w:r>
      <w:r>
        <w:t xml:space="preserve">· [New approaches to antioxidant therapy in multiple sclerosis]. PMID 12418396</w:t>
      </w:r>
    </w:p>
    <w:p>
      <w:pPr>
        <w:numPr>
          <w:ilvl w:val="0"/>
          <w:numId w:val="1406"/>
        </w:numPr>
        <w:pStyle w:val="Compact"/>
      </w:pPr>
      <w:r>
        <w:t xml:space="preserve">2002 · Panisset M ·</w:t>
      </w:r>
      <w:r>
        <w:t xml:space="preserve"> </w:t>
      </w:r>
      <w:r>
        <w:rPr>
          <w:iCs/>
          <w:i/>
        </w:rPr>
        <w:t xml:space="preserve">J Neural Transm (Vienna)</w:t>
      </w:r>
      <w:r>
        <w:t xml:space="preserve"> </w:t>
      </w:r>
      <w:r>
        <w:t xml:space="preserve">· Cerebrolysin in Alzheimer’s disease: a randomized, double-blind, placebo-controlled trial with a neurotrophic agent. PMID 12111446</w:t>
      </w:r>
    </w:p>
    <w:p>
      <w:pPr>
        <w:numPr>
          <w:ilvl w:val="0"/>
          <w:numId w:val="1406"/>
        </w:numPr>
        <w:pStyle w:val="Compact"/>
      </w:pPr>
      <w:r>
        <w:t xml:space="preserve">2001 · Gorbachevskaya N ·</w:t>
      </w:r>
      <w:r>
        <w:t xml:space="preserve"> </w:t>
      </w:r>
      <w:r>
        <w:rPr>
          <w:iCs/>
          <w:i/>
        </w:rPr>
        <w:t xml:space="preserve">Brain Dev</w:t>
      </w:r>
      <w:r>
        <w:t xml:space="preserve"> </w:t>
      </w:r>
      <w:r>
        <w:t xml:space="preserve">· Cerebrolysin therapy in Rett syndrome: clinical and EEG mapping study. PMID 11738849</w:t>
      </w:r>
    </w:p>
    <w:p>
      <w:pPr>
        <w:numPr>
          <w:ilvl w:val="0"/>
          <w:numId w:val="1406"/>
        </w:numPr>
        <w:pStyle w:val="Compact"/>
      </w:pPr>
      <w:r>
        <w:t xml:space="preserve">2001 · Ruether E ·</w:t>
      </w:r>
      <w:r>
        <w:t xml:space="preserve"> </w:t>
      </w:r>
      <w:r>
        <w:rPr>
          <w:iCs/>
          <w:i/>
        </w:rPr>
        <w:t xml:space="preserve">Int Clin Psychopharmacol</w:t>
      </w:r>
      <w:r>
        <w:t xml:space="preserve"> </w:t>
      </w:r>
      <w:r>
        <w:t xml:space="preserve">· A 28-week, double-blind, placebo-controlled study with Cerebrolysin in patients with mild to moderate Alzheimer’s disease. PMID 11552768</w:t>
      </w:r>
    </w:p>
    <w:p>
      <w:pPr>
        <w:numPr>
          <w:ilvl w:val="0"/>
          <w:numId w:val="1406"/>
        </w:numPr>
        <w:pStyle w:val="Compact"/>
      </w:pPr>
      <w:r>
        <w:t xml:space="preserve">2001 · Vereshchagin NV ·</w:t>
      </w:r>
      <w:r>
        <w:t xml:space="preserve"> </w:t>
      </w:r>
      <w:r>
        <w:rPr>
          <w:iCs/>
          <w:i/>
        </w:rPr>
        <w:t xml:space="preserve">Ter Arkh</w:t>
      </w:r>
      <w:r>
        <w:t xml:space="preserve"> </w:t>
      </w:r>
      <w:r>
        <w:t xml:space="preserve">· [Treatment and prevention of cognitive dysfunction in patients with arterial hypertension and atherosclerosis: results of a randomized double-blind placebo-controlled trial of cerebrolysin]. PMID 11494441</w:t>
      </w:r>
    </w:p>
    <w:p>
      <w:pPr>
        <w:numPr>
          <w:ilvl w:val="0"/>
          <w:numId w:val="1406"/>
        </w:numPr>
        <w:pStyle w:val="Compact"/>
      </w:pPr>
      <w:r>
        <w:t xml:space="preserve">2000 · Bae CY ·</w:t>
      </w:r>
      <w:r>
        <w:t xml:space="preserve"> </w:t>
      </w:r>
      <w:r>
        <w:rPr>
          <w:iCs/>
          <w:i/>
        </w:rPr>
        <w:t xml:space="preserve">J Am Geriatr Soc</w:t>
      </w:r>
      <w:r>
        <w:t xml:space="preserve"> </w:t>
      </w:r>
      <w:r>
        <w:t xml:space="preserve">· A double-blind, placebo-controlled, multicenter study of Cerebrolysin for Alzheimer’s disease. PMID 11129744</w:t>
      </w:r>
    </w:p>
    <w:p>
      <w:pPr>
        <w:numPr>
          <w:ilvl w:val="0"/>
          <w:numId w:val="1406"/>
        </w:numPr>
        <w:pStyle w:val="Compact"/>
      </w:pPr>
      <w:r>
        <w:t xml:space="preserve">1999 · Roshchina IF ·</w:t>
      </w:r>
      <w:r>
        <w:t xml:space="preserve"> </w:t>
      </w:r>
      <w:r>
        <w:rPr>
          <w:iCs/>
          <w:i/>
        </w:rPr>
        <w:t xml:space="preserve">Zh Nevrol Psikhiatr Im S S Korsakova</w:t>
      </w:r>
      <w:r>
        <w:t xml:space="preserve"> </w:t>
      </w:r>
      <w:r>
        <w:t xml:space="preserve">· [The influence of cerebrolysin on the efficiency of subsequent therapy with amiridine++ in Alzheimer’s disease patients (neuropsychological investigation)]. PMID 10629930</w:t>
      </w:r>
    </w:p>
    <w:p>
      <w:pPr>
        <w:numPr>
          <w:ilvl w:val="0"/>
          <w:numId w:val="1406"/>
        </w:numPr>
        <w:pStyle w:val="Compact"/>
      </w:pPr>
      <w:r>
        <w:t xml:space="preserve">1998 · Gruzman AV ·</w:t>
      </w:r>
      <w:r>
        <w:t xml:space="preserve"> </w:t>
      </w:r>
      <w:r>
        <w:rPr>
          <w:iCs/>
          <w:i/>
        </w:rPr>
        <w:t xml:space="preserve">Zh Nevrol Psikhiatr Im S S Korsakova</w:t>
      </w:r>
      <w:r>
        <w:t xml:space="preserve"> </w:t>
      </w:r>
      <w:r>
        <w:t xml:space="preserve">· [The effect of cerebrolysin intravenous injections in resistant forms of night enuresis in children]. PMID 9845942</w:t>
      </w:r>
    </w:p>
    <w:p>
      <w:pPr>
        <w:numPr>
          <w:ilvl w:val="0"/>
          <w:numId w:val="1406"/>
        </w:numPr>
        <w:pStyle w:val="Compact"/>
      </w:pPr>
      <w:r>
        <w:t xml:space="preserve">1998 · Funke M ·</w:t>
      </w:r>
      <w:r>
        <w:t xml:space="preserve"> </w:t>
      </w:r>
      <w:r>
        <w:rPr>
          <w:iCs/>
          <w:i/>
        </w:rPr>
        <w:t xml:space="preserve">J Neural Transm Suppl</w:t>
      </w:r>
      <w:r>
        <w:t xml:space="preserve"> </w:t>
      </w:r>
      <w:r>
        <w:t xml:space="preserve">· Dose-dependent effects of Cerebrolysin on EEG and short-term memory of healthy volunteers during control and hyperventilation induced cerebral ischemia. PMID 9700674</w:t>
      </w:r>
    </w:p>
    <w:p>
      <w:pPr>
        <w:numPr>
          <w:ilvl w:val="0"/>
          <w:numId w:val="1406"/>
        </w:numPr>
        <w:pStyle w:val="Compact"/>
      </w:pPr>
      <w:r>
        <w:t xml:space="preserve">1997 · Biesenbach G ·</w:t>
      </w:r>
      <w:r>
        <w:t xml:space="preserve"> </w:t>
      </w:r>
      <w:r>
        <w:rPr>
          <w:iCs/>
          <w:i/>
        </w:rPr>
        <w:t xml:space="preserve">Wien Med Wochenschr</w:t>
      </w:r>
      <w:r>
        <w:t xml:space="preserve"> </w:t>
      </w:r>
      <w:r>
        <w:t xml:space="preserve">· [Cerebrolysin in treatment of painful diabetic neuropathy]. PMID 9173675</w:t>
      </w:r>
    </w:p>
    <w:p>
      <w:pPr>
        <w:numPr>
          <w:ilvl w:val="0"/>
          <w:numId w:val="1406"/>
        </w:numPr>
        <w:pStyle w:val="Compact"/>
      </w:pPr>
      <w:r>
        <w:t xml:space="preserve">1995 · Sidorenko EI ·</w:t>
      </w:r>
      <w:r>
        <w:t xml:space="preserve"> </w:t>
      </w:r>
      <w:r>
        <w:rPr>
          <w:iCs/>
          <w:i/>
        </w:rPr>
        <w:t xml:space="preserve">Zh Nevrol Psikhiatr Im S S Korsakova</w:t>
      </w:r>
      <w:r>
        <w:t xml:space="preserve"> </w:t>
      </w:r>
      <w:r>
        <w:t xml:space="preserve">· [Cerebrolysin in the treatment of partial optic atrophy in children]. PMID 7571926</w:t>
      </w:r>
    </w:p>
    <w:p>
      <w:pPr>
        <w:numPr>
          <w:ilvl w:val="0"/>
          <w:numId w:val="1406"/>
        </w:numPr>
        <w:pStyle w:val="Compact"/>
      </w:pPr>
      <w:r>
        <w:t xml:space="preserve">1994 · Rüther E ·</w:t>
      </w:r>
      <w:r>
        <w:t xml:space="preserve"> </w:t>
      </w:r>
      <w:r>
        <w:rPr>
          <w:iCs/>
          <w:i/>
        </w:rPr>
        <w:t xml:space="preserve">Pharmacopsychiatry</w:t>
      </w:r>
      <w:r>
        <w:t xml:space="preserve"> </w:t>
      </w:r>
      <w:r>
        <w:t xml:space="preserve">· Efficacy of the peptidergic nootropic drug cerebrolysin in patients with senile dementia of the Alzheimer type (SDAT). PMID 8159781</w:t>
      </w:r>
    </w:p>
    <w:p>
      <w:pPr>
        <w:numPr>
          <w:ilvl w:val="0"/>
          <w:numId w:val="1406"/>
        </w:numPr>
        <w:pStyle w:val="Compact"/>
      </w:pPr>
      <w:r>
        <w:t xml:space="preserve">1991 · Vereshchagin NV ·</w:t>
      </w:r>
      <w:r>
        <w:t xml:space="preserve"> </w:t>
      </w:r>
      <w:r>
        <w:rPr>
          <w:iCs/>
          <w:i/>
        </w:rPr>
        <w:t xml:space="preserve">Sov Med</w:t>
      </w:r>
      <w:r>
        <w:t xml:space="preserve"> </w:t>
      </w:r>
      <w:r>
        <w:t xml:space="preserve">· [Mild forms of multi-infarct dementia: effectiveness of cerebrolysin]. PMID 1767322</w:t>
      </w:r>
    </w:p>
    <w:p>
      <w:pPr>
        <w:numPr>
          <w:ilvl w:val="0"/>
          <w:numId w:val="1406"/>
        </w:numPr>
        <w:pStyle w:val="Compact"/>
      </w:pPr>
      <w:r>
        <w:t xml:space="preserve">1990 · Kofler B ·</w:t>
      </w:r>
      <w:r>
        <w:t xml:space="preserve"> </w:t>
      </w:r>
      <w:r>
        <w:rPr>
          <w:iCs/>
          <w:i/>
        </w:rPr>
        <w:t xml:space="preserve">EEG EMG Z Elektroenzephalogr Elektromyogr Verwandte Geb</w:t>
      </w:r>
      <w:r>
        <w:t xml:space="preserve"> </w:t>
      </w:r>
      <w:r>
        <w:t xml:space="preserve">· [The usefulness of event-related negativity in demonstrating the therapeutic effects of nootropic drugs using cerebrolysin as an example]. PMID 2123433</w:t>
      </w:r>
    </w:p>
    <w:bookmarkEnd w:id="3050"/>
    <w:bookmarkStart w:id="3051" w:name="dihexa-0"/>
    <w:p>
      <w:pPr>
        <w:pStyle w:val="Heading2"/>
      </w:pPr>
      <w:r>
        <w:t xml:space="preserve">Dihexa (0)</w:t>
      </w:r>
    </w:p>
    <w:p>
      <w:pPr>
        <w:pStyle w:val="FirstParagraph"/>
      </w:pPr>
      <w:r>
        <w:t xml:space="preserve">Nessuna pubblicazione di studi clinici sull’uomo trovata.</w:t>
      </w:r>
    </w:p>
    <w:bookmarkEnd w:id="3051"/>
    <w:bookmarkStart w:id="3052" w:name="dsip-peptide-inducente-il-sonno-delta-18"/>
    <w:p>
      <w:pPr>
        <w:pStyle w:val="Heading2"/>
      </w:pPr>
      <w:r>
        <w:t xml:space="preserve">DSIP (peptide inducente il sonno delta) (18)</w:t>
      </w:r>
    </w:p>
    <w:p>
      <w:pPr>
        <w:numPr>
          <w:ilvl w:val="0"/>
          <w:numId w:val="1407"/>
        </w:numPr>
        <w:pStyle w:val="Compact"/>
      </w:pPr>
      <w:r>
        <w:t xml:space="preserve">2016 · Zhao L ·</w:t>
      </w:r>
      <w:r>
        <w:t xml:space="preserve"> </w:t>
      </w:r>
      <w:r>
        <w:rPr>
          <w:iCs/>
          <w:i/>
        </w:rPr>
        <w:t xml:space="preserve">Eur Spine J</w:t>
      </w:r>
      <w:r>
        <w:t xml:space="preserve"> </w:t>
      </w:r>
      <w:r>
        <w:t xml:space="preserve">· An RCT study on the feasibility of anterior transpedicular screw fixation in the cervicothoracic junction. PMID 26931331</w:t>
      </w:r>
    </w:p>
    <w:p>
      <w:pPr>
        <w:numPr>
          <w:ilvl w:val="0"/>
          <w:numId w:val="1407"/>
        </w:numPr>
        <w:pStyle w:val="Compact"/>
      </w:pPr>
      <w:r>
        <w:t xml:space="preserve">2014 · Kresiun NV ·</w:t>
      </w:r>
      <w:r>
        <w:t xml:space="preserve"> </w:t>
      </w:r>
      <w:r>
        <w:rPr>
          <w:iCs/>
          <w:i/>
        </w:rPr>
        <w:t xml:space="preserve">Eksp Klin Farmakol</w:t>
      </w:r>
      <w:r>
        <w:t xml:space="preserve"> </w:t>
      </w:r>
      <w:r>
        <w:t xml:space="preserve">· [Using deltalicin for the treatment of patients with diabetic retinopathy]. PMID 25739189</w:t>
      </w:r>
    </w:p>
    <w:p>
      <w:pPr>
        <w:numPr>
          <w:ilvl w:val="0"/>
          <w:numId w:val="1407"/>
        </w:numPr>
        <w:pStyle w:val="Compact"/>
      </w:pPr>
      <w:r>
        <w:t xml:space="preserve">2009 · Pomfrett CJ ·</w:t>
      </w:r>
      <w:r>
        <w:t xml:space="preserve"> </w:t>
      </w:r>
      <w:r>
        <w:rPr>
          <w:iCs/>
          <w:i/>
        </w:rPr>
        <w:t xml:space="preserve">Eur J Anaesthesiol</w:t>
      </w:r>
      <w:r>
        <w:t xml:space="preserve"> </w:t>
      </w:r>
      <w:r>
        <w:t xml:space="preserve">· Delta sleep-inducing peptide alters bispectral index, the electroencephalogram and heart rate variability when used as an adjunct to isoflurane anaesthesia. PMID 19142086</w:t>
      </w:r>
    </w:p>
    <w:p>
      <w:pPr>
        <w:numPr>
          <w:ilvl w:val="0"/>
          <w:numId w:val="1407"/>
        </w:numPr>
        <w:pStyle w:val="Compact"/>
      </w:pPr>
      <w:r>
        <w:t xml:space="preserve">1998 · Backmund M ·</w:t>
      </w:r>
      <w:r>
        <w:t xml:space="preserve"> </w:t>
      </w:r>
      <w:r>
        <w:rPr>
          <w:iCs/>
          <w:i/>
        </w:rPr>
        <w:t xml:space="preserve">J Clin Psychopharmacol</w:t>
      </w:r>
      <w:r>
        <w:t xml:space="preserve"> </w:t>
      </w:r>
      <w:r>
        <w:t xml:space="preserve">· Opioid detoxification with delta sleep-inducing peptide: results of an open clinical trial. PMID 9617990</w:t>
      </w:r>
    </w:p>
    <w:p>
      <w:pPr>
        <w:numPr>
          <w:ilvl w:val="0"/>
          <w:numId w:val="1407"/>
        </w:numPr>
        <w:pStyle w:val="Compact"/>
      </w:pPr>
      <w:r>
        <w:t xml:space="preserve">1995 · Späth-Schwalbe E ·</w:t>
      </w:r>
      <w:r>
        <w:t xml:space="preserve"> </w:t>
      </w:r>
      <w:r>
        <w:rPr>
          <w:iCs/>
          <w:i/>
        </w:rPr>
        <w:t xml:space="preserve">Psychoneuroendocrinology</w:t>
      </w:r>
      <w:r>
        <w:t xml:space="preserve"> </w:t>
      </w:r>
      <w:r>
        <w:t xml:space="preserve">· Delta-sleep-inducing peptide does not affect CRH and meal-induced ACTH and cortisol secretion. PMID 7777652</w:t>
      </w:r>
    </w:p>
    <w:p>
      <w:pPr>
        <w:numPr>
          <w:ilvl w:val="0"/>
          <w:numId w:val="1407"/>
        </w:numPr>
        <w:pStyle w:val="Compact"/>
      </w:pPr>
      <w:r>
        <w:t xml:space="preserve">1994 · Schulz P ·</w:t>
      </w:r>
      <w:r>
        <w:t xml:space="preserve"> </w:t>
      </w:r>
      <w:r>
        <w:rPr>
          <w:iCs/>
          <w:i/>
        </w:rPr>
        <w:t xml:space="preserve">Chronobiol Int</w:t>
      </w:r>
      <w:r>
        <w:t xml:space="preserve"> </w:t>
      </w:r>
      <w:r>
        <w:t xml:space="preserve">· Plasma concentration of nine hormones and neurotransmitters during usual activities or constant bed rest for 34 H. PMID 7895296</w:t>
      </w:r>
    </w:p>
    <w:p>
      <w:pPr>
        <w:numPr>
          <w:ilvl w:val="0"/>
          <w:numId w:val="1407"/>
        </w:numPr>
        <w:pStyle w:val="Compact"/>
      </w:pPr>
      <w:r>
        <w:t xml:space="preserve">1994 · Chiodera P ·</w:t>
      </w:r>
      <w:r>
        <w:t xml:space="preserve"> </w:t>
      </w:r>
      <w:r>
        <w:rPr>
          <w:iCs/>
          <w:i/>
        </w:rPr>
        <w:t xml:space="preserve">Horm Res</w:t>
      </w:r>
      <w:r>
        <w:t xml:space="preserve"> </w:t>
      </w:r>
      <w:r>
        <w:t xml:space="preserve">· Different effects of delta-sleep-inducing peptide on arginine-vasopressin and ACTH secretion in normal men. PMID 7698722</w:t>
      </w:r>
    </w:p>
    <w:p>
      <w:pPr>
        <w:numPr>
          <w:ilvl w:val="0"/>
          <w:numId w:val="1407"/>
        </w:numPr>
        <w:pStyle w:val="Compact"/>
      </w:pPr>
      <w:r>
        <w:t xml:space="preserve">1993 · Giusti M ·</w:t>
      </w:r>
      <w:r>
        <w:t xml:space="preserve"> </w:t>
      </w:r>
      <w:r>
        <w:rPr>
          <w:iCs/>
          <w:i/>
        </w:rPr>
        <w:t xml:space="preserve">Psychoneuroendocrinology</w:t>
      </w:r>
      <w:r>
        <w:t xml:space="preserve"> </w:t>
      </w:r>
      <w:r>
        <w:t xml:space="preserve">· Delta sleep-inducing peptide administration does not influence growth hormone and prolactin secretion in normal women. PMID 8475226</w:t>
      </w:r>
    </w:p>
    <w:p>
      <w:pPr>
        <w:numPr>
          <w:ilvl w:val="0"/>
          <w:numId w:val="1407"/>
        </w:numPr>
        <w:pStyle w:val="Compact"/>
      </w:pPr>
      <w:r>
        <w:t xml:space="preserve">1992 · Bes F ·</w:t>
      </w:r>
      <w:r>
        <w:t xml:space="preserve"> </w:t>
      </w:r>
      <w:r>
        <w:rPr>
          <w:iCs/>
          <w:i/>
        </w:rPr>
        <w:t xml:space="preserve">Neuropsychobiology</w:t>
      </w:r>
      <w:r>
        <w:t xml:space="preserve"> </w:t>
      </w:r>
      <w:r>
        <w:t xml:space="preserve">· Effects of delta sleep-inducing peptide on sleep of chronic insomniac patients. A double-blind study. PMID 1299794</w:t>
      </w:r>
    </w:p>
    <w:p>
      <w:pPr>
        <w:numPr>
          <w:ilvl w:val="0"/>
          <w:numId w:val="1407"/>
        </w:numPr>
        <w:pStyle w:val="Compact"/>
      </w:pPr>
      <w:r>
        <w:t xml:space="preserve">1989 · Bjartell A ·</w:t>
      </w:r>
      <w:r>
        <w:t xml:space="preserve"> </w:t>
      </w:r>
      <w:r>
        <w:rPr>
          <w:iCs/>
          <w:i/>
        </w:rPr>
        <w:t xml:space="preserve">Psychoneuroendocrinology</w:t>
      </w:r>
      <w:r>
        <w:t xml:space="preserve"> </w:t>
      </w:r>
      <w:r>
        <w:t xml:space="preserve">· Reduction of immunoreactive ACTH in plasma following intravenous injection of delta sleep-inducing peptide in man. PMID 2554357</w:t>
      </w:r>
    </w:p>
    <w:p>
      <w:pPr>
        <w:numPr>
          <w:ilvl w:val="0"/>
          <w:numId w:val="1407"/>
        </w:numPr>
        <w:pStyle w:val="Compact"/>
      </w:pPr>
      <w:r>
        <w:t xml:space="preserve">1987 · Schneider-Helmert D ·</w:t>
      </w:r>
      <w:r>
        <w:t xml:space="preserve"> </w:t>
      </w:r>
      <w:r>
        <w:rPr>
          <w:iCs/>
          <w:i/>
        </w:rPr>
        <w:t xml:space="preserve">Eur Neurol</w:t>
      </w:r>
      <w:r>
        <w:t xml:space="preserve"> </w:t>
      </w:r>
      <w:r>
        <w:t xml:space="preserve">· Effects of delta-sleep-inducing peptide on 24-hour sleep-wake behaviour in severe chronic insomnia. PMID 3622582</w:t>
      </w:r>
    </w:p>
    <w:p>
      <w:pPr>
        <w:numPr>
          <w:ilvl w:val="0"/>
          <w:numId w:val="1407"/>
        </w:numPr>
        <w:pStyle w:val="Compact"/>
      </w:pPr>
      <w:r>
        <w:t xml:space="preserve">1987 · Monti JM ·</w:t>
      </w:r>
      <w:r>
        <w:t xml:space="preserve"> </w:t>
      </w:r>
      <w:r>
        <w:rPr>
          <w:iCs/>
          <w:i/>
        </w:rPr>
        <w:t xml:space="preserve">Int J Clin Pharmacol Res</w:t>
      </w:r>
      <w:r>
        <w:t xml:space="preserve"> </w:t>
      </w:r>
      <w:r>
        <w:t xml:space="preserve">· Study of delta sleep-inducing peptide efficacy in improving sleep on short-term administration to chronic insomniacs. PMID 3583493</w:t>
      </w:r>
    </w:p>
    <w:p>
      <w:pPr>
        <w:numPr>
          <w:ilvl w:val="0"/>
          <w:numId w:val="1407"/>
        </w:numPr>
        <w:pStyle w:val="Compact"/>
      </w:pPr>
      <w:r>
        <w:t xml:space="preserve">1984 · Kaeser HE ·</w:t>
      </w:r>
      <w:r>
        <w:t xml:space="preserve"> </w:t>
      </w:r>
      <w:r>
        <w:rPr>
          <w:iCs/>
          <w:i/>
        </w:rPr>
        <w:t xml:space="preserve">Eur Neurol</w:t>
      </w:r>
      <w:r>
        <w:t xml:space="preserve"> </w:t>
      </w:r>
      <w:r>
        <w:t xml:space="preserve">· A clinical trial with DSIP. PMID 6391926</w:t>
      </w:r>
    </w:p>
    <w:p>
      <w:pPr>
        <w:numPr>
          <w:ilvl w:val="0"/>
          <w:numId w:val="1407"/>
        </w:numPr>
        <w:pStyle w:val="Compact"/>
      </w:pPr>
      <w:r>
        <w:t xml:space="preserve">1984 · Schneider-Helmert D ·</w:t>
      </w:r>
      <w:r>
        <w:t xml:space="preserve"> </w:t>
      </w:r>
      <w:r>
        <w:rPr>
          <w:iCs/>
          <w:i/>
        </w:rPr>
        <w:t xml:space="preserve">Eur Neurol</w:t>
      </w:r>
      <w:r>
        <w:t xml:space="preserve"> </w:t>
      </w:r>
      <w:r>
        <w:t xml:space="preserve">· DSIP in insomnia. PMID 6391925</w:t>
      </w:r>
    </w:p>
    <w:p>
      <w:pPr>
        <w:numPr>
          <w:ilvl w:val="0"/>
          <w:numId w:val="1407"/>
        </w:numPr>
        <w:pStyle w:val="Compact"/>
      </w:pPr>
      <w:r>
        <w:t xml:space="preserve">1983 · Schneider-Helmert D ·</w:t>
      </w:r>
      <w:r>
        <w:t xml:space="preserve"> </w:t>
      </w:r>
      <w:r>
        <w:rPr>
          <w:iCs/>
          <w:i/>
        </w:rPr>
        <w:t xml:space="preserve">Neuropsychobiology</w:t>
      </w:r>
      <w:r>
        <w:t xml:space="preserve"> </w:t>
      </w:r>
      <w:r>
        <w:t xml:space="preserve">· Effects of DSIP in man. Multifunctional psychophysiological properties besides induction of natural sleep. PMID 6689058</w:t>
      </w:r>
    </w:p>
    <w:p>
      <w:pPr>
        <w:numPr>
          <w:ilvl w:val="0"/>
          <w:numId w:val="1407"/>
        </w:numPr>
        <w:pStyle w:val="Compact"/>
      </w:pPr>
      <w:r>
        <w:t xml:space="preserve">1981 · Schneider-Helmert D ·</w:t>
      </w:r>
      <w:r>
        <w:t xml:space="preserve"> </w:t>
      </w:r>
      <w:r>
        <w:rPr>
          <w:iCs/>
          <w:i/>
        </w:rPr>
        <w:t xml:space="preserve">Experientia</w:t>
      </w:r>
      <w:r>
        <w:t xml:space="preserve"> </w:t>
      </w:r>
      <w:r>
        <w:t xml:space="preserve">· The influence of synthetic DSIP (delta-sleep-inducing-peptide) on disturbed human sleep. PMID 7028502</w:t>
      </w:r>
    </w:p>
    <w:p>
      <w:pPr>
        <w:numPr>
          <w:ilvl w:val="0"/>
          <w:numId w:val="1407"/>
        </w:numPr>
        <w:pStyle w:val="Compact"/>
      </w:pPr>
      <w:r>
        <w:t xml:space="preserve">1981 · Schneider-Helmert D ·</w:t>
      </w:r>
      <w:r>
        <w:t xml:space="preserve"> </w:t>
      </w:r>
      <w:r>
        <w:rPr>
          <w:iCs/>
          <w:i/>
        </w:rPr>
        <w:t xml:space="preserve">Int J Clin Pharmacol Ther Toxicol</w:t>
      </w:r>
      <w:r>
        <w:t xml:space="preserve"> </w:t>
      </w:r>
      <w:r>
        <w:t xml:space="preserve">· Acute and delayed effects of DSIP (delta sleep-inducing peptide) on human sleep behavior. PMID 6895513</w:t>
      </w:r>
    </w:p>
    <w:p>
      <w:pPr>
        <w:numPr>
          <w:ilvl w:val="0"/>
          <w:numId w:val="1407"/>
        </w:numPr>
        <w:pStyle w:val="Compact"/>
      </w:pPr>
      <w:r>
        <w:t xml:space="preserve">1981 · Schneider-Helmert D ·</w:t>
      </w:r>
      <w:r>
        <w:t xml:space="preserve"> </w:t>
      </w:r>
      <w:r>
        <w:rPr>
          <w:iCs/>
          <w:i/>
        </w:rPr>
        <w:t xml:space="preserve">Lancet</w:t>
      </w:r>
      <w:r>
        <w:t xml:space="preserve"> </w:t>
      </w:r>
      <w:r>
        <w:t xml:space="preserve">· Synthetic delta-sleep-inducing peptide improves sleep in insomniacs. PMID 6112579</w:t>
      </w:r>
    </w:p>
    <w:bookmarkEnd w:id="3052"/>
    <w:bookmarkStart w:id="3053" w:name="epitalon-epithalon-1"/>
    <w:p>
      <w:pPr>
        <w:pStyle w:val="Heading2"/>
      </w:pPr>
      <w:r>
        <w:t xml:space="preserve">Epitalon (Epithalon) (1)</w:t>
      </w:r>
    </w:p>
    <w:p>
      <w:pPr>
        <w:numPr>
          <w:ilvl w:val="0"/>
          <w:numId w:val="1408"/>
        </w:numPr>
        <w:pStyle w:val="Compact"/>
      </w:pPr>
      <w:r>
        <w:t xml:space="preserve">2002 · Khavinson V ·</w:t>
      </w:r>
      <w:r>
        <w:t xml:space="preserve"> </w:t>
      </w:r>
      <w:r>
        <w:rPr>
          <w:iCs/>
          <w:i/>
        </w:rPr>
        <w:t xml:space="preserve">Neuro Endocrinol Lett</w:t>
      </w:r>
      <w:r>
        <w:t xml:space="preserve"> </w:t>
      </w:r>
      <w:r>
        <w:t xml:space="preserve">· Pineal-regulating tetrapeptide epitalon improves eye retina condition in retinitis pigmentosa. PMID 12195242</w:t>
      </w:r>
    </w:p>
    <w:bookmarkEnd w:id="3053"/>
    <w:bookmarkStart w:id="3054" w:name="pinealon-1"/>
    <w:p>
      <w:pPr>
        <w:pStyle w:val="Heading2"/>
      </w:pPr>
      <w:r>
        <w:t xml:space="preserve">Pinealon (1)</w:t>
      </w:r>
    </w:p>
    <w:p>
      <w:pPr>
        <w:numPr>
          <w:ilvl w:val="0"/>
          <w:numId w:val="1409"/>
        </w:numPr>
        <w:pStyle w:val="Compact"/>
      </w:pPr>
      <w:r>
        <w:t xml:space="preserve">2012 · Bashkireva AS ·</w:t>
      </w:r>
      <w:r>
        <w:t xml:space="preserve"> </w:t>
      </w:r>
      <w:r>
        <w:rPr>
          <w:iCs/>
          <w:i/>
        </w:rPr>
        <w:t xml:space="preserve">Adv Gerontol</w:t>
      </w:r>
      <w:r>
        <w:t xml:space="preserve"> </w:t>
      </w:r>
      <w:r>
        <w:t xml:space="preserve">· [The peptide correction of neurotic disorders among professional truck-drivers]. PMID 23734521</w:t>
      </w:r>
    </w:p>
    <w:bookmarkEnd w:id="3054"/>
    <w:bookmarkStart w:id="3055" w:name="mots-c-5"/>
    <w:p>
      <w:pPr>
        <w:pStyle w:val="Heading2"/>
      </w:pPr>
      <w:r>
        <w:t xml:space="preserve">MOTS-c (5)</w:t>
      </w:r>
    </w:p>
    <w:p>
      <w:pPr>
        <w:numPr>
          <w:ilvl w:val="0"/>
          <w:numId w:val="1410"/>
        </w:numPr>
        <w:pStyle w:val="Compact"/>
      </w:pPr>
      <w:r>
        <w:t xml:space="preserve">2025 · Elhusseiny R ·</w:t>
      </w:r>
      <w:r>
        <w:t xml:space="preserve"> </w:t>
      </w:r>
      <w:r>
        <w:rPr>
          <w:iCs/>
          <w:i/>
        </w:rPr>
        <w:t xml:space="preserve">Med Sci Sports Exerc</w:t>
      </w:r>
      <w:r>
        <w:t xml:space="preserve"> </w:t>
      </w:r>
      <w:r>
        <w:t xml:space="preserve">· Repeated Heat Stress Modulates the Levels of the Mitokines MOTS-C and FGF21 in Active Men during Calf Muscle Immobilization. PMID 40674654</w:t>
      </w:r>
    </w:p>
    <w:p>
      <w:pPr>
        <w:numPr>
          <w:ilvl w:val="0"/>
          <w:numId w:val="1410"/>
        </w:numPr>
        <w:pStyle w:val="Compact"/>
      </w:pPr>
      <w:r>
        <w:t xml:space="preserve">2022 · Cuyàs E ·</w:t>
      </w:r>
      <w:r>
        <w:t xml:space="preserve"> </w:t>
      </w:r>
      <w:r>
        <w:rPr>
          <w:iCs/>
          <w:i/>
        </w:rPr>
        <w:t xml:space="preserve">Aging (Albany NY)</w:t>
      </w:r>
      <w:r>
        <w:t xml:space="preserve"> </w:t>
      </w:r>
      <w:r>
        <w:t xml:space="preserve">· Circulating levels of MOTS-c in patients with breast cancer treated with metformin. PMID 36490309</w:t>
      </w:r>
    </w:p>
    <w:p>
      <w:pPr>
        <w:numPr>
          <w:ilvl w:val="0"/>
          <w:numId w:val="1410"/>
        </w:numPr>
        <w:pStyle w:val="Compact"/>
      </w:pPr>
      <w:r>
        <w:t xml:space="preserve">2021 · Dieli-Conwright CM ·</w:t>
      </w:r>
      <w:r>
        <w:t xml:space="preserve"> </w:t>
      </w:r>
      <w:r>
        <w:rPr>
          <w:iCs/>
          <w:i/>
        </w:rPr>
        <w:t xml:space="preserve">Sci Rep</w:t>
      </w:r>
      <w:r>
        <w:t xml:space="preserve"> </w:t>
      </w:r>
      <w:r>
        <w:t xml:space="preserve">· Effect of aerobic and resistance exercise on the mitochondrial peptide MOTS-c in Hispanic and Non-Hispanic White breast cancer survivors. PMID 34413391</w:t>
      </w:r>
    </w:p>
    <w:p>
      <w:pPr>
        <w:numPr>
          <w:ilvl w:val="0"/>
          <w:numId w:val="1410"/>
        </w:numPr>
        <w:pStyle w:val="Compact"/>
      </w:pPr>
      <w:r>
        <w:t xml:space="preserve">2021 · von Walden F ·</w:t>
      </w:r>
      <w:r>
        <w:t xml:space="preserve"> </w:t>
      </w:r>
      <w:r>
        <w:rPr>
          <w:iCs/>
          <w:i/>
        </w:rPr>
        <w:t xml:space="preserve">J Appl Physiol (1985)</w:t>
      </w:r>
      <w:r>
        <w:t xml:space="preserve"> </w:t>
      </w:r>
      <w:r>
        <w:t xml:space="preserve">· Acute endurance exercise stimulates circulating levels of mitochondrial-derived peptides in humans. PMID 34351816</w:t>
      </w:r>
    </w:p>
    <w:p>
      <w:pPr>
        <w:numPr>
          <w:ilvl w:val="0"/>
          <w:numId w:val="1410"/>
        </w:numPr>
        <w:pStyle w:val="Compact"/>
      </w:pPr>
      <w:r>
        <w:t xml:space="preserve">2020 · Ikonomidis I ·</w:t>
      </w:r>
      <w:r>
        <w:t xml:space="preserve"> </w:t>
      </w:r>
      <w:r>
        <w:rPr>
          <w:iCs/>
          <w:i/>
        </w:rPr>
        <w:t xml:space="preserve">J Thromb Thrombolysis</w:t>
      </w:r>
      <w:r>
        <w:t xml:space="preserve"> </w:t>
      </w:r>
      <w:r>
        <w:t xml:space="preserve">· β-Amyloid and mitochondrial-derived peptide-c are additive predictors of adverse outcome to high-on-treatment platelet reactivity in type 2 diabetics with revascularized coronary artery disease. PMID 32052315</w:t>
      </w:r>
    </w:p>
    <w:bookmarkEnd w:id="3055"/>
    <w:bookmarkStart w:id="3056" w:name="umanina-humanin-8"/>
    <w:p>
      <w:pPr>
        <w:pStyle w:val="Heading2"/>
      </w:pPr>
      <w:r>
        <w:t xml:space="preserve">Umanina (humanin) (8)</w:t>
      </w:r>
    </w:p>
    <w:p>
      <w:pPr>
        <w:numPr>
          <w:ilvl w:val="0"/>
          <w:numId w:val="1411"/>
        </w:numPr>
        <w:pStyle w:val="Compact"/>
      </w:pPr>
      <w:r>
        <w:t xml:space="preserve">2026 · Hosseini MH ·</w:t>
      </w:r>
      <w:r>
        <w:t xml:space="preserve"> </w:t>
      </w:r>
      <w:r>
        <w:rPr>
          <w:iCs/>
          <w:i/>
        </w:rPr>
        <w:t xml:space="preserve">BMC Geriatr</w:t>
      </w:r>
      <w:r>
        <w:t xml:space="preserve"> </w:t>
      </w:r>
      <w:r>
        <w:t xml:space="preserve">· Preserving brain health in aging: structural and biochemical benefits of water based resistance training, a randomized controlled trial. PMID 41975304</w:t>
      </w:r>
    </w:p>
    <w:p>
      <w:pPr>
        <w:numPr>
          <w:ilvl w:val="0"/>
          <w:numId w:val="1411"/>
        </w:numPr>
        <w:pStyle w:val="Compact"/>
      </w:pPr>
      <w:r>
        <w:t xml:space="preserve">2025 · Basereh A ·</w:t>
      </w:r>
      <w:r>
        <w:t xml:space="preserve"> </w:t>
      </w:r>
      <w:r>
        <w:rPr>
          <w:iCs/>
          <w:i/>
        </w:rPr>
        <w:t xml:space="preserve">Sci Rep</w:t>
      </w:r>
      <w:r>
        <w:t xml:space="preserve"> </w:t>
      </w:r>
      <w:r>
        <w:t xml:space="preserve">· Redox-sensitive miRNAs and Humanin could mediate effects of exercise and astaxanthin on oxidative stress and inflammation in type 2 diabetes. PMID 41249265</w:t>
      </w:r>
    </w:p>
    <w:p>
      <w:pPr>
        <w:numPr>
          <w:ilvl w:val="0"/>
          <w:numId w:val="1411"/>
        </w:numPr>
        <w:pStyle w:val="Compact"/>
      </w:pPr>
      <w:r>
        <w:t xml:space="preserve">2023 · Delgado-Peraza F ·</w:t>
      </w:r>
      <w:r>
        <w:t xml:space="preserve"> </w:t>
      </w:r>
      <w:r>
        <w:rPr>
          <w:iCs/>
          <w:i/>
        </w:rPr>
        <w:t xml:space="preserve">Alzheimers Res Ther</w:t>
      </w:r>
      <w:r>
        <w:t xml:space="preserve"> </w:t>
      </w:r>
      <w:r>
        <w:t xml:space="preserve">· Neuron-derived extracellular vesicles in blood reveal effects of exercise in Alzheimer’s disease. PMID 37730689</w:t>
      </w:r>
    </w:p>
    <w:p>
      <w:pPr>
        <w:numPr>
          <w:ilvl w:val="0"/>
          <w:numId w:val="1411"/>
        </w:numPr>
        <w:pStyle w:val="Compact"/>
      </w:pPr>
      <w:r>
        <w:t xml:space="preserve">2021 · von Walden F ·</w:t>
      </w:r>
      <w:r>
        <w:t xml:space="preserve"> </w:t>
      </w:r>
      <w:r>
        <w:rPr>
          <w:iCs/>
          <w:i/>
        </w:rPr>
        <w:t xml:space="preserve">J Appl Physiol (1985)</w:t>
      </w:r>
      <w:r>
        <w:t xml:space="preserve"> </w:t>
      </w:r>
      <w:r>
        <w:t xml:space="preserve">· Acute endurance exercise stimulates circulating levels of mitochondrial-derived peptides in humans. PMID 34351816</w:t>
      </w:r>
    </w:p>
    <w:p>
      <w:pPr>
        <w:numPr>
          <w:ilvl w:val="0"/>
          <w:numId w:val="1411"/>
        </w:numPr>
        <w:pStyle w:val="Compact"/>
      </w:pPr>
      <w:r>
        <w:t xml:space="preserve">2019 · Xu Y ·</w:t>
      </w:r>
      <w:r>
        <w:t xml:space="preserve"> </w:t>
      </w:r>
      <w:r>
        <w:rPr>
          <w:iCs/>
          <w:i/>
        </w:rPr>
        <w:t xml:space="preserve">Cell Transplant</w:t>
      </w:r>
      <w:r>
        <w:t xml:space="preserve"> </w:t>
      </w:r>
      <w:r>
        <w:t xml:space="preserve">· Protective Effect of Hyperbaric Oxygen Therapy on Cognitive Function in Patients with Vascular Dementia. PMID 31134827</w:t>
      </w:r>
    </w:p>
    <w:p>
      <w:pPr>
        <w:numPr>
          <w:ilvl w:val="0"/>
          <w:numId w:val="1411"/>
        </w:numPr>
        <w:pStyle w:val="Compact"/>
      </w:pPr>
      <w:r>
        <w:t xml:space="preserve">2019 · Shen Y ·</w:t>
      </w:r>
      <w:r>
        <w:t xml:space="preserve"> </w:t>
      </w:r>
      <w:r>
        <w:rPr>
          <w:iCs/>
          <w:i/>
        </w:rPr>
        <w:t xml:space="preserve">Stroke</w:t>
      </w:r>
      <w:r>
        <w:t xml:space="preserve"> </w:t>
      </w:r>
      <w:r>
        <w:t xml:space="preserve">· Epigenome-Wide Association Study Indicates Hypomethylation of MTRNR2L8 in Large-Artery Atherosclerosis Stroke. PMID 31084332</w:t>
      </w:r>
    </w:p>
    <w:p>
      <w:pPr>
        <w:numPr>
          <w:ilvl w:val="0"/>
          <w:numId w:val="1411"/>
        </w:numPr>
        <w:pStyle w:val="Compact"/>
      </w:pPr>
      <w:r>
        <w:t xml:space="preserve">2017 · Nashine S ·</w:t>
      </w:r>
      <w:r>
        <w:t xml:space="preserve"> </w:t>
      </w:r>
      <w:r>
        <w:rPr>
          <w:iCs/>
          <w:i/>
        </w:rPr>
        <w:t xml:space="preserve">Cell Death Dis</w:t>
      </w:r>
      <w:r>
        <w:t xml:space="preserve"> </w:t>
      </w:r>
      <w:r>
        <w:t xml:space="preserve">· Humanin G (HNG) protects age-related macular degeneration (AMD) transmitochondrial ARPE-19 cybrids from mitochondrial and cellular damage. PMID 28726777</w:t>
      </w:r>
    </w:p>
    <w:p>
      <w:pPr>
        <w:numPr>
          <w:ilvl w:val="0"/>
          <w:numId w:val="1411"/>
        </w:numPr>
        <w:pStyle w:val="Compact"/>
      </w:pPr>
      <w:r>
        <w:t xml:space="preserve">2016 · Gidlund EK ·</w:t>
      </w:r>
      <w:r>
        <w:t xml:space="preserve"> </w:t>
      </w:r>
      <w:r>
        <w:rPr>
          <w:iCs/>
          <w:i/>
        </w:rPr>
        <w:t xml:space="preserve">Physiol Rep</w:t>
      </w:r>
      <w:r>
        <w:t xml:space="preserve"> </w:t>
      </w:r>
      <w:r>
        <w:t xml:space="preserve">· Humanin skeletal muscle protein levels increase after resistance training in men with impaired glucose metabolism. PMID 27923980</w:t>
      </w:r>
    </w:p>
    <w:bookmarkEnd w:id="3056"/>
    <w:bookmarkStart w:id="3057" w:name="ss-31-elamipretide-19"/>
    <w:p>
      <w:pPr>
        <w:pStyle w:val="Heading2"/>
      </w:pPr>
      <w:r>
        <w:t xml:space="preserve">SS-31 (elamipretide) (19)</w:t>
      </w:r>
    </w:p>
    <w:p>
      <w:pPr>
        <w:numPr>
          <w:ilvl w:val="0"/>
          <w:numId w:val="1412"/>
        </w:numPr>
        <w:pStyle w:val="Compact"/>
      </w:pPr>
      <w:r>
        <w:t xml:space="preserve">2025 · Gwaltney C ·</w:t>
      </w:r>
      <w:r>
        <w:t xml:space="preserve"> </w:t>
      </w:r>
      <w:r>
        <w:rPr>
          <w:iCs/>
          <w:i/>
        </w:rPr>
        <w:t xml:space="preserve">Orphanet J Rare Dis</w:t>
      </w:r>
      <w:r>
        <w:t xml:space="preserve"> </w:t>
      </w:r>
      <w:r>
        <w:t xml:space="preserve">· Initial Psychometric Evaluation of the Barth Syndrome Symptom Assessment (BTHS-SA) for Adolescents and Adults in a Phase 2 Clinical Study. PMID 40281531</w:t>
      </w:r>
    </w:p>
    <w:p>
      <w:pPr>
        <w:numPr>
          <w:ilvl w:val="0"/>
          <w:numId w:val="1412"/>
        </w:numPr>
        <w:pStyle w:val="Compact"/>
      </w:pPr>
      <w:r>
        <w:t xml:space="preserve">2024 · Karaa A ·</w:t>
      </w:r>
      <w:r>
        <w:t xml:space="preserve"> </w:t>
      </w:r>
      <w:r>
        <w:rPr>
          <w:iCs/>
          <w:i/>
        </w:rPr>
        <w:t xml:space="preserve">Orphanet J Rare Dis</w:t>
      </w:r>
      <w:r>
        <w:t xml:space="preserve"> </w:t>
      </w:r>
      <w:r>
        <w:t xml:space="preserve">· Genotype-specific effects of elamipretide in patients with primary mitochondrial myopathy: a post hoc analysis of the MMPOWER-3 trial. PMID 39574155</w:t>
      </w:r>
    </w:p>
    <w:p>
      <w:pPr>
        <w:numPr>
          <w:ilvl w:val="0"/>
          <w:numId w:val="1412"/>
        </w:numPr>
        <w:pStyle w:val="Compact"/>
      </w:pPr>
      <w:r>
        <w:t xml:space="preserve">2024 · Sherrod CF 4th ·</w:t>
      </w:r>
      <w:r>
        <w:t xml:space="preserve"> </w:t>
      </w:r>
      <w:r>
        <w:rPr>
          <w:iCs/>
          <w:i/>
        </w:rPr>
        <w:t xml:space="preserve">J Am Coll Cardiol</w:t>
      </w:r>
      <w:r>
        <w:t xml:space="preserve"> </w:t>
      </w:r>
      <w:r>
        <w:t xml:space="preserve">· Effect of Aficamten on Health Status Outcomes in Obstructive Hypertrophic Cardiomyopathy: Results From SEQUOIA-HCM. PMID 39217569</w:t>
      </w:r>
    </w:p>
    <w:p>
      <w:pPr>
        <w:numPr>
          <w:ilvl w:val="0"/>
          <w:numId w:val="1412"/>
        </w:numPr>
        <w:pStyle w:val="Compact"/>
      </w:pPr>
      <w:r>
        <w:t xml:space="preserve">2024 · Thompson WR ·</w:t>
      </w:r>
      <w:r>
        <w:t xml:space="preserve"> </w:t>
      </w:r>
      <w:r>
        <w:rPr>
          <w:iCs/>
          <w:i/>
        </w:rPr>
        <w:t xml:space="preserve">Genet Med</w:t>
      </w:r>
      <w:r>
        <w:t xml:space="preserve"> </w:t>
      </w:r>
      <w:r>
        <w:t xml:space="preserve">· Long-term efficacy and safety of elamipretide in patients with Barth syndrome: 168-week open-label extension results of TAZPOWER. PMID 38602181</w:t>
      </w:r>
    </w:p>
    <w:p>
      <w:pPr>
        <w:numPr>
          <w:ilvl w:val="0"/>
          <w:numId w:val="1412"/>
        </w:numPr>
        <w:pStyle w:val="Compact"/>
      </w:pPr>
      <w:r>
        <w:t xml:space="preserve">2024 · Karanjia R ·</w:t>
      </w:r>
      <w:r>
        <w:t xml:space="preserve"> </w:t>
      </w:r>
      <w:r>
        <w:rPr>
          <w:iCs/>
          <w:i/>
        </w:rPr>
        <w:t xml:space="preserve">Ophthalmology</w:t>
      </w:r>
      <w:r>
        <w:t xml:space="preserve"> </w:t>
      </w:r>
      <w:r>
        <w:t xml:space="preserve">· Elamipretide Topical Ophthalmic Solution for the Treatment of Subjects with Leber Hereditary Optic Neuropathy: A Randomized Trial. PMID 37923251</w:t>
      </w:r>
    </w:p>
    <w:p>
      <w:pPr>
        <w:numPr>
          <w:ilvl w:val="0"/>
          <w:numId w:val="1412"/>
        </w:numPr>
        <w:pStyle w:val="Compact"/>
      </w:pPr>
      <w:r>
        <w:t xml:space="preserve">2023 · Karaa A ·</w:t>
      </w:r>
      <w:r>
        <w:t xml:space="preserve"> </w:t>
      </w:r>
      <w:r>
        <w:rPr>
          <w:iCs/>
          <w:i/>
        </w:rPr>
        <w:t xml:space="preserve">Neurology</w:t>
      </w:r>
      <w:r>
        <w:t xml:space="preserve"> </w:t>
      </w:r>
      <w:r>
        <w:t xml:space="preserve">· Efficacy and Safety of Elamipretide in Individuals With Primary Mitochondrial Myopathy: The MMPOWER-3 Randomized Clinical Trial. PMID 37268435</w:t>
      </w:r>
    </w:p>
    <w:p>
      <w:pPr>
        <w:numPr>
          <w:ilvl w:val="0"/>
          <w:numId w:val="1412"/>
        </w:numPr>
        <w:pStyle w:val="Compact"/>
      </w:pPr>
      <w:r>
        <w:t xml:space="preserve">2023 · Van den Eynde J ·</w:t>
      </w:r>
      <w:r>
        <w:t xml:space="preserve"> </w:t>
      </w:r>
      <w:r>
        <w:rPr>
          <w:iCs/>
          <w:i/>
        </w:rPr>
        <w:t xml:space="preserve">Orphanet J Rare Dis</w:t>
      </w:r>
      <w:r>
        <w:t xml:space="preserve"> </w:t>
      </w:r>
      <w:r>
        <w:t xml:space="preserve">· Identifying responders to elamipretide in Barth syndrome: Hierarchical clustering for time series data. PMID 37041653</w:t>
      </w:r>
    </w:p>
    <w:p>
      <w:pPr>
        <w:numPr>
          <w:ilvl w:val="0"/>
          <w:numId w:val="1412"/>
        </w:numPr>
        <w:pStyle w:val="Compact"/>
      </w:pPr>
      <w:r>
        <w:t xml:space="preserve">2022 · Hornby B ·</w:t>
      </w:r>
      <w:r>
        <w:t xml:space="preserve"> </w:t>
      </w:r>
      <w:r>
        <w:rPr>
          <w:iCs/>
          <w:i/>
        </w:rPr>
        <w:t xml:space="preserve">Orphanet J Rare Dis</w:t>
      </w:r>
      <w:r>
        <w:t xml:space="preserve"> </w:t>
      </w:r>
      <w:r>
        <w:t xml:space="preserve">· Natural history comparison study to assess the efficacy of elamipretide in patients with Barth syndrome. PMID 36056411</w:t>
      </w:r>
    </w:p>
    <w:p>
      <w:pPr>
        <w:numPr>
          <w:ilvl w:val="0"/>
          <w:numId w:val="1412"/>
        </w:numPr>
        <w:pStyle w:val="Compact"/>
      </w:pPr>
      <w:r>
        <w:t xml:space="preserve">2021 · Roshanravan B ·</w:t>
      </w:r>
      <w:r>
        <w:t xml:space="preserve"> </w:t>
      </w:r>
      <w:r>
        <w:rPr>
          <w:iCs/>
          <w:i/>
        </w:rPr>
        <w:t xml:space="preserve">PLoS One</w:t>
      </w:r>
      <w:r>
        <w:t xml:space="preserve"> </w:t>
      </w:r>
      <w:r>
        <w:t xml:space="preserve">· In vivo mitochondrial ATP production is improved in older adult skeletal muscle after a single dose of elamipretide in a randomized trial. PMID 34264994</w:t>
      </w:r>
    </w:p>
    <w:p>
      <w:pPr>
        <w:numPr>
          <w:ilvl w:val="0"/>
          <w:numId w:val="1412"/>
        </w:numPr>
        <w:pStyle w:val="Compact"/>
      </w:pPr>
      <w:r>
        <w:t xml:space="preserve">2021 · Reid Thompson W ·</w:t>
      </w:r>
      <w:r>
        <w:t xml:space="preserve"> </w:t>
      </w:r>
      <w:r>
        <w:rPr>
          <w:iCs/>
          <w:i/>
        </w:rPr>
        <w:t xml:space="preserve">Genet Med</w:t>
      </w:r>
      <w:r>
        <w:t xml:space="preserve"> </w:t>
      </w:r>
      <w:r>
        <w:t xml:space="preserve">· A phase 2/3 randomized clinical trial followed by an open-label extension to evaluate the effectiveness of elamipretide in Barth syndrome, a genetic disorder of mitochondrial cardiolipin metabolism. PMID 33077895</w:t>
      </w:r>
    </w:p>
    <w:p>
      <w:pPr>
        <w:numPr>
          <w:ilvl w:val="0"/>
          <w:numId w:val="1412"/>
        </w:numPr>
        <w:pStyle w:val="Compact"/>
      </w:pPr>
      <w:r>
        <w:t xml:space="preserve">2020 · Karaa A ·</w:t>
      </w:r>
      <w:r>
        <w:t xml:space="preserve"> </w:t>
      </w:r>
      <w:r>
        <w:rPr>
          <w:iCs/>
          <w:i/>
        </w:rPr>
        <w:t xml:space="preserve">J Cachexia Sarcopenia Muscle</w:t>
      </w:r>
      <w:r>
        <w:t xml:space="preserve"> </w:t>
      </w:r>
      <w:r>
        <w:t xml:space="preserve">· A randomized crossover trial of elamipretide in adults with primary mitochondrial myopathy. PMID 32096613</w:t>
      </w:r>
    </w:p>
    <w:p>
      <w:pPr>
        <w:numPr>
          <w:ilvl w:val="0"/>
          <w:numId w:val="1412"/>
        </w:numPr>
        <w:pStyle w:val="Compact"/>
      </w:pPr>
      <w:r>
        <w:t xml:space="preserve">2020 · Butler J ·</w:t>
      </w:r>
      <w:r>
        <w:t xml:space="preserve"> </w:t>
      </w:r>
      <w:r>
        <w:rPr>
          <w:iCs/>
          <w:i/>
        </w:rPr>
        <w:t xml:space="preserve">J Card Fail</w:t>
      </w:r>
      <w:r>
        <w:t xml:space="preserve"> </w:t>
      </w:r>
      <w:r>
        <w:t xml:space="preserve">· Effects of Elamipretide on Left Ventricular Function in Patients With Heart Failure With Reduced Ejection Fraction: The PROGRESS-HF Phase 2 Trial. PMID 32068002</w:t>
      </w:r>
    </w:p>
    <w:p>
      <w:pPr>
        <w:numPr>
          <w:ilvl w:val="0"/>
          <w:numId w:val="1412"/>
        </w:numPr>
        <w:pStyle w:val="Compact"/>
      </w:pPr>
      <w:r>
        <w:t xml:space="preserve">2019 · Hortmann M ·</w:t>
      </w:r>
      <w:r>
        <w:t xml:space="preserve"> </w:t>
      </w:r>
      <w:r>
        <w:rPr>
          <w:iCs/>
          <w:i/>
        </w:rPr>
        <w:t xml:space="preserve">Eur Heart J Acute Cardiovasc Care</w:t>
      </w:r>
      <w:r>
        <w:t xml:space="preserve"> </w:t>
      </w:r>
      <w:r>
        <w:t xml:space="preserve">· The mitochondria-targeting peptide elamipretide diminishes circulating HtrA2 in ST-segment elevation myocardial infarction. PMID 28534645</w:t>
      </w:r>
    </w:p>
    <w:p>
      <w:pPr>
        <w:numPr>
          <w:ilvl w:val="0"/>
          <w:numId w:val="1412"/>
        </w:numPr>
        <w:pStyle w:val="Compact"/>
      </w:pPr>
      <w:r>
        <w:t xml:space="preserve">2018 · Karaa A ·</w:t>
      </w:r>
      <w:r>
        <w:t xml:space="preserve"> </w:t>
      </w:r>
      <w:r>
        <w:rPr>
          <w:iCs/>
          <w:i/>
        </w:rPr>
        <w:t xml:space="preserve">Neurology</w:t>
      </w:r>
      <w:r>
        <w:t xml:space="preserve"> </w:t>
      </w:r>
      <w:r>
        <w:t xml:space="preserve">· Randomized dose-escalation trial of elamipretide in adults with primary mitochondrial myopathy. PMID 29500292</w:t>
      </w:r>
    </w:p>
    <w:p>
      <w:pPr>
        <w:numPr>
          <w:ilvl w:val="0"/>
          <w:numId w:val="1412"/>
        </w:numPr>
        <w:pStyle w:val="Compact"/>
      </w:pPr>
      <w:r>
        <w:t xml:space="preserve">2017 · Daubert MA ·</w:t>
      </w:r>
      <w:r>
        <w:t xml:space="preserve"> </w:t>
      </w:r>
      <w:r>
        <w:rPr>
          <w:iCs/>
          <w:i/>
        </w:rPr>
        <w:t xml:space="preserve">Circ Heart Fail</w:t>
      </w:r>
      <w:r>
        <w:t xml:space="preserve"> </w:t>
      </w:r>
      <w:r>
        <w:t xml:space="preserve">· Novel Mitochondria-Targeting Peptide in Heart Failure Treatment: A Randomized, Placebo-Controlled Trial of Elamipretide. PMID 29217757</w:t>
      </w:r>
    </w:p>
    <w:p>
      <w:pPr>
        <w:numPr>
          <w:ilvl w:val="0"/>
          <w:numId w:val="1412"/>
        </w:numPr>
        <w:pStyle w:val="Compact"/>
      </w:pPr>
      <w:r>
        <w:t xml:space="preserve">2017 · Saad A ·</w:t>
      </w:r>
      <w:r>
        <w:t xml:space="preserve"> </w:t>
      </w:r>
      <w:r>
        <w:rPr>
          <w:iCs/>
          <w:i/>
        </w:rPr>
        <w:t xml:space="preserve">Circ Cardiovasc Interv</w:t>
      </w:r>
      <w:r>
        <w:t xml:space="preserve"> </w:t>
      </w:r>
      <w:r>
        <w:t xml:space="preserve">· Phase 2a Clinical Trial of Mitochondrial Protection (Elamipretide) During Stent Revascularization in Patients With Atherosclerotic Renal Artery Stenosis. PMID 28916603</w:t>
      </w:r>
    </w:p>
    <w:p>
      <w:pPr>
        <w:numPr>
          <w:ilvl w:val="0"/>
          <w:numId w:val="1412"/>
        </w:numPr>
        <w:pStyle w:val="Compact"/>
      </w:pPr>
      <w:r>
        <w:t xml:space="preserve">2016 · Schoenell MC ·</w:t>
      </w:r>
      <w:r>
        <w:t xml:space="preserve"> </w:t>
      </w:r>
      <w:r>
        <w:rPr>
          <w:iCs/>
          <w:i/>
        </w:rPr>
        <w:t xml:space="preserve">Int J Sports Med</w:t>
      </w:r>
      <w:r>
        <w:t xml:space="preserve"> </w:t>
      </w:r>
      <w:r>
        <w:t xml:space="preserve">· Effects of Single Vs. Multiple Sets during 10 Weeks of Water-based Resistance Training on Neuromuscular Adaptations in Young Women. PMID 27286183</w:t>
      </w:r>
    </w:p>
    <w:p>
      <w:pPr>
        <w:numPr>
          <w:ilvl w:val="0"/>
          <w:numId w:val="1412"/>
        </w:numPr>
        <w:pStyle w:val="Compact"/>
      </w:pPr>
      <w:r>
        <w:t xml:space="preserve">2012 · Bernardo-Escudero R ·</w:t>
      </w:r>
      <w:r>
        <w:t xml:space="preserve"> </w:t>
      </w:r>
      <w:r>
        <w:rPr>
          <w:iCs/>
          <w:i/>
        </w:rPr>
        <w:t xml:space="preserve">Eur J Drug Metab Pharmacokinet</w:t>
      </w:r>
      <w:r>
        <w:t xml:space="preserve"> </w:t>
      </w:r>
      <w:r>
        <w:t xml:space="preserve">· Comparison of the pharmacokinetics of a new 30 mg modified-release tablet formulation of metoclopramide for once-a-day administration versus 10 mg immediate-release tablets: a single and multiple-dose, randomized, open-label, parallel study in healthy male subjects. PMID 22328192</w:t>
      </w:r>
    </w:p>
    <w:p>
      <w:pPr>
        <w:numPr>
          <w:ilvl w:val="0"/>
          <w:numId w:val="1412"/>
        </w:numPr>
        <w:pStyle w:val="Compact"/>
      </w:pPr>
      <w:r>
        <w:t xml:space="preserve">1977 · Ludwig H ·</w:t>
      </w:r>
      <w:r>
        <w:t xml:space="preserve"> </w:t>
      </w:r>
      <w:r>
        <w:rPr>
          <w:iCs/>
          <w:i/>
        </w:rPr>
        <w:t xml:space="preserve">Gut</w:t>
      </w:r>
      <w:r>
        <w:t xml:space="preserve"> </w:t>
      </w:r>
      <w:r>
        <w:t xml:space="preserve">· Antibodies to pancreatic duct cells in Sjögren’s syndrome and rheumatoid arthritis. PMID 405283</w:t>
      </w:r>
    </w:p>
    <w:bookmarkEnd w:id="3057"/>
    <w:bookmarkStart w:id="3058" w:name="foxo4-dri-0"/>
    <w:p>
      <w:pPr>
        <w:pStyle w:val="Heading2"/>
      </w:pPr>
      <w:r>
        <w:t xml:space="preserve">FOXO4-DRI (0)</w:t>
      </w:r>
    </w:p>
    <w:p>
      <w:pPr>
        <w:pStyle w:val="FirstParagraph"/>
      </w:pPr>
      <w:r>
        <w:t xml:space="preserve">Nessuna pubblicazione di studi clinici sull’uomo trovata.</w:t>
      </w:r>
    </w:p>
    <w:bookmarkEnd w:id="3058"/>
    <w:bookmarkStart w:id="3059" w:name="glutatione-161"/>
    <w:p>
      <w:pPr>
        <w:pStyle w:val="Heading2"/>
      </w:pPr>
      <w:r>
        <w:t xml:space="preserve">Glutatione (161)</w:t>
      </w:r>
    </w:p>
    <w:p>
      <w:pPr>
        <w:numPr>
          <w:ilvl w:val="0"/>
          <w:numId w:val="1413"/>
        </w:numPr>
        <w:pStyle w:val="Compact"/>
      </w:pPr>
      <w:r>
        <w:t xml:space="preserve">2026 · Bai JL ·</w:t>
      </w:r>
      <w:r>
        <w:t xml:space="preserve"> </w:t>
      </w:r>
      <w:r>
        <w:rPr>
          <w:iCs/>
          <w:i/>
        </w:rPr>
        <w:t xml:space="preserve">Medicine (Baltimore)</w:t>
      </w:r>
      <w:r>
        <w:t xml:space="preserve"> </w:t>
      </w:r>
      <w:r>
        <w:t xml:space="preserve">· Hyaluronic acid-based skin booster with glutathione combined with 1064-nm Nd:YAG laser and oral tranexamic acid for melasma: A prospective comparative study. PMID 42888572</w:t>
      </w:r>
    </w:p>
    <w:p>
      <w:pPr>
        <w:numPr>
          <w:ilvl w:val="0"/>
          <w:numId w:val="1413"/>
        </w:numPr>
        <w:pStyle w:val="Compact"/>
      </w:pPr>
      <w:r>
        <w:t xml:space="preserve">2026 · Jung ES ·</w:t>
      </w:r>
      <w:r>
        <w:t xml:space="preserve"> </w:t>
      </w:r>
      <w:r>
        <w:rPr>
          <w:iCs/>
          <w:i/>
        </w:rPr>
        <w:t xml:space="preserve">Eur J Pharm Biopharm</w:t>
      </w:r>
      <w:r>
        <w:t xml:space="preserve"> </w:t>
      </w:r>
      <w:r>
        <w:t xml:space="preserve">· Formulation-dependent differences in systemic glutathione availability: Comparative pharmacokinetics of orally dissolving film and tablet formulations in healthy adults. PMID 42392376</w:t>
      </w:r>
    </w:p>
    <w:p>
      <w:pPr>
        <w:numPr>
          <w:ilvl w:val="0"/>
          <w:numId w:val="1413"/>
        </w:numPr>
        <w:pStyle w:val="Compact"/>
      </w:pPr>
      <w:r>
        <w:t xml:space="preserve">2026 · Ramos-Hernández R ·</w:t>
      </w:r>
      <w:r>
        <w:t xml:space="preserve"> </w:t>
      </w:r>
      <w:r>
        <w:rPr>
          <w:iCs/>
          <w:i/>
        </w:rPr>
        <w:t xml:space="preserve">Biogerontology</w:t>
      </w:r>
      <w:r>
        <w:t xml:space="preserve"> </w:t>
      </w:r>
      <w:r>
        <w:t xml:space="preserve">· Creatine plus β-Hydroxy-β-Methylbutyrate supplementation is associated with preserved glutathione redox-balance and redox-function associations in older adults: a secondary analysis of a randomized crossover trial. PMID 41712056</w:t>
      </w:r>
    </w:p>
    <w:p>
      <w:pPr>
        <w:numPr>
          <w:ilvl w:val="0"/>
          <w:numId w:val="1413"/>
        </w:numPr>
        <w:pStyle w:val="Compact"/>
      </w:pPr>
      <w:r>
        <w:t xml:space="preserve">2025 · Mawu FO ·</w:t>
      </w:r>
      <w:r>
        <w:t xml:space="preserve"> </w:t>
      </w:r>
      <w:r>
        <w:rPr>
          <w:iCs/>
          <w:i/>
        </w:rPr>
        <w:t xml:space="preserve">Acta Dermatovenerol Alp Pannonica Adriat</w:t>
      </w:r>
      <w:r>
        <w:t xml:space="preserve"> </w:t>
      </w:r>
      <w:r>
        <w:t xml:space="preserve">· Effectiveness of oral glutathione in reducing nitric oxide and IL-1α concentrations for clinical improvement in mild to moderate acne vulgaris: a randomized controlled trial. PMID 41014073</w:t>
      </w:r>
    </w:p>
    <w:p>
      <w:pPr>
        <w:numPr>
          <w:ilvl w:val="0"/>
          <w:numId w:val="1413"/>
        </w:numPr>
        <w:pStyle w:val="Compact"/>
      </w:pPr>
      <w:r>
        <w:t xml:space="preserve">2025 · Williams PG ·</w:t>
      </w:r>
      <w:r>
        <w:t xml:space="preserve"> </w:t>
      </w:r>
      <w:r>
        <w:rPr>
          <w:iCs/>
          <w:i/>
        </w:rPr>
        <w:t xml:space="preserve">J Dev Behav Pediatr</w:t>
      </w:r>
      <w:r>
        <w:t xml:space="preserve"> </w:t>
      </w:r>
      <w:r>
        <w:t xml:space="preserve">· Glutathione, Vitamin C, and Cysteine Use in Autistic Children With Disruptive Behavior: A Double-Blind, Placebo-Controlled Crossover Pilot Study. PMID 39960783</w:t>
      </w:r>
    </w:p>
    <w:p>
      <w:pPr>
        <w:numPr>
          <w:ilvl w:val="0"/>
          <w:numId w:val="1413"/>
        </w:numPr>
        <w:pStyle w:val="Compact"/>
      </w:pPr>
      <w:r>
        <w:t xml:space="preserve">2024 · Copetti CLK ·</w:t>
      </w:r>
      <w:r>
        <w:t xml:space="preserve"> </w:t>
      </w:r>
      <w:r>
        <w:rPr>
          <w:iCs/>
          <w:i/>
        </w:rPr>
        <w:t xml:space="preserve">Appl Physiol Nutr Metab</w:t>
      </w:r>
      <w:r>
        <w:t xml:space="preserve"> </w:t>
      </w:r>
      <w:r>
        <w:t xml:space="preserve">· Juçara (Euterpe edulis Martius) improves time-to-exhaustion cycling performance and increased reduced glutathione: a randomized, placebo-controlled, crossover, and triple-blind study. PMID 38502949</w:t>
      </w:r>
    </w:p>
    <w:p>
      <w:pPr>
        <w:numPr>
          <w:ilvl w:val="0"/>
          <w:numId w:val="1413"/>
        </w:numPr>
        <w:pStyle w:val="Compact"/>
      </w:pPr>
      <w:r>
        <w:t xml:space="preserve">2023 · Radwan K ·</w:t>
      </w:r>
      <w:r>
        <w:t xml:space="preserve"> </w:t>
      </w:r>
      <w:r>
        <w:rPr>
          <w:iCs/>
          <w:i/>
        </w:rPr>
        <w:t xml:space="preserve">Med Sci (Basel)</w:t>
      </w:r>
      <w:r>
        <w:t xml:space="preserve"> </w:t>
      </w:r>
      <w:r>
        <w:t xml:space="preserve">· An Open-Label Case Series of Glutathione Use for Symptomatic Management in Children with Autism Spectrum Disorder. PMID 37987328</w:t>
      </w:r>
    </w:p>
    <w:p>
      <w:pPr>
        <w:numPr>
          <w:ilvl w:val="0"/>
          <w:numId w:val="1413"/>
        </w:numPr>
        <w:pStyle w:val="Compact"/>
      </w:pPr>
      <w:r>
        <w:t xml:space="preserve">2023 · Gaike AH ·</w:t>
      </w:r>
      <w:r>
        <w:t xml:space="preserve"> </w:t>
      </w:r>
      <w:r>
        <w:rPr>
          <w:iCs/>
          <w:i/>
        </w:rPr>
        <w:t xml:space="preserve">FEMS Microbiol Lett</w:t>
      </w:r>
      <w:r>
        <w:t xml:space="preserve"> </w:t>
      </w:r>
      <w:r>
        <w:t xml:space="preserve">· Effect of long-term oral glutathione supplementation on gut microbiome of type 2 diabetic individuals. PMID 37935462</w:t>
      </w:r>
    </w:p>
    <w:p>
      <w:pPr>
        <w:numPr>
          <w:ilvl w:val="0"/>
          <w:numId w:val="1413"/>
        </w:numPr>
        <w:pStyle w:val="Compact"/>
      </w:pPr>
      <w:r>
        <w:t xml:space="preserve">2023 · Juchem C ·</w:t>
      </w:r>
      <w:r>
        <w:t xml:space="preserve"> </w:t>
      </w:r>
      <w:r>
        <w:rPr>
          <w:iCs/>
          <w:i/>
        </w:rPr>
        <w:t xml:space="preserve">Neuroimage Clin</w:t>
      </w:r>
      <w:r>
        <w:t xml:space="preserve"> </w:t>
      </w:r>
      <w:r>
        <w:t xml:space="preserve">· In vivo cortical glutathione response to oral fumarate therapy in relapsing-remitting multiple sclerosis: A single-arm open-label phase IV trial using 7-Tesla (1)H MRS. PMID 37651844</w:t>
      </w:r>
    </w:p>
    <w:p>
      <w:pPr>
        <w:numPr>
          <w:ilvl w:val="0"/>
          <w:numId w:val="1413"/>
        </w:numPr>
        <w:pStyle w:val="Compact"/>
      </w:pPr>
      <w:r>
        <w:t xml:space="preserve">2023 · Benson M ·</w:t>
      </w:r>
      <w:r>
        <w:t xml:space="preserve"> </w:t>
      </w:r>
      <w:r>
        <w:rPr>
          <w:iCs/>
          <w:i/>
        </w:rPr>
        <w:t xml:space="preserve">Nutr Res</w:t>
      </w:r>
      <w:r>
        <w:t xml:space="preserve"> </w:t>
      </w:r>
      <w:r>
        <w:t xml:space="preserve">· Improved glycemic control either alone, or combined with antioxidant supplementation, fails to restore blood glutathione or markers of oxidative stress in adolescents with poorly controlled type 1 diabetes. PMID 37515943</w:t>
      </w:r>
    </w:p>
    <w:p>
      <w:pPr>
        <w:numPr>
          <w:ilvl w:val="0"/>
          <w:numId w:val="1413"/>
        </w:numPr>
        <w:pStyle w:val="Compact"/>
      </w:pPr>
      <w:r>
        <w:t xml:space="preserve">2023 · Figueroa A ·</w:t>
      </w:r>
      <w:r>
        <w:t xml:space="preserve"> </w:t>
      </w:r>
      <w:r>
        <w:rPr>
          <w:iCs/>
          <w:i/>
        </w:rPr>
        <w:t xml:space="preserve">Nutrients</w:t>
      </w:r>
      <w:r>
        <w:t xml:space="preserve"> </w:t>
      </w:r>
      <w:r>
        <w:t xml:space="preserve">· Combined Citrulline and Glutathione Supplementation Improves Endothelial Function and Blood Pressure Reactivity in Postmenopausal Women. PMID 37049398</w:t>
      </w:r>
    </w:p>
    <w:p>
      <w:pPr>
        <w:numPr>
          <w:ilvl w:val="0"/>
          <w:numId w:val="1413"/>
        </w:numPr>
        <w:pStyle w:val="Compact"/>
      </w:pPr>
      <w:r>
        <w:t xml:space="preserve">2023 · Chung JW ·</w:t>
      </w:r>
      <w:r>
        <w:t xml:space="preserve"> </w:t>
      </w:r>
      <w:r>
        <w:rPr>
          <w:iCs/>
          <w:i/>
        </w:rPr>
        <w:t xml:space="preserve">J Hum Nutr Diet</w:t>
      </w:r>
      <w:r>
        <w:t xml:space="preserve"> </w:t>
      </w:r>
      <w:r>
        <w:t xml:space="preserve">· Eight-week supplementation of Aronia berry extract promoted the glutathione defence system against acute aerobic exercise-induced oxidative load immediately and 30 min post-exercise in healthy adults: a double-blind, randomised controlled trial. PMID 36727618</w:t>
      </w:r>
    </w:p>
    <w:p>
      <w:pPr>
        <w:numPr>
          <w:ilvl w:val="0"/>
          <w:numId w:val="1413"/>
        </w:numPr>
        <w:pStyle w:val="Compact"/>
      </w:pPr>
      <w:r>
        <w:t xml:space="preserve">2023 · Arrivi A ·</w:t>
      </w:r>
      <w:r>
        <w:t xml:space="preserve"> </w:t>
      </w:r>
      <w:r>
        <w:rPr>
          <w:iCs/>
          <w:i/>
        </w:rPr>
        <w:t xml:space="preserve">Minerva Cardiol Angiol</w:t>
      </w:r>
      <w:r>
        <w:t xml:space="preserve"> </w:t>
      </w:r>
      <w:r>
        <w:t xml:space="preserve">· Early and prolonged glutathione infusion favorably impacts length of hospital stay in ST-elevation myocardial infarction patients: a subanalysis of the GSH2014 Trial. PMID 36083043</w:t>
      </w:r>
    </w:p>
    <w:p>
      <w:pPr>
        <w:numPr>
          <w:ilvl w:val="0"/>
          <w:numId w:val="1413"/>
        </w:numPr>
        <w:pStyle w:val="Compact"/>
      </w:pPr>
      <w:r>
        <w:t xml:space="preserve">2023 · Kumar P ·</w:t>
      </w:r>
      <w:r>
        <w:t xml:space="preserve"> </w:t>
      </w:r>
      <w:r>
        <w:rPr>
          <w:iCs/>
          <w:i/>
        </w:rPr>
        <w:t xml:space="preserve">J Gerontol A Biol Sci Med Sci</w:t>
      </w:r>
      <w:r>
        <w:t xml:space="preserve"> </w:t>
      </w:r>
      <w:r>
        <w:t xml:space="preserve">· Supplementing Glycine and N-Acetylcysteine (GlyNAC) in Older Adults Improves Glutathione Deficiency, Oxidative Stress, Mitochondrial Dysfunction, Inflammation, Physical Function, and Aging Hallmarks: A Randomized Clinical Trial. PMID 35975308</w:t>
      </w:r>
    </w:p>
    <w:p>
      <w:pPr>
        <w:numPr>
          <w:ilvl w:val="0"/>
          <w:numId w:val="1413"/>
        </w:numPr>
        <w:pStyle w:val="Compact"/>
      </w:pPr>
      <w:r>
        <w:t xml:space="preserve">2022 · Khosravi Z ·</w:t>
      </w:r>
      <w:r>
        <w:t xml:space="preserve"> </w:t>
      </w:r>
      <w:r>
        <w:rPr>
          <w:iCs/>
          <w:i/>
        </w:rPr>
        <w:t xml:space="preserve">Clin Nutr ESPEN</w:t>
      </w:r>
      <w:r>
        <w:t xml:space="preserve"> </w:t>
      </w:r>
      <w:r>
        <w:t xml:space="preserve">· The effects of butyrate supplementation on glycemic control, lipid profile, blood pressure, nitric oxide level and glutathione peroxidase activity in type 2 diabetic patients: A randomized triple -blind, placebo-controlled trial. PMID 35623879</w:t>
      </w:r>
    </w:p>
    <w:p>
      <w:pPr>
        <w:numPr>
          <w:ilvl w:val="0"/>
          <w:numId w:val="1413"/>
        </w:numPr>
        <w:pStyle w:val="Compact"/>
      </w:pPr>
      <w:r>
        <w:t xml:space="preserve">2022 · Wangdi JT ·</w:t>
      </w:r>
      <w:r>
        <w:t xml:space="preserve"> </w:t>
      </w:r>
      <w:r>
        <w:rPr>
          <w:iCs/>
          <w:i/>
        </w:rPr>
        <w:t xml:space="preserve">Med Sci Sports Exerc</w:t>
      </w:r>
      <w:r>
        <w:t xml:space="preserve"> </w:t>
      </w:r>
      <w:r>
        <w:t xml:space="preserve">· Tart Cherry Supplement Enhances Skeletal Muscle Glutathione Peroxidase Expression and Functional Recovery after Muscle Damage. PMID 34772901</w:t>
      </w:r>
    </w:p>
    <w:p>
      <w:pPr>
        <w:numPr>
          <w:ilvl w:val="0"/>
          <w:numId w:val="1413"/>
        </w:numPr>
        <w:pStyle w:val="Compact"/>
      </w:pPr>
      <w:r>
        <w:t xml:space="preserve">2022 · McAllister MJ ·</w:t>
      </w:r>
      <w:r>
        <w:t xml:space="preserve"> </w:t>
      </w:r>
      <w:r>
        <w:rPr>
          <w:iCs/>
          <w:i/>
        </w:rPr>
        <w:t xml:space="preserve">Int J Sport Nutr Exerc Metab</w:t>
      </w:r>
      <w:r>
        <w:t xml:space="preserve"> </w:t>
      </w:r>
      <w:r>
        <w:t xml:space="preserve">· Astaxanthin Supplementation Increases Glutathione Concentrations but Does Not Impact Fat Oxidation During Exercise in Active Young Men. PMID 34611051</w:t>
      </w:r>
    </w:p>
    <w:p>
      <w:pPr>
        <w:numPr>
          <w:ilvl w:val="0"/>
          <w:numId w:val="1413"/>
        </w:numPr>
        <w:pStyle w:val="Compact"/>
      </w:pPr>
      <w:r>
        <w:t xml:space="preserve">2022 · Duperray J ·</w:t>
      </w:r>
      <w:r>
        <w:t xml:space="preserve"> </w:t>
      </w:r>
      <w:r>
        <w:rPr>
          <w:iCs/>
          <w:i/>
        </w:rPr>
        <w:t xml:space="preserve">J Cosmet Dermatol</w:t>
      </w:r>
      <w:r>
        <w:t xml:space="preserve"> </w:t>
      </w:r>
      <w:r>
        <w:t xml:space="preserve">· The effects of the oral supplementation of L-Cystine associated with reduced L-Glutathione-GSH on human skin pigmentation: a randomized, double-blinded, benchmark- and placebo-controlled clinical trial. PMID 33834608</w:t>
      </w:r>
    </w:p>
    <w:p>
      <w:pPr>
        <w:numPr>
          <w:ilvl w:val="0"/>
          <w:numId w:val="1413"/>
        </w:numPr>
        <w:pStyle w:val="Compact"/>
      </w:pPr>
      <w:r>
        <w:t xml:space="preserve">2021 · To K ·</w:t>
      </w:r>
      <w:r>
        <w:t xml:space="preserve"> </w:t>
      </w:r>
      <w:r>
        <w:rPr>
          <w:iCs/>
          <w:i/>
        </w:rPr>
        <w:t xml:space="preserve">Front Cell Infect Microbiol</w:t>
      </w:r>
      <w:r>
        <w:t xml:space="preserve"> </w:t>
      </w:r>
      <w:r>
        <w:t xml:space="preserve">· Effects of Oral Liposomal Glutathione in Altering the Immune Responses Against Mycobacterium tuberculosis and the Mycobacterium bovis BCG Strain in Individuals With Type 2 Diabetes. PMID 34150674</w:t>
      </w:r>
    </w:p>
    <w:p>
      <w:pPr>
        <w:numPr>
          <w:ilvl w:val="0"/>
          <w:numId w:val="1413"/>
        </w:numPr>
        <w:pStyle w:val="Compact"/>
      </w:pPr>
      <w:r>
        <w:t xml:space="preserve">2021 · To K ·</w:t>
      </w:r>
      <w:r>
        <w:t xml:space="preserve"> </w:t>
      </w:r>
      <w:r>
        <w:rPr>
          <w:iCs/>
          <w:i/>
        </w:rPr>
        <w:t xml:space="preserve">Biomol Concepts</w:t>
      </w:r>
      <w:r>
        <w:t xml:space="preserve"> </w:t>
      </w:r>
      <w:r>
        <w:t xml:space="preserve">· The Effects of Oral Liposomal Glutathione and In Vitro Everolimus in Altering the Immune Responses against Mycobacterium bovis BCG Strain in Individuals with Type 2 Diabetes. PMID 33966361</w:t>
      </w:r>
    </w:p>
    <w:p>
      <w:pPr>
        <w:numPr>
          <w:ilvl w:val="0"/>
          <w:numId w:val="1413"/>
        </w:numPr>
        <w:pStyle w:val="Compact"/>
      </w:pPr>
      <w:r>
        <w:t xml:space="preserve">2021 · Martins ML ·</w:t>
      </w:r>
      <w:r>
        <w:t xml:space="preserve"> </w:t>
      </w:r>
      <w:r>
        <w:rPr>
          <w:iCs/>
          <w:i/>
        </w:rPr>
        <w:t xml:space="preserve">Int Urol Nephrol</w:t>
      </w:r>
      <w:r>
        <w:t xml:space="preserve"> </w:t>
      </w:r>
      <w:r>
        <w:t xml:space="preserve">· Vitamin C decreases reduced glutathione in chronic haemodialysis patients: a pilot, randomised, double-blind trial. PMID 33905041</w:t>
      </w:r>
    </w:p>
    <w:p>
      <w:pPr>
        <w:numPr>
          <w:ilvl w:val="0"/>
          <w:numId w:val="1413"/>
        </w:numPr>
        <w:pStyle w:val="Compact"/>
      </w:pPr>
      <w:r>
        <w:t xml:space="preserve">2021 · Wahab S ·</w:t>
      </w:r>
      <w:r>
        <w:t xml:space="preserve"> </w:t>
      </w:r>
      <w:r>
        <w:rPr>
          <w:iCs/>
          <w:i/>
        </w:rPr>
        <w:t xml:space="preserve">Int J Dermatol</w:t>
      </w:r>
      <w:r>
        <w:t xml:space="preserve"> </w:t>
      </w:r>
      <w:r>
        <w:t xml:space="preserve">· Combination of topical and oral glutathione as a skin-whitening agent: a double-blind randomized controlled clinical trial. PMID 33871071</w:t>
      </w:r>
    </w:p>
    <w:p>
      <w:pPr>
        <w:numPr>
          <w:ilvl w:val="0"/>
          <w:numId w:val="1413"/>
        </w:numPr>
        <w:pStyle w:val="Compact"/>
      </w:pPr>
      <w:r>
        <w:t xml:space="preserve">2021 · Søndergård SD ·</w:t>
      </w:r>
      <w:r>
        <w:t xml:space="preserve"> </w:t>
      </w:r>
      <w:r>
        <w:rPr>
          <w:iCs/>
          <w:i/>
        </w:rPr>
        <w:t xml:space="preserve">Appl Physiol Nutr Metab</w:t>
      </w:r>
      <w:r>
        <w:t xml:space="preserve"> </w:t>
      </w:r>
      <w:r>
        <w:t xml:space="preserve">· The effects of 3 weeks of oral glutathione supplementation on whole body insulin sensitivity in obese males with and without type 2 diabetes: a randomized trial. PMID 33740389</w:t>
      </w:r>
    </w:p>
    <w:p>
      <w:pPr>
        <w:numPr>
          <w:ilvl w:val="0"/>
          <w:numId w:val="1413"/>
        </w:numPr>
        <w:pStyle w:val="Compact"/>
      </w:pPr>
      <w:r>
        <w:t xml:space="preserve">2021 · Haidari F ·</w:t>
      </w:r>
      <w:r>
        <w:t xml:space="preserve"> </w:t>
      </w:r>
      <w:r>
        <w:rPr>
          <w:iCs/>
          <w:i/>
        </w:rPr>
        <w:t xml:space="preserve">Hum Fertil (Camb)</w:t>
      </w:r>
      <w:r>
        <w:t xml:space="preserve"> </w:t>
      </w:r>
      <w:r>
        <w:t xml:space="preserve">· Effect of lipoic acid supplementation on gene expression and activity of glutathione S-transferase enzyme in infertile men. PMID 31291793</w:t>
      </w:r>
    </w:p>
    <w:p>
      <w:pPr>
        <w:numPr>
          <w:ilvl w:val="0"/>
          <w:numId w:val="1413"/>
        </w:numPr>
        <w:pStyle w:val="Compact"/>
      </w:pPr>
      <w:r>
        <w:t xml:space="preserve">2020 · Biswas P ·</w:t>
      </w:r>
      <w:r>
        <w:t xml:space="preserve"> </w:t>
      </w:r>
      <w:r>
        <w:rPr>
          <w:iCs/>
          <w:i/>
        </w:rPr>
        <w:t xml:space="preserve">Nutrients</w:t>
      </w:r>
      <w:r>
        <w:t xml:space="preserve"> </w:t>
      </w:r>
      <w:r>
        <w:t xml:space="preserve">· Antioxidant Activity with Increased Endogenous Levels of Vitamin C, E and A Following Dietary Supplementation with a Combination of Glutathione and Resveratrol Precursors. PMID 33105552</w:t>
      </w:r>
    </w:p>
    <w:p>
      <w:pPr>
        <w:numPr>
          <w:ilvl w:val="0"/>
          <w:numId w:val="1413"/>
        </w:numPr>
        <w:pStyle w:val="Compact"/>
      </w:pPr>
      <w:r>
        <w:t xml:space="preserve">2020 · Bozic M ·</w:t>
      </w:r>
      <w:r>
        <w:t xml:space="preserve"> </w:t>
      </w:r>
      <w:r>
        <w:rPr>
          <w:iCs/>
          <w:i/>
        </w:rPr>
        <w:t xml:space="preserve">J Pediatr Gastroenterol Nutr</w:t>
      </w:r>
      <w:r>
        <w:t xml:space="preserve"> </w:t>
      </w:r>
      <w:r>
        <w:t xml:space="preserve">· Oral Glutathione and Growth in Cystic Fibrosis: A Multicenter, Randomized, Placebo-controlled, Double-blind Trial. PMID 32960827</w:t>
      </w:r>
    </w:p>
    <w:p>
      <w:pPr>
        <w:numPr>
          <w:ilvl w:val="0"/>
          <w:numId w:val="1413"/>
        </w:numPr>
        <w:pStyle w:val="Compact"/>
      </w:pPr>
      <w:r>
        <w:t xml:space="preserve">2020 · Lai CY ·</w:t>
      </w:r>
      <w:r>
        <w:t xml:space="preserve"> </w:t>
      </w:r>
      <w:r>
        <w:rPr>
          <w:iCs/>
          <w:i/>
        </w:rPr>
        <w:t xml:space="preserve">Nutrients</w:t>
      </w:r>
      <w:r>
        <w:t xml:space="preserve"> </w:t>
      </w:r>
      <w:r>
        <w:t xml:space="preserve">· Impact of Glutathione and Vitamin B-6 in Cirrhosis Patients: A Randomized Controlled Trial and Follow-Up Study. PMID 32635181</w:t>
      </w:r>
    </w:p>
    <w:p>
      <w:pPr>
        <w:numPr>
          <w:ilvl w:val="0"/>
          <w:numId w:val="1413"/>
        </w:numPr>
        <w:pStyle w:val="Compact"/>
      </w:pPr>
      <w:r>
        <w:t xml:space="preserve">2020 · Mastaloudis A ·</w:t>
      </w:r>
      <w:r>
        <w:t xml:space="preserve"> </w:t>
      </w:r>
      <w:r>
        <w:rPr>
          <w:iCs/>
          <w:i/>
        </w:rPr>
        <w:t xml:space="preserve">Free Radic Biol Med</w:t>
      </w:r>
      <w:r>
        <w:t xml:space="preserve"> </w:t>
      </w:r>
      <w:r>
        <w:t xml:space="preserve">· Supplementation with a putative calorie restriction mimetic micronutrient blend increases glutathione concentrations and improves neuroenergetics in brain of healthy middle-aged men and women. PMID 32335159</w:t>
      </w:r>
    </w:p>
    <w:p>
      <w:pPr>
        <w:numPr>
          <w:ilvl w:val="0"/>
          <w:numId w:val="1413"/>
        </w:numPr>
        <w:pStyle w:val="Compact"/>
      </w:pPr>
      <w:r>
        <w:t xml:space="preserve">2019 · de Souza RGM ·</w:t>
      </w:r>
      <w:r>
        <w:t xml:space="preserve"> </w:t>
      </w:r>
      <w:r>
        <w:rPr>
          <w:iCs/>
          <w:i/>
        </w:rPr>
        <w:t xml:space="preserve">Nutrients</w:t>
      </w:r>
      <w:r>
        <w:t xml:space="preserve"> </w:t>
      </w:r>
      <w:r>
        <w:t xml:space="preserve">· Baru Almonds Increase the Activity of Glutathione Peroxidase in Overweight and Obese Women: A Randomized, Placebo-Controlled Trial. PMID 31366053</w:t>
      </w:r>
    </w:p>
    <w:p>
      <w:pPr>
        <w:numPr>
          <w:ilvl w:val="0"/>
          <w:numId w:val="1413"/>
        </w:numPr>
        <w:pStyle w:val="Compact"/>
      </w:pPr>
      <w:r>
        <w:t xml:space="preserve">2019 · Girgis RR ·</w:t>
      </w:r>
      <w:r>
        <w:t xml:space="preserve"> </w:t>
      </w:r>
      <w:r>
        <w:rPr>
          <w:iCs/>
          <w:i/>
        </w:rPr>
        <w:t xml:space="preserve">Psychiatry Res</w:t>
      </w:r>
      <w:r>
        <w:t xml:space="preserve"> </w:t>
      </w:r>
      <w:r>
        <w:t xml:space="preserve">· Effects of acute N-acetylcysteine challenge on cortical glutathione and glutamate in schizophrenia: A pilot in vivo proton magnetic resonance spectroscopy study. PMID 30884334</w:t>
      </w:r>
    </w:p>
    <w:p>
      <w:pPr>
        <w:numPr>
          <w:ilvl w:val="0"/>
          <w:numId w:val="1413"/>
        </w:numPr>
        <w:pStyle w:val="Compact"/>
      </w:pPr>
      <w:r>
        <w:t xml:space="preserve">2019 · Pickering G ·</w:t>
      </w:r>
      <w:r>
        <w:t xml:space="preserve"> </w:t>
      </w:r>
      <w:r>
        <w:rPr>
          <w:iCs/>
          <w:i/>
        </w:rPr>
        <w:t xml:space="preserve">Fundam Clin Pharmacol</w:t>
      </w:r>
      <w:r>
        <w:t xml:space="preserve"> </w:t>
      </w:r>
      <w:r>
        <w:t xml:space="preserve">· N-acetylcysteine prevents glutathione decrease and does not interfere with paracetamol antinociceptive effect at therapeutic dosage: a randomized double-blind controlled trial in healthy subjects. PMID 30471141</w:t>
      </w:r>
    </w:p>
    <w:p>
      <w:pPr>
        <w:numPr>
          <w:ilvl w:val="0"/>
          <w:numId w:val="1413"/>
        </w:numPr>
        <w:pStyle w:val="Compact"/>
      </w:pPr>
      <w:r>
        <w:t xml:space="preserve">2019 · Grandi V ·</w:t>
      </w:r>
      <w:r>
        <w:t xml:space="preserve"> </w:t>
      </w:r>
      <w:r>
        <w:rPr>
          <w:iCs/>
          <w:i/>
        </w:rPr>
        <w:t xml:space="preserve">G Ital Dermatol Venereol</w:t>
      </w:r>
      <w:r>
        <w:t xml:space="preserve"> </w:t>
      </w:r>
      <w:r>
        <w:t xml:space="preserve">· Efficacy and safety of S-acyl glutathione 2% cream vs. placebo against UVB-induced erythema: a randomized, double-blinded clinical trial. PMID 28399620</w:t>
      </w:r>
    </w:p>
    <w:p>
      <w:pPr>
        <w:numPr>
          <w:ilvl w:val="0"/>
          <w:numId w:val="1413"/>
        </w:numPr>
        <w:pStyle w:val="Compact"/>
      </w:pPr>
      <w:r>
        <w:t xml:space="preserve">2018 · Parida S ·</w:t>
      </w:r>
      <w:r>
        <w:t xml:space="preserve"> </w:t>
      </w:r>
      <w:r>
        <w:rPr>
          <w:iCs/>
          <w:i/>
        </w:rPr>
        <w:t xml:space="preserve">Indian J Gastroenterol</w:t>
      </w:r>
      <w:r>
        <w:t xml:space="preserve"> </w:t>
      </w:r>
      <w:r>
        <w:t xml:space="preserve">· Study of glutathione S-transferase levels in patients receiving intravenous paracetamol perioperatively: A randomized controlled trial. PMID 30421393</w:t>
      </w:r>
    </w:p>
    <w:p>
      <w:pPr>
        <w:numPr>
          <w:ilvl w:val="0"/>
          <w:numId w:val="1413"/>
        </w:numPr>
        <w:pStyle w:val="Compact"/>
      </w:pPr>
      <w:r>
        <w:t xml:space="preserve">2018 · Hwang P ·</w:t>
      </w:r>
      <w:r>
        <w:t xml:space="preserve"> </w:t>
      </w:r>
      <w:r>
        <w:rPr>
          <w:iCs/>
          <w:i/>
        </w:rPr>
        <w:t xml:space="preserve">J Int Soc Sports Nutr</w:t>
      </w:r>
      <w:r>
        <w:t xml:space="preserve"> </w:t>
      </w:r>
      <w:r>
        <w:t xml:space="preserve">· Eight weeks of resistance training in conjunction with glutathione and L-Citrulline supplementation increases lean mass and has no adverse effects on blood clinical safety markers in resistance-trained males. PMID 29945625</w:t>
      </w:r>
    </w:p>
    <w:p>
      <w:pPr>
        <w:numPr>
          <w:ilvl w:val="0"/>
          <w:numId w:val="1413"/>
        </w:numPr>
        <w:pStyle w:val="Compact"/>
      </w:pPr>
      <w:r>
        <w:t xml:space="preserve">2018 · Kleniewska P ·</w:t>
      </w:r>
      <w:r>
        <w:t xml:space="preserve"> </w:t>
      </w:r>
      <w:r>
        <w:rPr>
          <w:iCs/>
          <w:i/>
        </w:rPr>
        <w:t xml:space="preserve">Adv Med Sci</w:t>
      </w:r>
      <w:r>
        <w:t xml:space="preserve"> </w:t>
      </w:r>
      <w:r>
        <w:t xml:space="preserve">· Assessment of human 4-hydroxynonenal, 8-isoprostane concentrations and glutathione reductase activity after synbiotics administration. PMID 29859494</w:t>
      </w:r>
    </w:p>
    <w:p>
      <w:pPr>
        <w:numPr>
          <w:ilvl w:val="0"/>
          <w:numId w:val="1413"/>
        </w:numPr>
        <w:pStyle w:val="Compact"/>
      </w:pPr>
      <w:r>
        <w:t xml:space="preserve">2018 · Bumrungpert A ·</w:t>
      </w:r>
      <w:r>
        <w:t xml:space="preserve"> </w:t>
      </w:r>
      <w:r>
        <w:rPr>
          <w:iCs/>
          <w:i/>
        </w:rPr>
        <w:t xml:space="preserve">J Med Food</w:t>
      </w:r>
      <w:r>
        <w:t xml:space="preserve"> </w:t>
      </w:r>
      <w:r>
        <w:t xml:space="preserve">· Whey Protein Supplementation Improves Nutritional Status, Glutathione Levels, and Immune Function in Cancer Patients: A Randomized, Double-Blind Controlled Trial. PMID 29565716</w:t>
      </w:r>
    </w:p>
    <w:p>
      <w:pPr>
        <w:numPr>
          <w:ilvl w:val="0"/>
          <w:numId w:val="1413"/>
        </w:numPr>
        <w:pStyle w:val="Compact"/>
      </w:pPr>
      <w:r>
        <w:t xml:space="preserve">2018 · Moss HG ·</w:t>
      </w:r>
      <w:r>
        <w:t xml:space="preserve"> </w:t>
      </w:r>
      <w:r>
        <w:rPr>
          <w:iCs/>
          <w:i/>
        </w:rPr>
        <w:t xml:space="preserve">J Cereb Blood Flow Metab</w:t>
      </w:r>
      <w:r>
        <w:t xml:space="preserve"> </w:t>
      </w:r>
      <w:r>
        <w:t xml:space="preserve">· N-Acetylcysteine rapidly replenishes central nervous system glutathione measured via magnetic resonance spectroscopy in human neonates with hypoxic-ischemic encephalopathy. PMID 29561203</w:t>
      </w:r>
    </w:p>
    <w:p>
      <w:pPr>
        <w:numPr>
          <w:ilvl w:val="0"/>
          <w:numId w:val="1413"/>
        </w:numPr>
        <w:pStyle w:val="Compact"/>
      </w:pPr>
      <w:r>
        <w:t xml:space="preserve">2018 · Kanhai KMS ·</w:t>
      </w:r>
      <w:r>
        <w:t xml:space="preserve"> </w:t>
      </w:r>
      <w:r>
        <w:rPr>
          <w:iCs/>
          <w:i/>
        </w:rPr>
        <w:t xml:space="preserve">Br J Clin Pharmacol</w:t>
      </w:r>
      <w:r>
        <w:t xml:space="preserve"> </w:t>
      </w:r>
      <w:r>
        <w:t xml:space="preserve">· Glutathione-PEGylated liposomal methylprednisolone in comparison to free methylprednisolone: slow release characteristics and prolonged lymphocyte depression in a first-in-human study. PMID 29385232</w:t>
      </w:r>
    </w:p>
    <w:p>
      <w:pPr>
        <w:numPr>
          <w:ilvl w:val="0"/>
          <w:numId w:val="1413"/>
        </w:numPr>
        <w:pStyle w:val="Compact"/>
      </w:pPr>
      <w:r>
        <w:t xml:space="preserve">2018 · Coles LD ·</w:t>
      </w:r>
      <w:r>
        <w:t xml:space="preserve"> </w:t>
      </w:r>
      <w:r>
        <w:rPr>
          <w:iCs/>
          <w:i/>
        </w:rPr>
        <w:t xml:space="preserve">J Clin Pharmacol</w:t>
      </w:r>
      <w:r>
        <w:t xml:space="preserve"> </w:t>
      </w:r>
      <w:r>
        <w:t xml:space="preserve">· Repeated-Dose Oral N-Acetylcysteine in Parkinson’s Disease: Pharmacokinetics and Effect on Brain Glutathione and Oxidative Stress. PMID 28940353</w:t>
      </w:r>
    </w:p>
    <w:p>
      <w:pPr>
        <w:numPr>
          <w:ilvl w:val="0"/>
          <w:numId w:val="1413"/>
        </w:numPr>
        <w:pStyle w:val="Compact"/>
      </w:pPr>
      <w:r>
        <w:t xml:space="preserve">2017 · Honda Y ·</w:t>
      </w:r>
      <w:r>
        <w:t xml:space="preserve"> </w:t>
      </w:r>
      <w:r>
        <w:rPr>
          <w:iCs/>
          <w:i/>
        </w:rPr>
        <w:t xml:space="preserve">BMC Gastroenterol</w:t>
      </w:r>
      <w:r>
        <w:t xml:space="preserve"> </w:t>
      </w:r>
      <w:r>
        <w:t xml:space="preserve">· Efficacy of glutathione for the treatment of nonalcoholic fatty liver disease: an open-label, single-arm, multicenter, pilot study. PMID 28789631</w:t>
      </w:r>
    </w:p>
    <w:p>
      <w:pPr>
        <w:numPr>
          <w:ilvl w:val="0"/>
          <w:numId w:val="1413"/>
        </w:numPr>
        <w:pStyle w:val="Compact"/>
      </w:pPr>
      <w:r>
        <w:t xml:space="preserve">2017 · Campolo J ·</w:t>
      </w:r>
      <w:r>
        <w:t xml:space="preserve"> </w:t>
      </w:r>
      <w:r>
        <w:rPr>
          <w:iCs/>
          <w:i/>
        </w:rPr>
        <w:t xml:space="preserve">Nutrition</w:t>
      </w:r>
      <w:r>
        <w:t xml:space="preserve"> </w:t>
      </w:r>
      <w:r>
        <w:t xml:space="preserve">· Medium-term effect of sublingual l-glutathione supplementation on flow-mediated dilation in subjects with cardiovascular risk factors. PMID 28526381</w:t>
      </w:r>
    </w:p>
    <w:p>
      <w:pPr>
        <w:numPr>
          <w:ilvl w:val="0"/>
          <w:numId w:val="1413"/>
        </w:numPr>
        <w:pStyle w:val="Compact"/>
      </w:pPr>
      <w:r>
        <w:t xml:space="preserve">2017 · Zarka MH ·</w:t>
      </w:r>
      <w:r>
        <w:t xml:space="preserve"> </w:t>
      </w:r>
      <w:r>
        <w:rPr>
          <w:iCs/>
          <w:i/>
        </w:rPr>
        <w:t xml:space="preserve">Redox Biol</w:t>
      </w:r>
      <w:r>
        <w:t xml:space="preserve"> </w:t>
      </w:r>
      <w:r>
        <w:t xml:space="preserve">· Oral administration of γ-glutamylcysteine increases intracellular glutathione levels above homeostasis in a randomised human trial pilot study. PMID 28131081</w:t>
      </w:r>
    </w:p>
    <w:p>
      <w:pPr>
        <w:numPr>
          <w:ilvl w:val="0"/>
          <w:numId w:val="1413"/>
        </w:numPr>
        <w:pStyle w:val="Compact"/>
      </w:pPr>
      <w:r>
        <w:t xml:space="preserve">2016 · Yuan JM ·</w:t>
      </w:r>
      <w:r>
        <w:t xml:space="preserve"> </w:t>
      </w:r>
      <w:r>
        <w:rPr>
          <w:iCs/>
          <w:i/>
        </w:rPr>
        <w:t xml:space="preserve">Cancer Prev Res (Phila)</w:t>
      </w:r>
      <w:r>
        <w:t xml:space="preserve"> </w:t>
      </w:r>
      <w:r>
        <w:t xml:space="preserve">· 2-Phenethyl Isothiocyanate, Glutathione S-transferase M1 and T1 Polymorphisms, and Detoxification of Volatile Organic Carcinogens and Toxicants in Tobacco Smoke. PMID 27099270</w:t>
      </w:r>
    </w:p>
    <w:p>
      <w:pPr>
        <w:numPr>
          <w:ilvl w:val="0"/>
          <w:numId w:val="1413"/>
        </w:numPr>
        <w:pStyle w:val="Compact"/>
      </w:pPr>
      <w:r>
        <w:t xml:space="preserve">2016 · Handog EB ·</w:t>
      </w:r>
      <w:r>
        <w:t xml:space="preserve"> </w:t>
      </w:r>
      <w:r>
        <w:rPr>
          <w:iCs/>
          <w:i/>
        </w:rPr>
        <w:t xml:space="preserve">Int J Dermatol</w:t>
      </w:r>
      <w:r>
        <w:t xml:space="preserve"> </w:t>
      </w:r>
      <w:r>
        <w:t xml:space="preserve">· An open-label, single-arm trial of the safety and efficacy of a novel preparation of glutathione as a skin-lightening agent in Filipino women. PMID 26148180</w:t>
      </w:r>
    </w:p>
    <w:p>
      <w:pPr>
        <w:numPr>
          <w:ilvl w:val="0"/>
          <w:numId w:val="1413"/>
        </w:numPr>
        <w:pStyle w:val="Compact"/>
      </w:pPr>
      <w:r>
        <w:t xml:space="preserve">2016 · Calkins KL ·</w:t>
      </w:r>
      <w:r>
        <w:t xml:space="preserve"> </w:t>
      </w:r>
      <w:r>
        <w:rPr>
          <w:iCs/>
          <w:i/>
        </w:rPr>
        <w:t xml:space="preserve">JPEN J Parenter Enteral Nutr</w:t>
      </w:r>
      <w:r>
        <w:t xml:space="preserve"> </w:t>
      </w:r>
      <w:r>
        <w:t xml:space="preserve">· Effect of High-Dose Cysteine Supplementation on Erythrocyte Glutathione: A Double-Blinded, Randomized Placebo-Controlled Pilot Study in Critically Ill Neonates. PMID 25139979</w:t>
      </w:r>
    </w:p>
    <w:p>
      <w:pPr>
        <w:numPr>
          <w:ilvl w:val="0"/>
          <w:numId w:val="1413"/>
        </w:numPr>
        <w:pStyle w:val="Compact"/>
      </w:pPr>
      <w:r>
        <w:t xml:space="preserve">2015 · Duffy SL ·</w:t>
      </w:r>
      <w:r>
        <w:t xml:space="preserve"> </w:t>
      </w:r>
      <w:r>
        <w:rPr>
          <w:iCs/>
          <w:i/>
        </w:rPr>
        <w:t xml:space="preserve">Nutrition</w:t>
      </w:r>
      <w:r>
        <w:t xml:space="preserve"> </w:t>
      </w:r>
      <w:r>
        <w:t xml:space="preserve">· The effect of 12-wk ω-3 fatty acid supplementation on in vivo thalamus glutathione concentration in patients</w:t>
      </w:r>
      <w:r>
        <w:t xml:space="preserve"> </w:t>
      </w:r>
      <w:r>
        <w:t xml:space="preserve">“</w:t>
      </w:r>
      <w:r>
        <w:t xml:space="preserve">at risk</w:t>
      </w:r>
      <w:r>
        <w:t xml:space="preserve">”</w:t>
      </w:r>
      <w:r>
        <w:t xml:space="preserve"> </w:t>
      </w:r>
      <w:r>
        <w:t xml:space="preserve">for major depression. PMID 26333890</w:t>
      </w:r>
    </w:p>
    <w:p>
      <w:pPr>
        <w:numPr>
          <w:ilvl w:val="0"/>
          <w:numId w:val="1413"/>
        </w:numPr>
        <w:pStyle w:val="Compact"/>
      </w:pPr>
      <w:r>
        <w:t xml:space="preserve">2015 · Schmitt B ·</w:t>
      </w:r>
      <w:r>
        <w:t xml:space="preserve"> </w:t>
      </w:r>
      <w:r>
        <w:rPr>
          <w:iCs/>
          <w:i/>
        </w:rPr>
        <w:t xml:space="preserve">Redox Biol</w:t>
      </w:r>
      <w:r>
        <w:t xml:space="preserve"> </w:t>
      </w:r>
      <w:r>
        <w:t xml:space="preserve">· Effects of N-acetylcysteine, oral glutathione (GSH) and a novel sublingual form of GSH on oxidative stress markers: A comparative crossover study. PMID 26262996</w:t>
      </w:r>
    </w:p>
    <w:p>
      <w:pPr>
        <w:numPr>
          <w:ilvl w:val="0"/>
          <w:numId w:val="1413"/>
        </w:numPr>
        <w:pStyle w:val="Compact"/>
      </w:pPr>
      <w:r>
        <w:t xml:space="preserve">2015 · McKinley-Barnard S ·</w:t>
      </w:r>
      <w:r>
        <w:t xml:space="preserve"> </w:t>
      </w:r>
      <w:r>
        <w:rPr>
          <w:iCs/>
          <w:i/>
        </w:rPr>
        <w:t xml:space="preserve">J Int Soc Sports Nutr</w:t>
      </w:r>
      <w:r>
        <w:t xml:space="preserve"> </w:t>
      </w:r>
      <w:r>
        <w:t xml:space="preserve">· Combined L-citrulline and glutathione supplementation increases the concentration of markers indicative of nitric oxide synthesis. PMID 26097441</w:t>
      </w:r>
    </w:p>
    <w:p>
      <w:pPr>
        <w:numPr>
          <w:ilvl w:val="0"/>
          <w:numId w:val="1413"/>
        </w:numPr>
        <w:pStyle w:val="Compact"/>
      </w:pPr>
      <w:r>
        <w:t xml:space="preserve">2015 · Visca A ·</w:t>
      </w:r>
      <w:r>
        <w:t xml:space="preserve"> </w:t>
      </w:r>
      <w:r>
        <w:rPr>
          <w:iCs/>
          <w:i/>
        </w:rPr>
        <w:t xml:space="preserve">J Pediatr Gastroenterol Nutr</w:t>
      </w:r>
      <w:r>
        <w:t xml:space="preserve"> </w:t>
      </w:r>
      <w:r>
        <w:t xml:space="preserve">· Oral reduced L-glutathione improves growth in pediatric cystic fibrosis patients. PMID 25633497</w:t>
      </w:r>
    </w:p>
    <w:p>
      <w:pPr>
        <w:numPr>
          <w:ilvl w:val="0"/>
          <w:numId w:val="1413"/>
        </w:numPr>
        <w:pStyle w:val="Compact"/>
      </w:pPr>
      <w:r>
        <w:t xml:space="preserve">2015 · Richie JP Jr ·</w:t>
      </w:r>
      <w:r>
        <w:t xml:space="preserve"> </w:t>
      </w:r>
      <w:r>
        <w:rPr>
          <w:iCs/>
          <w:i/>
        </w:rPr>
        <w:t xml:space="preserve">Eur J Nutr</w:t>
      </w:r>
      <w:r>
        <w:t xml:space="preserve"> </w:t>
      </w:r>
      <w:r>
        <w:t xml:space="preserve">· Randomized controlled trial of oral glutathione supplementation on body stores of glutathione. PMID 24791752</w:t>
      </w:r>
    </w:p>
    <w:p>
      <w:pPr>
        <w:numPr>
          <w:ilvl w:val="0"/>
          <w:numId w:val="1413"/>
        </w:numPr>
        <w:pStyle w:val="Compact"/>
      </w:pPr>
      <w:r>
        <w:t xml:space="preserve">2014 · Kasperczyk S ·</w:t>
      </w:r>
      <w:r>
        <w:t xml:space="preserve"> </w:t>
      </w:r>
      <w:r>
        <w:rPr>
          <w:iCs/>
          <w:i/>
        </w:rPr>
        <w:t xml:space="preserve">Toxicol Appl Pharmacol</w:t>
      </w:r>
      <w:r>
        <w:t xml:space="preserve"> </w:t>
      </w:r>
      <w:r>
        <w:t xml:space="preserve">· Beta-carotene reduces oxidative stress, improves glutathione metabolism and modifies antioxidant defense systems in lead-exposed workers. PMID 25038314</w:t>
      </w:r>
    </w:p>
    <w:p>
      <w:pPr>
        <w:numPr>
          <w:ilvl w:val="0"/>
          <w:numId w:val="1413"/>
        </w:numPr>
        <w:pStyle w:val="Compact"/>
      </w:pPr>
      <w:r>
        <w:t xml:space="preserve">2014 · Park EY ·</w:t>
      </w:r>
      <w:r>
        <w:t xml:space="preserve"> </w:t>
      </w:r>
      <w:r>
        <w:rPr>
          <w:iCs/>
          <w:i/>
        </w:rPr>
        <w:t xml:space="preserve">J Agric Food Chem</w:t>
      </w:r>
      <w:r>
        <w:t xml:space="preserve"> </w:t>
      </w:r>
      <w:r>
        <w:t xml:space="preserve">· Increase in the protein-bound form of glutathione in human blood after the oral administration of glutathione. PMID 24877771</w:t>
      </w:r>
    </w:p>
    <w:p>
      <w:pPr>
        <w:numPr>
          <w:ilvl w:val="0"/>
          <w:numId w:val="1413"/>
        </w:numPr>
        <w:pStyle w:val="Compact"/>
      </w:pPr>
      <w:r>
        <w:t xml:space="preserve">2014 · Giacosa A ·</w:t>
      </w:r>
      <w:r>
        <w:t xml:space="preserve"> </w:t>
      </w:r>
      <w:r>
        <w:rPr>
          <w:iCs/>
          <w:i/>
        </w:rPr>
        <w:t xml:space="preserve">Nutrients</w:t>
      </w:r>
      <w:r>
        <w:t xml:space="preserve"> </w:t>
      </w:r>
      <w:r>
        <w:t xml:space="preserve">· Selenium fortification of an Italian rice cultivar via foliar fertilization with sodium selenate and its effects on human serum selenium levels and on erythrocyte glutathione peroxidase activity. PMID 24667132</w:t>
      </w:r>
    </w:p>
    <w:p>
      <w:pPr>
        <w:numPr>
          <w:ilvl w:val="0"/>
          <w:numId w:val="1413"/>
        </w:numPr>
        <w:pStyle w:val="Compact"/>
      </w:pPr>
      <w:r>
        <w:t xml:space="preserve">2014 · Green CO ·</w:t>
      </w:r>
      <w:r>
        <w:t xml:space="preserve"> </w:t>
      </w:r>
      <w:r>
        <w:rPr>
          <w:iCs/>
          <w:i/>
        </w:rPr>
        <w:t xml:space="preserve">Am J Clin Nutr</w:t>
      </w:r>
      <w:r>
        <w:t xml:space="preserve"> </w:t>
      </w:r>
      <w:r>
        <w:t xml:space="preserve">· Effects of randomized supplementation of methionine or alanine on cysteine and glutathione production during the early phase of treatment of children with edematous malnutrition. PMID 24598154</w:t>
      </w:r>
    </w:p>
    <w:p>
      <w:pPr>
        <w:numPr>
          <w:ilvl w:val="0"/>
          <w:numId w:val="1413"/>
        </w:numPr>
        <w:pStyle w:val="Compact"/>
      </w:pPr>
      <w:r>
        <w:t xml:space="preserve">2014 · Nguyen D ·</w:t>
      </w:r>
      <w:r>
        <w:t xml:space="preserve"> </w:t>
      </w:r>
      <w:r>
        <w:rPr>
          <w:iCs/>
          <w:i/>
        </w:rPr>
        <w:t xml:space="preserve">J Clin Endocrinol Metab</w:t>
      </w:r>
      <w:r>
        <w:t xml:space="preserve"> </w:t>
      </w:r>
      <w:r>
        <w:t xml:space="preserve">· Effect of increasing glutathione with cysteine and glycine supplementation on mitochondrial fuel oxidation, insulin sensitivity, and body composition in older HIV-infected patients. PMID 24081740</w:t>
      </w:r>
    </w:p>
    <w:p>
      <w:pPr>
        <w:numPr>
          <w:ilvl w:val="0"/>
          <w:numId w:val="1413"/>
        </w:numPr>
        <w:pStyle w:val="Compact"/>
      </w:pPr>
      <w:r>
        <w:t xml:space="preserve">2013 · Holmay MJ ·</w:t>
      </w:r>
      <w:r>
        <w:t xml:space="preserve"> </w:t>
      </w:r>
      <w:r>
        <w:rPr>
          <w:iCs/>
          <w:i/>
        </w:rPr>
        <w:t xml:space="preserve">Clin Neuropharmacol</w:t>
      </w:r>
      <w:r>
        <w:t xml:space="preserve"> </w:t>
      </w:r>
      <w:r>
        <w:t xml:space="preserve">· N-Acetylcysteine boosts brain and blood glutathione in Gaucher and Parkinson diseases. PMID 23860343</w:t>
      </w:r>
    </w:p>
    <w:p>
      <w:pPr>
        <w:numPr>
          <w:ilvl w:val="0"/>
          <w:numId w:val="1413"/>
        </w:numPr>
        <w:pStyle w:val="Compact"/>
      </w:pPr>
      <w:r>
        <w:t xml:space="preserve">2013 · Basu A ·</w:t>
      </w:r>
      <w:r>
        <w:t xml:space="preserve"> </w:t>
      </w:r>
      <w:r>
        <w:rPr>
          <w:iCs/>
          <w:i/>
        </w:rPr>
        <w:t xml:space="preserve">Nutr Res</w:t>
      </w:r>
      <w:r>
        <w:t xml:space="preserve"> </w:t>
      </w:r>
      <w:r>
        <w:t xml:space="preserve">· Green tea supplementation increases glutathione and plasma antioxidant capacity in adults with the metabolic syndrome. PMID 23507223</w:t>
      </w:r>
    </w:p>
    <w:p>
      <w:pPr>
        <w:numPr>
          <w:ilvl w:val="0"/>
          <w:numId w:val="1413"/>
        </w:numPr>
        <w:pStyle w:val="Compact"/>
      </w:pPr>
      <w:r>
        <w:t xml:space="preserve">2013 · Morris D ·</w:t>
      </w:r>
      <w:r>
        <w:t xml:space="preserve"> </w:t>
      </w:r>
      <w:r>
        <w:rPr>
          <w:iCs/>
          <w:i/>
        </w:rPr>
        <w:t xml:space="preserve">J Interferon Cytokine Res</w:t>
      </w:r>
      <w:r>
        <w:t xml:space="preserve"> </w:t>
      </w:r>
      <w:r>
        <w:t xml:space="preserve">· Glutathione supplementation improves macrophage functions in HIV. PMID 23409922</w:t>
      </w:r>
    </w:p>
    <w:p>
      <w:pPr>
        <w:numPr>
          <w:ilvl w:val="0"/>
          <w:numId w:val="1413"/>
        </w:numPr>
        <w:pStyle w:val="Compact"/>
      </w:pPr>
      <w:r>
        <w:t xml:space="preserve">2012 · Miller JC ·</w:t>
      </w:r>
      <w:r>
        <w:t xml:space="preserve"> </w:t>
      </w:r>
      <w:r>
        <w:rPr>
          <w:iCs/>
          <w:i/>
        </w:rPr>
        <w:t xml:space="preserve">Am J Clin Nutr</w:t>
      </w:r>
      <w:r>
        <w:t xml:space="preserve"> </w:t>
      </w:r>
      <w:r>
        <w:t xml:space="preserve">· Influence of the glutathione peroxidase 1 Pro200Leu polymorphism on the response of glutathione peroxidase activity to selenium supplementation: a randomized controlled trial. PMID 22952184</w:t>
      </w:r>
    </w:p>
    <w:p>
      <w:pPr>
        <w:numPr>
          <w:ilvl w:val="0"/>
          <w:numId w:val="1413"/>
        </w:numPr>
        <w:pStyle w:val="Compact"/>
      </w:pPr>
      <w:r>
        <w:t xml:space="preserve">2012 · Treweeke AT ·</w:t>
      </w:r>
      <w:r>
        <w:t xml:space="preserve"> </w:t>
      </w:r>
      <w:r>
        <w:rPr>
          <w:iCs/>
          <w:i/>
        </w:rPr>
        <w:t xml:space="preserve">Diabetologia</w:t>
      </w:r>
      <w:r>
        <w:t xml:space="preserve"> </w:t>
      </w:r>
      <w:r>
        <w:t xml:space="preserve">· N-Acetylcysteine inhibits platelet-monocyte conjugation in patients with type 2 diabetes with depleted intraplatelet glutathione: a randomised controlled trial. PMID 22935960</w:t>
      </w:r>
    </w:p>
    <w:p>
      <w:pPr>
        <w:numPr>
          <w:ilvl w:val="0"/>
          <w:numId w:val="1413"/>
        </w:numPr>
        <w:pStyle w:val="Compact"/>
      </w:pPr>
      <w:r>
        <w:t xml:space="preserve">2012 · Fu P ·</w:t>
      </w:r>
      <w:r>
        <w:t xml:space="preserve"> </w:t>
      </w:r>
      <w:r>
        <w:rPr>
          <w:iCs/>
          <w:i/>
        </w:rPr>
        <w:t xml:space="preserve">Zhong Xi Yi Jie He Xue Bao</w:t>
      </w:r>
      <w:r>
        <w:t xml:space="preserve"> </w:t>
      </w:r>
      <w:r>
        <w:t xml:space="preserve">· [Effects of salvianolate combined with alprostadil and reduced glutathione on progression of chronic renal failure in patients with chronic kidney diseases: a long-term randomized controlled trial]. PMID 22704412</w:t>
      </w:r>
    </w:p>
    <w:p>
      <w:pPr>
        <w:numPr>
          <w:ilvl w:val="0"/>
          <w:numId w:val="1413"/>
        </w:numPr>
        <w:pStyle w:val="Compact"/>
      </w:pPr>
      <w:r>
        <w:t xml:space="preserve">2012 · Chazov EI ·</w:t>
      </w:r>
      <w:r>
        <w:t xml:space="preserve"> </w:t>
      </w:r>
      <w:r>
        <w:rPr>
          <w:iCs/>
          <w:i/>
        </w:rPr>
        <w:t xml:space="preserve">Nitric Oxide</w:t>
      </w:r>
      <w:r>
        <w:t xml:space="preserve"> </w:t>
      </w:r>
      <w:r>
        <w:t xml:space="preserve">· Hypotensive effect of Oxacom® containing a dinitrosyl iron complex with glutathione: animal studies and clinical trials on healthy volunteers. PMID 22326933</w:t>
      </w:r>
    </w:p>
    <w:p>
      <w:pPr>
        <w:numPr>
          <w:ilvl w:val="0"/>
          <w:numId w:val="1413"/>
        </w:numPr>
        <w:pStyle w:val="Compact"/>
      </w:pPr>
      <w:r>
        <w:t xml:space="preserve">2012 · Borges-Santos MD ·</w:t>
      </w:r>
      <w:r>
        <w:t xml:space="preserve"> </w:t>
      </w:r>
      <w:r>
        <w:rPr>
          <w:iCs/>
          <w:i/>
        </w:rPr>
        <w:t xml:space="preserve">Nutrition</w:t>
      </w:r>
      <w:r>
        <w:t xml:space="preserve"> </w:t>
      </w:r>
      <w:r>
        <w:t xml:space="preserve">· Plasma glutathione of HIV⁺ patients responded positively and differently to dietary supplementation with cysteine or glutamine. PMID 22261571</w:t>
      </w:r>
    </w:p>
    <w:p>
      <w:pPr>
        <w:numPr>
          <w:ilvl w:val="0"/>
          <w:numId w:val="1413"/>
        </w:numPr>
        <w:pStyle w:val="Compact"/>
      </w:pPr>
      <w:r>
        <w:t xml:space="preserve">2012 · DiFrancisco-Donoghue J ·</w:t>
      </w:r>
      <w:r>
        <w:t xml:space="preserve"> </w:t>
      </w:r>
      <w:r>
        <w:rPr>
          <w:iCs/>
          <w:i/>
        </w:rPr>
        <w:t xml:space="preserve">Neurodegener Dis</w:t>
      </w:r>
      <w:r>
        <w:t xml:space="preserve"> </w:t>
      </w:r>
      <w:r>
        <w:t xml:space="preserve">· Effects of exercise and B vitamins on homocysteine and glutathione in Parkinson’s disease: a randomized trial. PMID 22261439</w:t>
      </w:r>
    </w:p>
    <w:p>
      <w:pPr>
        <w:numPr>
          <w:ilvl w:val="0"/>
          <w:numId w:val="1413"/>
        </w:numPr>
        <w:pStyle w:val="Compact"/>
      </w:pPr>
      <w:r>
        <w:t xml:space="preserve">2012 · Arjinpathana N ·</w:t>
      </w:r>
      <w:r>
        <w:t xml:space="preserve"> </w:t>
      </w:r>
      <w:r>
        <w:rPr>
          <w:iCs/>
          <w:i/>
        </w:rPr>
        <w:t xml:space="preserve">J Dermatolog Treat</w:t>
      </w:r>
      <w:r>
        <w:t xml:space="preserve"> </w:t>
      </w:r>
      <w:r>
        <w:t xml:space="preserve">· Glutathione as an oral whitening agent: a randomized, double-blind, placebo-controlled study. PMID 20524875</w:t>
      </w:r>
    </w:p>
    <w:p>
      <w:pPr>
        <w:numPr>
          <w:ilvl w:val="0"/>
          <w:numId w:val="1413"/>
        </w:numPr>
        <w:pStyle w:val="Compact"/>
      </w:pPr>
      <w:r>
        <w:t xml:space="preserve">2011 · Kern JK ·</w:t>
      </w:r>
      <w:r>
        <w:t xml:space="preserve"> </w:t>
      </w:r>
      <w:r>
        <w:rPr>
          <w:iCs/>
          <w:i/>
        </w:rPr>
        <w:t xml:space="preserve">Med Sci Monit</w:t>
      </w:r>
      <w:r>
        <w:t xml:space="preserve"> </w:t>
      </w:r>
      <w:r>
        <w:t xml:space="preserve">· A clinical trial of glutathione supplementation in autism spectrum disorders. PMID 22129897</w:t>
      </w:r>
    </w:p>
    <w:p>
      <w:pPr>
        <w:numPr>
          <w:ilvl w:val="0"/>
          <w:numId w:val="1413"/>
        </w:numPr>
        <w:pStyle w:val="Compact"/>
      </w:pPr>
      <w:r>
        <w:t xml:space="preserve">2011 · Chazov EI ·</w:t>
      </w:r>
      <w:r>
        <w:t xml:space="preserve"> </w:t>
      </w:r>
      <w:r>
        <w:rPr>
          <w:iCs/>
          <w:i/>
        </w:rPr>
        <w:t xml:space="preserve">Kardiologiia</w:t>
      </w:r>
      <w:r>
        <w:t xml:space="preserve"> </w:t>
      </w:r>
      <w:r>
        <w:t xml:space="preserve">· [The study of hypotensive action of dinitrosyl-iron complex with glutathione containing drug oxacom in healthy volunteers]. PMID 22117768</w:t>
      </w:r>
    </w:p>
    <w:p>
      <w:pPr>
        <w:numPr>
          <w:ilvl w:val="0"/>
          <w:numId w:val="1413"/>
        </w:numPr>
        <w:pStyle w:val="Compact"/>
      </w:pPr>
      <w:r>
        <w:t xml:space="preserve">2011 · Allen J ·</w:t>
      </w:r>
      <w:r>
        <w:t xml:space="preserve"> </w:t>
      </w:r>
      <w:r>
        <w:rPr>
          <w:iCs/>
          <w:i/>
        </w:rPr>
        <w:t xml:space="preserve">J Altern Complement Med</w:t>
      </w:r>
      <w:r>
        <w:t xml:space="preserve"> </w:t>
      </w:r>
      <w:r>
        <w:t xml:space="preserve">· Effects of oral glutathione supplementation on systemic oxidative stress biomarkers in human volunteers. PMID 21875351</w:t>
      </w:r>
    </w:p>
    <w:p>
      <w:pPr>
        <w:numPr>
          <w:ilvl w:val="0"/>
          <w:numId w:val="1413"/>
        </w:numPr>
        <w:pStyle w:val="Compact"/>
      </w:pPr>
      <w:r>
        <w:t xml:space="preserve">2011 · Sekhar RV ·</w:t>
      </w:r>
      <w:r>
        <w:t xml:space="preserve"> </w:t>
      </w:r>
      <w:r>
        <w:rPr>
          <w:iCs/>
          <w:i/>
        </w:rPr>
        <w:t xml:space="preserve">Am J Clin Nutr</w:t>
      </w:r>
      <w:r>
        <w:t xml:space="preserve"> </w:t>
      </w:r>
      <w:r>
        <w:t xml:space="preserve">· Deficient synthesis of glutathione underlies oxidative stress in aging and can be corrected by dietary cysteine and glycine supplementation. PMID 21795440</w:t>
      </w:r>
    </w:p>
    <w:p>
      <w:pPr>
        <w:numPr>
          <w:ilvl w:val="0"/>
          <w:numId w:val="1413"/>
        </w:numPr>
        <w:pStyle w:val="Compact"/>
      </w:pPr>
      <w:r>
        <w:t xml:space="preserve">2011 · Richie JP Jr ·</w:t>
      </w:r>
      <w:r>
        <w:t xml:space="preserve"> </w:t>
      </w:r>
      <w:r>
        <w:rPr>
          <w:iCs/>
          <w:i/>
        </w:rPr>
        <w:t xml:space="preserve">Nutr Cancer</w:t>
      </w:r>
      <w:r>
        <w:t xml:space="preserve"> </w:t>
      </w:r>
      <w:r>
        <w:t xml:space="preserve">· Association of selenium status and blood glutathione concentrations in blacks and whites. PMID 21462082</w:t>
      </w:r>
    </w:p>
    <w:p>
      <w:pPr>
        <w:numPr>
          <w:ilvl w:val="0"/>
          <w:numId w:val="1413"/>
        </w:numPr>
        <w:pStyle w:val="Compact"/>
      </w:pPr>
      <w:r>
        <w:t xml:space="preserve">2011 · Zhang W ·</w:t>
      </w:r>
      <w:r>
        <w:t xml:space="preserve"> </w:t>
      </w:r>
      <w:r>
        <w:rPr>
          <w:iCs/>
          <w:i/>
        </w:rPr>
        <w:t xml:space="preserve">Nutr Res</w:t>
      </w:r>
      <w:r>
        <w:t xml:space="preserve"> </w:t>
      </w:r>
      <w:r>
        <w:t xml:space="preserve">· Selenium glycinate supplementation increases blood glutathione peroxidase activities and decreases prostate-specific antigen readings in middle-aged US men. PMID 21419321</w:t>
      </w:r>
    </w:p>
    <w:p>
      <w:pPr>
        <w:numPr>
          <w:ilvl w:val="0"/>
          <w:numId w:val="1413"/>
        </w:numPr>
        <w:pStyle w:val="Compact"/>
      </w:pPr>
      <w:r>
        <w:t xml:space="preserve">2011 · Cominetti C ·</w:t>
      </w:r>
      <w:r>
        <w:t xml:space="preserve"> </w:t>
      </w:r>
      <w:r>
        <w:rPr>
          <w:iCs/>
          <w:i/>
        </w:rPr>
        <w:t xml:space="preserve">Nutrition</w:t>
      </w:r>
      <w:r>
        <w:t xml:space="preserve"> </w:t>
      </w:r>
      <w:r>
        <w:t xml:space="preserve">· Associations between glutathione peroxidase-1 Pro198Leu polymorphism, selenium status, and DNA damage levels in obese women after consumption of Brazil nuts. PMID 21208780</w:t>
      </w:r>
    </w:p>
    <w:p>
      <w:pPr>
        <w:numPr>
          <w:ilvl w:val="0"/>
          <w:numId w:val="1413"/>
        </w:numPr>
        <w:pStyle w:val="Compact"/>
      </w:pPr>
      <w:r>
        <w:t xml:space="preserve">2011 · Saitoh T ·</w:t>
      </w:r>
      <w:r>
        <w:t xml:space="preserve"> </w:t>
      </w:r>
      <w:r>
        <w:rPr>
          <w:iCs/>
          <w:i/>
        </w:rPr>
        <w:t xml:space="preserve">Heart Vessels</w:t>
      </w:r>
      <w:r>
        <w:t xml:space="preserve"> </w:t>
      </w:r>
      <w:r>
        <w:t xml:space="preserve">· Intravenous glutathione prevents renal oxidative stress after coronary angiography more effectively than oral N-acetylcysteine. PMID 21127883</w:t>
      </w:r>
    </w:p>
    <w:p>
      <w:pPr>
        <w:numPr>
          <w:ilvl w:val="0"/>
          <w:numId w:val="1413"/>
        </w:numPr>
        <w:pStyle w:val="Compact"/>
      </w:pPr>
      <w:r>
        <w:t xml:space="preserve">2011 · Almog S ·</w:t>
      </w:r>
      <w:r>
        <w:t xml:space="preserve"> </w:t>
      </w:r>
      <w:r>
        <w:rPr>
          <w:iCs/>
          <w:i/>
        </w:rPr>
        <w:t xml:space="preserve">Biol Blood Marrow Transplant</w:t>
      </w:r>
      <w:r>
        <w:t xml:space="preserve"> </w:t>
      </w:r>
      <w:r>
        <w:t xml:space="preserve">· Linearity and stability of intravenous busulfan pharmacokinetics and the role of glutathione in busulfan elimination. PMID 20601034</w:t>
      </w:r>
    </w:p>
    <w:p>
      <w:pPr>
        <w:numPr>
          <w:ilvl w:val="0"/>
          <w:numId w:val="1413"/>
        </w:numPr>
        <w:pStyle w:val="Compact"/>
      </w:pPr>
      <w:r>
        <w:t xml:space="preserve">2010 · Stockler-Pinto MB ·</w:t>
      </w:r>
      <w:r>
        <w:t xml:space="preserve"> </w:t>
      </w:r>
      <w:r>
        <w:rPr>
          <w:iCs/>
          <w:i/>
        </w:rPr>
        <w:t xml:space="preserve">Nutrition</w:t>
      </w:r>
      <w:r>
        <w:t xml:space="preserve"> </w:t>
      </w:r>
      <w:r>
        <w:t xml:space="preserve">· Effect of Brazil nut supplementation on the blood levels of selenium and glutathione peroxidase in hemodialysis patients. PMID 20018488</w:t>
      </w:r>
    </w:p>
    <w:p>
      <w:pPr>
        <w:numPr>
          <w:ilvl w:val="0"/>
          <w:numId w:val="1413"/>
        </w:numPr>
        <w:pStyle w:val="Compact"/>
      </w:pPr>
      <w:r>
        <w:t xml:space="preserve">2010 · Courtney-Martin G ·</w:t>
      </w:r>
      <w:r>
        <w:t xml:space="preserve"> </w:t>
      </w:r>
      <w:r>
        <w:rPr>
          <w:iCs/>
          <w:i/>
        </w:rPr>
        <w:t xml:space="preserve">Pediatr Res</w:t>
      </w:r>
      <w:r>
        <w:t xml:space="preserve"> </w:t>
      </w:r>
      <w:r>
        <w:t xml:space="preserve">· The addition of cysteine to the total sulphur amino acid requirement as methionine does not increase erythrocytes glutathione synthesis in the parenterally fed human neonate. PMID 19915518</w:t>
      </w:r>
    </w:p>
    <w:p>
      <w:pPr>
        <w:numPr>
          <w:ilvl w:val="0"/>
          <w:numId w:val="1413"/>
        </w:numPr>
        <w:pStyle w:val="Compact"/>
      </w:pPr>
      <w:r>
        <w:t xml:space="preserve">2009 · Greenblatt DJ ·</w:t>
      </w:r>
      <w:r>
        <w:t xml:space="preserve"> </w:t>
      </w:r>
      <w:r>
        <w:rPr>
          <w:iCs/>
          <w:i/>
        </w:rPr>
        <w:t xml:space="preserve">Br J Clin Pharmacol</w:t>
      </w:r>
      <w:r>
        <w:t xml:space="preserve"> </w:t>
      </w:r>
      <w:r>
        <w:t xml:space="preserve">· Inhibition of oral midazolam clearance by boosting doses of ritonavir, and by 4,4-dimethyl-benziso-(2H)-selenazine (ALT-2074), an experimental catalytic mimic of glutathione oxidase. PMID 20002087</w:t>
      </w:r>
    </w:p>
    <w:p>
      <w:pPr>
        <w:numPr>
          <w:ilvl w:val="0"/>
          <w:numId w:val="1413"/>
        </w:numPr>
        <w:pStyle w:val="Compact"/>
      </w:pPr>
      <w:r>
        <w:t xml:space="preserve">2009 · Navarro SL ·</w:t>
      </w:r>
      <w:r>
        <w:t xml:space="preserve"> </w:t>
      </w:r>
      <w:r>
        <w:rPr>
          <w:iCs/>
          <w:i/>
        </w:rPr>
        <w:t xml:space="preserve">Cancer Epidemiol Biomarkers Prev</w:t>
      </w:r>
      <w:r>
        <w:t xml:space="preserve"> </w:t>
      </w:r>
      <w:r>
        <w:t xml:space="preserve">· Modulation of human serum glutathione S-transferase A1/2 concentration by cruciferous vegetables in a controlled feeding study is influenced by GSTM1 and GSTT1 genotypes. PMID 19900941</w:t>
      </w:r>
    </w:p>
    <w:p>
      <w:pPr>
        <w:numPr>
          <w:ilvl w:val="0"/>
          <w:numId w:val="1413"/>
        </w:numPr>
        <w:pStyle w:val="Compact"/>
      </w:pPr>
      <w:r>
        <w:t xml:space="preserve">2009 · te Braake FW ·</w:t>
      </w:r>
      <w:r>
        <w:t xml:space="preserve"> </w:t>
      </w:r>
      <w:r>
        <w:rPr>
          <w:iCs/>
          <w:i/>
        </w:rPr>
        <w:t xml:space="preserve">Pediatrics</w:t>
      </w:r>
      <w:r>
        <w:t xml:space="preserve"> </w:t>
      </w:r>
      <w:r>
        <w:t xml:space="preserve">· High-dose cysteine administration does not increase synthesis of the antioxidant glutathione preterm infants. PMID 19822595</w:t>
      </w:r>
    </w:p>
    <w:p>
      <w:pPr>
        <w:numPr>
          <w:ilvl w:val="0"/>
          <w:numId w:val="1413"/>
        </w:numPr>
        <w:pStyle w:val="Compact"/>
      </w:pPr>
      <w:r>
        <w:t xml:space="preserve">2009 · Engel JM ·</w:t>
      </w:r>
      <w:r>
        <w:t xml:space="preserve"> </w:t>
      </w:r>
      <w:r>
        <w:rPr>
          <w:iCs/>
          <w:i/>
        </w:rPr>
        <w:t xml:space="preserve">Acta Anaesthesiol Scand</w:t>
      </w:r>
      <w:r>
        <w:t xml:space="preserve"> </w:t>
      </w:r>
      <w:r>
        <w:t xml:space="preserve">· Glutamine administration in patients undergoing cardiac surgery and the influence on blood glutathione levels. PMID 19681775</w:t>
      </w:r>
    </w:p>
    <w:p>
      <w:pPr>
        <w:numPr>
          <w:ilvl w:val="0"/>
          <w:numId w:val="1413"/>
        </w:numPr>
        <w:pStyle w:val="Compact"/>
      </w:pPr>
      <w:r>
        <w:t xml:space="preserve">2009 · Eroglu A ·</w:t>
      </w:r>
      <w:r>
        <w:t xml:space="preserve"> </w:t>
      </w:r>
      <w:r>
        <w:rPr>
          <w:iCs/>
          <w:i/>
        </w:rPr>
        <w:t xml:space="preserve">Anesth Analg</w:t>
      </w:r>
      <w:r>
        <w:t xml:space="preserve"> </w:t>
      </w:r>
      <w:r>
        <w:t xml:space="preserve">· The effect of intravenous alanyl-glutamine supplementation on plasma glutathione levels in intensive care unit trauma patients receiving enteral nutrition: the results of a randomized controlled trial. PMID 19608826</w:t>
      </w:r>
    </w:p>
    <w:p>
      <w:pPr>
        <w:numPr>
          <w:ilvl w:val="0"/>
          <w:numId w:val="1413"/>
        </w:numPr>
        <w:pStyle w:val="Compact"/>
      </w:pPr>
      <w:r>
        <w:t xml:space="preserve">2009 · Raza A ·</w:t>
      </w:r>
      <w:r>
        <w:t xml:space="preserve"> </w:t>
      </w:r>
      <w:r>
        <w:rPr>
          <w:iCs/>
          <w:i/>
        </w:rPr>
        <w:t xml:space="preserve">J Hematol Oncol</w:t>
      </w:r>
      <w:r>
        <w:t xml:space="preserve"> </w:t>
      </w:r>
      <w:r>
        <w:t xml:space="preserve">· Phase 1-2a multicenter dose-escalation study of ezatiostat hydrochloride liposomes for injection (Telintra, TLK199), a novel glutathione analog prodrug in patients with myelodysplastic syndrome. PMID 19439093</w:t>
      </w:r>
    </w:p>
    <w:p>
      <w:pPr>
        <w:numPr>
          <w:ilvl w:val="0"/>
          <w:numId w:val="1413"/>
        </w:numPr>
        <w:pStyle w:val="Compact"/>
      </w:pPr>
      <w:r>
        <w:t xml:space="preserve">2009 · Yang P ·</w:t>
      </w:r>
      <w:r>
        <w:t xml:space="preserve"> </w:t>
      </w:r>
      <w:r>
        <w:rPr>
          <w:iCs/>
          <w:i/>
        </w:rPr>
        <w:t xml:space="preserve">J Thorac Oncol</w:t>
      </w:r>
      <w:r>
        <w:t xml:space="preserve"> </w:t>
      </w:r>
      <w:r>
        <w:t xml:space="preserve">· Evaluation of glutathione metabolic genes on outcomes in advanced non-small cell lung cancer patients after initial treatment with platinum-based chemotherapy: an NCCTG-97-24-51 based study. PMID 19347979</w:t>
      </w:r>
    </w:p>
    <w:p>
      <w:pPr>
        <w:numPr>
          <w:ilvl w:val="0"/>
          <w:numId w:val="1413"/>
        </w:numPr>
        <w:pStyle w:val="Compact"/>
      </w:pPr>
      <w:r>
        <w:t xml:space="preserve">2009 · Zachara BA ·</w:t>
      </w:r>
      <w:r>
        <w:t xml:space="preserve"> </w:t>
      </w:r>
      <w:r>
        <w:rPr>
          <w:iCs/>
          <w:i/>
        </w:rPr>
        <w:t xml:space="preserve">Acta Biochim Pol</w:t>
      </w:r>
      <w:r>
        <w:t xml:space="preserve"> </w:t>
      </w:r>
      <w:r>
        <w:t xml:space="preserve">· Selenium supplementation to chronic kidney disease patients on hemodialysis does not induce the synthesis of plasma glutathione peroxidase. PMID 19238255</w:t>
      </w:r>
    </w:p>
    <w:p>
      <w:pPr>
        <w:numPr>
          <w:ilvl w:val="0"/>
          <w:numId w:val="1413"/>
        </w:numPr>
        <w:pStyle w:val="Compact"/>
      </w:pPr>
      <w:r>
        <w:t xml:space="preserve">2009 · Hauser RA ·</w:t>
      </w:r>
      <w:r>
        <w:t xml:space="preserve"> </w:t>
      </w:r>
      <w:r>
        <w:rPr>
          <w:iCs/>
          <w:i/>
        </w:rPr>
        <w:t xml:space="preserve">Mov Disord</w:t>
      </w:r>
      <w:r>
        <w:t xml:space="preserve"> </w:t>
      </w:r>
      <w:r>
        <w:t xml:space="preserve">· Randomized, double-blind, pilot evaluation of intravenous glutathione in Parkinson’s disease. PMID 19230029</w:t>
      </w:r>
    </w:p>
    <w:p>
      <w:pPr>
        <w:numPr>
          <w:ilvl w:val="0"/>
          <w:numId w:val="1413"/>
        </w:numPr>
        <w:pStyle w:val="Compact"/>
      </w:pPr>
      <w:r>
        <w:t xml:space="preserve">2009 · Wang Y ·</w:t>
      </w:r>
      <w:r>
        <w:t xml:space="preserve"> </w:t>
      </w:r>
      <w:r>
        <w:rPr>
          <w:iCs/>
          <w:i/>
        </w:rPr>
        <w:t xml:space="preserve">J Nutr</w:t>
      </w:r>
      <w:r>
        <w:t xml:space="preserve"> </w:t>
      </w:r>
      <w:r>
        <w:t xml:space="preserve">· Long-term garlic or micronutrient supplementation, but not anti-Helicobacter pylori therapy, increases serum folate or glutathione without affecting serum vitamin B-12 or homocysteine in a rural Chinese population. PMID 19056661</w:t>
      </w:r>
    </w:p>
    <w:p>
      <w:pPr>
        <w:numPr>
          <w:ilvl w:val="0"/>
          <w:numId w:val="1413"/>
        </w:numPr>
        <w:pStyle w:val="Compact"/>
      </w:pPr>
      <w:r>
        <w:t xml:space="preserve">2008 · Darmaun D ·</w:t>
      </w:r>
      <w:r>
        <w:t xml:space="preserve"> </w:t>
      </w:r>
      <w:r>
        <w:rPr>
          <w:iCs/>
          <w:i/>
        </w:rPr>
        <w:t xml:space="preserve">Pediatr Diabetes</w:t>
      </w:r>
      <w:r>
        <w:t xml:space="preserve"> </w:t>
      </w:r>
      <w:r>
        <w:t xml:space="preserve">· Poorly controlled type 1 diabetes is associated with altered glutathione homeostasis in adolescents: apparent resistance to N-acetylcysteine supplementation. PMID 19067892</w:t>
      </w:r>
    </w:p>
    <w:p>
      <w:pPr>
        <w:numPr>
          <w:ilvl w:val="0"/>
          <w:numId w:val="1413"/>
        </w:numPr>
        <w:pStyle w:val="Compact"/>
      </w:pPr>
      <w:r>
        <w:t xml:space="preserve">2008 · Courtney-Martin G ·</w:t>
      </w:r>
      <w:r>
        <w:t xml:space="preserve"> </w:t>
      </w:r>
      <w:r>
        <w:rPr>
          <w:iCs/>
          <w:i/>
        </w:rPr>
        <w:t xml:space="preserve">J Nutr</w:t>
      </w:r>
      <w:r>
        <w:t xml:space="preserve"> </w:t>
      </w:r>
      <w:r>
        <w:t xml:space="preserve">· Methionine-adequate cysteine-free diet does not limit erythrocyte glutathione synthesis in young healthy adult men. PMID 18936215</w:t>
      </w:r>
    </w:p>
    <w:p>
      <w:pPr>
        <w:numPr>
          <w:ilvl w:val="0"/>
          <w:numId w:val="1413"/>
        </w:numPr>
        <w:pStyle w:val="Compact"/>
      </w:pPr>
      <w:r>
        <w:t xml:space="preserve">2008 · Bede O ·</w:t>
      </w:r>
      <w:r>
        <w:t xml:space="preserve"> </w:t>
      </w:r>
      <w:r>
        <w:rPr>
          <w:iCs/>
          <w:i/>
        </w:rPr>
        <w:t xml:space="preserve">Inflamm Res</w:t>
      </w:r>
      <w:r>
        <w:t xml:space="preserve"> </w:t>
      </w:r>
      <w:r>
        <w:t xml:space="preserve">· Effects of magnesium supplementation on the glutathione redox system in atopic asthmatic children. PMID 18516713</w:t>
      </w:r>
    </w:p>
    <w:p>
      <w:pPr>
        <w:numPr>
          <w:ilvl w:val="0"/>
          <w:numId w:val="1413"/>
        </w:numPr>
        <w:pStyle w:val="Compact"/>
      </w:pPr>
      <w:r>
        <w:t xml:space="preserve">2008 · Berk M ·</w:t>
      </w:r>
      <w:r>
        <w:t xml:space="preserve"> </w:t>
      </w:r>
      <w:r>
        <w:rPr>
          <w:iCs/>
          <w:i/>
        </w:rPr>
        <w:t xml:space="preserve">Biol Psychiatry</w:t>
      </w:r>
      <w:r>
        <w:t xml:space="preserve"> </w:t>
      </w:r>
      <w:r>
        <w:t xml:space="preserve">· N-acetyl cysteine as a glutathione precursor for schizophrenia–a double-blind, randomized, placebo-controlled trial. PMID 18436195</w:t>
      </w:r>
    </w:p>
    <w:p>
      <w:pPr>
        <w:numPr>
          <w:ilvl w:val="0"/>
          <w:numId w:val="1413"/>
        </w:numPr>
        <w:pStyle w:val="Compact"/>
      </w:pPr>
      <w:r>
        <w:t xml:space="preserve">2008 · Méplan C ·</w:t>
      </w:r>
      <w:r>
        <w:t xml:space="preserve"> </w:t>
      </w:r>
      <w:r>
        <w:rPr>
          <w:iCs/>
          <w:i/>
        </w:rPr>
        <w:t xml:space="preserve">Am J Clin Nutr</w:t>
      </w:r>
      <w:r>
        <w:t xml:space="preserve"> </w:t>
      </w:r>
      <w:r>
        <w:t xml:space="preserve">· Functional effects of a common single-nucleotide polymorphism (GPX4c718t) in the glutathione peroxidase 4 gene: interaction with sex. PMID 18400727</w:t>
      </w:r>
    </w:p>
    <w:p>
      <w:pPr>
        <w:numPr>
          <w:ilvl w:val="0"/>
          <w:numId w:val="1413"/>
        </w:numPr>
        <w:pStyle w:val="Compact"/>
      </w:pPr>
      <w:r>
        <w:t xml:space="preserve">2008 · Jariwalla RJ ·</w:t>
      </w:r>
      <w:r>
        <w:t xml:space="preserve"> </w:t>
      </w:r>
      <w:r>
        <w:rPr>
          <w:iCs/>
          <w:i/>
        </w:rPr>
        <w:t xml:space="preserve">J Altern Complement Med</w:t>
      </w:r>
      <w:r>
        <w:t xml:space="preserve"> </w:t>
      </w:r>
      <w:r>
        <w:t xml:space="preserve">· Restoration of blood total glutathione status and lymphocyte function following alpha-lipoic acid supplementation in patients with HIV infection. PMID 18315507</w:t>
      </w:r>
    </w:p>
    <w:p>
      <w:pPr>
        <w:numPr>
          <w:ilvl w:val="0"/>
          <w:numId w:val="1413"/>
        </w:numPr>
        <w:pStyle w:val="Compact"/>
      </w:pPr>
      <w:r>
        <w:t xml:space="preserve">2007 · Zavorsky GS ·</w:t>
      </w:r>
      <w:r>
        <w:t xml:space="preserve"> </w:t>
      </w:r>
      <w:r>
        <w:rPr>
          <w:iCs/>
          <w:i/>
        </w:rPr>
        <w:t xml:space="preserve">Int J Food Sci Nutr</w:t>
      </w:r>
      <w:r>
        <w:t xml:space="preserve"> </w:t>
      </w:r>
      <w:r>
        <w:t xml:space="preserve">· An open-label dose-response study of lymphocyte glutathione levels in healthy men and women receiving pressurized whey protein isolate supplements. PMID 17710587</w:t>
      </w:r>
    </w:p>
    <w:p>
      <w:pPr>
        <w:numPr>
          <w:ilvl w:val="0"/>
          <w:numId w:val="1413"/>
        </w:numPr>
        <w:pStyle w:val="Compact"/>
      </w:pPr>
      <w:r>
        <w:t xml:space="preserve">2006 · Karunasinghe N ·</w:t>
      </w:r>
      <w:r>
        <w:t xml:space="preserve"> </w:t>
      </w:r>
      <w:r>
        <w:rPr>
          <w:iCs/>
          <w:i/>
        </w:rPr>
        <w:t xml:space="preserve">J Nutr</w:t>
      </w:r>
      <w:r>
        <w:t xml:space="preserve"> </w:t>
      </w:r>
      <w:r>
        <w:t xml:space="preserve">· Hemolysate thioredoxin reductase and glutathione peroxidase activities correlate with serum selenium in a group of New Zealand men at high prostate cancer risk. PMID 16857846</w:t>
      </w:r>
    </w:p>
    <w:p>
      <w:pPr>
        <w:numPr>
          <w:ilvl w:val="0"/>
          <w:numId w:val="1413"/>
        </w:numPr>
        <w:pStyle w:val="Compact"/>
      </w:pPr>
      <w:r>
        <w:t xml:space="preserve">2006 · Muran PJ ·</w:t>
      </w:r>
      <w:r>
        <w:t xml:space="preserve"> </w:t>
      </w:r>
      <w:r>
        <w:rPr>
          <w:iCs/>
          <w:i/>
        </w:rPr>
        <w:t xml:space="preserve">Altern Ther Health Med</w:t>
      </w:r>
      <w:r>
        <w:t xml:space="preserve"> </w:t>
      </w:r>
      <w:r>
        <w:t xml:space="preserve">· Mercury elimination with oral DMPS, DMSA, vitamin C, and glutathione: an observational clinical review. PMID 16708769</w:t>
      </w:r>
    </w:p>
    <w:p>
      <w:pPr>
        <w:numPr>
          <w:ilvl w:val="0"/>
          <w:numId w:val="1413"/>
        </w:numPr>
        <w:pStyle w:val="Compact"/>
      </w:pPr>
      <w:r>
        <w:t xml:space="preserve">2006 · Tirouvanziam R ·</w:t>
      </w:r>
      <w:r>
        <w:t xml:space="preserve"> </w:t>
      </w:r>
      <w:r>
        <w:rPr>
          <w:iCs/>
          <w:i/>
        </w:rPr>
        <w:t xml:space="preserve">Proc Natl Acad Sci U S A</w:t>
      </w:r>
      <w:r>
        <w:t xml:space="preserve"> </w:t>
      </w:r>
      <w:r>
        <w:t xml:space="preserve">· High-dose oral N-acetylcysteine, a glutathione prodrug, modulates inflammation in cystic fibrosis. PMID 16537378</w:t>
      </w:r>
    </w:p>
    <w:p>
      <w:pPr>
        <w:numPr>
          <w:ilvl w:val="0"/>
          <w:numId w:val="1413"/>
        </w:numPr>
        <w:pStyle w:val="Compact"/>
      </w:pPr>
      <w:r>
        <w:t xml:space="preserve">2006 · Lavergne SN ·</w:t>
      </w:r>
      <w:r>
        <w:t xml:space="preserve"> </w:t>
      </w:r>
      <w:r>
        <w:rPr>
          <w:iCs/>
          <w:i/>
        </w:rPr>
        <w:t xml:space="preserve">Toxicology</w:t>
      </w:r>
      <w:r>
        <w:t xml:space="preserve"> </w:t>
      </w:r>
      <w:r>
        <w:t xml:space="preserve">· Roles of endogenous ascorbate and glutathione in the cellular reduction and cytotoxicity of sulfamethoxazole-nitroso. PMID 16473451</w:t>
      </w:r>
    </w:p>
    <w:p>
      <w:pPr>
        <w:numPr>
          <w:ilvl w:val="0"/>
          <w:numId w:val="1413"/>
        </w:numPr>
        <w:pStyle w:val="Compact"/>
      </w:pPr>
      <w:r>
        <w:t xml:space="preserve">2006 · Kusama M ·</w:t>
      </w:r>
      <w:r>
        <w:t xml:space="preserve"> </w:t>
      </w:r>
      <w:r>
        <w:rPr>
          <w:iCs/>
          <w:i/>
        </w:rPr>
        <w:t xml:space="preserve">Clin Chim Acta</w:t>
      </w:r>
      <w:r>
        <w:t xml:space="preserve"> </w:t>
      </w:r>
      <w:r>
        <w:t xml:space="preserve">· Influence of glutathione S-transferase A1 polymorphism on the pharmacokinetics of busulfan. PMID 16448639</w:t>
      </w:r>
    </w:p>
    <w:p>
      <w:pPr>
        <w:numPr>
          <w:ilvl w:val="0"/>
          <w:numId w:val="1413"/>
        </w:numPr>
        <w:pStyle w:val="Compact"/>
      </w:pPr>
      <w:r>
        <w:t xml:space="preserve">2005 · Huang ZW ·</w:t>
      </w:r>
      <w:r>
        <w:t xml:space="preserve"> </w:t>
      </w:r>
      <w:r>
        <w:rPr>
          <w:iCs/>
          <w:i/>
        </w:rPr>
        <w:t xml:space="preserve">Zhongguo Wei Zhong Bing Ji Jiu Yi Xue</w:t>
      </w:r>
      <w:r>
        <w:t xml:space="preserve"> </w:t>
      </w:r>
      <w:r>
        <w:t xml:space="preserve">· [Protective effect of reduced glutathione on multiple organ function in patient with acute pancreatitis]. PMID 16297323</w:t>
      </w:r>
    </w:p>
    <w:p>
      <w:pPr>
        <w:numPr>
          <w:ilvl w:val="0"/>
          <w:numId w:val="1413"/>
        </w:numPr>
        <w:pStyle w:val="Compact"/>
      </w:pPr>
      <w:r>
        <w:t xml:space="preserve">2005 · Becker K ·</w:t>
      </w:r>
      <w:r>
        <w:t xml:space="preserve"> </w:t>
      </w:r>
      <w:r>
        <w:rPr>
          <w:iCs/>
          <w:i/>
        </w:rPr>
        <w:t xml:space="preserve">Redox Rep</w:t>
      </w:r>
      <w:r>
        <w:t xml:space="preserve"> </w:t>
      </w:r>
      <w:r>
        <w:t xml:space="preserve">· Effects of antioxidants on glutathione levels and clinical recovery from the malnutrition syndrome kwashiorkor–a pilot study. PMID 16259789</w:t>
      </w:r>
    </w:p>
    <w:p>
      <w:pPr>
        <w:numPr>
          <w:ilvl w:val="0"/>
          <w:numId w:val="1413"/>
        </w:numPr>
        <w:pStyle w:val="Compact"/>
      </w:pPr>
      <w:r>
        <w:t xml:space="preserve">2005 · Rundle AG ·</w:t>
      </w:r>
      <w:r>
        <w:t xml:space="preserve"> </w:t>
      </w:r>
      <w:r>
        <w:rPr>
          <w:iCs/>
          <w:i/>
        </w:rPr>
        <w:t xml:space="preserve">Biomarkers</w:t>
      </w:r>
      <w:r>
        <w:t xml:space="preserve"> </w:t>
      </w:r>
      <w:r>
        <w:t xml:space="preserve">· Preliminary studies on the effect of moderate physical activity on blood levels of glutathione. PMID 16243723</w:t>
      </w:r>
    </w:p>
    <w:p>
      <w:pPr>
        <w:numPr>
          <w:ilvl w:val="0"/>
          <w:numId w:val="1413"/>
        </w:numPr>
        <w:pStyle w:val="Compact"/>
      </w:pPr>
      <w:r>
        <w:t xml:space="preserve">2005 · Janse van Rensburg C ·</w:t>
      </w:r>
      <w:r>
        <w:t xml:space="preserve"> </w:t>
      </w:r>
      <w:r>
        <w:rPr>
          <w:iCs/>
          <w:i/>
        </w:rPr>
        <w:t xml:space="preserve">Eur J Nutr</w:t>
      </w:r>
      <w:r>
        <w:t xml:space="preserve"> </w:t>
      </w:r>
      <w:r>
        <w:t xml:space="preserve">· Rosa roxburghii supplementation in a controlled feeding study increases plasma antioxidant capacity and glutathione redox state. PMID 15782288</w:t>
      </w:r>
    </w:p>
    <w:p>
      <w:pPr>
        <w:numPr>
          <w:ilvl w:val="0"/>
          <w:numId w:val="1413"/>
        </w:numPr>
        <w:pStyle w:val="Compact"/>
      </w:pPr>
      <w:r>
        <w:t xml:space="preserve">2005 · Garolla A ·</w:t>
      </w:r>
      <w:r>
        <w:t xml:space="preserve"> </w:t>
      </w:r>
      <w:r>
        <w:rPr>
          <w:iCs/>
          <w:i/>
        </w:rPr>
        <w:t xml:space="preserve">Fertil Steril</w:t>
      </w:r>
      <w:r>
        <w:t xml:space="preserve"> </w:t>
      </w:r>
      <w:r>
        <w:t xml:space="preserve">· Oral carnitine supplementation increases sperm motility in asthenozoospermic men with normal sperm phospholipid hydroperoxide glutathione peroxidase levels. PMID 15705374</w:t>
      </w:r>
    </w:p>
    <w:p>
      <w:pPr>
        <w:numPr>
          <w:ilvl w:val="0"/>
          <w:numId w:val="1413"/>
        </w:numPr>
        <w:pStyle w:val="Compact"/>
      </w:pPr>
      <w:r>
        <w:t xml:space="preserve">2004 · Chełchowska M ·</w:t>
      </w:r>
      <w:r>
        <w:t xml:space="preserve"> </w:t>
      </w:r>
      <w:r>
        <w:rPr>
          <w:iCs/>
          <w:i/>
        </w:rPr>
        <w:t xml:space="preserve">Przegl Lek</w:t>
      </w:r>
      <w:r>
        <w:t xml:space="preserve"> </w:t>
      </w:r>
      <w:r>
        <w:t xml:space="preserve">· [The effect of vitamin-mineral supplementation on the level of MDA and activity of glutathione peroxidase and superoxide dismutase in blood of matched maternal-cord pairs]. PMID 15792016</w:t>
      </w:r>
    </w:p>
    <w:p>
      <w:pPr>
        <w:numPr>
          <w:ilvl w:val="0"/>
          <w:numId w:val="1413"/>
        </w:numPr>
        <w:pStyle w:val="Compact"/>
      </w:pPr>
      <w:r>
        <w:t xml:space="preserve">2004 · Child DF ·</w:t>
      </w:r>
      <w:r>
        <w:t xml:space="preserve"> </w:t>
      </w:r>
      <w:r>
        <w:rPr>
          <w:iCs/>
          <w:i/>
        </w:rPr>
        <w:t xml:space="preserve">Diabetes Nutr Metab</w:t>
      </w:r>
      <w:r>
        <w:t xml:space="preserve"> </w:t>
      </w:r>
      <w:r>
        <w:t xml:space="preserve">· The effect of oral folic acid on glutathione, glycaemia and lipids in Type 2 diabetes. PMID 15244101</w:t>
      </w:r>
    </w:p>
    <w:p>
      <w:pPr>
        <w:numPr>
          <w:ilvl w:val="0"/>
          <w:numId w:val="1413"/>
        </w:numPr>
        <w:pStyle w:val="Compact"/>
      </w:pPr>
      <w:r>
        <w:t xml:space="preserve">2004 · Zhu BD ·</w:t>
      </w:r>
      <w:r>
        <w:t xml:space="preserve"> </w:t>
      </w:r>
      <w:r>
        <w:rPr>
          <w:iCs/>
          <w:i/>
        </w:rPr>
        <w:t xml:space="preserve">Ai Zheng</w:t>
      </w:r>
      <w:r>
        <w:t xml:space="preserve"> </w:t>
      </w:r>
      <w:r>
        <w:t xml:space="preserve">· [Enhancement of antioxidant capability of cancer patients during chemotherapy by reduced glutathione]. PMID 15087038</w:t>
      </w:r>
    </w:p>
    <w:p>
      <w:pPr>
        <w:numPr>
          <w:ilvl w:val="0"/>
          <w:numId w:val="1413"/>
        </w:numPr>
        <w:pStyle w:val="Compact"/>
      </w:pPr>
      <w:r>
        <w:t xml:space="preserve">2004 · Middleton N ·</w:t>
      </w:r>
      <w:r>
        <w:t xml:space="preserve"> </w:t>
      </w:r>
      <w:r>
        <w:rPr>
          <w:iCs/>
          <w:i/>
        </w:rPr>
        <w:t xml:space="preserve">Int J Food Sci Nutr</w:t>
      </w:r>
      <w:r>
        <w:t xml:space="preserve"> </w:t>
      </w:r>
      <w:r>
        <w:t xml:space="preserve">· Whole blood and mononuclear cell glutathione response to dietary whey protein supplementation in sedentary and trained male human subjects. PMID 14985185</w:t>
      </w:r>
    </w:p>
    <w:p>
      <w:pPr>
        <w:numPr>
          <w:ilvl w:val="0"/>
          <w:numId w:val="1413"/>
        </w:numPr>
        <w:pStyle w:val="Compact"/>
      </w:pPr>
      <w:r>
        <w:t xml:space="preserve">2004 · Vrca VB ·</w:t>
      </w:r>
      <w:r>
        <w:t xml:space="preserve"> </w:t>
      </w:r>
      <w:r>
        <w:rPr>
          <w:iCs/>
          <w:i/>
        </w:rPr>
        <w:t xml:space="preserve">Clin Chim Acta</w:t>
      </w:r>
      <w:r>
        <w:t xml:space="preserve"> </w:t>
      </w:r>
      <w:r>
        <w:t xml:space="preserve">· Supplementation with antioxidants in the treatment of Graves’ disease; the effect on glutathione peroxidase activity and concentration of selenium. PMID 14967159</w:t>
      </w:r>
    </w:p>
    <w:p>
      <w:pPr>
        <w:numPr>
          <w:ilvl w:val="0"/>
          <w:numId w:val="1413"/>
        </w:numPr>
        <w:pStyle w:val="Compact"/>
      </w:pPr>
      <w:r>
        <w:t xml:space="preserve">2003 · Grey V ·</w:t>
      </w:r>
      <w:r>
        <w:t xml:space="preserve"> </w:t>
      </w:r>
      <w:r>
        <w:rPr>
          <w:iCs/>
          <w:i/>
        </w:rPr>
        <w:t xml:space="preserve">J Cyst Fibros</w:t>
      </w:r>
      <w:r>
        <w:t xml:space="preserve"> </w:t>
      </w:r>
      <w:r>
        <w:t xml:space="preserve">· Improved glutathione status in young adult patients with cystic fibrosis supplemented with whey protein. PMID 15463873</w:t>
      </w:r>
    </w:p>
    <w:p>
      <w:pPr>
        <w:numPr>
          <w:ilvl w:val="0"/>
          <w:numId w:val="1413"/>
        </w:numPr>
        <w:pStyle w:val="Compact"/>
      </w:pPr>
      <w:r>
        <w:t xml:space="preserve">2003 · Al-Taie OH ·</w:t>
      </w:r>
      <w:r>
        <w:t xml:space="preserve"> </w:t>
      </w:r>
      <w:r>
        <w:rPr>
          <w:iCs/>
          <w:i/>
        </w:rPr>
        <w:t xml:space="preserve">Nutr Cancer</w:t>
      </w:r>
      <w:r>
        <w:t xml:space="preserve"> </w:t>
      </w:r>
      <w:r>
        <w:t xml:space="preserve">· Selenium supplementation enhances low selenium levels and stimulates glutathione peroxidase activity in peripheral blood and distal colon mucosa in past and present carriers of colon adenomas. PMID 14690787</w:t>
      </w:r>
    </w:p>
    <w:p>
      <w:pPr>
        <w:numPr>
          <w:ilvl w:val="0"/>
          <w:numId w:val="1413"/>
        </w:numPr>
        <w:pStyle w:val="Compact"/>
      </w:pPr>
      <w:r>
        <w:t xml:space="preserve">2003 · Aukrust P ·</w:t>
      </w:r>
      <w:r>
        <w:t xml:space="preserve"> </w:t>
      </w:r>
      <w:r>
        <w:rPr>
          <w:iCs/>
          <w:i/>
        </w:rPr>
        <w:t xml:space="preserve">J Infect Dis</w:t>
      </w:r>
      <w:r>
        <w:t xml:space="preserve"> </w:t>
      </w:r>
      <w:r>
        <w:t xml:space="preserve">· Disturbed glutathione metabolism and decreased antioxidant levels in human immunodeficiency virus-infected patients during highly active antiretroviral therapy–potential immunomodulatory effects of antioxidants. PMID 12854078</w:t>
      </w:r>
    </w:p>
    <w:p>
      <w:pPr>
        <w:numPr>
          <w:ilvl w:val="0"/>
          <w:numId w:val="1413"/>
        </w:numPr>
        <w:pStyle w:val="Compact"/>
      </w:pPr>
      <w:r>
        <w:t xml:space="preserve">2003 · Fläring UB ·</w:t>
      </w:r>
      <w:r>
        <w:t xml:space="preserve"> </w:t>
      </w:r>
      <w:r>
        <w:rPr>
          <w:iCs/>
          <w:i/>
        </w:rPr>
        <w:t xml:space="preserve">Clin Sci (Lond)</w:t>
      </w:r>
      <w:r>
        <w:t xml:space="preserve"> </w:t>
      </w:r>
      <w:r>
        <w:t xml:space="preserve">· Glutamine attenuates post-traumatic glutathione depletion in human muscle. PMID 12605586</w:t>
      </w:r>
    </w:p>
    <w:p>
      <w:pPr>
        <w:numPr>
          <w:ilvl w:val="0"/>
          <w:numId w:val="1413"/>
        </w:numPr>
        <w:pStyle w:val="Compact"/>
      </w:pPr>
      <w:r>
        <w:t xml:space="preserve">2003 · Lenton KJ ·</w:t>
      </w:r>
      <w:r>
        <w:t xml:space="preserve"> </w:t>
      </w:r>
      <w:r>
        <w:rPr>
          <w:iCs/>
          <w:i/>
        </w:rPr>
        <w:t xml:space="preserve">Am J Clin Nutr</w:t>
      </w:r>
      <w:r>
        <w:t xml:space="preserve"> </w:t>
      </w:r>
      <w:r>
        <w:t xml:space="preserve">· Vitamin C augments lymphocyte glutathione in subjects with ascorbate deficiency. PMID 12499341</w:t>
      </w:r>
    </w:p>
    <w:p>
      <w:pPr>
        <w:numPr>
          <w:ilvl w:val="0"/>
          <w:numId w:val="1413"/>
        </w:numPr>
        <w:pStyle w:val="Compact"/>
      </w:pPr>
      <w:r>
        <w:t xml:space="preserve">2002 · Patel BP ·</w:t>
      </w:r>
      <w:r>
        <w:t xml:space="preserve"> </w:t>
      </w:r>
      <w:r>
        <w:rPr>
          <w:iCs/>
          <w:i/>
        </w:rPr>
        <w:t xml:space="preserve">Neoplasma</w:t>
      </w:r>
      <w:r>
        <w:t xml:space="preserve"> </w:t>
      </w:r>
      <w:r>
        <w:t xml:space="preserve">· Serum glutathione-S-transferase and glutathione reductase activity in head and neck cancer patients. PMID 12382026</w:t>
      </w:r>
    </w:p>
    <w:p>
      <w:pPr>
        <w:numPr>
          <w:ilvl w:val="0"/>
          <w:numId w:val="1413"/>
        </w:numPr>
        <w:pStyle w:val="Compact"/>
      </w:pPr>
      <w:r>
        <w:t xml:space="preserve">2002 · Kasperczyk S ·</w:t>
      </w:r>
      <w:r>
        <w:t xml:space="preserve"> </w:t>
      </w:r>
      <w:r>
        <w:rPr>
          <w:iCs/>
          <w:i/>
        </w:rPr>
        <w:t xml:space="preserve">Wiad Lek</w:t>
      </w:r>
      <w:r>
        <w:t xml:space="preserve"> </w:t>
      </w:r>
      <w:r>
        <w:t xml:space="preserve">· [Effect of hyperglycemia on glutathione peroxidase and superoxide dismutase activity in patients with newly diagnosed carbohydrate metabolism disturbances]. PMID 12235692</w:t>
      </w:r>
    </w:p>
    <w:p>
      <w:pPr>
        <w:numPr>
          <w:ilvl w:val="0"/>
          <w:numId w:val="1413"/>
        </w:numPr>
        <w:pStyle w:val="Compact"/>
      </w:pPr>
      <w:r>
        <w:t xml:space="preserve">2002 · Badaloo A ·</w:t>
      </w:r>
      <w:r>
        <w:t xml:space="preserve"> </w:t>
      </w:r>
      <w:r>
        <w:rPr>
          <w:iCs/>
          <w:i/>
        </w:rPr>
        <w:t xml:space="preserve">Am J Clin Nutr</w:t>
      </w:r>
      <w:r>
        <w:t xml:space="preserve"> </w:t>
      </w:r>
      <w:r>
        <w:t xml:space="preserve">· Cysteine supplementation improves the erythrocyte glutathione synthesis rate in children with severe edematous malnutrition. PMID 12198013</w:t>
      </w:r>
    </w:p>
    <w:p>
      <w:pPr>
        <w:numPr>
          <w:ilvl w:val="0"/>
          <w:numId w:val="1413"/>
        </w:numPr>
        <w:pStyle w:val="Compact"/>
      </w:pPr>
      <w:r>
        <w:t xml:space="preserve">2002 · Arosio E ·</w:t>
      </w:r>
      <w:r>
        <w:t xml:space="preserve"> </w:t>
      </w:r>
      <w:r>
        <w:rPr>
          <w:iCs/>
          <w:i/>
        </w:rPr>
        <w:t xml:space="preserve">Mayo Clin Proc</w:t>
      </w:r>
      <w:r>
        <w:t xml:space="preserve"> </w:t>
      </w:r>
      <w:r>
        <w:t xml:space="preserve">· Effect of glutathione infusion on leg arterial circulation, cutaneous microcirculation, and pain-free walking distance in patients with peripheral obstructive arterial disease: a randomized, double-blind, placebo-controlled trial. PMID 12173710</w:t>
      </w:r>
    </w:p>
    <w:p>
      <w:pPr>
        <w:numPr>
          <w:ilvl w:val="0"/>
          <w:numId w:val="1413"/>
        </w:numPr>
        <w:pStyle w:val="Compact"/>
      </w:pPr>
      <w:r>
        <w:t xml:space="preserve">2002 · Roes EM ·</w:t>
      </w:r>
      <w:r>
        <w:t xml:space="preserve"> </w:t>
      </w:r>
      <w:r>
        <w:rPr>
          <w:iCs/>
          <w:i/>
        </w:rPr>
        <w:t xml:space="preserve">Clin Chem Lab Med</w:t>
      </w:r>
      <w:r>
        <w:t xml:space="preserve"> </w:t>
      </w:r>
      <w:r>
        <w:t xml:space="preserve">· Effects of oral N-acetylcysteine on plasma homocysteine and whole blood glutathione levels in healthy, non-pregnant women. PMID 12113295</w:t>
      </w:r>
    </w:p>
    <w:p>
      <w:pPr>
        <w:numPr>
          <w:ilvl w:val="0"/>
          <w:numId w:val="1413"/>
        </w:numPr>
        <w:pStyle w:val="Compact"/>
      </w:pPr>
      <w:r>
        <w:t xml:space="preserve">2002 · Behr J ·</w:t>
      </w:r>
      <w:r>
        <w:t xml:space="preserve"> </w:t>
      </w:r>
      <w:r>
        <w:rPr>
          <w:iCs/>
          <w:i/>
        </w:rPr>
        <w:t xml:space="preserve">Eur Respir J</w:t>
      </w:r>
      <w:r>
        <w:t xml:space="preserve"> </w:t>
      </w:r>
      <w:r>
        <w:t xml:space="preserve">· Intracellular glutathione and bronchoalveolar cells in fibrosing alveolitis: effects of N-acetylcysteine. PMID 12030732</w:t>
      </w:r>
    </w:p>
    <w:p>
      <w:pPr>
        <w:numPr>
          <w:ilvl w:val="0"/>
          <w:numId w:val="1413"/>
        </w:numPr>
        <w:pStyle w:val="Compact"/>
      </w:pPr>
      <w:r>
        <w:t xml:space="preserve">2002 · Micke P ·</w:t>
      </w:r>
      <w:r>
        <w:t xml:space="preserve"> </w:t>
      </w:r>
      <w:r>
        <w:rPr>
          <w:iCs/>
          <w:i/>
        </w:rPr>
        <w:t xml:space="preserve">Eur J Nutr</w:t>
      </w:r>
      <w:r>
        <w:t xml:space="preserve"> </w:t>
      </w:r>
      <w:r>
        <w:t xml:space="preserve">· Effects of long-term supplementation with whey proteins on plasma glutathione levels of HIV-infected patients. PMID 11990003</w:t>
      </w:r>
    </w:p>
    <w:p>
      <w:pPr>
        <w:numPr>
          <w:ilvl w:val="0"/>
          <w:numId w:val="1413"/>
        </w:numPr>
        <w:pStyle w:val="Compact"/>
      </w:pPr>
      <w:r>
        <w:t xml:space="preserve">2001 · Micke P ·</w:t>
      </w:r>
      <w:r>
        <w:t xml:space="preserve"> </w:t>
      </w:r>
      <w:r>
        <w:rPr>
          <w:iCs/>
          <w:i/>
        </w:rPr>
        <w:t xml:space="preserve">Eur J Clin Invest</w:t>
      </w:r>
      <w:r>
        <w:t xml:space="preserve"> </w:t>
      </w:r>
      <w:r>
        <w:t xml:space="preserve">· Oral supplementation with whey proteins increases plasma glutathione levels of HIV-infected patients. PMID 11168457</w:t>
      </w:r>
    </w:p>
    <w:p>
      <w:pPr>
        <w:numPr>
          <w:ilvl w:val="0"/>
          <w:numId w:val="1413"/>
        </w:numPr>
        <w:pStyle w:val="Compact"/>
      </w:pPr>
      <w:r>
        <w:t xml:space="preserve">2000 · Alfthan G ·</w:t>
      </w:r>
      <w:r>
        <w:t xml:space="preserve"> </w:t>
      </w:r>
      <w:r>
        <w:rPr>
          <w:iCs/>
          <w:i/>
        </w:rPr>
        <w:t xml:space="preserve">Biol Trace Elem Res</w:t>
      </w:r>
      <w:r>
        <w:t xml:space="preserve"> </w:t>
      </w:r>
      <w:r>
        <w:t xml:space="preserve">· Selenium supplementation of children in a selenium-deficient area in China: blood selenium levels and glutathione peroxidase activities. PMID 11049204</w:t>
      </w:r>
    </w:p>
    <w:p>
      <w:pPr>
        <w:numPr>
          <w:ilvl w:val="0"/>
          <w:numId w:val="1413"/>
        </w:numPr>
        <w:pStyle w:val="Compact"/>
      </w:pPr>
      <w:r>
        <w:t xml:space="preserve">2000 · De Rosa SC ·</w:t>
      </w:r>
      <w:r>
        <w:t xml:space="preserve"> </w:t>
      </w:r>
      <w:r>
        <w:rPr>
          <w:iCs/>
          <w:i/>
        </w:rPr>
        <w:t xml:space="preserve">Eur J Clin Invest</w:t>
      </w:r>
      <w:r>
        <w:t xml:space="preserve"> </w:t>
      </w:r>
      <w:r>
        <w:t xml:space="preserve">· N-acetylcysteine replenishes glutathione in HIV infection. PMID 11029607</w:t>
      </w:r>
    </w:p>
    <w:p>
      <w:pPr>
        <w:numPr>
          <w:ilvl w:val="0"/>
          <w:numId w:val="1413"/>
        </w:numPr>
        <w:pStyle w:val="Compact"/>
      </w:pPr>
      <w:r>
        <w:t xml:space="preserve">2000 · Jain SK ·</w:t>
      </w:r>
      <w:r>
        <w:t xml:space="preserve"> </w:t>
      </w:r>
      <w:r>
        <w:rPr>
          <w:iCs/>
          <w:i/>
        </w:rPr>
        <w:t xml:space="preserve">Diabetes Care</w:t>
      </w:r>
      <w:r>
        <w:t xml:space="preserve"> </w:t>
      </w:r>
      <w:r>
        <w:t xml:space="preserve">· Vitamin E supplementation restores glutathione and malondialdehyde to normal concentrations in erythrocytes of type 1 diabetic children. PMID 10977039</w:t>
      </w:r>
    </w:p>
    <w:p>
      <w:pPr>
        <w:numPr>
          <w:ilvl w:val="0"/>
          <w:numId w:val="1413"/>
        </w:numPr>
        <w:pStyle w:val="Compact"/>
      </w:pPr>
      <w:r>
        <w:t xml:space="preserve">2000 · Lampe JW ·</w:t>
      </w:r>
      <w:r>
        <w:t xml:space="preserve"> </w:t>
      </w:r>
      <w:r>
        <w:rPr>
          <w:iCs/>
          <w:i/>
        </w:rPr>
        <w:t xml:space="preserve">Cancer Epidemiol Biomarkers Prev</w:t>
      </w:r>
      <w:r>
        <w:t xml:space="preserve"> </w:t>
      </w:r>
      <w:r>
        <w:t xml:space="preserve">· Modulation of human glutathione S-transferases by botanically defined vegetable diets. PMID 10952095</w:t>
      </w:r>
    </w:p>
    <w:p>
      <w:pPr>
        <w:numPr>
          <w:ilvl w:val="0"/>
          <w:numId w:val="1413"/>
        </w:numPr>
        <w:pStyle w:val="Compact"/>
      </w:pPr>
      <w:r>
        <w:t xml:space="preserve">2000 · Polyak MM ·</w:t>
      </w:r>
      <w:r>
        <w:t xml:space="preserve"> </w:t>
      </w:r>
      <w:r>
        <w:rPr>
          <w:iCs/>
          <w:i/>
        </w:rPr>
        <w:t xml:space="preserve">Transplantation</w:t>
      </w:r>
      <w:r>
        <w:t xml:space="preserve"> </w:t>
      </w:r>
      <w:r>
        <w:t xml:space="preserve">· Glutathione supplementation during cold ischemia does not confer early functional advantage in renal transplantation. PMID 10919601</w:t>
      </w:r>
    </w:p>
    <w:p>
      <w:pPr>
        <w:numPr>
          <w:ilvl w:val="0"/>
          <w:numId w:val="1413"/>
        </w:numPr>
        <w:pStyle w:val="Compact"/>
      </w:pPr>
      <w:r>
        <w:t xml:space="preserve">2000 · Ortolani O ·</w:t>
      </w:r>
      <w:r>
        <w:t xml:space="preserve"> </w:t>
      </w:r>
      <w:r>
        <w:rPr>
          <w:iCs/>
          <w:i/>
        </w:rPr>
        <w:t xml:space="preserve">Am J Respir Crit Care Med</w:t>
      </w:r>
      <w:r>
        <w:t xml:space="preserve"> </w:t>
      </w:r>
      <w:r>
        <w:t xml:space="preserve">· The effect of glutathione and N-acetylcysteine on lipoperoxidative damage in patients with early septic shock. PMID 10852765</w:t>
      </w:r>
    </w:p>
    <w:p>
      <w:pPr>
        <w:numPr>
          <w:ilvl w:val="0"/>
          <w:numId w:val="1413"/>
        </w:numPr>
        <w:pStyle w:val="Compact"/>
      </w:pPr>
      <w:r>
        <w:t xml:space="preserve">2000 · Pendyala L ·</w:t>
      </w:r>
      <w:r>
        <w:t xml:space="preserve"> </w:t>
      </w:r>
      <w:r>
        <w:rPr>
          <w:iCs/>
          <w:i/>
        </w:rPr>
        <w:t xml:space="preserve">Clin Cancer Res</w:t>
      </w:r>
      <w:r>
        <w:t xml:space="preserve"> </w:t>
      </w:r>
      <w:r>
        <w:t xml:space="preserve">· Intravenous ifosfamide/mesna is associated with depletion of plasma thiols without depletion of leukocyte glutathione. PMID 10778956</w:t>
      </w:r>
    </w:p>
    <w:p>
      <w:pPr>
        <w:numPr>
          <w:ilvl w:val="0"/>
          <w:numId w:val="1413"/>
        </w:numPr>
        <w:pStyle w:val="Compact"/>
      </w:pPr>
      <w:r>
        <w:t xml:space="preserve">2000 · Jeevanandam M ·</w:t>
      </w:r>
      <w:r>
        <w:t xml:space="preserve"> </w:t>
      </w:r>
      <w:r>
        <w:rPr>
          <w:iCs/>
          <w:i/>
        </w:rPr>
        <w:t xml:space="preserve">Crit Care Med</w:t>
      </w:r>
      <w:r>
        <w:t xml:space="preserve"> </w:t>
      </w:r>
      <w:r>
        <w:t xml:space="preserve">· Altered plasma cytokines and total glutathione levels in parenterally fed critically ill trauma patients with adjuvant recombinant human growth hormone (rhGH) therapy. PMID 10708161</w:t>
      </w:r>
    </w:p>
    <w:p>
      <w:pPr>
        <w:numPr>
          <w:ilvl w:val="0"/>
          <w:numId w:val="1413"/>
        </w:numPr>
        <w:pStyle w:val="Compact"/>
      </w:pPr>
      <w:r>
        <w:t xml:space="preserve">1999 · Barbagallo M ·</w:t>
      </w:r>
      <w:r>
        <w:t xml:space="preserve"> </w:t>
      </w:r>
      <w:r>
        <w:rPr>
          <w:iCs/>
          <w:i/>
        </w:rPr>
        <w:t xml:space="preserve">Hypertension</w:t>
      </w:r>
      <w:r>
        <w:t xml:space="preserve"> </w:t>
      </w:r>
      <w:r>
        <w:t xml:space="preserve">· Effects of vitamin E and glutathione on glucose metabolism: role of magnesium. PMID 10523398</w:t>
      </w:r>
    </w:p>
    <w:p>
      <w:pPr>
        <w:numPr>
          <w:ilvl w:val="0"/>
          <w:numId w:val="1413"/>
        </w:numPr>
        <w:pStyle w:val="Compact"/>
      </w:pPr>
      <w:r>
        <w:t xml:space="preserve">1999 · Galli F ·</w:t>
      </w:r>
      <w:r>
        <w:t xml:space="preserve"> </w:t>
      </w:r>
      <w:r>
        <w:rPr>
          <w:iCs/>
          <w:i/>
        </w:rPr>
        <w:t xml:space="preserve">Clin Chem</w:t>
      </w:r>
      <w:r>
        <w:t xml:space="preserve"> </w:t>
      </w:r>
      <w:r>
        <w:t xml:space="preserve">· Overexpression of erythrocyte glutathione S-transferase in uremia and dialysis. PMID 10508125</w:t>
      </w:r>
    </w:p>
    <w:p>
      <w:pPr>
        <w:numPr>
          <w:ilvl w:val="0"/>
          <w:numId w:val="1413"/>
        </w:numPr>
        <w:pStyle w:val="Compact"/>
      </w:pPr>
      <w:r>
        <w:t xml:space="preserve">1998 · Apostolski S ·</w:t>
      </w:r>
      <w:r>
        <w:t xml:space="preserve"> </w:t>
      </w:r>
      <w:r>
        <w:rPr>
          <w:iCs/>
          <w:i/>
        </w:rPr>
        <w:t xml:space="preserve">J Environ Pathol Toxicol Oncol</w:t>
      </w:r>
      <w:r>
        <w:t xml:space="preserve"> </w:t>
      </w:r>
      <w:r>
        <w:t xml:space="preserve">· Glutathione peroxidase in amyotrophic lateral sclerosis: the effects of selenium supplementation. PMID 9726810</w:t>
      </w:r>
    </w:p>
    <w:p>
      <w:pPr>
        <w:numPr>
          <w:ilvl w:val="0"/>
          <w:numId w:val="1413"/>
        </w:numPr>
        <w:pStyle w:val="Compact"/>
      </w:pPr>
      <w:r>
        <w:t xml:space="preserve">1998 · De Mattia G ·</w:t>
      </w:r>
      <w:r>
        <w:t xml:space="preserve"> </w:t>
      </w:r>
      <w:r>
        <w:rPr>
          <w:iCs/>
          <w:i/>
        </w:rPr>
        <w:t xml:space="preserve">Metabolism</w:t>
      </w:r>
      <w:r>
        <w:t xml:space="preserve"> </w:t>
      </w:r>
      <w:r>
        <w:t xml:space="preserve">· Influence of reduced glutathione infusion on glucose metabolism in patients with non-insulin-dependent diabetes mellitus. PMID 9711998</w:t>
      </w:r>
    </w:p>
    <w:p>
      <w:pPr>
        <w:numPr>
          <w:ilvl w:val="0"/>
          <w:numId w:val="1413"/>
        </w:numPr>
        <w:pStyle w:val="Compact"/>
      </w:pPr>
      <w:r>
        <w:t xml:space="preserve">1998 · Cimino L ·</w:t>
      </w:r>
      <w:r>
        <w:t xml:space="preserve"> </w:t>
      </w:r>
      <w:r>
        <w:rPr>
          <w:iCs/>
          <w:i/>
        </w:rPr>
        <w:t xml:space="preserve">Ital J Gastroenterol Hepatol</w:t>
      </w:r>
      <w:r>
        <w:t xml:space="preserve"> </w:t>
      </w:r>
      <w:r>
        <w:t xml:space="preserve">· Effect of N-acetyl-cysteine on lymphomonocyte glutathione and response to interferon treatment in C-virus chronic hepatitis. PMID 9675657</w:t>
      </w:r>
    </w:p>
    <w:p>
      <w:pPr>
        <w:numPr>
          <w:ilvl w:val="0"/>
          <w:numId w:val="1413"/>
        </w:numPr>
        <w:pStyle w:val="Compact"/>
      </w:pPr>
      <w:r>
        <w:t xml:space="preserve">1998 · Bernhard MC ·</w:t>
      </w:r>
      <w:r>
        <w:t xml:space="preserve"> </w:t>
      </w:r>
      <w:r>
        <w:rPr>
          <w:iCs/>
          <w:i/>
        </w:rPr>
        <w:t xml:space="preserve">J Hepatol</w:t>
      </w:r>
      <w:r>
        <w:t xml:space="preserve"> </w:t>
      </w:r>
      <w:r>
        <w:t xml:space="preserve">· Time course of total cysteine, glutathione and homocysteine in plasma of patients with chronic hepatitis C treated with interferon-alpha with and without supplementation with N-acetylcysteine. PMID 9625308</w:t>
      </w:r>
    </w:p>
    <w:p>
      <w:pPr>
        <w:numPr>
          <w:ilvl w:val="0"/>
          <w:numId w:val="1413"/>
        </w:numPr>
        <w:pStyle w:val="Compact"/>
      </w:pPr>
      <w:r>
        <w:t xml:space="preserve">1997 · Clapper ML ·</w:t>
      </w:r>
      <w:r>
        <w:t xml:space="preserve"> </w:t>
      </w:r>
      <w:r>
        <w:rPr>
          <w:iCs/>
          <w:i/>
        </w:rPr>
        <w:t xml:space="preserve">Clin Cancer Res</w:t>
      </w:r>
      <w:r>
        <w:t xml:space="preserve"> </w:t>
      </w:r>
      <w:r>
        <w:t xml:space="preserve">· Preclinical and clinical evaluation of broccoli supplements as inducers of glutathione S-transferase activity. PMID 9815533</w:t>
      </w:r>
    </w:p>
    <w:p>
      <w:pPr>
        <w:numPr>
          <w:ilvl w:val="0"/>
          <w:numId w:val="1413"/>
        </w:numPr>
        <w:pStyle w:val="Compact"/>
      </w:pPr>
      <w:r>
        <w:t xml:space="preserve">1997 · Konukoğlu D ·</w:t>
      </w:r>
      <w:r>
        <w:t xml:space="preserve"> </w:t>
      </w:r>
      <w:r>
        <w:rPr>
          <w:iCs/>
          <w:i/>
        </w:rPr>
        <w:t xml:space="preserve">J Endocrinol Invest</w:t>
      </w:r>
      <w:r>
        <w:t xml:space="preserve"> </w:t>
      </w:r>
      <w:r>
        <w:t xml:space="preserve">· The erythrocyte glutathione levels during oral glucose tolerance test. PMID 9364250</w:t>
      </w:r>
    </w:p>
    <w:p>
      <w:pPr>
        <w:numPr>
          <w:ilvl w:val="0"/>
          <w:numId w:val="1413"/>
        </w:numPr>
        <w:pStyle w:val="Compact"/>
      </w:pPr>
      <w:r>
        <w:t xml:space="preserve">1997 · Herzenberg LA ·</w:t>
      </w:r>
      <w:r>
        <w:t xml:space="preserve"> </w:t>
      </w:r>
      <w:r>
        <w:rPr>
          <w:iCs/>
          <w:i/>
        </w:rPr>
        <w:t xml:space="preserve">Proc Natl Acad Sci U S A</w:t>
      </w:r>
      <w:r>
        <w:t xml:space="preserve"> </w:t>
      </w:r>
      <w:r>
        <w:t xml:space="preserve">· Glutathione deficiency is associated with impaired survival in HIV disease. PMID 9050888</w:t>
      </w:r>
    </w:p>
    <w:p>
      <w:pPr>
        <w:numPr>
          <w:ilvl w:val="0"/>
          <w:numId w:val="1413"/>
        </w:numPr>
        <w:pStyle w:val="Compact"/>
      </w:pPr>
      <w:r>
        <w:t xml:space="preserve">1996 · Sechi G ·</w:t>
      </w:r>
      <w:r>
        <w:t xml:space="preserve"> </w:t>
      </w:r>
      <w:r>
        <w:rPr>
          <w:iCs/>
          <w:i/>
        </w:rPr>
        <w:t xml:space="preserve">Prog Neuropsychopharmacol Biol Psychiatry</w:t>
      </w:r>
      <w:r>
        <w:t xml:space="preserve"> </w:t>
      </w:r>
      <w:r>
        <w:t xml:space="preserve">· Reduced intravenous glutathione in the treatment of early Parkinson’s disease. PMID 8938817</w:t>
      </w:r>
    </w:p>
    <w:p>
      <w:pPr>
        <w:numPr>
          <w:ilvl w:val="0"/>
          <w:numId w:val="1413"/>
        </w:numPr>
        <w:pStyle w:val="Compact"/>
      </w:pPr>
      <w:r>
        <w:t xml:space="preserve">1996 · Hu JJ ·</w:t>
      </w:r>
      <w:r>
        <w:t xml:space="preserve"> </w:t>
      </w:r>
      <w:r>
        <w:rPr>
          <w:iCs/>
          <w:i/>
        </w:rPr>
        <w:t xml:space="preserve">Cancer Epidemiol Biomarkers Prev</w:t>
      </w:r>
      <w:r>
        <w:t xml:space="preserve"> </w:t>
      </w:r>
      <w:r>
        <w:t xml:space="preserve">· Effects of dietary supplementation of alpha-tocopherol on plasma glutathione and DNA repair activities. PMID 8722217</w:t>
      </w:r>
    </w:p>
    <w:p>
      <w:pPr>
        <w:numPr>
          <w:ilvl w:val="0"/>
          <w:numId w:val="1413"/>
        </w:numPr>
        <w:pStyle w:val="Compact"/>
      </w:pPr>
      <w:r>
        <w:t xml:space="preserve">1996 · Delmas-Beauvieux MC ·</w:t>
      </w:r>
      <w:r>
        <w:t xml:space="preserve"> </w:t>
      </w:r>
      <w:r>
        <w:rPr>
          <w:iCs/>
          <w:i/>
        </w:rPr>
        <w:t xml:space="preserve">Am J Clin Nutr</w:t>
      </w:r>
      <w:r>
        <w:t xml:space="preserve"> </w:t>
      </w:r>
      <w:r>
        <w:t xml:space="preserve">· The enzymatic antioxidant system in blood and glutathione status in human immunodeficiency virus (HIV)-infected patients: effects of supplementation with selenium or beta-carotene. PMID 8669404</w:t>
      </w:r>
    </w:p>
    <w:p>
      <w:pPr>
        <w:numPr>
          <w:ilvl w:val="0"/>
          <w:numId w:val="1413"/>
        </w:numPr>
        <w:pStyle w:val="Compact"/>
      </w:pPr>
      <w:r>
        <w:t xml:space="preserve">1995 · Ramsay B ·</w:t>
      </w:r>
      <w:r>
        <w:t xml:space="preserve"> </w:t>
      </w:r>
      <w:r>
        <w:rPr>
          <w:iCs/>
          <w:i/>
        </w:rPr>
        <w:t xml:space="preserve">Br J Clin Pharmacol</w:t>
      </w:r>
      <w:r>
        <w:t xml:space="preserve"> </w:t>
      </w:r>
      <w:r>
        <w:t xml:space="preserve">· Systemic effects of S-nitroso-glutathione in the human following intravenous infusion. PMID 8527258</w:t>
      </w:r>
    </w:p>
    <w:p>
      <w:pPr>
        <w:numPr>
          <w:ilvl w:val="0"/>
          <w:numId w:val="1413"/>
        </w:numPr>
        <w:pStyle w:val="Compact"/>
      </w:pPr>
      <w:r>
        <w:t xml:space="preserve">1995 · Tessier F ·</w:t>
      </w:r>
      <w:r>
        <w:t xml:space="preserve"> </w:t>
      </w:r>
      <w:r>
        <w:rPr>
          <w:iCs/>
          <w:i/>
        </w:rPr>
        <w:t xml:space="preserve">Med Sci Sports Exerc</w:t>
      </w:r>
      <w:r>
        <w:t xml:space="preserve"> </w:t>
      </w:r>
      <w:r>
        <w:t xml:space="preserve">· Selenium and training effects on the glutathione system and aerobic performance. PMID 7752866</w:t>
      </w:r>
    </w:p>
    <w:p>
      <w:pPr>
        <w:numPr>
          <w:ilvl w:val="0"/>
          <w:numId w:val="1413"/>
        </w:numPr>
        <w:pStyle w:val="Compact"/>
      </w:pPr>
      <w:r>
        <w:t xml:space="preserve">1994 · Bailey HH ·</w:t>
      </w:r>
      <w:r>
        <w:t xml:space="preserve"> </w:t>
      </w:r>
      <w:r>
        <w:rPr>
          <w:iCs/>
          <w:i/>
        </w:rPr>
        <w:t xml:space="preserve">J Clin Oncol</w:t>
      </w:r>
      <w:r>
        <w:t xml:space="preserve"> </w:t>
      </w:r>
      <w:r>
        <w:t xml:space="preserve">· Phase I clinical trial of intravenous L-buthionine sulfoximine and melphalan: an attempt at modulation of glutathione. PMID 8270977</w:t>
      </w:r>
    </w:p>
    <w:p>
      <w:pPr>
        <w:numPr>
          <w:ilvl w:val="0"/>
          <w:numId w:val="1413"/>
        </w:numPr>
        <w:pStyle w:val="Compact"/>
      </w:pPr>
      <w:r>
        <w:t xml:space="preserve">1994 · Meyer A ·</w:t>
      </w:r>
      <w:r>
        <w:t xml:space="preserve"> </w:t>
      </w:r>
      <w:r>
        <w:rPr>
          <w:iCs/>
          <w:i/>
        </w:rPr>
        <w:t xml:space="preserve">Eur Respir J</w:t>
      </w:r>
      <w:r>
        <w:t xml:space="preserve"> </w:t>
      </w:r>
      <w:r>
        <w:t xml:space="preserve">· The effect of oral N-acetylcysteine on lung glutathione levels in idiopathic pulmonary fibrosis. PMID 8013597</w:t>
      </w:r>
    </w:p>
    <w:p>
      <w:pPr>
        <w:numPr>
          <w:ilvl w:val="0"/>
          <w:numId w:val="1413"/>
        </w:numPr>
        <w:pStyle w:val="Compact"/>
      </w:pPr>
      <w:r>
        <w:t xml:space="preserve">1994 · Plaxe S ·</w:t>
      </w:r>
      <w:r>
        <w:t xml:space="preserve"> </w:t>
      </w:r>
      <w:r>
        <w:rPr>
          <w:iCs/>
          <w:i/>
        </w:rPr>
        <w:t xml:space="preserve">Gynecol Oncol</w:t>
      </w:r>
      <w:r>
        <w:t xml:space="preserve"> </w:t>
      </w:r>
      <w:r>
        <w:t xml:space="preserve">· Phase I trial of cisplatin in combination with glutathione. PMID 7959273</w:t>
      </w:r>
    </w:p>
    <w:p>
      <w:pPr>
        <w:numPr>
          <w:ilvl w:val="0"/>
          <w:numId w:val="1413"/>
        </w:numPr>
        <w:pStyle w:val="Compact"/>
      </w:pPr>
      <w:r>
        <w:t xml:space="preserve">1994 · Kinscherf R ·</w:t>
      </w:r>
      <w:r>
        <w:t xml:space="preserve"> </w:t>
      </w:r>
      <w:r>
        <w:rPr>
          <w:iCs/>
          <w:i/>
        </w:rPr>
        <w:t xml:space="preserve">FASEB J</w:t>
      </w:r>
      <w:r>
        <w:t xml:space="preserve"> </w:t>
      </w:r>
      <w:r>
        <w:t xml:space="preserve">· Effect of glutathione depletion and oral N-acetyl-cysteine treatment on CD4+ and CD8+ cells. PMID 7909525</w:t>
      </w:r>
    </w:p>
    <w:p>
      <w:pPr>
        <w:numPr>
          <w:ilvl w:val="0"/>
          <w:numId w:val="1413"/>
        </w:numPr>
        <w:pStyle w:val="Compact"/>
      </w:pPr>
      <w:r>
        <w:t xml:space="preserve">1993 · Thomson CD ·</w:t>
      </w:r>
      <w:r>
        <w:t xml:space="preserve"> </w:t>
      </w:r>
      <w:r>
        <w:rPr>
          <w:iCs/>
          <w:i/>
        </w:rPr>
        <w:t xml:space="preserve">Br J Nutr</w:t>
      </w:r>
      <w:r>
        <w:t xml:space="preserve"> </w:t>
      </w:r>
      <w:r>
        <w:t xml:space="preserve">· Long-term supplementation with selenate and selenomethionine: selenium and glutathione peroxidase (EC 1.11.1.9) in blood components of New Zealand women. PMID 8490010</w:t>
      </w:r>
    </w:p>
    <w:p>
      <w:pPr>
        <w:numPr>
          <w:ilvl w:val="0"/>
          <w:numId w:val="1413"/>
        </w:numPr>
        <w:pStyle w:val="Compact"/>
      </w:pPr>
      <w:r>
        <w:t xml:space="preserve">1993 · Johnston CS ·</w:t>
      </w:r>
      <w:r>
        <w:t xml:space="preserve"> </w:t>
      </w:r>
      <w:r>
        <w:rPr>
          <w:iCs/>
          <w:i/>
        </w:rPr>
        <w:t xml:space="preserve">Am J Clin Nutr</w:t>
      </w:r>
      <w:r>
        <w:t xml:space="preserve"> </w:t>
      </w:r>
      <w:r>
        <w:t xml:space="preserve">· Vitamin C elevates red blood cell glutathione in healthy adults. PMID 8317379</w:t>
      </w:r>
    </w:p>
    <w:p>
      <w:pPr>
        <w:numPr>
          <w:ilvl w:val="0"/>
          <w:numId w:val="1413"/>
        </w:numPr>
        <w:pStyle w:val="Compact"/>
      </w:pPr>
      <w:r>
        <w:t xml:space="preserve">1993 · Jendryczko A ·</w:t>
      </w:r>
      <w:r>
        <w:t xml:space="preserve"> </w:t>
      </w:r>
      <w:r>
        <w:rPr>
          <w:iCs/>
          <w:i/>
        </w:rPr>
        <w:t xml:space="preserve">Zentralbl Gynakol</w:t>
      </w:r>
      <w:r>
        <w:t xml:space="preserve"> </w:t>
      </w:r>
      <w:r>
        <w:t xml:space="preserve">· Effects of two low-dose oral contraceptives on erythrocyte superoxide dismutase, catalase and glutathione peroxidase activities. PMID 8296490</w:t>
      </w:r>
    </w:p>
    <w:p>
      <w:pPr>
        <w:numPr>
          <w:ilvl w:val="0"/>
          <w:numId w:val="1413"/>
        </w:numPr>
        <w:pStyle w:val="Compact"/>
      </w:pPr>
      <w:r>
        <w:t xml:space="preserve">1993 · Suthutvoravut U ·</w:t>
      </w:r>
      <w:r>
        <w:t xml:space="preserve"> </w:t>
      </w:r>
      <w:r>
        <w:rPr>
          <w:iCs/>
          <w:i/>
        </w:rPr>
        <w:t xml:space="preserve">J Med Assoc Thai</w:t>
      </w:r>
      <w:r>
        <w:t xml:space="preserve"> </w:t>
      </w:r>
      <w:r>
        <w:t xml:space="preserve">· Vitamin E status, glutathione peroxidase activity and the effect of vitamin E supplementation in children with thalassemia. PMID 7822984</w:t>
      </w:r>
    </w:p>
    <w:p>
      <w:pPr>
        <w:numPr>
          <w:ilvl w:val="0"/>
          <w:numId w:val="1413"/>
        </w:numPr>
        <w:pStyle w:val="Compact"/>
      </w:pPr>
      <w:r>
        <w:t xml:space="preserve">1992 · Costagliola C ·</w:t>
      </w:r>
      <w:r>
        <w:t xml:space="preserve"> </w:t>
      </w:r>
      <w:r>
        <w:rPr>
          <w:iCs/>
          <w:i/>
        </w:rPr>
        <w:t xml:space="preserve">Nephron</w:t>
      </w:r>
      <w:r>
        <w:t xml:space="preserve"> </w:t>
      </w:r>
      <w:r>
        <w:t xml:space="preserve">· Anemia and chronic renal failure: a therapeutical approach by reduced glutathione parenteral administration. PMID 1501736</w:t>
      </w:r>
    </w:p>
    <w:p>
      <w:pPr>
        <w:numPr>
          <w:ilvl w:val="0"/>
          <w:numId w:val="1413"/>
        </w:numPr>
        <w:pStyle w:val="Compact"/>
      </w:pPr>
      <w:r>
        <w:t xml:space="preserve">1992 · Ortolani O ·</w:t>
      </w:r>
      <w:r>
        <w:t xml:space="preserve"> </w:t>
      </w:r>
      <w:r>
        <w:rPr>
          <w:iCs/>
          <w:i/>
        </w:rPr>
        <w:t xml:space="preserve">Boll Soc Ital Biol Sper</w:t>
      </w:r>
      <w:r>
        <w:t xml:space="preserve"> </w:t>
      </w:r>
      <w:r>
        <w:t xml:space="preserve">· [Usefulness of the prevention of oxygen radical damage in the critical patient using the parenteral administration of reduced glutathione in high doses]. PMID 1463596</w:t>
      </w:r>
    </w:p>
    <w:p>
      <w:pPr>
        <w:numPr>
          <w:ilvl w:val="0"/>
          <w:numId w:val="1413"/>
        </w:numPr>
        <w:pStyle w:val="Compact"/>
      </w:pPr>
      <w:r>
        <w:t xml:space="preserve">1990 · Corbucci GG ·</w:t>
      </w:r>
      <w:r>
        <w:t xml:space="preserve"> </w:t>
      </w:r>
      <w:r>
        <w:rPr>
          <w:iCs/>
          <w:i/>
        </w:rPr>
        <w:t xml:space="preserve">Int J Clin Pharmacol Res</w:t>
      </w:r>
      <w:r>
        <w:t xml:space="preserve"> </w:t>
      </w:r>
      <w:r>
        <w:t xml:space="preserve">· The role of reduced glutathione during the course of acute haemolysis in glucose-6-phosphate dehydrogenase deficient patients: clinical and pharmacodynamic aspects. PMID 1981880</w:t>
      </w:r>
    </w:p>
    <w:p>
      <w:pPr>
        <w:numPr>
          <w:ilvl w:val="0"/>
          <w:numId w:val="1413"/>
        </w:numPr>
        <w:pStyle w:val="Compact"/>
      </w:pPr>
      <w:r>
        <w:t xml:space="preserve">1989 · Vendemiale G ·</w:t>
      </w:r>
      <w:r>
        <w:t xml:space="preserve"> </w:t>
      </w:r>
      <w:r>
        <w:rPr>
          <w:iCs/>
          <w:i/>
        </w:rPr>
        <w:t xml:space="preserve">Scand J Gastroenterol</w:t>
      </w:r>
      <w:r>
        <w:t xml:space="preserve"> </w:t>
      </w:r>
      <w:r>
        <w:t xml:space="preserve">· Effects of oral S-adenosyl-L-methionine on hepatic glutathione in patients with liver disease. PMID 2781235</w:t>
      </w:r>
    </w:p>
    <w:p>
      <w:pPr>
        <w:numPr>
          <w:ilvl w:val="0"/>
          <w:numId w:val="1413"/>
        </w:numPr>
        <w:pStyle w:val="Compact"/>
      </w:pPr>
      <w:r>
        <w:t xml:space="preserve">1988 · Thomson CD ·</w:t>
      </w:r>
      <w:r>
        <w:t xml:space="preserve"> </w:t>
      </w:r>
      <w:r>
        <w:rPr>
          <w:iCs/>
          <w:i/>
        </w:rPr>
        <w:t xml:space="preserve">Am J Clin Nutr</w:t>
      </w:r>
      <w:r>
        <w:t xml:space="preserve"> </w:t>
      </w:r>
      <w:r>
        <w:t xml:space="preserve">· Selenium and vitamin E supplementation: activities of glutathione peroxidase in human tissues. PMID 3407611</w:t>
      </w:r>
    </w:p>
    <w:p>
      <w:pPr>
        <w:numPr>
          <w:ilvl w:val="0"/>
          <w:numId w:val="1413"/>
        </w:numPr>
        <w:pStyle w:val="Compact"/>
      </w:pPr>
      <w:r>
        <w:t xml:space="preserve">1988 · Nève J ·</w:t>
      </w:r>
      <w:r>
        <w:t xml:space="preserve"> </w:t>
      </w:r>
      <w:r>
        <w:rPr>
          <w:iCs/>
          <w:i/>
        </w:rPr>
        <w:t xml:space="preserve">Am J Clin Nutr</w:t>
      </w:r>
      <w:r>
        <w:t xml:space="preserve"> </w:t>
      </w:r>
      <w:r>
        <w:t xml:space="preserve">· Selenium supplementation in healthy Belgian adults: response in platelet glutathione peroxidase activity and other blood indices. PMID 3389320</w:t>
      </w:r>
    </w:p>
    <w:p>
      <w:pPr>
        <w:numPr>
          <w:ilvl w:val="0"/>
          <w:numId w:val="1413"/>
        </w:numPr>
        <w:pStyle w:val="Compact"/>
      </w:pPr>
      <w:r>
        <w:t xml:space="preserve">1988 · Thomson CD ·</w:t>
      </w:r>
      <w:r>
        <w:t xml:space="preserve"> </w:t>
      </w:r>
      <w:r>
        <w:rPr>
          <w:iCs/>
          <w:i/>
        </w:rPr>
        <w:t xml:space="preserve">Biochem Int</w:t>
      </w:r>
      <w:r>
        <w:t xml:space="preserve"> </w:t>
      </w:r>
      <w:r>
        <w:t xml:space="preserve">· The absence of adaptive changes in tissue activities of glutathione-S-transferase, superoxide dismutase and catalase following selenium and vitamin E supplementation in subjects with low selenium status. PMID 3355578</w:t>
      </w:r>
    </w:p>
    <w:p>
      <w:pPr>
        <w:numPr>
          <w:ilvl w:val="0"/>
          <w:numId w:val="1413"/>
        </w:numPr>
        <w:pStyle w:val="Compact"/>
      </w:pPr>
      <w:r>
        <w:t xml:space="preserve">1988 · Clausen J ·</w:t>
      </w:r>
      <w:r>
        <w:t xml:space="preserve"> </w:t>
      </w:r>
      <w:r>
        <w:rPr>
          <w:iCs/>
          <w:i/>
        </w:rPr>
        <w:t xml:space="preserve">Biol Trace Elem Res</w:t>
      </w:r>
      <w:r>
        <w:t xml:space="preserve"> </w:t>
      </w:r>
      <w:r>
        <w:t xml:space="preserve">· Comparison of whole blood selenium values and erythrocyte glutathione peroxidase activities of normal individuals on supplementation with selenate, selenite, L-selenomethionine, and high selenium yeast. PMID 2484510</w:t>
      </w:r>
    </w:p>
    <w:p>
      <w:pPr>
        <w:numPr>
          <w:ilvl w:val="0"/>
          <w:numId w:val="1413"/>
        </w:numPr>
        <w:pStyle w:val="Compact"/>
      </w:pPr>
      <w:r>
        <w:t xml:space="preserve">1985 · Batist G ·</w:t>
      </w:r>
      <w:r>
        <w:t xml:space="preserve"> </w:t>
      </w:r>
      <w:r>
        <w:rPr>
          <w:iCs/>
          <w:i/>
        </w:rPr>
        <w:t xml:space="preserve">Cancer Res</w:t>
      </w:r>
      <w:r>
        <w:t xml:space="preserve"> </w:t>
      </w:r>
      <w:r>
        <w:t xml:space="preserve">· Cardiac and red blood cell glutathione peroxidase: results of a prospective randomized trial in patients on total parenteral nutrition. PMID 3931910</w:t>
      </w:r>
    </w:p>
    <w:p>
      <w:pPr>
        <w:numPr>
          <w:ilvl w:val="0"/>
          <w:numId w:val="1413"/>
        </w:numPr>
        <w:pStyle w:val="Compact"/>
      </w:pPr>
      <w:r>
        <w:t xml:space="preserve">1984 · Sundström H ·</w:t>
      </w:r>
      <w:r>
        <w:t xml:space="preserve"> </w:t>
      </w:r>
      <w:r>
        <w:rPr>
          <w:iCs/>
          <w:i/>
        </w:rPr>
        <w:t xml:space="preserve">Cancer Lett</w:t>
      </w:r>
      <w:r>
        <w:t xml:space="preserve"> </w:t>
      </w:r>
      <w:r>
        <w:t xml:space="preserve">· Serum selenium and glutathione peroxidase, and plasma lipid peroxides in uterine, ovarian or vulvar cancer, and their responses to antioxidants in patients with ovarian cancer. PMID 6498792</w:t>
      </w:r>
    </w:p>
    <w:bookmarkEnd w:id="3059"/>
    <w:bookmarkStart w:id="3060" w:name="bremelanotide-pt-141-16"/>
    <w:p>
      <w:pPr>
        <w:pStyle w:val="Heading2"/>
      </w:pPr>
      <w:r>
        <w:t xml:space="preserve">Bremelanotide (PT-141) (16)</w:t>
      </w:r>
    </w:p>
    <w:p>
      <w:pPr>
        <w:numPr>
          <w:ilvl w:val="0"/>
          <w:numId w:val="1414"/>
        </w:numPr>
        <w:pStyle w:val="Compact"/>
      </w:pPr>
      <w:r>
        <w:t xml:space="preserve">2022 · Simon JA ·</w:t>
      </w:r>
      <w:r>
        <w:t xml:space="preserve"> </w:t>
      </w:r>
      <w:r>
        <w:rPr>
          <w:iCs/>
          <w:i/>
        </w:rPr>
        <w:t xml:space="preserve">J Womens Health (Larchmt)</w:t>
      </w:r>
      <w:r>
        <w:t xml:space="preserve"> </w:t>
      </w:r>
      <w:r>
        <w:t xml:space="preserve">· Prespecified and Integrated Subgroup Analyses from the RECONNECT Phase 3 Studies of Bremelanotide. PMID 35230162</w:t>
      </w:r>
    </w:p>
    <w:p>
      <w:pPr>
        <w:numPr>
          <w:ilvl w:val="0"/>
          <w:numId w:val="1414"/>
        </w:numPr>
        <w:pStyle w:val="Compact"/>
      </w:pPr>
      <w:r>
        <w:t xml:space="preserve">2022 · Clayton AH ·</w:t>
      </w:r>
      <w:r>
        <w:t xml:space="preserve"> </w:t>
      </w:r>
      <w:r>
        <w:rPr>
          <w:iCs/>
          <w:i/>
        </w:rPr>
        <w:t xml:space="preserve">J Womens Health (Larchmt)</w:t>
      </w:r>
      <w:r>
        <w:t xml:space="preserve"> </w:t>
      </w:r>
      <w:r>
        <w:t xml:space="preserve">· Safety Profile of Bremelanotide Across the Clinical Development Program. PMID 35147466</w:t>
      </w:r>
    </w:p>
    <w:p>
      <w:pPr>
        <w:numPr>
          <w:ilvl w:val="0"/>
          <w:numId w:val="1414"/>
        </w:numPr>
        <w:pStyle w:val="Compact"/>
      </w:pPr>
      <w:r>
        <w:t xml:space="preserve">2021 · Koochaki P ·</w:t>
      </w:r>
      <w:r>
        <w:t xml:space="preserve"> </w:t>
      </w:r>
      <w:r>
        <w:rPr>
          <w:iCs/>
          <w:i/>
        </w:rPr>
        <w:t xml:space="preserve">J Womens Health (Larchmt)</w:t>
      </w:r>
      <w:r>
        <w:t xml:space="preserve"> </w:t>
      </w:r>
      <w:r>
        <w:t xml:space="preserve">· The Patient Experience of Premenopausal Women Treated with Bremelanotide for Hypoactive Sexual Desire Disorder: RECONNECT Exit Study Results. PMID 33538638</w:t>
      </w:r>
    </w:p>
    <w:p>
      <w:pPr>
        <w:numPr>
          <w:ilvl w:val="0"/>
          <w:numId w:val="1414"/>
        </w:numPr>
        <w:pStyle w:val="Compact"/>
      </w:pPr>
      <w:r>
        <w:t xml:space="preserve">2019 · Kingsberg SA ·</w:t>
      </w:r>
      <w:r>
        <w:t xml:space="preserve"> </w:t>
      </w:r>
      <w:r>
        <w:rPr>
          <w:iCs/>
          <w:i/>
        </w:rPr>
        <w:t xml:space="preserve">Obstet Gynecol</w:t>
      </w:r>
      <w:r>
        <w:t xml:space="preserve"> </w:t>
      </w:r>
      <w:r>
        <w:t xml:space="preserve">· Bremelanotide for the Treatment of Hypoactive Sexual Desire Disorder: Two Randomized Phase 3 Trials. PMID 31599840</w:t>
      </w:r>
    </w:p>
    <w:p>
      <w:pPr>
        <w:numPr>
          <w:ilvl w:val="0"/>
          <w:numId w:val="1414"/>
        </w:numPr>
        <w:pStyle w:val="Compact"/>
      </w:pPr>
      <w:r>
        <w:t xml:space="preserve">2019 · Althof S ·</w:t>
      </w:r>
      <w:r>
        <w:t xml:space="preserve"> </w:t>
      </w:r>
      <w:r>
        <w:rPr>
          <w:iCs/>
          <w:i/>
        </w:rPr>
        <w:t xml:space="preserve">J Sex Med</w:t>
      </w:r>
      <w:r>
        <w:t xml:space="preserve"> </w:t>
      </w:r>
      <w:r>
        <w:t xml:space="preserve">· Responder Analyses from a Phase 2b Dose-Ranging Study of Bremelanotide. PMID 31277966</w:t>
      </w:r>
    </w:p>
    <w:p>
      <w:pPr>
        <w:numPr>
          <w:ilvl w:val="0"/>
          <w:numId w:val="1414"/>
        </w:numPr>
        <w:pStyle w:val="Compact"/>
      </w:pPr>
      <w:r>
        <w:t xml:space="preserve">2017 · Clayton AH ·</w:t>
      </w:r>
      <w:r>
        <w:t xml:space="preserve"> </w:t>
      </w:r>
      <w:r>
        <w:rPr>
          <w:iCs/>
          <w:i/>
        </w:rPr>
        <w:t xml:space="preserve">Clin Ther</w:t>
      </w:r>
      <w:r>
        <w:t xml:space="preserve"> </w:t>
      </w:r>
      <w:r>
        <w:t xml:space="preserve">· Phase I Randomized Placebo-controlled, Double-blind Study of the Safety and Tolerability of Bremelanotide Coadministered With Ethanol in Healthy Male and Female Participants. PMID 28189361</w:t>
      </w:r>
    </w:p>
    <w:p>
      <w:pPr>
        <w:numPr>
          <w:ilvl w:val="0"/>
          <w:numId w:val="1414"/>
        </w:numPr>
        <w:pStyle w:val="Compact"/>
      </w:pPr>
      <w:r>
        <w:t xml:space="preserve">2017 · White WB ·</w:t>
      </w:r>
      <w:r>
        <w:t xml:space="preserve"> </w:t>
      </w:r>
      <w:r>
        <w:rPr>
          <w:iCs/>
          <w:i/>
        </w:rPr>
        <w:t xml:space="preserve">J Hypertens</w:t>
      </w:r>
      <w:r>
        <w:t xml:space="preserve"> </w:t>
      </w:r>
      <w:r>
        <w:t xml:space="preserve">· Usefulness of ambulatory blood pressure monitoring to assess the melanocortin receptor agonist bremelanotide. PMID 27977473</w:t>
      </w:r>
    </w:p>
    <w:p>
      <w:pPr>
        <w:numPr>
          <w:ilvl w:val="0"/>
          <w:numId w:val="1414"/>
        </w:numPr>
        <w:pStyle w:val="Compact"/>
      </w:pPr>
      <w:r>
        <w:t xml:space="preserve">2016 · Clayton AH ·</w:t>
      </w:r>
      <w:r>
        <w:t xml:space="preserve"> </w:t>
      </w:r>
      <w:r>
        <w:rPr>
          <w:iCs/>
          <w:i/>
        </w:rPr>
        <w:t xml:space="preserve">Womens Health (Lond)</w:t>
      </w:r>
      <w:r>
        <w:t xml:space="preserve"> </w:t>
      </w:r>
      <w:r>
        <w:t xml:space="preserve">· Bremelanotide for female sexual dysfunctions in premenopausal women: a randomized, placebo-controlled dose-finding trial. PMID 27181790</w:t>
      </w:r>
    </w:p>
    <w:p>
      <w:pPr>
        <w:numPr>
          <w:ilvl w:val="0"/>
          <w:numId w:val="1414"/>
        </w:numPr>
        <w:pStyle w:val="Compact"/>
      </w:pPr>
      <w:r>
        <w:t xml:space="preserve">2008 · Safarinejad MR ·</w:t>
      </w:r>
      <w:r>
        <w:t xml:space="preserve"> </w:t>
      </w:r>
      <w:r>
        <w:rPr>
          <w:iCs/>
          <w:i/>
        </w:rPr>
        <w:t xml:space="preserve">J Urol</w:t>
      </w:r>
      <w:r>
        <w:t xml:space="preserve"> </w:t>
      </w:r>
      <w:r>
        <w:t xml:space="preserve">· Salvage of sildenafil failures with bremelanotide: a randomized, double-blind, placebo controlled study. PMID 18206919</w:t>
      </w:r>
    </w:p>
    <w:p>
      <w:pPr>
        <w:numPr>
          <w:ilvl w:val="0"/>
          <w:numId w:val="1414"/>
        </w:numPr>
        <w:pStyle w:val="Compact"/>
      </w:pPr>
      <w:r>
        <w:t xml:space="preserve">2008 · Safarinejad MR ·</w:t>
      </w:r>
      <w:r>
        <w:t xml:space="preserve"> </w:t>
      </w:r>
      <w:r>
        <w:rPr>
          <w:iCs/>
          <w:i/>
        </w:rPr>
        <w:t xml:space="preserve">J Sex Med</w:t>
      </w:r>
      <w:r>
        <w:t xml:space="preserve"> </w:t>
      </w:r>
      <w:r>
        <w:t xml:space="preserve">· RETRACTED: Evaluation of the safety and efficacy of bremelanotide, a melanocortin receptor agonist, in female subjects with arousal disorder: a double-blind placebo-controlled, fixed dose, randomized study. PMID 18179455</w:t>
      </w:r>
    </w:p>
    <w:p>
      <w:pPr>
        <w:numPr>
          <w:ilvl w:val="0"/>
          <w:numId w:val="1414"/>
        </w:numPr>
        <w:pStyle w:val="Compact"/>
      </w:pPr>
      <w:r>
        <w:t xml:space="preserve">2006 · Diamond LE ·</w:t>
      </w:r>
      <w:r>
        <w:t xml:space="preserve"> </w:t>
      </w:r>
      <w:r>
        <w:rPr>
          <w:iCs/>
          <w:i/>
        </w:rPr>
        <w:t xml:space="preserve">J Sex Med</w:t>
      </w:r>
      <w:r>
        <w:t xml:space="preserve"> </w:t>
      </w:r>
      <w:r>
        <w:t xml:space="preserve">· An effect on the subjective sexual response in premenopausal women with sexual arousal disorder by bremelanotide (PT-141), a melanocortin receptor agonist. PMID 16839319</w:t>
      </w:r>
    </w:p>
    <w:p>
      <w:pPr>
        <w:numPr>
          <w:ilvl w:val="0"/>
          <w:numId w:val="1414"/>
        </w:numPr>
        <w:pStyle w:val="Compact"/>
      </w:pPr>
      <w:r>
        <w:t xml:space="preserve">2005 · Diamond LE ·</w:t>
      </w:r>
      <w:r>
        <w:t xml:space="preserve"> </w:t>
      </w:r>
      <w:r>
        <w:rPr>
          <w:iCs/>
          <w:i/>
        </w:rPr>
        <w:t xml:space="preserve">Urology</w:t>
      </w:r>
      <w:r>
        <w:t xml:space="preserve"> </w:t>
      </w:r>
      <w:r>
        <w:t xml:space="preserve">· Co-administration of low doses of intranasal PT-141, a melanocortin receptor agonist, and sildenafil to men with erectile dysfunction results in an enhanced erectile response. PMID 15833522</w:t>
      </w:r>
    </w:p>
    <w:p>
      <w:pPr>
        <w:numPr>
          <w:ilvl w:val="0"/>
          <w:numId w:val="1414"/>
        </w:numPr>
        <w:pStyle w:val="Compact"/>
      </w:pPr>
      <w:r>
        <w:t xml:space="preserve">2004 · Bayés M ·</w:t>
      </w:r>
      <w:r>
        <w:t xml:space="preserve"> </w:t>
      </w:r>
      <w:r>
        <w:rPr>
          <w:iCs/>
          <w:i/>
        </w:rPr>
        <w:t xml:space="preserve">Methods Find Exp Clin Pharmacol</w:t>
      </w:r>
      <w:r>
        <w:t xml:space="preserve"> </w:t>
      </w:r>
      <w:r>
        <w:t xml:space="preserve">· Gateways to clinical trials. PMID 15672123</w:t>
      </w:r>
    </w:p>
    <w:p>
      <w:pPr>
        <w:numPr>
          <w:ilvl w:val="0"/>
          <w:numId w:val="1414"/>
        </w:numPr>
        <w:pStyle w:val="Compact"/>
      </w:pPr>
      <w:r>
        <w:t xml:space="preserve">2004 · Rosen RC ·</w:t>
      </w:r>
      <w:r>
        <w:t xml:space="preserve"> </w:t>
      </w:r>
      <w:r>
        <w:rPr>
          <w:iCs/>
          <w:i/>
        </w:rPr>
        <w:t xml:space="preserve">Int J Impot Res</w:t>
      </w:r>
      <w:r>
        <w:t xml:space="preserve"> </w:t>
      </w:r>
      <w:r>
        <w:t xml:space="preserve">· Evaluation of the safety, pharmacokinetics and pharmacodynamic effects of subcutaneously administered PT-141, a melanocortin receptor agonist, in healthy male subjects and in patients with an inadequate response to Viagra. PMID 14999221</w:t>
      </w:r>
    </w:p>
    <w:p>
      <w:pPr>
        <w:numPr>
          <w:ilvl w:val="0"/>
          <w:numId w:val="1414"/>
        </w:numPr>
        <w:pStyle w:val="Compact"/>
      </w:pPr>
      <w:r>
        <w:t xml:space="preserve">2004 · Diamond LE ·</w:t>
      </w:r>
      <w:r>
        <w:t xml:space="preserve"> </w:t>
      </w:r>
      <w:r>
        <w:rPr>
          <w:iCs/>
          <w:i/>
        </w:rPr>
        <w:t xml:space="preserve">Int J Impot Res</w:t>
      </w:r>
      <w:r>
        <w:t xml:space="preserve"> </w:t>
      </w:r>
      <w:r>
        <w:t xml:space="preserve">· Double-blind, placebo-controlled evaluation of the safety, pharmacokinetic properties and pharmacodynamic effects of intranasal PT-141, a melanocortin receptor agonist, in healthy males and patients with mild-to-moderate erectile dysfunction. PMID 14963471</w:t>
      </w:r>
    </w:p>
    <w:p>
      <w:pPr>
        <w:numPr>
          <w:ilvl w:val="0"/>
          <w:numId w:val="1414"/>
        </w:numPr>
        <w:pStyle w:val="Compact"/>
      </w:pPr>
      <w:r>
        <w:t xml:space="preserve">2003 · Molinoff PB ·</w:t>
      </w:r>
      <w:r>
        <w:t xml:space="preserve"> </w:t>
      </w:r>
      <w:r>
        <w:rPr>
          <w:iCs/>
          <w:i/>
        </w:rPr>
        <w:t xml:space="preserve">Ann N Y Acad Sci</w:t>
      </w:r>
      <w:r>
        <w:t xml:space="preserve"> </w:t>
      </w:r>
      <w:r>
        <w:t xml:space="preserve">· PT-141: a melanocortin agonist for the treatment of sexual dysfunction. PMID 12851303</w:t>
      </w:r>
    </w:p>
    <w:bookmarkEnd w:id="3060"/>
    <w:bookmarkStart w:id="3061" w:name="melanotan-ii-8"/>
    <w:p>
      <w:pPr>
        <w:pStyle w:val="Heading2"/>
      </w:pPr>
      <w:r>
        <w:t xml:space="preserve">Melanotan II (8)</w:t>
      </w:r>
    </w:p>
    <w:p>
      <w:pPr>
        <w:numPr>
          <w:ilvl w:val="0"/>
          <w:numId w:val="1415"/>
        </w:numPr>
        <w:pStyle w:val="Compact"/>
      </w:pPr>
      <w:r>
        <w:t xml:space="preserve">2006 · Fitzgerald LM ·</w:t>
      </w:r>
      <w:r>
        <w:t xml:space="preserve"> </w:t>
      </w:r>
      <w:r>
        <w:rPr>
          <w:iCs/>
          <w:i/>
        </w:rPr>
        <w:t xml:space="preserve">Peptides</w:t>
      </w:r>
      <w:r>
        <w:t xml:space="preserve"> </w:t>
      </w:r>
      <w:r>
        <w:t xml:space="preserve">· Effect of MELANOTAN, [Nle(4), D-Phe(7)]-alpha-MSH, on melanin synthesis in humans with MC1R variant alleles. PMID 16293341</w:t>
      </w:r>
    </w:p>
    <w:p>
      <w:pPr>
        <w:numPr>
          <w:ilvl w:val="0"/>
          <w:numId w:val="1415"/>
        </w:numPr>
        <w:pStyle w:val="Compact"/>
      </w:pPr>
      <w:r>
        <w:t xml:space="preserve">2004 · Dorr RT ·</w:t>
      </w:r>
      <w:r>
        <w:t xml:space="preserve"> </w:t>
      </w:r>
      <w:r>
        <w:rPr>
          <w:iCs/>
          <w:i/>
        </w:rPr>
        <w:t xml:space="preserve">Arch Dermatol</w:t>
      </w:r>
      <w:r>
        <w:t xml:space="preserve"> </w:t>
      </w:r>
      <w:r>
        <w:t xml:space="preserve">· Effects of a superpotent melanotropic peptide in combination with solar UV radiation on tanning of the skin in human volunteers. PMID 15262693</w:t>
      </w:r>
    </w:p>
    <w:p>
      <w:pPr>
        <w:numPr>
          <w:ilvl w:val="0"/>
          <w:numId w:val="1415"/>
        </w:numPr>
        <w:pStyle w:val="Compact"/>
      </w:pPr>
      <w:r>
        <w:t xml:space="preserve">2000 · Dorr RT ·</w:t>
      </w:r>
      <w:r>
        <w:t xml:space="preserve"> </w:t>
      </w:r>
      <w:r>
        <w:rPr>
          <w:iCs/>
          <w:i/>
        </w:rPr>
        <w:t xml:space="preserve">Photochem Photobiol</w:t>
      </w:r>
      <w:r>
        <w:t xml:space="preserve"> </w:t>
      </w:r>
      <w:r>
        <w:t xml:space="preserve">· Increased eumelanin expression and tanning is induced by a superpotent melanotropin [Nle4-D-Phe7]-alpha-MSH in humans. PMID 11045725</w:t>
      </w:r>
    </w:p>
    <w:p>
      <w:pPr>
        <w:numPr>
          <w:ilvl w:val="0"/>
          <w:numId w:val="1415"/>
        </w:numPr>
        <w:pStyle w:val="Compact"/>
      </w:pPr>
      <w:r>
        <w:t xml:space="preserve">2000 · Wessells H ·</w:t>
      </w:r>
      <w:r>
        <w:t xml:space="preserve"> </w:t>
      </w:r>
      <w:r>
        <w:rPr>
          <w:iCs/>
          <w:i/>
        </w:rPr>
        <w:t xml:space="preserve">Int J Impot Res</w:t>
      </w:r>
      <w:r>
        <w:t xml:space="preserve"> </w:t>
      </w:r>
      <w:r>
        <w:t xml:space="preserve">· Melanocortin receptor agonists, penile erection, and sexual motivation: human studies with Melanotan II. PMID 11035391</w:t>
      </w:r>
    </w:p>
    <w:p>
      <w:pPr>
        <w:numPr>
          <w:ilvl w:val="0"/>
          <w:numId w:val="1415"/>
        </w:numPr>
        <w:pStyle w:val="Compact"/>
      </w:pPr>
      <w:r>
        <w:t xml:space="preserve">2000 · Wessells H ·</w:t>
      </w:r>
      <w:r>
        <w:t xml:space="preserve"> </w:t>
      </w:r>
      <w:r>
        <w:rPr>
          <w:iCs/>
          <w:i/>
        </w:rPr>
        <w:t xml:space="preserve">Urology</w:t>
      </w:r>
      <w:r>
        <w:t xml:space="preserve"> </w:t>
      </w:r>
      <w:r>
        <w:t xml:space="preserve">· Effect of an alpha-melanocyte stimulating hormone analog on penile erection and sexual desire in men with organic erectile dysfunction. PMID 11018622</w:t>
      </w:r>
    </w:p>
    <w:p>
      <w:pPr>
        <w:numPr>
          <w:ilvl w:val="0"/>
          <w:numId w:val="1415"/>
        </w:numPr>
        <w:pStyle w:val="Compact"/>
      </w:pPr>
      <w:r>
        <w:t xml:space="preserve">1998 · Wessells H ·</w:t>
      </w:r>
      <w:r>
        <w:t xml:space="preserve"> </w:t>
      </w:r>
      <w:r>
        <w:rPr>
          <w:iCs/>
          <w:i/>
        </w:rPr>
        <w:t xml:space="preserve">J Urol</w:t>
      </w:r>
      <w:r>
        <w:t xml:space="preserve"> </w:t>
      </w:r>
      <w:r>
        <w:t xml:space="preserve">· Synthetic melanotropic peptide initiates erections in men with psychogenic erectile dysfunction: double-blind, placebo controlled crossover study. PMID 9679884</w:t>
      </w:r>
    </w:p>
    <w:p>
      <w:pPr>
        <w:numPr>
          <w:ilvl w:val="0"/>
          <w:numId w:val="1415"/>
        </w:numPr>
        <w:pStyle w:val="Compact"/>
      </w:pPr>
      <w:r>
        <w:t xml:space="preserve">1997 · Ugwu SO ·</w:t>
      </w:r>
      <w:r>
        <w:t xml:space="preserve"> </w:t>
      </w:r>
      <w:r>
        <w:rPr>
          <w:iCs/>
          <w:i/>
        </w:rPr>
        <w:t xml:space="preserve">Biopharm Drug Dispos</w:t>
      </w:r>
      <w:r>
        <w:t xml:space="preserve"> </w:t>
      </w:r>
      <w:r>
        <w:t xml:space="preserve">· Skin pigmentation and pharmacokinetics of melanotan-I in humans. PMID 9113347</w:t>
      </w:r>
    </w:p>
    <w:p>
      <w:pPr>
        <w:numPr>
          <w:ilvl w:val="0"/>
          <w:numId w:val="1415"/>
        </w:numPr>
        <w:pStyle w:val="Compact"/>
      </w:pPr>
      <w:r>
        <w:t xml:space="preserve">1996 · Dorr RT ·</w:t>
      </w:r>
      <w:r>
        <w:t xml:space="preserve"> </w:t>
      </w:r>
      <w:r>
        <w:rPr>
          <w:iCs/>
          <w:i/>
        </w:rPr>
        <w:t xml:space="preserve">Life Sci</w:t>
      </w:r>
      <w:r>
        <w:t xml:space="preserve"> </w:t>
      </w:r>
      <w:r>
        <w:t xml:space="preserve">· Evaluation of melanotan-II, a superpotent cyclic melanotropic peptide in a pilot phase-I clinical study. PMID 8637402</w:t>
      </w:r>
    </w:p>
    <w:bookmarkEnd w:id="3061"/>
    <w:bookmarkStart w:id="3062" w:name="afamelanotide-10"/>
    <w:p>
      <w:pPr>
        <w:pStyle w:val="Heading2"/>
      </w:pPr>
      <w:r>
        <w:t xml:space="preserve">Afamelanotide (10)</w:t>
      </w:r>
    </w:p>
    <w:p>
      <w:pPr>
        <w:numPr>
          <w:ilvl w:val="0"/>
          <w:numId w:val="1416"/>
        </w:numPr>
        <w:pStyle w:val="Compact"/>
      </w:pPr>
      <w:r>
        <w:t xml:space="preserve">2026 · Shetty N ·</w:t>
      </w:r>
      <w:r>
        <w:t xml:space="preserve"> </w:t>
      </w:r>
      <w:r>
        <w:rPr>
          <w:iCs/>
          <w:i/>
        </w:rPr>
        <w:t xml:space="preserve">Photochem Photobiol</w:t>
      </w:r>
      <w:r>
        <w:t xml:space="preserve"> </w:t>
      </w:r>
      <w:r>
        <w:t xml:space="preserve">· Adjunctive use of Polypodium leucotomos extract in patients with erythropoietic protoporphyria: An exploratory study. PMID 41766687</w:t>
      </w:r>
    </w:p>
    <w:p>
      <w:pPr>
        <w:numPr>
          <w:ilvl w:val="0"/>
          <w:numId w:val="1416"/>
        </w:numPr>
        <w:pStyle w:val="Compact"/>
      </w:pPr>
      <w:r>
        <w:t xml:space="preserve">2023 · Stanislaus V ·</w:t>
      </w:r>
      <w:r>
        <w:t xml:space="preserve"> </w:t>
      </w:r>
      <w:r>
        <w:rPr>
          <w:iCs/>
          <w:i/>
        </w:rPr>
        <w:t xml:space="preserve">BMC Neurol</w:t>
      </w:r>
      <w:r>
        <w:t xml:space="preserve"> </w:t>
      </w:r>
      <w:r>
        <w:t xml:space="preserve">· A feasibility and safety study of afamelanotide in acute stroke patients - an open label, proof of concept, phase iia clinical trial. PMID 37496004</w:t>
      </w:r>
    </w:p>
    <w:p>
      <w:pPr>
        <w:numPr>
          <w:ilvl w:val="0"/>
          <w:numId w:val="1416"/>
        </w:numPr>
        <w:pStyle w:val="Compact"/>
      </w:pPr>
      <w:r>
        <w:t xml:space="preserve">2020 · Toh JJH ·</w:t>
      </w:r>
      <w:r>
        <w:t xml:space="preserve"> </w:t>
      </w:r>
      <w:r>
        <w:rPr>
          <w:iCs/>
          <w:i/>
        </w:rPr>
        <w:t xml:space="preserve">J Am Acad Dermatol</w:t>
      </w:r>
      <w:r>
        <w:t xml:space="preserve"> </w:t>
      </w:r>
      <w:r>
        <w:t xml:space="preserve">· Afamelanotide implants and narrow-band ultraviolet B phototherapy for the treatment of nonsegmental vitiligo in Asians. PMID 31987791</w:t>
      </w:r>
    </w:p>
    <w:p>
      <w:pPr>
        <w:numPr>
          <w:ilvl w:val="0"/>
          <w:numId w:val="1416"/>
        </w:numPr>
        <w:pStyle w:val="Compact"/>
      </w:pPr>
      <w:r>
        <w:t xml:space="preserve">2015 · Langendonk JG ·</w:t>
      </w:r>
      <w:r>
        <w:t xml:space="preserve"> </w:t>
      </w:r>
      <w:r>
        <w:rPr>
          <w:iCs/>
          <w:i/>
        </w:rPr>
        <w:t xml:space="preserve">N Engl J Med</w:t>
      </w:r>
      <w:r>
        <w:t xml:space="preserve"> </w:t>
      </w:r>
      <w:r>
        <w:t xml:space="preserve">· Afamelanotide for Erythropoietic Protoporphyria. PMID 26132941</w:t>
      </w:r>
    </w:p>
    <w:p>
      <w:pPr>
        <w:numPr>
          <w:ilvl w:val="0"/>
          <w:numId w:val="1416"/>
        </w:numPr>
        <w:pStyle w:val="Compact"/>
      </w:pPr>
      <w:r>
        <w:t xml:space="preserve">2015 · Lengweiler S ·</w:t>
      </w:r>
      <w:r>
        <w:t xml:space="preserve"> </w:t>
      </w:r>
      <w:r>
        <w:rPr>
          <w:iCs/>
          <w:i/>
        </w:rPr>
        <w:t xml:space="preserve">Skin Pharmacol Physiol</w:t>
      </w:r>
      <w:r>
        <w:t xml:space="preserve"> </w:t>
      </w:r>
      <w:r>
        <w:t xml:space="preserve">· Evaluation of the immunogenicity of the synthetic α-melanocyte-stimulating hormone (α-MSH) analogue afamelanotide ([Nle4-D-Phe7]-α-MSH, Scenesse®) in erythropoietic protoporphyria patients by ELISA detecting both anti-afamelanotide and anti-α-MSH antibodies. PMID 25402764</w:t>
      </w:r>
    </w:p>
    <w:p>
      <w:pPr>
        <w:numPr>
          <w:ilvl w:val="0"/>
          <w:numId w:val="1416"/>
        </w:numPr>
        <w:pStyle w:val="Compact"/>
      </w:pPr>
      <w:r>
        <w:t xml:space="preserve">2015 · Lim HW ·</w:t>
      </w:r>
      <w:r>
        <w:t xml:space="preserve"> </w:t>
      </w:r>
      <w:r>
        <w:rPr>
          <w:iCs/>
          <w:i/>
        </w:rPr>
        <w:t xml:space="preserve">JAMA Dermatol</w:t>
      </w:r>
      <w:r>
        <w:t xml:space="preserve"> </w:t>
      </w:r>
      <w:r>
        <w:t xml:space="preserve">· Afamelanotide and narrowband UV-B phototherapy for the treatment of vitiligo: a randomized multicenter trial. PMID 25230094</w:t>
      </w:r>
    </w:p>
    <w:p>
      <w:pPr>
        <w:numPr>
          <w:ilvl w:val="0"/>
          <w:numId w:val="1416"/>
        </w:numPr>
        <w:pStyle w:val="Compact"/>
      </w:pPr>
      <w:r>
        <w:t xml:space="preserve">2014 · Biolcati G ·</w:t>
      </w:r>
      <w:r>
        <w:t xml:space="preserve"> </w:t>
      </w:r>
      <w:r>
        <w:rPr>
          <w:iCs/>
          <w:i/>
        </w:rPr>
        <w:t xml:space="preserve">Clin Exp Dermatol</w:t>
      </w:r>
      <w:r>
        <w:t xml:space="preserve"> </w:t>
      </w:r>
      <w:r>
        <w:t xml:space="preserve">· Efficacy of the melanocortin analogue Nle4-D-Phe7-α-melanocyte-stimulating hormone in the treatment of patients with Hailey-Hailey disease. PMID 24256215</w:t>
      </w:r>
    </w:p>
    <w:p>
      <w:pPr>
        <w:numPr>
          <w:ilvl w:val="0"/>
          <w:numId w:val="1416"/>
        </w:numPr>
        <w:pStyle w:val="Compact"/>
      </w:pPr>
      <w:r>
        <w:t xml:space="preserve">2014 · Böhm M ·</w:t>
      </w:r>
      <w:r>
        <w:t xml:space="preserve"> </w:t>
      </w:r>
      <w:r>
        <w:rPr>
          <w:iCs/>
          <w:i/>
        </w:rPr>
        <w:t xml:space="preserve">J Eur Acad Dermatol Venereol</w:t>
      </w:r>
      <w:r>
        <w:t xml:space="preserve"> </w:t>
      </w:r>
      <w:r>
        <w:t xml:space="preserve">· Beneficial effects of the melanocortin analogue Nle4-D-Phe7-α-MSH in acne vulgaris. PMID 22845050</w:t>
      </w:r>
    </w:p>
    <w:p>
      <w:pPr>
        <w:numPr>
          <w:ilvl w:val="0"/>
          <w:numId w:val="1416"/>
        </w:numPr>
        <w:pStyle w:val="Compact"/>
      </w:pPr>
      <w:r>
        <w:t xml:space="preserve">2011 · Haylett AK ·</w:t>
      </w:r>
      <w:r>
        <w:t xml:space="preserve"> </w:t>
      </w:r>
      <w:r>
        <w:rPr>
          <w:iCs/>
          <w:i/>
        </w:rPr>
        <w:t xml:space="preserve">Br J Dermatol</w:t>
      </w:r>
      <w:r>
        <w:t xml:space="preserve"> </w:t>
      </w:r>
      <w:r>
        <w:t xml:space="preserve">· Systemic photoprotection in solar urticaria with α-melanocyte-stimulating hormone analogue [Nle4-D-Phe7]-α-MSH. PMID 20969564</w:t>
      </w:r>
    </w:p>
    <w:p>
      <w:pPr>
        <w:numPr>
          <w:ilvl w:val="0"/>
          <w:numId w:val="1416"/>
        </w:numPr>
        <w:pStyle w:val="Compact"/>
      </w:pPr>
      <w:r>
        <w:t xml:space="preserve">2009 · Harms JH ·</w:t>
      </w:r>
      <w:r>
        <w:t xml:space="preserve"> </w:t>
      </w:r>
      <w:r>
        <w:rPr>
          <w:iCs/>
          <w:i/>
        </w:rPr>
        <w:t xml:space="preserve">Photochem Photobiol</w:t>
      </w:r>
      <w:r>
        <w:t xml:space="preserve"> </w:t>
      </w:r>
      <w:r>
        <w:t xml:space="preserve">· Mitigating photosensitivity of erythropoietic protoporphyria patients by an agonistic analog of alpha-melanocyte stimulating hormone. PMID 19656325</w:t>
      </w:r>
    </w:p>
    <w:bookmarkEnd w:id="3062"/>
    <w:bookmarkStart w:id="3063" w:name="kisspeptina-37"/>
    <w:p>
      <w:pPr>
        <w:pStyle w:val="Heading2"/>
      </w:pPr>
      <w:r>
        <w:t xml:space="preserve">Kisspeptina (37)</w:t>
      </w:r>
    </w:p>
    <w:p>
      <w:pPr>
        <w:numPr>
          <w:ilvl w:val="0"/>
          <w:numId w:val="1417"/>
        </w:numPr>
        <w:pStyle w:val="Compact"/>
      </w:pPr>
      <w:r>
        <w:t xml:space="preserve">2026 · Yeung AC ·</w:t>
      </w:r>
      <w:r>
        <w:t xml:space="preserve"> </w:t>
      </w:r>
      <w:r>
        <w:rPr>
          <w:iCs/>
          <w:i/>
        </w:rPr>
        <w:t xml:space="preserve">Eur J Endocrinol</w:t>
      </w:r>
      <w:r>
        <w:t xml:space="preserve"> </w:t>
      </w:r>
      <w:r>
        <w:t xml:space="preserve">· Chronic subcutaneous kisspeptin-10 stimulates gonadotropin secretion for 12 days in healthy men. PMID 42549827</w:t>
      </w:r>
    </w:p>
    <w:p>
      <w:pPr>
        <w:numPr>
          <w:ilvl w:val="0"/>
          <w:numId w:val="1417"/>
        </w:numPr>
        <w:pStyle w:val="Compact"/>
      </w:pPr>
      <w:r>
        <w:t xml:space="preserve">2026 · Galbiati F ·</w:t>
      </w:r>
      <w:r>
        <w:t xml:space="preserve"> </w:t>
      </w:r>
      <w:r>
        <w:rPr>
          <w:iCs/>
          <w:i/>
        </w:rPr>
        <w:t xml:space="preserve">J Neuroendocrinol</w:t>
      </w:r>
      <w:r>
        <w:t xml:space="preserve"> </w:t>
      </w:r>
      <w:r>
        <w:t xml:space="preserve">· Intravenous kisspeptin 112-121 bolus does not acutely impact circulating vasopressin in humans. PMID 41273106</w:t>
      </w:r>
    </w:p>
    <w:p>
      <w:pPr>
        <w:numPr>
          <w:ilvl w:val="0"/>
          <w:numId w:val="1417"/>
        </w:numPr>
        <w:pStyle w:val="Compact"/>
      </w:pPr>
      <w:r>
        <w:t xml:space="preserve">2025 · Mills EG ·</w:t>
      </w:r>
      <w:r>
        <w:t xml:space="preserve"> </w:t>
      </w:r>
      <w:r>
        <w:rPr>
          <w:iCs/>
          <w:i/>
        </w:rPr>
        <w:t xml:space="preserve">EBioMedicine</w:t>
      </w:r>
      <w:r>
        <w:t xml:space="preserve"> </w:t>
      </w:r>
      <w:r>
        <w:t xml:space="preserve">· Intranasal kisspeptin administration rapidly stimulates gonadotropin release in humans. PMID 40215751</w:t>
      </w:r>
    </w:p>
    <w:p>
      <w:pPr>
        <w:numPr>
          <w:ilvl w:val="0"/>
          <w:numId w:val="1417"/>
        </w:numPr>
        <w:pStyle w:val="Compact"/>
      </w:pPr>
      <w:r>
        <w:t xml:space="preserve">2025 · Mills EG ·</w:t>
      </w:r>
      <w:r>
        <w:t xml:space="preserve"> </w:t>
      </w:r>
      <w:r>
        <w:rPr>
          <w:iCs/>
          <w:i/>
        </w:rPr>
        <w:t xml:space="preserve">J Clin Endocrinol Metab</w:t>
      </w:r>
      <w:r>
        <w:t xml:space="preserve"> </w:t>
      </w:r>
      <w:r>
        <w:t xml:space="preserve">· Kisspeptin Administration Stimulates Reproductive Hormones but Does Not Affect Anxiety in Humans. PMID 40036336</w:t>
      </w:r>
    </w:p>
    <w:p>
      <w:pPr>
        <w:numPr>
          <w:ilvl w:val="0"/>
          <w:numId w:val="1417"/>
        </w:numPr>
        <w:pStyle w:val="Compact"/>
      </w:pPr>
      <w:r>
        <w:t xml:space="preserve">2025 · Galbiati F ·</w:t>
      </w:r>
      <w:r>
        <w:t xml:space="preserve"> </w:t>
      </w:r>
      <w:r>
        <w:rPr>
          <w:iCs/>
          <w:i/>
        </w:rPr>
        <w:t xml:space="preserve">Eur J Endocrinol</w:t>
      </w:r>
      <w:r>
        <w:t xml:space="preserve"> </w:t>
      </w:r>
      <w:r>
        <w:t xml:space="preserve">· Sex-dependent increases in oxytocin levels in response to intravenous kisspeptin in humans. PMID 39965102</w:t>
      </w:r>
    </w:p>
    <w:p>
      <w:pPr>
        <w:numPr>
          <w:ilvl w:val="0"/>
          <w:numId w:val="1417"/>
        </w:numPr>
        <w:pStyle w:val="Compact"/>
      </w:pPr>
      <w:r>
        <w:t xml:space="preserve">2025 · Rodanaki M ·</w:t>
      </w:r>
      <w:r>
        <w:t xml:space="preserve"> </w:t>
      </w:r>
      <w:r>
        <w:rPr>
          <w:iCs/>
          <w:i/>
        </w:rPr>
        <w:t xml:space="preserve">J Pediatr Endocrinol Metab</w:t>
      </w:r>
      <w:r>
        <w:t xml:space="preserve"> </w:t>
      </w:r>
      <w:r>
        <w:t xml:space="preserve">· Effect of a GnRH injection on kisspeptin levels in girls with suspected precocious puberty: a randomized-controlled pilot study. PMID 39847034</w:t>
      </w:r>
    </w:p>
    <w:p>
      <w:pPr>
        <w:numPr>
          <w:ilvl w:val="0"/>
          <w:numId w:val="1417"/>
        </w:numPr>
        <w:pStyle w:val="Compact"/>
      </w:pPr>
      <w:r>
        <w:t xml:space="preserve">2024 · Abbara A ·</w:t>
      </w:r>
      <w:r>
        <w:t xml:space="preserve"> </w:t>
      </w:r>
      <w:r>
        <w:rPr>
          <w:iCs/>
          <w:i/>
        </w:rPr>
        <w:t xml:space="preserve">Fertil Steril</w:t>
      </w:r>
      <w:r>
        <w:t xml:space="preserve"> </w:t>
      </w:r>
      <w:r>
        <w:t xml:space="preserve">· Endocrine profile of the kisspeptin receptor agonist MVT-602 in healthy premenopausal women with and without ovarian stimulation: results from 2 randomized, placebo-controlled clinical tricals. PMID 37925096</w:t>
      </w:r>
    </w:p>
    <w:p>
      <w:pPr>
        <w:numPr>
          <w:ilvl w:val="0"/>
          <w:numId w:val="1417"/>
        </w:numPr>
        <w:pStyle w:val="Compact"/>
      </w:pPr>
      <w:r>
        <w:t xml:space="preserve">2023 · Bavato F ·</w:t>
      </w:r>
      <w:r>
        <w:t xml:space="preserve"> </w:t>
      </w:r>
      <w:r>
        <w:rPr>
          <w:iCs/>
          <w:i/>
        </w:rPr>
        <w:t xml:space="preserve">J Psychopharmacol</w:t>
      </w:r>
      <w:r>
        <w:t xml:space="preserve"> </w:t>
      </w:r>
      <w:r>
        <w:t xml:space="preserve">· Oral sodium oxybate does not alter plasma kisspeptin levels in healthy male volunteers. PMID 37401623</w:t>
      </w:r>
    </w:p>
    <w:p>
      <w:pPr>
        <w:numPr>
          <w:ilvl w:val="0"/>
          <w:numId w:val="1417"/>
        </w:numPr>
        <w:pStyle w:val="Compact"/>
      </w:pPr>
      <w:r>
        <w:t xml:space="preserve">2023 · Mills EG ·</w:t>
      </w:r>
      <w:r>
        <w:t xml:space="preserve"> </w:t>
      </w:r>
      <w:r>
        <w:rPr>
          <w:iCs/>
          <w:i/>
        </w:rPr>
        <w:t xml:space="preserve">JAMA Netw Open</w:t>
      </w:r>
      <w:r>
        <w:t xml:space="preserve"> </w:t>
      </w:r>
      <w:r>
        <w:t xml:space="preserve">· Effects of Kisspeptin on Sexual Brain Processing and Penile Tumescence in Men With Hypoactive Sexual Desire Disorder: A Randomized Clinical Trial. PMID 36735255</w:t>
      </w:r>
    </w:p>
    <w:p>
      <w:pPr>
        <w:numPr>
          <w:ilvl w:val="0"/>
          <w:numId w:val="1417"/>
        </w:numPr>
        <w:pStyle w:val="Compact"/>
      </w:pPr>
      <w:r>
        <w:t xml:space="preserve">2022 · Thurston L ·</w:t>
      </w:r>
      <w:r>
        <w:t xml:space="preserve"> </w:t>
      </w:r>
      <w:r>
        <w:rPr>
          <w:iCs/>
          <w:i/>
        </w:rPr>
        <w:t xml:space="preserve">JAMA Netw Open</w:t>
      </w:r>
      <w:r>
        <w:t xml:space="preserve"> </w:t>
      </w:r>
      <w:r>
        <w:t xml:space="preserve">· Effects of Kisspeptin Administration in Women With Hypoactive Sexual Desire Disorder: A Randomized Clinical Trial. PMID 36287566</w:t>
      </w:r>
    </w:p>
    <w:p>
      <w:pPr>
        <w:numPr>
          <w:ilvl w:val="0"/>
          <w:numId w:val="1417"/>
        </w:numPr>
        <w:pStyle w:val="Compact"/>
      </w:pPr>
      <w:r>
        <w:t xml:space="preserve">2022 · Comninos AN ·</w:t>
      </w:r>
      <w:r>
        <w:t xml:space="preserve"> </w:t>
      </w:r>
      <w:r>
        <w:rPr>
          <w:iCs/>
          <w:i/>
        </w:rPr>
        <w:t xml:space="preserve">J Clin Endocrinol Metab</w:t>
      </w:r>
      <w:r>
        <w:t xml:space="preserve"> </w:t>
      </w:r>
      <w:r>
        <w:t xml:space="preserve">· Acute Effects of Kisspeptin Administration on Bone Metabolism in Healthy Men. PMID 35244717</w:t>
      </w:r>
    </w:p>
    <w:p>
      <w:pPr>
        <w:numPr>
          <w:ilvl w:val="0"/>
          <w:numId w:val="1417"/>
        </w:numPr>
        <w:pStyle w:val="Compact"/>
      </w:pPr>
      <w:r>
        <w:t xml:space="preserve">2021 · Yang L ·</w:t>
      </w:r>
      <w:r>
        <w:t xml:space="preserve"> </w:t>
      </w:r>
      <w:r>
        <w:rPr>
          <w:iCs/>
          <w:i/>
        </w:rPr>
        <w:t xml:space="preserve">J Clin Endocrinol Metab</w:t>
      </w:r>
      <w:r>
        <w:t xml:space="preserve"> </w:t>
      </w:r>
      <w:r>
        <w:t xml:space="preserve">· The Effects of Kisspeptin on Brain Response to Food Images and Psychometric Parameters of Appetite in Healthy Men. PMID 33075807</w:t>
      </w:r>
    </w:p>
    <w:p>
      <w:pPr>
        <w:numPr>
          <w:ilvl w:val="0"/>
          <w:numId w:val="1417"/>
        </w:numPr>
        <w:pStyle w:val="Compact"/>
      </w:pPr>
      <w:r>
        <w:t xml:space="preserve">2020 · Skorupskaite K ·</w:t>
      </w:r>
      <w:r>
        <w:t xml:space="preserve"> </w:t>
      </w:r>
      <w:r>
        <w:rPr>
          <w:iCs/>
          <w:i/>
        </w:rPr>
        <w:t xml:space="preserve">Hum Reprod</w:t>
      </w:r>
      <w:r>
        <w:t xml:space="preserve"> </w:t>
      </w:r>
      <w:r>
        <w:t xml:space="preserve">· Kisspeptin and neurokinin B interactions in modulating gonadotropin secretion in women with polycystic ovary syndrome. PMID 32510130</w:t>
      </w:r>
    </w:p>
    <w:p>
      <w:pPr>
        <w:numPr>
          <w:ilvl w:val="0"/>
          <w:numId w:val="1417"/>
        </w:numPr>
        <w:pStyle w:val="Compact"/>
      </w:pPr>
      <w:r>
        <w:t xml:space="preserve">2019 · Romero-Ruiz A ·</w:t>
      </w:r>
      <w:r>
        <w:t xml:space="preserve"> </w:t>
      </w:r>
      <w:r>
        <w:rPr>
          <w:iCs/>
          <w:i/>
        </w:rPr>
        <w:t xml:space="preserve">Hum Reprod</w:t>
      </w:r>
      <w:r>
        <w:t xml:space="preserve"> </w:t>
      </w:r>
      <w:r>
        <w:t xml:space="preserve">· Kisspeptin treatment induces gonadotropic responses and rescues ovulation in a subset of preclinical models and women with polycystic ovary syndrome. PMID 31820802</w:t>
      </w:r>
    </w:p>
    <w:p>
      <w:pPr>
        <w:numPr>
          <w:ilvl w:val="0"/>
          <w:numId w:val="1417"/>
        </w:numPr>
        <w:pStyle w:val="Compact"/>
      </w:pPr>
      <w:r>
        <w:t xml:space="preserve">2019 · Ullah H ·</w:t>
      </w:r>
      <w:r>
        <w:t xml:space="preserve"> </w:t>
      </w:r>
      <w:r>
        <w:rPr>
          <w:iCs/>
          <w:i/>
        </w:rPr>
        <w:t xml:space="preserve">Andrologia</w:t>
      </w:r>
      <w:r>
        <w:t xml:space="preserve"> </w:t>
      </w:r>
      <w:r>
        <w:t xml:space="preserve">· Age-dependent changes in the reproductive axis responsiveness to kisspeptin-10 administration in healthy men. PMID 30590872</w:t>
      </w:r>
    </w:p>
    <w:p>
      <w:pPr>
        <w:numPr>
          <w:ilvl w:val="0"/>
          <w:numId w:val="1417"/>
        </w:numPr>
        <w:pStyle w:val="Compact"/>
      </w:pPr>
      <w:r>
        <w:t xml:space="preserve">2018 · Izzi-Engbeaya C ·</w:t>
      </w:r>
      <w:r>
        <w:t xml:space="preserve"> </w:t>
      </w:r>
      <w:r>
        <w:rPr>
          <w:iCs/>
          <w:i/>
        </w:rPr>
        <w:t xml:space="preserve">Diabetes Obes Metab</w:t>
      </w:r>
      <w:r>
        <w:t xml:space="preserve"> </w:t>
      </w:r>
      <w:r>
        <w:t xml:space="preserve">· The effects of kisspeptin on β-cell function, serum metabolites and appetite in humans. PMID 29974637</w:t>
      </w:r>
    </w:p>
    <w:p>
      <w:pPr>
        <w:numPr>
          <w:ilvl w:val="0"/>
          <w:numId w:val="1417"/>
        </w:numPr>
        <w:pStyle w:val="Compact"/>
      </w:pPr>
      <w:r>
        <w:t xml:space="preserve">2018 · Chan YM ·</w:t>
      </w:r>
      <w:r>
        <w:t xml:space="preserve"> </w:t>
      </w:r>
      <w:r>
        <w:rPr>
          <w:iCs/>
          <w:i/>
        </w:rPr>
        <w:t xml:space="preserve">JCI Insight</w:t>
      </w:r>
      <w:r>
        <w:t xml:space="preserve"> </w:t>
      </w:r>
      <w:r>
        <w:t xml:space="preserve">· Divergent responses to kisspeptin in children with delayed puberty. PMID 29669934</w:t>
      </w:r>
    </w:p>
    <w:p>
      <w:pPr>
        <w:numPr>
          <w:ilvl w:val="0"/>
          <w:numId w:val="1417"/>
        </w:numPr>
        <w:pStyle w:val="Compact"/>
      </w:pPr>
      <w:r>
        <w:t xml:space="preserve">2018 · Owens LA ·</w:t>
      </w:r>
      <w:r>
        <w:t xml:space="preserve"> </w:t>
      </w:r>
      <w:r>
        <w:rPr>
          <w:iCs/>
          <w:i/>
        </w:rPr>
        <w:t xml:space="preserve">Hum Reprod</w:t>
      </w:r>
      <w:r>
        <w:t xml:space="preserve"> </w:t>
      </w:r>
      <w:r>
        <w:t xml:space="preserve">· The direct and indirect effects of kisspeptin-54 on granulosa lutein cell function. PMID 29206944</w:t>
      </w:r>
    </w:p>
    <w:p>
      <w:pPr>
        <w:numPr>
          <w:ilvl w:val="0"/>
          <w:numId w:val="1417"/>
        </w:numPr>
        <w:pStyle w:val="Compact"/>
      </w:pPr>
      <w:r>
        <w:t xml:space="preserve">2017 · Abbara A ·</w:t>
      </w:r>
      <w:r>
        <w:t xml:space="preserve"> </w:t>
      </w:r>
      <w:r>
        <w:rPr>
          <w:iCs/>
          <w:i/>
        </w:rPr>
        <w:t xml:space="preserve">Hum Reprod</w:t>
      </w:r>
      <w:r>
        <w:t xml:space="preserve"> </w:t>
      </w:r>
      <w:r>
        <w:t xml:space="preserve">· A second dose of kisspeptin-54 improves oocyte maturation in women at high risk of ovarian hyperstimulation syndrome: a Phase 2 randomized controlled trial. PMID 28854728</w:t>
      </w:r>
    </w:p>
    <w:p>
      <w:pPr>
        <w:numPr>
          <w:ilvl w:val="0"/>
          <w:numId w:val="1417"/>
        </w:numPr>
        <w:pStyle w:val="Compact"/>
      </w:pPr>
      <w:r>
        <w:t xml:space="preserve">2017 · Comninos AN ·</w:t>
      </w:r>
      <w:r>
        <w:t xml:space="preserve"> </w:t>
      </w:r>
      <w:r>
        <w:rPr>
          <w:iCs/>
          <w:i/>
        </w:rPr>
        <w:t xml:space="preserve">J Clin Invest</w:t>
      </w:r>
      <w:r>
        <w:t xml:space="preserve"> </w:t>
      </w:r>
      <w:r>
        <w:t xml:space="preserve">· Kisspeptin modulates sexual and emotional brain processing in humans. PMID 28112678</w:t>
      </w:r>
    </w:p>
    <w:p>
      <w:pPr>
        <w:numPr>
          <w:ilvl w:val="0"/>
          <w:numId w:val="1417"/>
        </w:numPr>
        <w:pStyle w:val="Compact"/>
      </w:pPr>
      <w:r>
        <w:t xml:space="preserve">2016 · Skorupskaite K ·</w:t>
      </w:r>
      <w:r>
        <w:t xml:space="preserve"> </w:t>
      </w:r>
      <w:r>
        <w:rPr>
          <w:iCs/>
          <w:i/>
        </w:rPr>
        <w:t xml:space="preserve">J Clin Endocrinol Metab</w:t>
      </w:r>
      <w:r>
        <w:t xml:space="preserve"> </w:t>
      </w:r>
      <w:r>
        <w:t xml:space="preserve">· Interactions Between Neurokinin B and Kisspeptin in Mediating Estrogen Feedback in Healthy Women. PMID 27636018</w:t>
      </w:r>
    </w:p>
    <w:p>
      <w:pPr>
        <w:numPr>
          <w:ilvl w:val="0"/>
          <w:numId w:val="1417"/>
        </w:numPr>
        <w:pStyle w:val="Compact"/>
      </w:pPr>
      <w:r>
        <w:t xml:space="preserve">2016 · Lippincott MF ·</w:t>
      </w:r>
      <w:r>
        <w:t xml:space="preserve"> </w:t>
      </w:r>
      <w:r>
        <w:rPr>
          <w:iCs/>
          <w:i/>
        </w:rPr>
        <w:t xml:space="preserve">J Clin Endocrinol Metab</w:t>
      </w:r>
      <w:r>
        <w:t xml:space="preserve"> </w:t>
      </w:r>
      <w:r>
        <w:t xml:space="preserve">· Kisspeptin Responsiveness Signals Emergence of Reproductive Endocrine Activity: Implications for Human Puberty. PMID 27214398</w:t>
      </w:r>
    </w:p>
    <w:p>
      <w:pPr>
        <w:numPr>
          <w:ilvl w:val="0"/>
          <w:numId w:val="1417"/>
        </w:numPr>
        <w:pStyle w:val="Compact"/>
      </w:pPr>
      <w:r>
        <w:t xml:space="preserve">2016 · Narayanaswamy S ·</w:t>
      </w:r>
      <w:r>
        <w:t xml:space="preserve"> </w:t>
      </w:r>
      <w:r>
        <w:rPr>
          <w:iCs/>
          <w:i/>
        </w:rPr>
        <w:t xml:space="preserve">Clin Endocrinol (Oxf)</w:t>
      </w:r>
      <w:r>
        <w:t xml:space="preserve"> </w:t>
      </w:r>
      <w:r>
        <w:t xml:space="preserve">· Subcutaneous infusion of kisspeptin-54 stimulates gonadotrophin release in women and the response correlates with basal oestradiol levels. PMID 26572695</w:t>
      </w:r>
    </w:p>
    <w:p>
      <w:pPr>
        <w:numPr>
          <w:ilvl w:val="0"/>
          <w:numId w:val="1417"/>
        </w:numPr>
        <w:pStyle w:val="Compact"/>
      </w:pPr>
      <w:r>
        <w:t xml:space="preserve">2015 · Abbara A ·</w:t>
      </w:r>
      <w:r>
        <w:t xml:space="preserve"> </w:t>
      </w:r>
      <w:r>
        <w:rPr>
          <w:iCs/>
          <w:i/>
        </w:rPr>
        <w:t xml:space="preserve">J Clin Endocrinol Metab</w:t>
      </w:r>
      <w:r>
        <w:t xml:space="preserve"> </w:t>
      </w:r>
      <w:r>
        <w:t xml:space="preserve">· Efficacy of Kisspeptin-54 to Trigger Oocyte Maturation in Women at High Risk of Ovarian Hyperstimulation Syndrome (OHSS) During In Vitro Fertilization (IVF) Therapy. PMID 26192876</w:t>
      </w:r>
    </w:p>
    <w:p>
      <w:pPr>
        <w:numPr>
          <w:ilvl w:val="0"/>
          <w:numId w:val="1417"/>
        </w:numPr>
        <w:pStyle w:val="Compact"/>
      </w:pPr>
      <w:r>
        <w:t xml:space="preserve">2014 · Jayasena CN ·</w:t>
      </w:r>
      <w:r>
        <w:t xml:space="preserve"> </w:t>
      </w:r>
      <w:r>
        <w:rPr>
          <w:iCs/>
          <w:i/>
        </w:rPr>
        <w:t xml:space="preserve">J Clin Invest</w:t>
      </w:r>
      <w:r>
        <w:t xml:space="preserve"> </w:t>
      </w:r>
      <w:r>
        <w:t xml:space="preserve">· Kisspeptin-54 triggers egg maturation in women undergoing in vitro fertilization. PMID 25036713</w:t>
      </w:r>
    </w:p>
    <w:p>
      <w:pPr>
        <w:numPr>
          <w:ilvl w:val="0"/>
          <w:numId w:val="1417"/>
        </w:numPr>
        <w:pStyle w:val="Compact"/>
      </w:pPr>
      <w:r>
        <w:t xml:space="preserve">2014 · Jayasena CN ·</w:t>
      </w:r>
      <w:r>
        <w:t xml:space="preserve"> </w:t>
      </w:r>
      <w:r>
        <w:rPr>
          <w:iCs/>
          <w:i/>
        </w:rPr>
        <w:t xml:space="preserve">Clin Endocrinol (Oxf)</w:t>
      </w:r>
      <w:r>
        <w:t xml:space="preserve"> </w:t>
      </w:r>
      <w:r>
        <w:t xml:space="preserve">· Acute and chronic effects of kisspeptin-54 administration on GH, prolactin and TSH secretion in healthy women. PMID 24863252</w:t>
      </w:r>
    </w:p>
    <w:p>
      <w:pPr>
        <w:numPr>
          <w:ilvl w:val="0"/>
          <w:numId w:val="1417"/>
        </w:numPr>
        <w:pStyle w:val="Compact"/>
      </w:pPr>
      <w:r>
        <w:t xml:space="preserve">2014 · MacLean DB ·</w:t>
      </w:r>
      <w:r>
        <w:t xml:space="preserve"> </w:t>
      </w:r>
      <w:r>
        <w:rPr>
          <w:iCs/>
          <w:i/>
        </w:rPr>
        <w:t xml:space="preserve">J Clin Endocrinol Metab</w:t>
      </w:r>
      <w:r>
        <w:t xml:space="preserve"> </w:t>
      </w:r>
      <w:r>
        <w:t xml:space="preserve">· Sustained exposure to the investigational Kisspeptin analog, TAK-448, down-regulates testosterone into the castration range in healthy males and in patients with prostate cancer: results from two phase 1 studies. PMID 24762108</w:t>
      </w:r>
    </w:p>
    <w:p>
      <w:pPr>
        <w:numPr>
          <w:ilvl w:val="0"/>
          <w:numId w:val="1417"/>
        </w:numPr>
        <w:pStyle w:val="Compact"/>
      </w:pPr>
      <w:r>
        <w:t xml:space="preserve">2014 · Jayasena CN ·</w:t>
      </w:r>
      <w:r>
        <w:t xml:space="preserve"> </w:t>
      </w:r>
      <w:r>
        <w:rPr>
          <w:iCs/>
          <w:i/>
        </w:rPr>
        <w:t xml:space="preserve">J Clin Endocrinol Metab</w:t>
      </w:r>
      <w:r>
        <w:t xml:space="preserve"> </w:t>
      </w:r>
      <w:r>
        <w:t xml:space="preserve">· Increasing LH pulsatility in women with hypothalamic amenorrhoea using intravenous infusion of Kisspeptin-54. PMID 24517142</w:t>
      </w:r>
    </w:p>
    <w:p>
      <w:pPr>
        <w:numPr>
          <w:ilvl w:val="0"/>
          <w:numId w:val="1417"/>
        </w:numPr>
        <w:pStyle w:val="Compact"/>
      </w:pPr>
      <w:r>
        <w:t xml:space="preserve">2013 · Jayasena CN ·</w:t>
      </w:r>
      <w:r>
        <w:t xml:space="preserve"> </w:t>
      </w:r>
      <w:r>
        <w:rPr>
          <w:iCs/>
          <w:i/>
        </w:rPr>
        <w:t xml:space="preserve">J Clin Endocrinol Metab</w:t>
      </w:r>
      <w:r>
        <w:t xml:space="preserve"> </w:t>
      </w:r>
      <w:r>
        <w:t xml:space="preserve">· Twice-daily subcutaneous injection of kisspeptin-54 does not abolish menstrual cyclicity in healthy female volunteers. PMID 24030945</w:t>
      </w:r>
    </w:p>
    <w:p>
      <w:pPr>
        <w:numPr>
          <w:ilvl w:val="0"/>
          <w:numId w:val="1417"/>
        </w:numPr>
        <w:pStyle w:val="Compact"/>
      </w:pPr>
      <w:r>
        <w:t xml:space="preserve">2013 · Jayasena CN ·</w:t>
      </w:r>
      <w:r>
        <w:t xml:space="preserve"> </w:t>
      </w:r>
      <w:r>
        <w:rPr>
          <w:iCs/>
          <w:i/>
        </w:rPr>
        <w:t xml:space="preserve">Clin Endocrinol (Oxf)</w:t>
      </w:r>
      <w:r>
        <w:t xml:space="preserve"> </w:t>
      </w:r>
      <w:r>
        <w:t xml:space="preserve">· A single injection of kisspeptin-54 temporarily increases luteinizing hormone pulsatility in healthy women. PMID 23452073</w:t>
      </w:r>
    </w:p>
    <w:p>
      <w:pPr>
        <w:numPr>
          <w:ilvl w:val="0"/>
          <w:numId w:val="1417"/>
        </w:numPr>
        <w:pStyle w:val="Compact"/>
      </w:pPr>
      <w:r>
        <w:t xml:space="preserve">2013 · George JT ·</w:t>
      </w:r>
      <w:r>
        <w:t xml:space="preserve"> </w:t>
      </w:r>
      <w:r>
        <w:rPr>
          <w:iCs/>
          <w:i/>
        </w:rPr>
        <w:t xml:space="preserve">Clin Endocrinol (Oxf)</w:t>
      </w:r>
      <w:r>
        <w:t xml:space="preserve"> </w:t>
      </w:r>
      <w:r>
        <w:t xml:space="preserve">· Exploring the pathophysiology of hypogonadism in men with type 2 diabetes: kisspeptin-10 stimulates serum testosterone and LH secretion in men with type 2 diabetes and mild biochemical hypogonadism. PMID 23153270</w:t>
      </w:r>
    </w:p>
    <w:p>
      <w:pPr>
        <w:numPr>
          <w:ilvl w:val="0"/>
          <w:numId w:val="1417"/>
        </w:numPr>
        <w:pStyle w:val="Compact"/>
      </w:pPr>
      <w:r>
        <w:t xml:space="preserve">2013 · Young J ·</w:t>
      </w:r>
      <w:r>
        <w:t xml:space="preserve"> </w:t>
      </w:r>
      <w:r>
        <w:rPr>
          <w:iCs/>
          <w:i/>
        </w:rPr>
        <w:t xml:space="preserve">Neuroendocrinology</w:t>
      </w:r>
      <w:r>
        <w:t xml:space="preserve"> </w:t>
      </w:r>
      <w:r>
        <w:t xml:space="preserve">· Kisspeptin restores pulsatile LH secretion in patients with neurokinin B signaling deficiencies: physiological, pathophysiological and therapeutic implications. PMID 22377698</w:t>
      </w:r>
    </w:p>
    <w:p>
      <w:pPr>
        <w:numPr>
          <w:ilvl w:val="0"/>
          <w:numId w:val="1417"/>
        </w:numPr>
        <w:pStyle w:val="Compact"/>
      </w:pPr>
      <w:r>
        <w:t xml:space="preserve">2011 · George JT ·</w:t>
      </w:r>
      <w:r>
        <w:t xml:space="preserve"> </w:t>
      </w:r>
      <w:r>
        <w:rPr>
          <w:iCs/>
          <w:i/>
        </w:rPr>
        <w:t xml:space="preserve">J Clin Endocrinol Metab</w:t>
      </w:r>
      <w:r>
        <w:t xml:space="preserve"> </w:t>
      </w:r>
      <w:r>
        <w:t xml:space="preserve">· Kisspeptin-10 is a potent stimulator of LH and increases pulse frequency in men. PMID 21632807</w:t>
      </w:r>
    </w:p>
    <w:p>
      <w:pPr>
        <w:numPr>
          <w:ilvl w:val="0"/>
          <w:numId w:val="1417"/>
        </w:numPr>
        <w:pStyle w:val="Compact"/>
      </w:pPr>
      <w:r>
        <w:t xml:space="preserve">2010 · Jayasena CN ·</w:t>
      </w:r>
      <w:r>
        <w:t xml:space="preserve"> </w:t>
      </w:r>
      <w:r>
        <w:rPr>
          <w:iCs/>
          <w:i/>
        </w:rPr>
        <w:t xml:space="preserve">Clin Pharmacol Ther</w:t>
      </w:r>
      <w:r>
        <w:t xml:space="preserve"> </w:t>
      </w:r>
      <w:r>
        <w:t xml:space="preserve">· Twice-weekly administration of kisspeptin-54 for 8 weeks stimulates release of reproductive hormones in women with hypothalamic amenorrhea. PMID 20980998</w:t>
      </w:r>
    </w:p>
    <w:p>
      <w:pPr>
        <w:numPr>
          <w:ilvl w:val="0"/>
          <w:numId w:val="1417"/>
        </w:numPr>
        <w:pStyle w:val="Compact"/>
      </w:pPr>
      <w:r>
        <w:t xml:space="preserve">2009 · Jayasena CN ·</w:t>
      </w:r>
      <w:r>
        <w:t xml:space="preserve"> </w:t>
      </w:r>
      <w:r>
        <w:rPr>
          <w:iCs/>
          <w:i/>
        </w:rPr>
        <w:t xml:space="preserve">J Clin Endocrinol Metab</w:t>
      </w:r>
      <w:r>
        <w:t xml:space="preserve"> </w:t>
      </w:r>
      <w:r>
        <w:t xml:space="preserve">· Subcutaneous injection of kisspeptin-54 acutely stimulates gonadotropin secretion in women with hypothalamic amenorrhea, but chronic administration causes tachyphylaxis. PMID 19820030</w:t>
      </w:r>
    </w:p>
    <w:p>
      <w:pPr>
        <w:numPr>
          <w:ilvl w:val="0"/>
          <w:numId w:val="1417"/>
        </w:numPr>
        <w:pStyle w:val="Compact"/>
      </w:pPr>
      <w:r>
        <w:t xml:space="preserve">2007 · Dhillo WS ·</w:t>
      </w:r>
      <w:r>
        <w:t xml:space="preserve"> </w:t>
      </w:r>
      <w:r>
        <w:rPr>
          <w:iCs/>
          <w:i/>
        </w:rPr>
        <w:t xml:space="preserve">J Clin Endocrinol Metab</w:t>
      </w:r>
      <w:r>
        <w:t xml:space="preserve"> </w:t>
      </w:r>
      <w:r>
        <w:t xml:space="preserve">· Kisspeptin-54 stimulates gonadotropin release most potently during the preovulatory phase of the menstrual cycle in women. PMID 17635940</w:t>
      </w:r>
    </w:p>
    <w:p>
      <w:pPr>
        <w:numPr>
          <w:ilvl w:val="0"/>
          <w:numId w:val="1417"/>
        </w:numPr>
        <w:pStyle w:val="Compact"/>
      </w:pPr>
      <w:r>
        <w:t xml:space="preserve">2005 · Dhillo WS ·</w:t>
      </w:r>
      <w:r>
        <w:t xml:space="preserve"> </w:t>
      </w:r>
      <w:r>
        <w:rPr>
          <w:iCs/>
          <w:i/>
        </w:rPr>
        <w:t xml:space="preserve">J Clin Endocrinol Metab</w:t>
      </w:r>
      <w:r>
        <w:t xml:space="preserve"> </w:t>
      </w:r>
      <w:r>
        <w:t xml:space="preserve">· Kisspeptin-54 stimulates the hypothalamic-pituitary gonadal axis in human males. PMID 16174713</w:t>
      </w:r>
    </w:p>
    <w:bookmarkEnd w:id="3063"/>
    <w:bookmarkStart w:id="3064" w:name="ossitocina-spray-nasale-349"/>
    <w:p>
      <w:pPr>
        <w:pStyle w:val="Heading2"/>
      </w:pPr>
      <w:r>
        <w:t xml:space="preserve">Ossitocina (spray nasale) (349)</w:t>
      </w:r>
    </w:p>
    <w:p>
      <w:pPr>
        <w:numPr>
          <w:ilvl w:val="0"/>
          <w:numId w:val="1418"/>
        </w:numPr>
        <w:pStyle w:val="Compact"/>
      </w:pPr>
      <w:r>
        <w:t xml:space="preserve">2026 · van der Straaten M ·</w:t>
      </w:r>
      <w:r>
        <w:t xml:space="preserve"> </w:t>
      </w:r>
      <w:r>
        <w:rPr>
          <w:iCs/>
          <w:i/>
        </w:rPr>
        <w:t xml:space="preserve">Womens Health (Lond)</w:t>
      </w:r>
      <w:r>
        <w:t xml:space="preserve"> </w:t>
      </w:r>
      <w:r>
        <w:t xml:space="preserve">· Oxytocin selectively enhances the recognition of infant sadness in postpartum depression. PMID 42904460</w:t>
      </w:r>
    </w:p>
    <w:p>
      <w:pPr>
        <w:numPr>
          <w:ilvl w:val="0"/>
          <w:numId w:val="1418"/>
        </w:numPr>
        <w:pStyle w:val="Compact"/>
      </w:pPr>
      <w:r>
        <w:t xml:space="preserve">2026 · Tiouririne NA ·</w:t>
      </w:r>
      <w:r>
        <w:t xml:space="preserve"> </w:t>
      </w:r>
      <w:r>
        <w:rPr>
          <w:iCs/>
          <w:i/>
        </w:rPr>
        <w:t xml:space="preserve">Alcohol Clin Exp Res (Hoboken)</w:t>
      </w:r>
      <w:r>
        <w:t xml:space="preserve"> </w:t>
      </w:r>
      <w:r>
        <w:t xml:space="preserve">· Intranasal Oxytocin for Alcohol Use Disorder: A Randomized, Double-Blind, Placebo-Controlled Multisite Trial Assessing Efficacy and Safety. PMID 42458234</w:t>
      </w:r>
    </w:p>
    <w:p>
      <w:pPr>
        <w:numPr>
          <w:ilvl w:val="0"/>
          <w:numId w:val="1418"/>
        </w:numPr>
        <w:pStyle w:val="Compact"/>
      </w:pPr>
      <w:r>
        <w:t xml:space="preserve">2026 · Arqueros M ·</w:t>
      </w:r>
      <w:r>
        <w:t xml:space="preserve"> </w:t>
      </w:r>
      <w:r>
        <w:rPr>
          <w:iCs/>
          <w:i/>
        </w:rPr>
        <w:t xml:space="preserve">Psychiatry Res</w:t>
      </w:r>
      <w:r>
        <w:t xml:space="preserve"> </w:t>
      </w:r>
      <w:r>
        <w:t xml:space="preserve">· Promoting self-compassion meditation with intranasal oxytocin in borderline personality disorder: a pilot study. PMID 42372695</w:t>
      </w:r>
    </w:p>
    <w:p>
      <w:pPr>
        <w:numPr>
          <w:ilvl w:val="0"/>
          <w:numId w:val="1418"/>
        </w:numPr>
        <w:pStyle w:val="Compact"/>
      </w:pPr>
      <w:r>
        <w:t xml:space="preserve">2026 · Silva JU ·</w:t>
      </w:r>
      <w:r>
        <w:t xml:space="preserve"> </w:t>
      </w:r>
      <w:r>
        <w:rPr>
          <w:iCs/>
          <w:i/>
        </w:rPr>
        <w:t xml:space="preserve">Neuropeptides</w:t>
      </w:r>
      <w:r>
        <w:t xml:space="preserve"> </w:t>
      </w:r>
      <w:r>
        <w:t xml:space="preserve">· Effects of intranasal oxytocin on fear, pain and aversive memory. PMID 42066687</w:t>
      </w:r>
    </w:p>
    <w:p>
      <w:pPr>
        <w:numPr>
          <w:ilvl w:val="0"/>
          <w:numId w:val="1418"/>
        </w:numPr>
        <w:pStyle w:val="Compact"/>
      </w:pPr>
      <w:r>
        <w:t xml:space="preserve">2026 · Riem MME ·</w:t>
      </w:r>
      <w:r>
        <w:t xml:space="preserve"> </w:t>
      </w:r>
      <w:r>
        <w:rPr>
          <w:iCs/>
          <w:i/>
        </w:rPr>
        <w:t xml:space="preserve">Ned Tijdschr Geneeskd</w:t>
      </w:r>
      <w:r>
        <w:t xml:space="preserve"> </w:t>
      </w:r>
      <w:r>
        <w:t xml:space="preserve">· [Boosting oxytocin in postpartum depression]. PMID 41989096</w:t>
      </w:r>
    </w:p>
    <w:p>
      <w:pPr>
        <w:numPr>
          <w:ilvl w:val="0"/>
          <w:numId w:val="1418"/>
        </w:numPr>
        <w:pStyle w:val="Compact"/>
      </w:pPr>
      <w:r>
        <w:t xml:space="preserve">2026 · Galbiati F ·</w:t>
      </w:r>
      <w:r>
        <w:t xml:space="preserve"> </w:t>
      </w:r>
      <w:r>
        <w:rPr>
          <w:iCs/>
          <w:i/>
        </w:rPr>
        <w:t xml:space="preserve">Int J Obes (Lond)</w:t>
      </w:r>
      <w:r>
        <w:t xml:space="preserve"> </w:t>
      </w:r>
      <w:r>
        <w:t xml:space="preserve">· Reproductive hormone stability with prolonged intranasal oxytocin in adults with obesity. PMID 41951782</w:t>
      </w:r>
    </w:p>
    <w:p>
      <w:pPr>
        <w:numPr>
          <w:ilvl w:val="0"/>
          <w:numId w:val="1418"/>
        </w:numPr>
        <w:pStyle w:val="Compact"/>
      </w:pPr>
      <w:r>
        <w:t xml:space="preserve">2026 · Kiss O ·</w:t>
      </w:r>
      <w:r>
        <w:t xml:space="preserve"> </w:t>
      </w:r>
      <w:r>
        <w:rPr>
          <w:iCs/>
          <w:i/>
        </w:rPr>
        <w:t xml:space="preserve">Psychol Res</w:t>
      </w:r>
      <w:r>
        <w:t xml:space="preserve"> </w:t>
      </w:r>
      <w:r>
        <w:t xml:space="preserve">· The impact of intranasal oxytocin administration and social observation on time perception and task execution in a simple motor task. PMID 41944895</w:t>
      </w:r>
    </w:p>
    <w:p>
      <w:pPr>
        <w:numPr>
          <w:ilvl w:val="0"/>
          <w:numId w:val="1418"/>
        </w:numPr>
        <w:pStyle w:val="Compact"/>
      </w:pPr>
      <w:r>
        <w:t xml:space="preserve">2026 · Margaux E ·</w:t>
      </w:r>
      <w:r>
        <w:t xml:space="preserve"> </w:t>
      </w:r>
      <w:r>
        <w:rPr>
          <w:iCs/>
          <w:i/>
        </w:rPr>
        <w:t xml:space="preserve">Brain Behav Immun</w:t>
      </w:r>
      <w:r>
        <w:t xml:space="preserve"> </w:t>
      </w:r>
      <w:r>
        <w:t xml:space="preserve">· A pilot study on the role of the oxytocinergic system in gut microbiome composition in children with autism: baseline associations and effects of intranasal oxytocin. PMID 41941984</w:t>
      </w:r>
    </w:p>
    <w:p>
      <w:pPr>
        <w:numPr>
          <w:ilvl w:val="0"/>
          <w:numId w:val="1418"/>
        </w:numPr>
        <w:pStyle w:val="Compact"/>
      </w:pPr>
      <w:r>
        <w:t xml:space="preserve">2026 · Evenepoel M ·</w:t>
      </w:r>
      <w:r>
        <w:t xml:space="preserve"> </w:t>
      </w:r>
      <w:r>
        <w:rPr>
          <w:iCs/>
          <w:i/>
        </w:rPr>
        <w:t xml:space="preserve">Transl Psychiatry</w:t>
      </w:r>
      <w:r>
        <w:t xml:space="preserve"> </w:t>
      </w:r>
      <w:r>
        <w:t xml:space="preserve">· The role of the oxytocinergic system in oral microbiome composition in children with autism: evidence from a randomized controlled trial of intranasal oxytocin. PMID 41876480</w:t>
      </w:r>
    </w:p>
    <w:p>
      <w:pPr>
        <w:numPr>
          <w:ilvl w:val="0"/>
          <w:numId w:val="1418"/>
        </w:numPr>
        <w:pStyle w:val="Compact"/>
      </w:pPr>
      <w:r>
        <w:t xml:space="preserve">2026 · Breithaupt L ·</w:t>
      </w:r>
      <w:r>
        <w:t xml:space="preserve"> </w:t>
      </w:r>
      <w:r>
        <w:rPr>
          <w:iCs/>
          <w:i/>
        </w:rPr>
        <w:t xml:space="preserve">Endocrine</w:t>
      </w:r>
      <w:r>
        <w:t xml:space="preserve"> </w:t>
      </w:r>
      <w:r>
        <w:t xml:space="preserve">· Identification of intranasal oxytocin plasma proteome signatures. PMID 41806102</w:t>
      </w:r>
    </w:p>
    <w:p>
      <w:pPr>
        <w:numPr>
          <w:ilvl w:val="0"/>
          <w:numId w:val="1418"/>
        </w:numPr>
        <w:pStyle w:val="Compact"/>
      </w:pPr>
      <w:r>
        <w:t xml:space="preserve">2026 · Gether IM ·</w:t>
      </w:r>
      <w:r>
        <w:t xml:space="preserve"> </w:t>
      </w:r>
      <w:r>
        <w:rPr>
          <w:iCs/>
          <w:i/>
        </w:rPr>
        <w:t xml:space="preserve">Diabetes Obes Metab</w:t>
      </w:r>
      <w:r>
        <w:t xml:space="preserve"> </w:t>
      </w:r>
      <w:r>
        <w:t xml:space="preserve">· Intravenous Oxytocin Has no Effect on Ad Libitum Food Intake or Postprandial Plasma Glucose Concentrations in Individuals With Obesity: A Randomised, Placebo-Controlled, Double-Blind, Crossover Study. PMID 41804830</w:t>
      </w:r>
    </w:p>
    <w:p>
      <w:pPr>
        <w:numPr>
          <w:ilvl w:val="0"/>
          <w:numId w:val="1418"/>
        </w:numPr>
        <w:pStyle w:val="Compact"/>
      </w:pPr>
      <w:r>
        <w:t xml:space="preserve">2026 · Wang Y ·</w:t>
      </w:r>
      <w:r>
        <w:t xml:space="preserve"> </w:t>
      </w:r>
      <w:r>
        <w:rPr>
          <w:iCs/>
          <w:i/>
        </w:rPr>
        <w:t xml:space="preserve">Brain Imaging Behav</w:t>
      </w:r>
      <w:r>
        <w:t xml:space="preserve"> </w:t>
      </w:r>
      <w:r>
        <w:t xml:space="preserve">· The effect of intranasal oxytocin on the neuropsychological substrates of intergroup categorization. PMID 41779290</w:t>
      </w:r>
    </w:p>
    <w:p>
      <w:pPr>
        <w:numPr>
          <w:ilvl w:val="0"/>
          <w:numId w:val="1418"/>
        </w:numPr>
        <w:pStyle w:val="Compact"/>
      </w:pPr>
      <w:r>
        <w:t xml:space="preserve">2026 · Mendonça TP ·</w:t>
      </w:r>
      <w:r>
        <w:t xml:space="preserve"> </w:t>
      </w:r>
      <w:r>
        <w:rPr>
          <w:iCs/>
          <w:i/>
        </w:rPr>
        <w:t xml:space="preserve">Eur J Appl Physiol</w:t>
      </w:r>
      <w:r>
        <w:t xml:space="preserve"> </w:t>
      </w:r>
      <w:r>
        <w:t xml:space="preserve">· Effects of intranasal oxytocin combined with resistance training on testosterone, cortisol, fatigue, and skin temperature in paralympic powerlifting athletes. PMID 41711901</w:t>
      </w:r>
    </w:p>
    <w:p>
      <w:pPr>
        <w:numPr>
          <w:ilvl w:val="0"/>
          <w:numId w:val="1418"/>
        </w:numPr>
        <w:pStyle w:val="Compact"/>
      </w:pPr>
      <w:r>
        <w:t xml:space="preserve">2026 · Liu W ·</w:t>
      </w:r>
      <w:r>
        <w:t xml:space="preserve"> </w:t>
      </w:r>
      <w:r>
        <w:rPr>
          <w:iCs/>
          <w:i/>
        </w:rPr>
        <w:t xml:space="preserve">Proc Natl Acad Sci U S A</w:t>
      </w:r>
      <w:r>
        <w:t xml:space="preserve"> </w:t>
      </w:r>
      <w:r>
        <w:t xml:space="preserve">· Post-encoding administration of oxytocin selectively enhances memory consolidation of male faces in females. PMID 41557801</w:t>
      </w:r>
    </w:p>
    <w:p>
      <w:pPr>
        <w:numPr>
          <w:ilvl w:val="0"/>
          <w:numId w:val="1418"/>
        </w:numPr>
        <w:pStyle w:val="Compact"/>
      </w:pPr>
      <w:r>
        <w:t xml:space="preserve">2026 · Boulton KA ·</w:t>
      </w:r>
      <w:r>
        <w:t xml:space="preserve"> </w:t>
      </w:r>
      <w:r>
        <w:rPr>
          <w:iCs/>
          <w:i/>
        </w:rPr>
        <w:t xml:space="preserve">J Child Psychol Psychiatry</w:t>
      </w:r>
      <w:r>
        <w:t xml:space="preserve"> </w:t>
      </w:r>
      <w:r>
        <w:t xml:space="preserve">· Evaluating placebo responses to intranasal oxytocin in autism: findings from the placebo lead-in phase of a randomised controlled trial. PMID 41550040</w:t>
      </w:r>
    </w:p>
    <w:p>
      <w:pPr>
        <w:numPr>
          <w:ilvl w:val="0"/>
          <w:numId w:val="1418"/>
        </w:numPr>
        <w:pStyle w:val="Compact"/>
      </w:pPr>
      <w:r>
        <w:t xml:space="preserve">2026 · Prinsen J ·</w:t>
      </w:r>
      <w:r>
        <w:t xml:space="preserve"> </w:t>
      </w:r>
      <w:r>
        <w:rPr>
          <w:iCs/>
          <w:i/>
        </w:rPr>
        <w:t xml:space="preserve">Psychoneuroendocrinology</w:t>
      </w:r>
      <w:r>
        <w:t xml:space="preserve"> </w:t>
      </w:r>
      <w:r>
        <w:t xml:space="preserve">· Impact of chronic oxytocin on gaze and pupil dynamics during live dyadic interactions in children with autism. PMID 41547341</w:t>
      </w:r>
    </w:p>
    <w:p>
      <w:pPr>
        <w:numPr>
          <w:ilvl w:val="0"/>
          <w:numId w:val="1418"/>
        </w:numPr>
        <w:pStyle w:val="Compact"/>
      </w:pPr>
      <w:r>
        <w:t xml:space="preserve">2026 · Song D ·</w:t>
      </w:r>
      <w:r>
        <w:t xml:space="preserve"> </w:t>
      </w:r>
      <w:r>
        <w:rPr>
          <w:iCs/>
          <w:i/>
        </w:rPr>
        <w:t xml:space="preserve">Behav Brain Res</w:t>
      </w:r>
      <w:r>
        <w:t xml:space="preserve"> </w:t>
      </w:r>
      <w:r>
        <w:t xml:space="preserve">· Age-dependent effects of intranasal oxytocin administration were revealed by resting brain entropy (BEN). PMID 41360155</w:t>
      </w:r>
    </w:p>
    <w:p>
      <w:pPr>
        <w:numPr>
          <w:ilvl w:val="0"/>
          <w:numId w:val="1418"/>
        </w:numPr>
        <w:pStyle w:val="Compact"/>
      </w:pPr>
      <w:r>
        <w:t xml:space="preserve">2026 · Schneider E ·</w:t>
      </w:r>
      <w:r>
        <w:t xml:space="preserve"> </w:t>
      </w:r>
      <w:r>
        <w:rPr>
          <w:iCs/>
          <w:i/>
        </w:rPr>
        <w:t xml:space="preserve">JAMA Psychiatry</w:t>
      </w:r>
      <w:r>
        <w:t xml:space="preserve"> </w:t>
      </w:r>
      <w:r>
        <w:t xml:space="preserve">· Intranasal Oxytocin and Physical Intimacy for Dermatological Wound Healing and Neuroendocrine Stress: A Randomized Clinical Trial. PMID 41222549</w:t>
      </w:r>
    </w:p>
    <w:p>
      <w:pPr>
        <w:numPr>
          <w:ilvl w:val="0"/>
          <w:numId w:val="1418"/>
        </w:numPr>
        <w:pStyle w:val="Compact"/>
      </w:pPr>
      <w:r>
        <w:t xml:space="preserve">2026 · Saker T ·</w:t>
      </w:r>
      <w:r>
        <w:t xml:space="preserve"> </w:t>
      </w:r>
      <w:r>
        <w:rPr>
          <w:iCs/>
          <w:i/>
        </w:rPr>
        <w:t xml:space="preserve">J Psychiatr Res</w:t>
      </w:r>
      <w:r>
        <w:t xml:space="preserve"> </w:t>
      </w:r>
      <w:r>
        <w:t xml:space="preserve">· The effect of intranasal oxytocin on theory of mind in children with attention deficit/hyperactive disorder. PMID 41138507</w:t>
      </w:r>
    </w:p>
    <w:p>
      <w:pPr>
        <w:numPr>
          <w:ilvl w:val="0"/>
          <w:numId w:val="1418"/>
        </w:numPr>
        <w:pStyle w:val="Compact"/>
      </w:pPr>
      <w:r>
        <w:t xml:space="preserve">2026 · Nannt J ·</w:t>
      </w:r>
      <w:r>
        <w:t xml:space="preserve"> </w:t>
      </w:r>
      <w:r>
        <w:rPr>
          <w:iCs/>
          <w:i/>
        </w:rPr>
        <w:t xml:space="preserve">Int J Eat Disord</w:t>
      </w:r>
      <w:r>
        <w:t xml:space="preserve"> </w:t>
      </w:r>
      <w:r>
        <w:t xml:space="preserve">· Oxytocin Effects on Food Stimulus Processing and Food Intake in Females With or Without Binge Eating Disorder. PMID 41131747</w:t>
      </w:r>
    </w:p>
    <w:p>
      <w:pPr>
        <w:numPr>
          <w:ilvl w:val="0"/>
          <w:numId w:val="1418"/>
        </w:numPr>
        <w:pStyle w:val="Compact"/>
      </w:pPr>
      <w:r>
        <w:t xml:space="preserve">2025 · Riem MME ·</w:t>
      </w:r>
      <w:r>
        <w:t xml:space="preserve"> </w:t>
      </w:r>
      <w:r>
        <w:rPr>
          <w:iCs/>
          <w:i/>
        </w:rPr>
        <w:t xml:space="preserve">Psychoneuroendocrinology</w:t>
      </w:r>
      <w:r>
        <w:t xml:space="preserve"> </w:t>
      </w:r>
      <w:r>
        <w:t xml:space="preserve">· Boosting oxytocin in postpartum depression: Intranasal oxytocin enhances maternal positive affect and regard for the infant. PMID 40614394</w:t>
      </w:r>
    </w:p>
    <w:p>
      <w:pPr>
        <w:numPr>
          <w:ilvl w:val="0"/>
          <w:numId w:val="1418"/>
        </w:numPr>
        <w:pStyle w:val="Compact"/>
      </w:pPr>
      <w:r>
        <w:t xml:space="preserve">2025 · Cosme G ·</w:t>
      </w:r>
      <w:r>
        <w:t xml:space="preserve"> </w:t>
      </w:r>
      <w:r>
        <w:rPr>
          <w:iCs/>
          <w:i/>
        </w:rPr>
        <w:t xml:space="preserve">Psychoneuroendocrinology</w:t>
      </w:r>
      <w:r>
        <w:t xml:space="preserve"> </w:t>
      </w:r>
      <w:r>
        <w:t xml:space="preserve">· Intranasal oxytocin increases cooperation of heterosexual men with women. PMID 40578004</w:t>
      </w:r>
    </w:p>
    <w:p>
      <w:pPr>
        <w:numPr>
          <w:ilvl w:val="0"/>
          <w:numId w:val="1418"/>
        </w:numPr>
        <w:pStyle w:val="Compact"/>
      </w:pPr>
      <w:r>
        <w:t xml:space="preserve">2025 · Julius NC ·</w:t>
      </w:r>
      <w:r>
        <w:t xml:space="preserve"> </w:t>
      </w:r>
      <w:r>
        <w:rPr>
          <w:iCs/>
          <w:i/>
        </w:rPr>
        <w:t xml:space="preserve">Sci Rep</w:t>
      </w:r>
      <w:r>
        <w:t xml:space="preserve"> </w:t>
      </w:r>
      <w:r>
        <w:t xml:space="preserve">· Nasal dominance potentiates intranasal oxytocin’s anxiolytic effects. PMID 40425808</w:t>
      </w:r>
    </w:p>
    <w:p>
      <w:pPr>
        <w:numPr>
          <w:ilvl w:val="0"/>
          <w:numId w:val="1418"/>
        </w:numPr>
        <w:pStyle w:val="Compact"/>
      </w:pPr>
      <w:r>
        <w:t xml:space="preserve">2025 · Flanagan JC ·</w:t>
      </w:r>
      <w:r>
        <w:t xml:space="preserve"> </w:t>
      </w:r>
      <w:r>
        <w:rPr>
          <w:iCs/>
          <w:i/>
        </w:rPr>
        <w:t xml:space="preserve">J Clin Psychiatry</w:t>
      </w:r>
      <w:r>
        <w:t xml:space="preserve"> </w:t>
      </w:r>
      <w:r>
        <w:t xml:space="preserve">· Results of a Randomized Controlled Trial Examining the Efficacy of Intranasal Oxytocin to Enhance Alcohol Behavioral Couple Therapy. PMID 40392716</w:t>
      </w:r>
    </w:p>
    <w:p>
      <w:pPr>
        <w:numPr>
          <w:ilvl w:val="0"/>
          <w:numId w:val="1418"/>
        </w:numPr>
        <w:pStyle w:val="Compact"/>
      </w:pPr>
      <w:r>
        <w:t xml:space="preserve">2025 · Aulinas A ·</w:t>
      </w:r>
      <w:r>
        <w:t xml:space="preserve"> </w:t>
      </w:r>
      <w:r>
        <w:rPr>
          <w:iCs/>
          <w:i/>
        </w:rPr>
        <w:t xml:space="preserve">J Clin Endocrinol Metab</w:t>
      </w:r>
      <w:r>
        <w:t xml:space="preserve"> </w:t>
      </w:r>
      <w:r>
        <w:t xml:space="preserve">· Arginine-Vasopressin Dynamics in Relation to Food Intake and 8-Week Intranasal Oxytocin Treatment in Adults With Obesity. PMID 40314146</w:t>
      </w:r>
    </w:p>
    <w:p>
      <w:pPr>
        <w:numPr>
          <w:ilvl w:val="0"/>
          <w:numId w:val="1418"/>
        </w:numPr>
        <w:pStyle w:val="Compact"/>
      </w:pPr>
      <w:r>
        <w:t xml:space="preserve">2025 · Vetter S ·</w:t>
      </w:r>
      <w:r>
        <w:t xml:space="preserve"> </w:t>
      </w:r>
      <w:r>
        <w:rPr>
          <w:iCs/>
          <w:i/>
        </w:rPr>
        <w:t xml:space="preserve">Psychopharmacology (Berl)</w:t>
      </w:r>
      <w:r>
        <w:t xml:space="preserve"> </w:t>
      </w:r>
      <w:r>
        <w:t xml:space="preserve">· Intranasal oxytocin blunts amygdala response to negative affective stimuli in males and females with alcohol use disorder: a randomized controlled cross-over trial. PMID 40232386</w:t>
      </w:r>
    </w:p>
    <w:p>
      <w:pPr>
        <w:numPr>
          <w:ilvl w:val="0"/>
          <w:numId w:val="1418"/>
        </w:numPr>
        <w:pStyle w:val="Compact"/>
      </w:pPr>
      <w:r>
        <w:t xml:space="preserve">2025 · O’ Brien S ·</w:t>
      </w:r>
      <w:r>
        <w:t xml:space="preserve"> </w:t>
      </w:r>
      <w:r>
        <w:rPr>
          <w:iCs/>
          <w:i/>
        </w:rPr>
        <w:t xml:space="preserve">Sci Rep</w:t>
      </w:r>
      <w:r>
        <w:t xml:space="preserve"> </w:t>
      </w:r>
      <w:r>
        <w:t xml:space="preserve">· Intranasal oxytocin modulates brain activity during emotional processing in children with treatment resistant conduct problems. PMID 40180973</w:t>
      </w:r>
    </w:p>
    <w:p>
      <w:pPr>
        <w:numPr>
          <w:ilvl w:val="0"/>
          <w:numId w:val="1418"/>
        </w:numPr>
        <w:pStyle w:val="Compact"/>
      </w:pPr>
      <w:r>
        <w:t xml:space="preserve">2025 · Andari E ·</w:t>
      </w:r>
      <w:r>
        <w:t xml:space="preserve"> </w:t>
      </w:r>
      <w:r>
        <w:rPr>
          <w:iCs/>
          <w:i/>
        </w:rPr>
        <w:t xml:space="preserve">Neuropsychopharmacology</w:t>
      </w:r>
      <w:r>
        <w:t xml:space="preserve"> </w:t>
      </w:r>
      <w:r>
        <w:t xml:space="preserve">· Random forest and Shapley Additive exPlanations predict oxytocin targeted effects on brain functional networks involved in salience and sensorimotor processing, in a randomized clinical trial in autism. PMID 40175527</w:t>
      </w:r>
    </w:p>
    <w:p>
      <w:pPr>
        <w:numPr>
          <w:ilvl w:val="0"/>
          <w:numId w:val="1418"/>
        </w:numPr>
        <w:pStyle w:val="Compact"/>
      </w:pPr>
      <w:r>
        <w:t xml:space="preserve">2025 · Shafer SL ·</w:t>
      </w:r>
      <w:r>
        <w:t xml:space="preserve"> </w:t>
      </w:r>
      <w:r>
        <w:rPr>
          <w:iCs/>
          <w:i/>
        </w:rPr>
        <w:t xml:space="preserve">Br J Anaesth</w:t>
      </w:r>
      <w:r>
        <w:t xml:space="preserve"> </w:t>
      </w:r>
      <w:r>
        <w:t xml:space="preserve">· Plasma pharmacokinetics of intravenous and intranasal oxytocin in nonpregnant adults. PMID 40121179</w:t>
      </w:r>
    </w:p>
    <w:p>
      <w:pPr>
        <w:numPr>
          <w:ilvl w:val="0"/>
          <w:numId w:val="1418"/>
        </w:numPr>
        <w:pStyle w:val="Compact"/>
      </w:pPr>
      <w:r>
        <w:t xml:space="preserve">2025 · Liu J ·</w:t>
      </w:r>
      <w:r>
        <w:t xml:space="preserve"> </w:t>
      </w:r>
      <w:r>
        <w:rPr>
          <w:iCs/>
          <w:i/>
        </w:rPr>
        <w:t xml:space="preserve">Psychoneuroendocrinology</w:t>
      </w:r>
      <w:r>
        <w:t xml:space="preserve"> </w:t>
      </w:r>
      <w:r>
        <w:t xml:space="preserve">· The complex role of oxytocin in fear acquisition and generalization. PMID 40073548</w:t>
      </w:r>
    </w:p>
    <w:p>
      <w:pPr>
        <w:numPr>
          <w:ilvl w:val="0"/>
          <w:numId w:val="1418"/>
        </w:numPr>
        <w:pStyle w:val="Compact"/>
      </w:pPr>
      <w:r>
        <w:t xml:space="preserve">2025 · Rosenfeld-Ganzel A ·</w:t>
      </w:r>
      <w:r>
        <w:t xml:space="preserve"> </w:t>
      </w:r>
      <w:r>
        <w:rPr>
          <w:iCs/>
          <w:i/>
        </w:rPr>
        <w:t xml:space="preserve">Biol Psychol</w:t>
      </w:r>
      <w:r>
        <w:t xml:space="preserve"> </w:t>
      </w:r>
      <w:r>
        <w:t xml:space="preserve">· Oxytocin’s role in the interaction between emotion and cognitive control. PMID 39987954</w:t>
      </w:r>
    </w:p>
    <w:p>
      <w:pPr>
        <w:numPr>
          <w:ilvl w:val="0"/>
          <w:numId w:val="1418"/>
        </w:numPr>
        <w:pStyle w:val="Compact"/>
      </w:pPr>
      <w:r>
        <w:t xml:space="preserve">2025 · Verdes A ·</w:t>
      </w:r>
      <w:r>
        <w:t xml:space="preserve"> </w:t>
      </w:r>
      <w:r>
        <w:rPr>
          <w:iCs/>
          <w:i/>
        </w:rPr>
        <w:t xml:space="preserve">J Child Adolesc Psychopharmacol</w:t>
      </w:r>
      <w:r>
        <w:t xml:space="preserve"> </w:t>
      </w:r>
      <w:r>
        <w:t xml:space="preserve">· Predictors of Placebo Response in the Study of Oxytocin in Autism to Improve Reciprocal Social Behaviors. PMID 39970017</w:t>
      </w:r>
    </w:p>
    <w:p>
      <w:pPr>
        <w:numPr>
          <w:ilvl w:val="0"/>
          <w:numId w:val="1418"/>
        </w:numPr>
        <w:pStyle w:val="Compact"/>
      </w:pPr>
      <w:r>
        <w:t xml:space="preserve">2025 · Lindley Baron-Cohen K ·</w:t>
      </w:r>
      <w:r>
        <w:t xml:space="preserve"> </w:t>
      </w:r>
      <w:r>
        <w:rPr>
          <w:iCs/>
          <w:i/>
        </w:rPr>
        <w:t xml:space="preserve">Psychoneuroendocrinology</w:t>
      </w:r>
      <w:r>
        <w:t xml:space="preserve"> </w:t>
      </w:r>
      <w:r>
        <w:t xml:space="preserve">· Intranasal oxytocin increases breast milk oxytocin, but has a reduced effect in depressed mothers: A randomized controlled trial. PMID 39891981</w:t>
      </w:r>
    </w:p>
    <w:p>
      <w:pPr>
        <w:numPr>
          <w:ilvl w:val="0"/>
          <w:numId w:val="1418"/>
        </w:numPr>
        <w:pStyle w:val="Compact"/>
      </w:pPr>
      <w:r>
        <w:t xml:space="preserve">2025 · Burmester V ·</w:t>
      </w:r>
      <w:r>
        <w:t xml:space="preserve"> </w:t>
      </w:r>
      <w:r>
        <w:rPr>
          <w:iCs/>
          <w:i/>
        </w:rPr>
        <w:t xml:space="preserve">Eur Eat Disord Rev</w:t>
      </w:r>
      <w:r>
        <w:t xml:space="preserve"> </w:t>
      </w:r>
      <w:r>
        <w:t xml:space="preserve">· Oxytocin Amplifies Negative Response to Ambiguity in Adolescent Females With and Without Eating Disorders. PMID 39887557</w:t>
      </w:r>
    </w:p>
    <w:p>
      <w:pPr>
        <w:numPr>
          <w:ilvl w:val="0"/>
          <w:numId w:val="1418"/>
        </w:numPr>
        <w:pStyle w:val="Compact"/>
      </w:pPr>
      <w:r>
        <w:t xml:space="preserve">2025 · Coleman KKL ·</w:t>
      </w:r>
      <w:r>
        <w:t xml:space="preserve"> </w:t>
      </w:r>
      <w:r>
        <w:rPr>
          <w:iCs/>
          <w:i/>
        </w:rPr>
        <w:t xml:space="preserve">Lancet Neurol</w:t>
      </w:r>
      <w:r>
        <w:t xml:space="preserve"> </w:t>
      </w:r>
      <w:r>
        <w:t xml:space="preserve">· Intranasal oxytocin for apathy in people with frontotemporal dementia (FOXY): a multicentre, randomised, double-blind, placebo-controlled, adaptive, crossover, phase 2a/2b superiority trial. PMID 39862881</w:t>
      </w:r>
    </w:p>
    <w:p>
      <w:pPr>
        <w:numPr>
          <w:ilvl w:val="0"/>
          <w:numId w:val="1418"/>
        </w:numPr>
        <w:pStyle w:val="Compact"/>
      </w:pPr>
      <w:r>
        <w:t xml:space="preserve">2025 · Thurston MD ·</w:t>
      </w:r>
      <w:r>
        <w:t xml:space="preserve"> </w:t>
      </w:r>
      <w:r>
        <w:rPr>
          <w:iCs/>
          <w:i/>
        </w:rPr>
        <w:t xml:space="preserve">Psychopharmacology (Berl)</w:t>
      </w:r>
      <w:r>
        <w:t xml:space="preserve"> </w:t>
      </w:r>
      <w:r>
        <w:t xml:space="preserve">· Oxytocin differentially modulates reward system responses to social and non-social incentives. PMID 39365438</w:t>
      </w:r>
    </w:p>
    <w:p>
      <w:pPr>
        <w:numPr>
          <w:ilvl w:val="0"/>
          <w:numId w:val="1418"/>
        </w:numPr>
        <w:pStyle w:val="Compact"/>
      </w:pPr>
      <w:r>
        <w:t xml:space="preserve">2025 · Rashidi M ·</w:t>
      </w:r>
      <w:r>
        <w:t xml:space="preserve"> </w:t>
      </w:r>
      <w:r>
        <w:rPr>
          <w:iCs/>
          <w:i/>
        </w:rPr>
        <w:t xml:space="preserve">Neuropsychopharmacology</w:t>
      </w:r>
      <w:r>
        <w:t xml:space="preserve"> </w:t>
      </w:r>
      <w:r>
        <w:t xml:space="preserve">· Effects of intranasal oxytocin on fear extinction learning. PMID 39313675</w:t>
      </w:r>
    </w:p>
    <w:p>
      <w:pPr>
        <w:numPr>
          <w:ilvl w:val="0"/>
          <w:numId w:val="1418"/>
        </w:numPr>
        <w:pStyle w:val="Compact"/>
      </w:pPr>
      <w:r>
        <w:t xml:space="preserve">2024 · Moerkerke M ·</w:t>
      </w:r>
      <w:r>
        <w:t xml:space="preserve"> </w:t>
      </w:r>
      <w:r>
        <w:rPr>
          <w:iCs/>
          <w:i/>
        </w:rPr>
        <w:t xml:space="preserve">Mol Autism</w:t>
      </w:r>
      <w:r>
        <w:t xml:space="preserve"> </w:t>
      </w:r>
      <w:r>
        <w:t xml:space="preserve">· Impact of chronic intranasal oxytocin administration on face expression processing in autistic children: a randomized controlled trial using fMRI. PMID 39709442</w:t>
      </w:r>
    </w:p>
    <w:p>
      <w:pPr>
        <w:numPr>
          <w:ilvl w:val="0"/>
          <w:numId w:val="1418"/>
        </w:numPr>
        <w:pStyle w:val="Compact"/>
      </w:pPr>
      <w:r>
        <w:t xml:space="preserve">2024 · Maoz H ·</w:t>
      </w:r>
      <w:r>
        <w:t xml:space="preserve"> </w:t>
      </w:r>
      <w:r>
        <w:rPr>
          <w:iCs/>
          <w:i/>
        </w:rPr>
        <w:t xml:space="preserve">Psychiatry Res</w:t>
      </w:r>
      <w:r>
        <w:t xml:space="preserve"> </w:t>
      </w:r>
      <w:r>
        <w:t xml:space="preserve">· Sex differences in response to intranasal oxytocin as an adjunctive therapy for patients with severe mental illness. PMID 39579479</w:t>
      </w:r>
    </w:p>
    <w:p>
      <w:pPr>
        <w:numPr>
          <w:ilvl w:val="0"/>
          <w:numId w:val="1418"/>
        </w:numPr>
        <w:pStyle w:val="Compact"/>
      </w:pPr>
      <w:r>
        <w:t xml:space="preserve">2024 · Wang Y ·</w:t>
      </w:r>
      <w:r>
        <w:t xml:space="preserve"> </w:t>
      </w:r>
      <w:r>
        <w:rPr>
          <w:iCs/>
          <w:i/>
        </w:rPr>
        <w:t xml:space="preserve">Neuropharmacology</w:t>
      </w:r>
      <w:r>
        <w:t xml:space="preserve"> </w:t>
      </w:r>
      <w:r>
        <w:t xml:space="preserve">· Oxytocin modulation of explicit pandemic stigma in men with varying social anxiety levels. PMID 39251086</w:t>
      </w:r>
    </w:p>
    <w:p>
      <w:pPr>
        <w:numPr>
          <w:ilvl w:val="0"/>
          <w:numId w:val="1418"/>
        </w:numPr>
        <w:pStyle w:val="Compact"/>
      </w:pPr>
      <w:r>
        <w:t xml:space="preserve">2024 · Liu P ·</w:t>
      </w:r>
      <w:r>
        <w:t xml:space="preserve"> </w:t>
      </w:r>
      <w:r>
        <w:rPr>
          <w:iCs/>
          <w:i/>
        </w:rPr>
        <w:t xml:space="preserve">Neuropharmacology</w:t>
      </w:r>
      <w:r>
        <w:t xml:space="preserve"> </w:t>
      </w:r>
      <w:r>
        <w:t xml:space="preserve">· Effects of four-week intranasal oxytocin administration on large-scale brain networks in older adults. PMID 39182569</w:t>
      </w:r>
    </w:p>
    <w:p>
      <w:pPr>
        <w:numPr>
          <w:ilvl w:val="0"/>
          <w:numId w:val="1418"/>
        </w:numPr>
        <w:pStyle w:val="Compact"/>
      </w:pPr>
      <w:r>
        <w:t xml:space="preserve">2024 · Goll N ·</w:t>
      </w:r>
      <w:r>
        <w:t xml:space="preserve"> </w:t>
      </w:r>
      <w:r>
        <w:rPr>
          <w:iCs/>
          <w:i/>
        </w:rPr>
        <w:t xml:space="preserve">Diabetes Obes Metab</w:t>
      </w:r>
      <w:r>
        <w:t xml:space="preserve"> </w:t>
      </w:r>
      <w:r>
        <w:t xml:space="preserve">· Oxytocin does not acutely improve glucose tolerance in men with type 2 diabetes. PMID 39118203</w:t>
      </w:r>
    </w:p>
    <w:p>
      <w:pPr>
        <w:numPr>
          <w:ilvl w:val="0"/>
          <w:numId w:val="1418"/>
        </w:numPr>
        <w:pStyle w:val="Compact"/>
      </w:pPr>
      <w:r>
        <w:t xml:space="preserve">2024 · Zhou M ·</w:t>
      </w:r>
      <w:r>
        <w:t xml:space="preserve"> </w:t>
      </w:r>
      <w:r>
        <w:rPr>
          <w:iCs/>
          <w:i/>
        </w:rPr>
        <w:t xml:space="preserve">Biol Psychiatry Cogn Neurosci Neuroimaging</w:t>
      </w:r>
      <w:r>
        <w:t xml:space="preserve"> </w:t>
      </w:r>
      <w:r>
        <w:t xml:space="preserve">· Intranasal Oxytocin Improves Interoceptive Accuracy and Heartbeat-Evoked Potentials During a Cardiac Interoceptive Task. PMID 38839034</w:t>
      </w:r>
    </w:p>
    <w:p>
      <w:pPr>
        <w:numPr>
          <w:ilvl w:val="0"/>
          <w:numId w:val="1418"/>
        </w:numPr>
        <w:pStyle w:val="Compact"/>
      </w:pPr>
      <w:r>
        <w:t xml:space="preserve">2024 · Plessow F ·</w:t>
      </w:r>
      <w:r>
        <w:t xml:space="preserve"> </w:t>
      </w:r>
      <w:r>
        <w:rPr>
          <w:iCs/>
          <w:i/>
        </w:rPr>
        <w:t xml:space="preserve">NEJM Evid</w:t>
      </w:r>
      <w:r>
        <w:t xml:space="preserve"> </w:t>
      </w:r>
      <w:r>
        <w:t xml:space="preserve">· Intranasal Oxytocin for Obesity. PMID 38815173</w:t>
      </w:r>
    </w:p>
    <w:p>
      <w:pPr>
        <w:numPr>
          <w:ilvl w:val="0"/>
          <w:numId w:val="1418"/>
        </w:numPr>
        <w:pStyle w:val="Compact"/>
      </w:pPr>
      <w:r>
        <w:t xml:space="preserve">2024 · Berger R ·</w:t>
      </w:r>
      <w:r>
        <w:t xml:space="preserve"> </w:t>
      </w:r>
      <w:r>
        <w:rPr>
          <w:iCs/>
          <w:i/>
        </w:rPr>
        <w:t xml:space="preserve">Psychother Psychosom</w:t>
      </w:r>
      <w:r>
        <w:t xml:space="preserve"> </w:t>
      </w:r>
      <w:r>
        <w:t xml:space="preserve">· Oxytocin-Augmented Modular-Based Group Intervention for Loneliness: A Proof-Of-Concept Randomized Controlled Trial. PMID 38754399</w:t>
      </w:r>
    </w:p>
    <w:p>
      <w:pPr>
        <w:numPr>
          <w:ilvl w:val="0"/>
          <w:numId w:val="1418"/>
        </w:numPr>
        <w:pStyle w:val="Compact"/>
      </w:pPr>
      <w:r>
        <w:t xml:space="preserve">2024 · Tomescu MI ·</w:t>
      </w:r>
      <w:r>
        <w:t xml:space="preserve"> </w:t>
      </w:r>
      <w:r>
        <w:rPr>
          <w:iCs/>
          <w:i/>
        </w:rPr>
        <w:t xml:space="preserve">Psychophysiology</w:t>
      </w:r>
      <w:r>
        <w:t xml:space="preserve"> </w:t>
      </w:r>
      <w:r>
        <w:t xml:space="preserve">· Social functioning predicts individual changes in EEG microstates following intranasal oxytocin administration: A double-blind, cross-over randomized clinical trial. PMID 38594888</w:t>
      </w:r>
    </w:p>
    <w:p>
      <w:pPr>
        <w:numPr>
          <w:ilvl w:val="0"/>
          <w:numId w:val="1418"/>
        </w:numPr>
        <w:pStyle w:val="Compact"/>
      </w:pPr>
      <w:r>
        <w:t xml:space="preserve">2024 · Flechsenhar A ·</w:t>
      </w:r>
      <w:r>
        <w:t xml:space="preserve"> </w:t>
      </w:r>
      <w:r>
        <w:rPr>
          <w:iCs/>
          <w:i/>
        </w:rPr>
        <w:t xml:space="preserve">Neuropharmacology</w:t>
      </w:r>
      <w:r>
        <w:t xml:space="preserve"> </w:t>
      </w:r>
      <w:r>
        <w:t xml:space="preserve">· Oxytocin and social learning in socially anxious men and women. PMID 38537867</w:t>
      </w:r>
    </w:p>
    <w:p>
      <w:pPr>
        <w:numPr>
          <w:ilvl w:val="0"/>
          <w:numId w:val="1418"/>
        </w:numPr>
        <w:pStyle w:val="Compact"/>
      </w:pPr>
      <w:r>
        <w:t xml:space="preserve">2024 · Maguire S ·</w:t>
      </w:r>
      <w:r>
        <w:t xml:space="preserve"> </w:t>
      </w:r>
      <w:r>
        <w:rPr>
          <w:iCs/>
          <w:i/>
        </w:rPr>
        <w:t xml:space="preserve">Psychoneuroendocrinology</w:t>
      </w:r>
      <w:r>
        <w:t xml:space="preserve"> </w:t>
      </w:r>
      <w:r>
        <w:t xml:space="preserve">· A phase II randomised controlled trial of intranasal oxytocin in anorexia nervosa. PMID 38520886</w:t>
      </w:r>
    </w:p>
    <w:p>
      <w:pPr>
        <w:numPr>
          <w:ilvl w:val="0"/>
          <w:numId w:val="1418"/>
        </w:numPr>
        <w:pStyle w:val="Compact"/>
      </w:pPr>
      <w:r>
        <w:t xml:space="preserve">2024 · Shoenfelt A ·</w:t>
      </w:r>
      <w:r>
        <w:t xml:space="preserve"> </w:t>
      </w:r>
      <w:r>
        <w:rPr>
          <w:iCs/>
          <w:i/>
        </w:rPr>
        <w:t xml:space="preserve">Psychoneuroendocrinology</w:t>
      </w:r>
      <w:r>
        <w:t xml:space="preserve"> </w:t>
      </w:r>
      <w:r>
        <w:t xml:space="preserve">· Effects of chronic intranasal oxytocin on visual attention to faces vs. natural scenes in older adults. PMID 38461634</w:t>
      </w:r>
    </w:p>
    <w:p>
      <w:pPr>
        <w:numPr>
          <w:ilvl w:val="0"/>
          <w:numId w:val="1418"/>
        </w:numPr>
        <w:pStyle w:val="Compact"/>
      </w:pPr>
      <w:r>
        <w:t xml:space="preserve">2024 · Ellenbogen MA ·</w:t>
      </w:r>
      <w:r>
        <w:t xml:space="preserve"> </w:t>
      </w:r>
      <w:r>
        <w:rPr>
          <w:iCs/>
          <w:i/>
        </w:rPr>
        <w:t xml:space="preserve">Psychol Med</w:t>
      </w:r>
      <w:r>
        <w:t xml:space="preserve"> </w:t>
      </w:r>
      <w:r>
        <w:t xml:space="preserve">· The effects of intranasal oxytocin on the efficacy of psychotherapy for major depressive disorder: a pilot randomized controlled trial. PMID 38445382</w:t>
      </w:r>
    </w:p>
    <w:p>
      <w:pPr>
        <w:numPr>
          <w:ilvl w:val="0"/>
          <w:numId w:val="1418"/>
        </w:numPr>
        <w:pStyle w:val="Compact"/>
      </w:pPr>
      <w:r>
        <w:t xml:space="preserve">2024 · Hwang S ·</w:t>
      </w:r>
      <w:r>
        <w:t xml:space="preserve"> </w:t>
      </w:r>
      <w:r>
        <w:rPr>
          <w:iCs/>
          <w:i/>
        </w:rPr>
        <w:t xml:space="preserve">Am J Psychiatry</w:t>
      </w:r>
      <w:r>
        <w:t xml:space="preserve"> </w:t>
      </w:r>
      <w:r>
        <w:t xml:space="preserve">· Neural Responses to Intranasal Oxytocin in Youths With Severe Irritability. PMID 38419495</w:t>
      </w:r>
    </w:p>
    <w:p>
      <w:pPr>
        <w:numPr>
          <w:ilvl w:val="0"/>
          <w:numId w:val="1418"/>
        </w:numPr>
        <w:pStyle w:val="Compact"/>
      </w:pPr>
      <w:r>
        <w:t xml:space="preserve">2024 · Moses E ·</w:t>
      </w:r>
      <w:r>
        <w:t xml:space="preserve"> </w:t>
      </w:r>
      <w:r>
        <w:rPr>
          <w:iCs/>
          <w:i/>
        </w:rPr>
        <w:t xml:space="preserve">Soc Cogn Affect Neurosci</w:t>
      </w:r>
      <w:r>
        <w:t xml:space="preserve"> </w:t>
      </w:r>
      <w:r>
        <w:t xml:space="preserve">· Oxytocin differentially modulates the early neural responses to faces and non-social stimuli. PMID 38372627</w:t>
      </w:r>
    </w:p>
    <w:p>
      <w:pPr>
        <w:numPr>
          <w:ilvl w:val="0"/>
          <w:numId w:val="1418"/>
        </w:numPr>
        <w:pStyle w:val="Compact"/>
      </w:pPr>
      <w:r>
        <w:t xml:space="preserve">2024 · İmamoğlu A ·</w:t>
      </w:r>
      <w:r>
        <w:t xml:space="preserve"> </w:t>
      </w:r>
      <w:r>
        <w:rPr>
          <w:iCs/>
          <w:i/>
        </w:rPr>
        <w:t xml:space="preserve">J Psychiatr Res</w:t>
      </w:r>
      <w:r>
        <w:t xml:space="preserve"> </w:t>
      </w:r>
      <w:r>
        <w:t xml:space="preserve">· The effect of intranasal oxytocin on neurocognition in people with schizophrenia: A randomized controlled trial. PMID 38262165</w:t>
      </w:r>
    </w:p>
    <w:p>
      <w:pPr>
        <w:numPr>
          <w:ilvl w:val="0"/>
          <w:numId w:val="1418"/>
        </w:numPr>
        <w:pStyle w:val="Compact"/>
      </w:pPr>
      <w:r>
        <w:t xml:space="preserve">2024 · Davies C ·</w:t>
      </w:r>
      <w:r>
        <w:t xml:space="preserve"> </w:t>
      </w:r>
      <w:r>
        <w:rPr>
          <w:iCs/>
          <w:i/>
        </w:rPr>
        <w:t xml:space="preserve">Mol Psychiatry</w:t>
      </w:r>
      <w:r>
        <w:t xml:space="preserve"> </w:t>
      </w:r>
      <w:r>
        <w:t xml:space="preserve">· Connectome dysfunction in patients at clinical high risk for psychosis and modulation by oxytocin. PMID 38243074</w:t>
      </w:r>
    </w:p>
    <w:p>
      <w:pPr>
        <w:numPr>
          <w:ilvl w:val="0"/>
          <w:numId w:val="1418"/>
        </w:numPr>
        <w:pStyle w:val="Compact"/>
      </w:pPr>
      <w:r>
        <w:t xml:space="preserve">2024 · Pongrácz P ·</w:t>
      </w:r>
      <w:r>
        <w:t xml:space="preserve"> </w:t>
      </w:r>
      <w:r>
        <w:rPr>
          <w:iCs/>
          <w:i/>
        </w:rPr>
        <w:t xml:space="preserve">BMC Ecol Evol</w:t>
      </w:r>
      <w:r>
        <w:t xml:space="preserve"> </w:t>
      </w:r>
      <w:r>
        <w:t xml:space="preserve">· Alarm or emotion? intranasal oxytocin helps determine information conveyed by dog barks for adult male human listeners. PMID 38221611</w:t>
      </w:r>
    </w:p>
    <w:p>
      <w:pPr>
        <w:numPr>
          <w:ilvl w:val="0"/>
          <w:numId w:val="1418"/>
        </w:numPr>
        <w:pStyle w:val="Compact"/>
      </w:pPr>
      <w:r>
        <w:t xml:space="preserve">2024 · Moerkerke M ·</w:t>
      </w:r>
      <w:r>
        <w:t xml:space="preserve"> </w:t>
      </w:r>
      <w:r>
        <w:rPr>
          <w:iCs/>
          <w:i/>
        </w:rPr>
        <w:t xml:space="preserve">Nat Commun</w:t>
      </w:r>
      <w:r>
        <w:t xml:space="preserve"> </w:t>
      </w:r>
      <w:r>
        <w:t xml:space="preserve">· Chronic oxytocin administration stimulates the oxytocinergic system in children with autism. PMID 38167302</w:t>
      </w:r>
    </w:p>
    <w:p>
      <w:pPr>
        <w:numPr>
          <w:ilvl w:val="0"/>
          <w:numId w:val="1418"/>
        </w:numPr>
        <w:pStyle w:val="Compact"/>
      </w:pPr>
      <w:r>
        <w:t xml:space="preserve">2024 · Maoz H ·</w:t>
      </w:r>
      <w:r>
        <w:t xml:space="preserve"> </w:t>
      </w:r>
      <w:r>
        <w:rPr>
          <w:iCs/>
          <w:i/>
        </w:rPr>
        <w:t xml:space="preserve">J Affect Disord</w:t>
      </w:r>
      <w:r>
        <w:t xml:space="preserve"> </w:t>
      </w:r>
      <w:r>
        <w:t xml:space="preserve">· Intranasal oxytocin as an adjunct treatment among patients with severe major depression with and without comorbid borderline personality disorder. PMID 37992767</w:t>
      </w:r>
    </w:p>
    <w:p>
      <w:pPr>
        <w:numPr>
          <w:ilvl w:val="0"/>
          <w:numId w:val="1418"/>
        </w:numPr>
        <w:pStyle w:val="Compact"/>
      </w:pPr>
      <w:r>
        <w:t xml:space="preserve">2024 · Xiao S ·</w:t>
      </w:r>
      <w:r>
        <w:t xml:space="preserve"> </w:t>
      </w:r>
      <w:r>
        <w:rPr>
          <w:iCs/>
          <w:i/>
        </w:rPr>
        <w:t xml:space="preserve">Psychoneuroendocrinology</w:t>
      </w:r>
      <w:r>
        <w:t xml:space="preserve"> </w:t>
      </w:r>
      <w:r>
        <w:t xml:space="preserve">· Age-dependent effects of oxytocin in brain regions enriched with oxytocin receptors. PMID 37951085</w:t>
      </w:r>
    </w:p>
    <w:p>
      <w:pPr>
        <w:numPr>
          <w:ilvl w:val="0"/>
          <w:numId w:val="1418"/>
        </w:numPr>
        <w:pStyle w:val="Compact"/>
      </w:pPr>
      <w:r>
        <w:t xml:space="preserve">2023 · Alaerts K ·</w:t>
      </w:r>
      <w:r>
        <w:t xml:space="preserve"> </w:t>
      </w:r>
      <w:r>
        <w:rPr>
          <w:iCs/>
          <w:i/>
        </w:rPr>
        <w:t xml:space="preserve">Psychother Psychosom</w:t>
      </w:r>
      <w:r>
        <w:t xml:space="preserve"> </w:t>
      </w:r>
      <w:r>
        <w:t xml:space="preserve">· At the Head and Heart of Oxytocin’s Stress-Regulatory Neural and Cardiac Effects: A Chronic Administration RCT in Children with Autism. PMID 37820592</w:t>
      </w:r>
    </w:p>
    <w:p>
      <w:pPr>
        <w:numPr>
          <w:ilvl w:val="0"/>
          <w:numId w:val="1418"/>
        </w:numPr>
        <w:pStyle w:val="Compact"/>
      </w:pPr>
      <w:r>
        <w:t xml:space="preserve">2023 · Wright KA ·</w:t>
      </w:r>
      <w:r>
        <w:t xml:space="preserve"> </w:t>
      </w:r>
      <w:r>
        <w:rPr>
          <w:iCs/>
          <w:i/>
        </w:rPr>
        <w:t xml:space="preserve">Horm Behav</w:t>
      </w:r>
      <w:r>
        <w:t xml:space="preserve"> </w:t>
      </w:r>
      <w:r>
        <w:t xml:space="preserve">· Four-week intranasal oxytocin administration reduces attachment avoidance in older women. PMID 37659357</w:t>
      </w:r>
    </w:p>
    <w:p>
      <w:pPr>
        <w:numPr>
          <w:ilvl w:val="0"/>
          <w:numId w:val="1418"/>
        </w:numPr>
        <w:pStyle w:val="Compact"/>
      </w:pPr>
      <w:r>
        <w:t xml:space="preserve">2023 · Vogt C ·</w:t>
      </w:r>
      <w:r>
        <w:t xml:space="preserve"> </w:t>
      </w:r>
      <w:r>
        <w:rPr>
          <w:iCs/>
          <w:i/>
        </w:rPr>
        <w:t xml:space="preserve">Soc Cogn Affect Neurosci</w:t>
      </w:r>
      <w:r>
        <w:t xml:space="preserve"> </w:t>
      </w:r>
      <w:r>
        <w:t xml:space="preserve">· Oxytocinergic modulation of speech production-a double-blind placebo-controlled fMRI study. PMID 37384576</w:t>
      </w:r>
    </w:p>
    <w:p>
      <w:pPr>
        <w:numPr>
          <w:ilvl w:val="0"/>
          <w:numId w:val="1418"/>
        </w:numPr>
        <w:pStyle w:val="Compact"/>
      </w:pPr>
      <w:r>
        <w:t xml:space="preserve">2023 · Lin C ·</w:t>
      </w:r>
      <w:r>
        <w:t xml:space="preserve"> </w:t>
      </w:r>
      <w:r>
        <w:rPr>
          <w:iCs/>
          <w:i/>
        </w:rPr>
        <w:t xml:space="preserve">Physiol Behav</w:t>
      </w:r>
      <w:r>
        <w:t xml:space="preserve"> </w:t>
      </w:r>
      <w:r>
        <w:t xml:space="preserve">· The relationship between oxytocin and empathy for others’ pain: Testing the mediating effect of first-hand pain sensitivity. PMID 37301493</w:t>
      </w:r>
    </w:p>
    <w:p>
      <w:pPr>
        <w:numPr>
          <w:ilvl w:val="0"/>
          <w:numId w:val="1418"/>
        </w:numPr>
        <w:pStyle w:val="Compact"/>
      </w:pPr>
      <w:r>
        <w:t xml:space="preserve">2023 · Moerkerke M ·</w:t>
      </w:r>
      <w:r>
        <w:t xml:space="preserve"> </w:t>
      </w:r>
      <w:r>
        <w:rPr>
          <w:iCs/>
          <w:i/>
        </w:rPr>
        <w:t xml:space="preserve">J Child Psychol Psychiatry</w:t>
      </w:r>
      <w:r>
        <w:t xml:space="preserve"> </w:t>
      </w:r>
      <w:r>
        <w:t xml:space="preserve">· Can repeated intranasal oxytocin administration affect reduced neural sensitivity towards expressive faces in autism? A randomized controlled trial. PMID 37278339</w:t>
      </w:r>
    </w:p>
    <w:p>
      <w:pPr>
        <w:numPr>
          <w:ilvl w:val="0"/>
          <w:numId w:val="1418"/>
        </w:numPr>
        <w:pStyle w:val="Compact"/>
      </w:pPr>
      <w:r>
        <w:t xml:space="preserve">2023 · Chen Y ·</w:t>
      </w:r>
      <w:r>
        <w:t xml:space="preserve"> </w:t>
      </w:r>
      <w:r>
        <w:rPr>
          <w:iCs/>
          <w:i/>
        </w:rPr>
        <w:t xml:space="preserve">Elife</w:t>
      </w:r>
      <w:r>
        <w:t xml:space="preserve"> </w:t>
      </w:r>
      <w:r>
        <w:t xml:space="preserve">· Oxytocin administration enhances pleasantness and neural responses to gentle stroking but not moderate pressure social touch by increasing peripheral concentrations. PMID 37171081</w:t>
      </w:r>
    </w:p>
    <w:p>
      <w:pPr>
        <w:numPr>
          <w:ilvl w:val="0"/>
          <w:numId w:val="1418"/>
        </w:numPr>
        <w:pStyle w:val="Compact"/>
      </w:pPr>
      <w:r>
        <w:t xml:space="preserve">2023 · Daniels N ·</w:t>
      </w:r>
      <w:r>
        <w:t xml:space="preserve"> </w:t>
      </w:r>
      <w:r>
        <w:rPr>
          <w:iCs/>
          <w:i/>
        </w:rPr>
        <w:t xml:space="preserve">Mol Autism</w:t>
      </w:r>
      <w:r>
        <w:t xml:space="preserve"> </w:t>
      </w:r>
      <w:r>
        <w:t xml:space="preserve">· Effects of multiple-dose intranasal oxytocin administration on social responsiveness in children with autism: a randomized, placebo-controlled trial. PMID 37081454</w:t>
      </w:r>
    </w:p>
    <w:p>
      <w:pPr>
        <w:numPr>
          <w:ilvl w:val="0"/>
          <w:numId w:val="1418"/>
        </w:numPr>
        <w:pStyle w:val="Compact"/>
      </w:pPr>
      <w:r>
        <w:t xml:space="preserve">2023 · Cosme G ·</w:t>
      </w:r>
      <w:r>
        <w:t xml:space="preserve"> </w:t>
      </w:r>
      <w:r>
        <w:rPr>
          <w:iCs/>
          <w:i/>
        </w:rPr>
        <w:t xml:space="preserve">J Psychopharmacol</w:t>
      </w:r>
      <w:r>
        <w:t xml:space="preserve"> </w:t>
      </w:r>
      <w:r>
        <w:t xml:space="preserve">· Temporal profile of intranasal oxytocin in the human autonomic nervous system at rest: An electrocardiography and pupillometry study. PMID 36891949</w:t>
      </w:r>
    </w:p>
    <w:p>
      <w:pPr>
        <w:numPr>
          <w:ilvl w:val="0"/>
          <w:numId w:val="1418"/>
        </w:numPr>
        <w:pStyle w:val="Compact"/>
      </w:pPr>
      <w:r>
        <w:t xml:space="preserve">2023 · Jansen M ·</w:t>
      </w:r>
      <w:r>
        <w:t xml:space="preserve"> </w:t>
      </w:r>
      <w:r>
        <w:rPr>
          <w:iCs/>
          <w:i/>
        </w:rPr>
        <w:t xml:space="preserve">Neuroimage</w:t>
      </w:r>
      <w:r>
        <w:t xml:space="preserve"> </w:t>
      </w:r>
      <w:r>
        <w:t xml:space="preserve">· l-DOPA and oxytocin influence the neurocomputational mechanisms of self-benefitting and prosocial reinforcement learning. PMID 36848972</w:t>
      </w:r>
    </w:p>
    <w:p>
      <w:pPr>
        <w:numPr>
          <w:ilvl w:val="0"/>
          <w:numId w:val="1418"/>
        </w:numPr>
        <w:pStyle w:val="Compact"/>
      </w:pPr>
      <w:r>
        <w:t xml:space="preserve">2023 · Maslahati T ·</w:t>
      </w:r>
      <w:r>
        <w:t xml:space="preserve"> </w:t>
      </w:r>
      <w:r>
        <w:rPr>
          <w:iCs/>
          <w:i/>
        </w:rPr>
        <w:t xml:space="preserve">Transl Psychiatry</w:t>
      </w:r>
      <w:r>
        <w:t xml:space="preserve"> </w:t>
      </w:r>
      <w:r>
        <w:t xml:space="preserve">· Oxytocin vs. placebo effects on intrusive memory consolidation using a trauma film paradigm: a randomized, controlled experimental study in healthy women. PMID 36739422</w:t>
      </w:r>
    </w:p>
    <w:p>
      <w:pPr>
        <w:numPr>
          <w:ilvl w:val="0"/>
          <w:numId w:val="1418"/>
        </w:numPr>
        <w:pStyle w:val="Compact"/>
      </w:pPr>
      <w:r>
        <w:t xml:space="preserve">2023 · Vehlen A ·</w:t>
      </w:r>
      <w:r>
        <w:t xml:space="preserve"> </w:t>
      </w:r>
      <w:r>
        <w:rPr>
          <w:iCs/>
          <w:i/>
        </w:rPr>
        <w:t xml:space="preserve">J Psychiatr Res</w:t>
      </w:r>
      <w:r>
        <w:t xml:space="preserve"> </w:t>
      </w:r>
      <w:r>
        <w:t xml:space="preserve">· Reduced eye gaze during facial emotion recognition in chronic depression: Effects of intranasal oxytocin. PMID 36657314</w:t>
      </w:r>
    </w:p>
    <w:p>
      <w:pPr>
        <w:numPr>
          <w:ilvl w:val="0"/>
          <w:numId w:val="1418"/>
        </w:numPr>
        <w:pStyle w:val="Compact"/>
      </w:pPr>
      <w:r>
        <w:t xml:space="preserve">2023 · Grossman-Giron A ·</w:t>
      </w:r>
      <w:r>
        <w:t xml:space="preserve"> </w:t>
      </w:r>
      <w:r>
        <w:rPr>
          <w:iCs/>
          <w:i/>
        </w:rPr>
        <w:t xml:space="preserve">Neuropsychobiology</w:t>
      </w:r>
      <w:r>
        <w:t xml:space="preserve"> </w:t>
      </w:r>
      <w:r>
        <w:t xml:space="preserve">· Intranasal Oxytocin as Add-On Treatment for Inpatients with Severe Mental Illness: A Randomized Clinical Trial. PMID 36603563</w:t>
      </w:r>
    </w:p>
    <w:p>
      <w:pPr>
        <w:numPr>
          <w:ilvl w:val="0"/>
          <w:numId w:val="1418"/>
        </w:numPr>
        <w:pStyle w:val="Compact"/>
      </w:pPr>
      <w:r>
        <w:t xml:space="preserve">2023 · Guastella AJ ·</w:t>
      </w:r>
      <w:r>
        <w:t xml:space="preserve"> </w:t>
      </w:r>
      <w:r>
        <w:rPr>
          <w:iCs/>
          <w:i/>
        </w:rPr>
        <w:t xml:space="preserve">Mol Psychiatry</w:t>
      </w:r>
      <w:r>
        <w:t xml:space="preserve"> </w:t>
      </w:r>
      <w:r>
        <w:t xml:space="preserve">· The effect of oxytocin nasal spray on social interaction in young children with autism: a randomized clinical trial. PMID 36302965</w:t>
      </w:r>
    </w:p>
    <w:p>
      <w:pPr>
        <w:numPr>
          <w:ilvl w:val="0"/>
          <w:numId w:val="1418"/>
        </w:numPr>
        <w:pStyle w:val="Compact"/>
      </w:pPr>
      <w:r>
        <w:t xml:space="preserve">2023 · Seeley SH ·</w:t>
      </w:r>
      <w:r>
        <w:t xml:space="preserve"> </w:t>
      </w:r>
      <w:r>
        <w:rPr>
          <w:iCs/>
          <w:i/>
        </w:rPr>
        <w:t xml:space="preserve">Hum Brain Mapp</w:t>
      </w:r>
      <w:r>
        <w:t xml:space="preserve"> </w:t>
      </w:r>
      <w:r>
        <w:t xml:space="preserve">· Dwelling in prolonged grief: Resting state functional connectivity during oxytocin and placebo administration. PMID 36087094</w:t>
      </w:r>
    </w:p>
    <w:p>
      <w:pPr>
        <w:numPr>
          <w:ilvl w:val="0"/>
          <w:numId w:val="1418"/>
        </w:numPr>
        <w:pStyle w:val="Compact"/>
      </w:pPr>
      <w:r>
        <w:t xml:space="preserve">2023 · Ditzen B ·</w:t>
      </w:r>
      <w:r>
        <w:t xml:space="preserve"> </w:t>
      </w:r>
      <w:r>
        <w:rPr>
          <w:iCs/>
          <w:i/>
        </w:rPr>
        <w:t xml:space="preserve">Brain Behav Immun</w:t>
      </w:r>
      <w:r>
        <w:t xml:space="preserve"> </w:t>
      </w:r>
      <w:r>
        <w:t xml:space="preserve">· Effects of intranasal oxytocin and positive couple interaction on immune factors in skin wounds. PMID 36058418</w:t>
      </w:r>
    </w:p>
    <w:p>
      <w:pPr>
        <w:numPr>
          <w:ilvl w:val="0"/>
          <w:numId w:val="1418"/>
        </w:numPr>
        <w:pStyle w:val="Compact"/>
      </w:pPr>
      <w:r>
        <w:t xml:space="preserve">2022 · Coenjaerts M ·</w:t>
      </w:r>
      <w:r>
        <w:t xml:space="preserve"> </w:t>
      </w:r>
      <w:r>
        <w:rPr>
          <w:iCs/>
          <w:i/>
        </w:rPr>
        <w:t xml:space="preserve">Neuroimage</w:t>
      </w:r>
      <w:r>
        <w:t xml:space="preserve"> </w:t>
      </w:r>
      <w:r>
        <w:t xml:space="preserve">· Exogenous estradiol and oxytocin modulate sex differences in hippocampal reactivity during the encoding of episodic memories. PMID 36349596</w:t>
      </w:r>
    </w:p>
    <w:p>
      <w:pPr>
        <w:numPr>
          <w:ilvl w:val="0"/>
          <w:numId w:val="1418"/>
        </w:numPr>
        <w:pStyle w:val="Compact"/>
      </w:pPr>
      <w:r>
        <w:t xml:space="preserve">2022 · Melby K ·</w:t>
      </w:r>
      <w:r>
        <w:t xml:space="preserve"> </w:t>
      </w:r>
      <w:r>
        <w:rPr>
          <w:iCs/>
          <w:i/>
        </w:rPr>
        <w:t xml:space="preserve">Horm Behav</w:t>
      </w:r>
      <w:r>
        <w:t xml:space="preserve"> </w:t>
      </w:r>
      <w:r>
        <w:t xml:space="preserve">· The effect of intranasal oxytocin on processing emotional stimuli during alcohol withdrawal: A randomized placebo-controlled double-blind clinical trial. PMID 36242831</w:t>
      </w:r>
    </w:p>
    <w:p>
      <w:pPr>
        <w:numPr>
          <w:ilvl w:val="0"/>
          <w:numId w:val="1418"/>
        </w:numPr>
        <w:pStyle w:val="Compact"/>
      </w:pPr>
      <w:r>
        <w:t xml:space="preserve">2022 · Zhuang Q ·</w:t>
      </w:r>
      <w:r>
        <w:t xml:space="preserve"> </w:t>
      </w:r>
      <w:r>
        <w:rPr>
          <w:iCs/>
          <w:i/>
        </w:rPr>
        <w:t xml:space="preserve">Int J Neuropsychopharmacol</w:t>
      </w:r>
      <w:r>
        <w:t xml:space="preserve"> </w:t>
      </w:r>
      <w:r>
        <w:t xml:space="preserve">· Oral Administration of Oxytocin, Like Intranasal Administration, Decreases Top-Down Social Attention. PMID 36053298</w:t>
      </w:r>
    </w:p>
    <w:p>
      <w:pPr>
        <w:numPr>
          <w:ilvl w:val="0"/>
          <w:numId w:val="1418"/>
        </w:numPr>
        <w:pStyle w:val="Compact"/>
      </w:pPr>
      <w:r>
        <w:t xml:space="preserve">2022 · Korann V ·</w:t>
      </w:r>
      <w:r>
        <w:t xml:space="preserve"> </w:t>
      </w:r>
      <w:r>
        <w:rPr>
          <w:iCs/>
          <w:i/>
        </w:rPr>
        <w:t xml:space="preserve">Schizophr Bull</w:t>
      </w:r>
      <w:r>
        <w:t xml:space="preserve"> </w:t>
      </w:r>
      <w:r>
        <w:t xml:space="preserve">· Effect of Intranasal Oxytocin on Resting-state Effective Connectivity in Schizophrenia. PMID 35759349</w:t>
      </w:r>
    </w:p>
    <w:p>
      <w:pPr>
        <w:numPr>
          <w:ilvl w:val="0"/>
          <w:numId w:val="1418"/>
        </w:numPr>
        <w:pStyle w:val="Compact"/>
      </w:pPr>
      <w:r>
        <w:t xml:space="preserve">2022 · Flanagan JC ·</w:t>
      </w:r>
      <w:r>
        <w:t xml:space="preserve"> </w:t>
      </w:r>
      <w:r>
        <w:rPr>
          <w:iCs/>
          <w:i/>
        </w:rPr>
        <w:t xml:space="preserve">J Psychiatr Res</w:t>
      </w:r>
      <w:r>
        <w:t xml:space="preserve"> </w:t>
      </w:r>
      <w:r>
        <w:t xml:space="preserve">· A randomized controlled trial examining the effects of intranasal oxytocin on alcohol craving and intimate partner aggression among couples. PMID 35709548</w:t>
      </w:r>
    </w:p>
    <w:p>
      <w:pPr>
        <w:numPr>
          <w:ilvl w:val="0"/>
          <w:numId w:val="1418"/>
        </w:numPr>
        <w:pStyle w:val="Compact"/>
      </w:pPr>
      <w:r>
        <w:t xml:space="preserve">2022 · Doppler CEJ ·</w:t>
      </w:r>
      <w:r>
        <w:t xml:space="preserve"> </w:t>
      </w:r>
      <w:r>
        <w:rPr>
          <w:iCs/>
          <w:i/>
        </w:rPr>
        <w:t xml:space="preserve">Psychoneuroendocrinology</w:t>
      </w:r>
      <w:r>
        <w:t xml:space="preserve"> </w:t>
      </w:r>
      <w:r>
        <w:t xml:space="preserve">· Intranasal oxytocin attenuates the effects of monetary feedback on procedural learning. PMID 35689985</w:t>
      </w:r>
    </w:p>
    <w:p>
      <w:pPr>
        <w:numPr>
          <w:ilvl w:val="0"/>
          <w:numId w:val="1418"/>
        </w:numPr>
        <w:pStyle w:val="Compact"/>
      </w:pPr>
      <w:r>
        <w:t xml:space="preserve">2022 · Le J ·</w:t>
      </w:r>
      <w:r>
        <w:t xml:space="preserve"> </w:t>
      </w:r>
      <w:r>
        <w:rPr>
          <w:iCs/>
          <w:i/>
        </w:rPr>
        <w:t xml:space="preserve">Psychother Psychosom</w:t>
      </w:r>
      <w:r>
        <w:t xml:space="preserve"> </w:t>
      </w:r>
      <w:r>
        <w:t xml:space="preserve">· Infrequent Intranasal Oxytocin Followed by Positive Social Interaction Improves Symptoms in Autistic Children: A Pilot Randomized Clinical Trial. PMID 35545057</w:t>
      </w:r>
    </w:p>
    <w:p>
      <w:pPr>
        <w:numPr>
          <w:ilvl w:val="0"/>
          <w:numId w:val="1418"/>
        </w:numPr>
        <w:pStyle w:val="Compact"/>
      </w:pPr>
      <w:r>
        <w:t xml:space="preserve">2022 · Doerr JM ·</w:t>
      </w:r>
      <w:r>
        <w:t xml:space="preserve"> </w:t>
      </w:r>
      <w:r>
        <w:rPr>
          <w:iCs/>
          <w:i/>
        </w:rPr>
        <w:t xml:space="preserve">Psychosom Med</w:t>
      </w:r>
      <w:r>
        <w:t xml:space="preserve"> </w:t>
      </w:r>
      <w:r>
        <w:t xml:space="preserve">· The Effect of Intranasal Oxytocin on the Association Between Couple Interaction and Sleep: A Placebo-Controlled Study. PMID 35472193</w:t>
      </w:r>
    </w:p>
    <w:p>
      <w:pPr>
        <w:numPr>
          <w:ilvl w:val="0"/>
          <w:numId w:val="1418"/>
        </w:numPr>
        <w:pStyle w:val="Compact"/>
      </w:pPr>
      <w:r>
        <w:t xml:space="preserve">2022 · Back SN ·</w:t>
      </w:r>
      <w:r>
        <w:t xml:space="preserve"> </w:t>
      </w:r>
      <w:r>
        <w:rPr>
          <w:iCs/>
          <w:i/>
        </w:rPr>
        <w:t xml:space="preserve">J Neural Transm (Vienna)</w:t>
      </w:r>
      <w:r>
        <w:t xml:space="preserve"> </w:t>
      </w:r>
      <w:r>
        <w:t xml:space="preserve">· Reduced vagal activity in borderline personality disorder is unaffected by intranasal oxytocin administration, but predicted by the interaction between childhood trauma and attachment insecurity. PMID 35275249</w:t>
      </w:r>
    </w:p>
    <w:p>
      <w:pPr>
        <w:numPr>
          <w:ilvl w:val="0"/>
          <w:numId w:val="1418"/>
        </w:numPr>
        <w:pStyle w:val="Compact"/>
      </w:pPr>
      <w:r>
        <w:t xml:space="preserve">2022 · Liu P ·</w:t>
      </w:r>
      <w:r>
        <w:t xml:space="preserve"> </w:t>
      </w:r>
      <w:r>
        <w:rPr>
          <w:iCs/>
          <w:i/>
        </w:rPr>
        <w:t xml:space="preserve">Neuroimage</w:t>
      </w:r>
      <w:r>
        <w:t xml:space="preserve"> </w:t>
      </w:r>
      <w:r>
        <w:t xml:space="preserve">· Intranasal oxytocin modulates the salience network in aging. PMID 35259525</w:t>
      </w:r>
    </w:p>
    <w:p>
      <w:pPr>
        <w:numPr>
          <w:ilvl w:val="0"/>
          <w:numId w:val="1418"/>
        </w:numPr>
        <w:pStyle w:val="Compact"/>
      </w:pPr>
      <w:r>
        <w:t xml:space="preserve">2022 · Kou J ·</w:t>
      </w:r>
      <w:r>
        <w:t xml:space="preserve"> </w:t>
      </w:r>
      <w:r>
        <w:rPr>
          <w:iCs/>
          <w:i/>
        </w:rPr>
        <w:t xml:space="preserve">Psychother Psychosom</w:t>
      </w:r>
      <w:r>
        <w:t xml:space="preserve"> </w:t>
      </w:r>
      <w:r>
        <w:t xml:space="preserve">· Anxiolytic Effects of Chronic Intranasal Oxytocin on Neural Responses to Threat Are Dose-Frequency Dependent. PMID 35086102</w:t>
      </w:r>
    </w:p>
    <w:p>
      <w:pPr>
        <w:numPr>
          <w:ilvl w:val="0"/>
          <w:numId w:val="1418"/>
        </w:numPr>
        <w:pStyle w:val="Compact"/>
      </w:pPr>
      <w:r>
        <w:t xml:space="preserve">2022 · Yamasue H ·</w:t>
      </w:r>
      <w:r>
        <w:t xml:space="preserve"> </w:t>
      </w:r>
      <w:r>
        <w:rPr>
          <w:iCs/>
          <w:i/>
        </w:rPr>
        <w:t xml:space="preserve">Brain</w:t>
      </w:r>
      <w:r>
        <w:t xml:space="preserve"> </w:t>
      </w:r>
      <w:r>
        <w:t xml:space="preserve">· Effect of a novel nasal oxytocin spray with enhanced bioavailability on autism: a randomized trial. PMID 35067719</w:t>
      </w:r>
    </w:p>
    <w:p>
      <w:pPr>
        <w:numPr>
          <w:ilvl w:val="0"/>
          <w:numId w:val="1418"/>
        </w:numPr>
        <w:pStyle w:val="Compact"/>
      </w:pPr>
      <w:r>
        <w:t xml:space="preserve">2022 · Stauffer CS ·</w:t>
      </w:r>
      <w:r>
        <w:t xml:space="preserve"> </w:t>
      </w:r>
      <w:r>
        <w:rPr>
          <w:iCs/>
          <w:i/>
        </w:rPr>
        <w:t xml:space="preserve">Psychiatry Res</w:t>
      </w:r>
      <w:r>
        <w:t xml:space="preserve"> </w:t>
      </w:r>
      <w:r>
        <w:t xml:space="preserve">· Effects of oxytocin administration on fear-potentiated acoustic startle in co-occurring PTSD and alcohol use disorder: A randomized clinical trial. PMID 34983010</w:t>
      </w:r>
    </w:p>
    <w:p>
      <w:pPr>
        <w:numPr>
          <w:ilvl w:val="0"/>
          <w:numId w:val="1418"/>
        </w:numPr>
        <w:pStyle w:val="Compact"/>
      </w:pPr>
      <w:r>
        <w:t xml:space="preserve">2022 · Ma Y ·</w:t>
      </w:r>
      <w:r>
        <w:t xml:space="preserve"> </w:t>
      </w:r>
      <w:r>
        <w:rPr>
          <w:iCs/>
          <w:i/>
        </w:rPr>
        <w:t xml:space="preserve">Int J Psychophysiol</w:t>
      </w:r>
      <w:r>
        <w:t xml:space="preserve"> </w:t>
      </w:r>
      <w:r>
        <w:t xml:space="preserve">· Adult attachment style moderates the effect of oxytocin on neural responses to infant emotional faces. PMID 34919983</w:t>
      </w:r>
    </w:p>
    <w:p>
      <w:pPr>
        <w:numPr>
          <w:ilvl w:val="0"/>
          <w:numId w:val="1418"/>
        </w:numPr>
        <w:pStyle w:val="Compact"/>
      </w:pPr>
      <w:r>
        <w:t xml:space="preserve">2022 · Schultebraucks K ·</w:t>
      </w:r>
      <w:r>
        <w:t xml:space="preserve"> </w:t>
      </w:r>
      <w:r>
        <w:rPr>
          <w:iCs/>
          <w:i/>
        </w:rPr>
        <w:t xml:space="preserve">Neuropsychopharmacology</w:t>
      </w:r>
      <w:r>
        <w:t xml:space="preserve"> </w:t>
      </w:r>
      <w:r>
        <w:t xml:space="preserve">· Intranasal oxytocin administration impacts the acquisition and consolidation of trauma-associated memories: a double-blind randomized placebo-controlled experimental study in healthy women. PMID 34887528</w:t>
      </w:r>
    </w:p>
    <w:p>
      <w:pPr>
        <w:numPr>
          <w:ilvl w:val="0"/>
          <w:numId w:val="1418"/>
        </w:numPr>
        <w:pStyle w:val="Compact"/>
      </w:pPr>
      <w:r>
        <w:t xml:space="preserve">2022 · Lindley Baron-Cohen K ·</w:t>
      </w:r>
      <w:r>
        <w:t xml:space="preserve"> </w:t>
      </w:r>
      <w:r>
        <w:rPr>
          <w:iCs/>
          <w:i/>
        </w:rPr>
        <w:t xml:space="preserve">J Affect Disord</w:t>
      </w:r>
      <w:r>
        <w:t xml:space="preserve"> </w:t>
      </w:r>
      <w:r>
        <w:t xml:space="preserve">· Intranasal oxytocin administration improves mood in new mothers with moderate low mood but not in mothers with elevated symptoms of postnatal depression: A randomised controlled trial. PMID 34843839</w:t>
      </w:r>
    </w:p>
    <w:p>
      <w:pPr>
        <w:numPr>
          <w:ilvl w:val="0"/>
          <w:numId w:val="1418"/>
        </w:numPr>
        <w:pStyle w:val="Compact"/>
      </w:pPr>
      <w:r>
        <w:t xml:space="preserve">2022 · Kou J ·</w:t>
      </w:r>
      <w:r>
        <w:t xml:space="preserve"> </w:t>
      </w:r>
      <w:r>
        <w:rPr>
          <w:iCs/>
          <w:i/>
        </w:rPr>
        <w:t xml:space="preserve">Psychol Med</w:t>
      </w:r>
      <w:r>
        <w:t xml:space="preserve"> </w:t>
      </w:r>
      <w:r>
        <w:t xml:space="preserve">· A randomized trial shows dose-frequency and genotype may determine the therapeutic efficacy of intranasal oxytocin. PMID 33272333</w:t>
      </w:r>
    </w:p>
    <w:p>
      <w:pPr>
        <w:numPr>
          <w:ilvl w:val="0"/>
          <w:numId w:val="1418"/>
        </w:numPr>
        <w:pStyle w:val="Compact"/>
      </w:pPr>
      <w:r>
        <w:t xml:space="preserve">2021 · Sikich L ·</w:t>
      </w:r>
      <w:r>
        <w:t xml:space="preserve"> </w:t>
      </w:r>
      <w:r>
        <w:rPr>
          <w:iCs/>
          <w:i/>
        </w:rPr>
        <w:t xml:space="preserve">N Engl J Med</w:t>
      </w:r>
      <w:r>
        <w:t xml:space="preserve"> </w:t>
      </w:r>
      <w:r>
        <w:t xml:space="preserve">· Intranasal Oxytocin in Children and Adolescents with Autism Spectrum Disorder. PMID 34644471</w:t>
      </w:r>
    </w:p>
    <w:p>
      <w:pPr>
        <w:numPr>
          <w:ilvl w:val="0"/>
          <w:numId w:val="1418"/>
        </w:numPr>
        <w:pStyle w:val="Compact"/>
      </w:pPr>
      <w:r>
        <w:t xml:space="preserve">2021 · Fastman J ·</w:t>
      </w:r>
      <w:r>
        <w:t xml:space="preserve"> </w:t>
      </w:r>
      <w:r>
        <w:rPr>
          <w:iCs/>
          <w:i/>
        </w:rPr>
        <w:t xml:space="preserve">Mol Autism</w:t>
      </w:r>
      <w:r>
        <w:t xml:space="preserve"> </w:t>
      </w:r>
      <w:r>
        <w:t xml:space="preserve">· A randomized controlled trial of intranasal oxytocin in Phelan-McDermid syndrome. PMID 34593045</w:t>
      </w:r>
    </w:p>
    <w:p>
      <w:pPr>
        <w:numPr>
          <w:ilvl w:val="0"/>
          <w:numId w:val="1418"/>
        </w:numPr>
        <w:pStyle w:val="Compact"/>
      </w:pPr>
      <w:r>
        <w:t xml:space="preserve">2021 · Zhuang Q ·</w:t>
      </w:r>
      <w:r>
        <w:t xml:space="preserve"> </w:t>
      </w:r>
      <w:r>
        <w:rPr>
          <w:iCs/>
          <w:i/>
        </w:rPr>
        <w:t xml:space="preserve">Psychoneuroendocrinology</w:t>
      </w:r>
      <w:r>
        <w:t xml:space="preserve"> </w:t>
      </w:r>
      <w:r>
        <w:t xml:space="preserve">· Intranasal vasopressin like oxytocin increases social attention by influencing top-down control, but additionally enhances bottom-up control. PMID 34537624</w:t>
      </w:r>
    </w:p>
    <w:p>
      <w:pPr>
        <w:numPr>
          <w:ilvl w:val="0"/>
          <w:numId w:val="1418"/>
        </w:numPr>
        <w:pStyle w:val="Compact"/>
      </w:pPr>
      <w:r>
        <w:t xml:space="preserve">2021 · Zhang X ·</w:t>
      </w:r>
      <w:r>
        <w:t xml:space="preserve"> </w:t>
      </w:r>
      <w:r>
        <w:rPr>
          <w:iCs/>
          <w:i/>
        </w:rPr>
        <w:t xml:space="preserve">Psychoneuroendocrinology</w:t>
      </w:r>
      <w:r>
        <w:t xml:space="preserve"> </w:t>
      </w:r>
      <w:r>
        <w:t xml:space="preserve">· Oxytocin reduces romantic rejection-induced pain in online speed-dating as revealed by decreased frontal-midline theta oscillations. PMID 34537623</w:t>
      </w:r>
    </w:p>
    <w:p>
      <w:pPr>
        <w:numPr>
          <w:ilvl w:val="0"/>
          <w:numId w:val="1418"/>
        </w:numPr>
        <w:pStyle w:val="Compact"/>
      </w:pPr>
      <w:r>
        <w:t xml:space="preserve">2021 · Sippel LM ·</w:t>
      </w:r>
      <w:r>
        <w:t xml:space="preserve"> </w:t>
      </w:r>
      <w:r>
        <w:rPr>
          <w:iCs/>
          <w:i/>
        </w:rPr>
        <w:t xml:space="preserve">Psychiatry Res Neuroimaging</w:t>
      </w:r>
      <w:r>
        <w:t xml:space="preserve"> </w:t>
      </w:r>
      <w:r>
        <w:t xml:space="preserve">· Effects of intranasal oxytocin on threat- and reward-related functional connectivity in men and women with and without childhood abuse-related PTSD. PMID 34455213</w:t>
      </w:r>
    </w:p>
    <w:p>
      <w:pPr>
        <w:numPr>
          <w:ilvl w:val="0"/>
          <w:numId w:val="1418"/>
        </w:numPr>
        <w:pStyle w:val="Compact"/>
      </w:pPr>
      <w:r>
        <w:t xml:space="preserve">2021 · Henningsson S ·</w:t>
      </w:r>
      <w:r>
        <w:t xml:space="preserve"> </w:t>
      </w:r>
      <w:r>
        <w:rPr>
          <w:iCs/>
          <w:i/>
        </w:rPr>
        <w:t xml:space="preserve">Biol Psychol</w:t>
      </w:r>
      <w:r>
        <w:t xml:space="preserve"> </w:t>
      </w:r>
      <w:r>
        <w:t xml:space="preserve">· A randomized placebo-controlled intranasal oxytocin study on first impressions and reactions to social rejection. PMID 34331996</w:t>
      </w:r>
    </w:p>
    <w:p>
      <w:pPr>
        <w:numPr>
          <w:ilvl w:val="0"/>
          <w:numId w:val="1418"/>
        </w:numPr>
        <w:pStyle w:val="Compact"/>
      </w:pPr>
      <w:r>
        <w:t xml:space="preserve">2021 · Cherki BR ·</w:t>
      </w:r>
      <w:r>
        <w:t xml:space="preserve"> </w:t>
      </w:r>
      <w:r>
        <w:rPr>
          <w:iCs/>
          <w:i/>
        </w:rPr>
        <w:t xml:space="preserve">Psychoneuroendocrinology</w:t>
      </w:r>
      <w:r>
        <w:t xml:space="preserve"> </w:t>
      </w:r>
      <w:r>
        <w:t xml:space="preserve">· Intranasal oxytocin, testosterone reactivity, and human competitiveness. PMID 34298279</w:t>
      </w:r>
    </w:p>
    <w:p>
      <w:pPr>
        <w:numPr>
          <w:ilvl w:val="0"/>
          <w:numId w:val="1418"/>
        </w:numPr>
        <w:pStyle w:val="Compact"/>
      </w:pPr>
      <w:r>
        <w:t xml:space="preserve">2021 · Melkonian AJ ·</w:t>
      </w:r>
      <w:r>
        <w:t xml:space="preserve"> </w:t>
      </w:r>
      <w:r>
        <w:rPr>
          <w:iCs/>
          <w:i/>
        </w:rPr>
        <w:t xml:space="preserve">J Clin Psychopharmacol</w:t>
      </w:r>
      <w:r>
        <w:t xml:space="preserve"> </w:t>
      </w:r>
      <w:r>
        <w:t xml:space="preserve">· Craving Moderates the Effects of Intranasal Oxytocin on Anger in Response to Social Stress Among Veterans With Co-Occurring Posttraumatic Stress Disorder and Alcohol Use Disorder. PMID 34121063</w:t>
      </w:r>
    </w:p>
    <w:p>
      <w:pPr>
        <w:numPr>
          <w:ilvl w:val="0"/>
          <w:numId w:val="1418"/>
        </w:numPr>
        <w:pStyle w:val="Compact"/>
      </w:pPr>
      <w:r>
        <w:t xml:space="preserve">2021 · Le J ·</w:t>
      </w:r>
      <w:r>
        <w:t xml:space="preserve"> </w:t>
      </w:r>
      <w:r>
        <w:rPr>
          <w:iCs/>
          <w:i/>
        </w:rPr>
        <w:t xml:space="preserve">Psychophysiology</w:t>
      </w:r>
      <w:r>
        <w:t xml:space="preserve"> </w:t>
      </w:r>
      <w:r>
        <w:t xml:space="preserve">· Oxytocin facilitates socially directed attention. PMID 34032304</w:t>
      </w:r>
    </w:p>
    <w:p>
      <w:pPr>
        <w:numPr>
          <w:ilvl w:val="0"/>
          <w:numId w:val="1418"/>
        </w:numPr>
        <w:pStyle w:val="Compact"/>
      </w:pPr>
      <w:r>
        <w:t xml:space="preserve">2021 · Espinoza SE ·</w:t>
      </w:r>
      <w:r>
        <w:t xml:space="preserve"> </w:t>
      </w:r>
      <w:r>
        <w:rPr>
          <w:iCs/>
          <w:i/>
        </w:rPr>
        <w:t xml:space="preserve">J Am Med Dir Assoc</w:t>
      </w:r>
      <w:r>
        <w:t xml:space="preserve"> </w:t>
      </w:r>
      <w:r>
        <w:t xml:space="preserve">· Intranasal Oxytocin Improves Lean Muscle Mass and Lowers LDL Cholesterol in Older Adults with Sarcopenic Obesity: A Pilot Randomized Controlled Trial. PMID 34029521</w:t>
      </w:r>
    </w:p>
    <w:p>
      <w:pPr>
        <w:numPr>
          <w:ilvl w:val="0"/>
          <w:numId w:val="1418"/>
        </w:numPr>
        <w:pStyle w:val="Compact"/>
      </w:pPr>
      <w:r>
        <w:t xml:space="preserve">2021 · Rung JM ·</w:t>
      </w:r>
      <w:r>
        <w:t xml:space="preserve"> </w:t>
      </w:r>
      <w:r>
        <w:rPr>
          <w:iCs/>
          <w:i/>
        </w:rPr>
        <w:t xml:space="preserve">Psychopharmacology (Berl)</w:t>
      </w:r>
      <w:r>
        <w:t xml:space="preserve"> </w:t>
      </w:r>
      <w:r>
        <w:t xml:space="preserve">· Safety and tolerability of chronic intranasal oxytocin in older men: results from a randomized controlled trial. PMID 33982141</w:t>
      </w:r>
    </w:p>
    <w:p>
      <w:pPr>
        <w:numPr>
          <w:ilvl w:val="0"/>
          <w:numId w:val="1418"/>
        </w:numPr>
        <w:pStyle w:val="Compact"/>
      </w:pPr>
      <w:r>
        <w:t xml:space="preserve">2021 · Wong SF ·</w:t>
      </w:r>
      <w:r>
        <w:t xml:space="preserve"> </w:t>
      </w:r>
      <w:r>
        <w:rPr>
          <w:iCs/>
          <w:i/>
        </w:rPr>
        <w:t xml:space="preserve">Int J Psychophysiol</w:t>
      </w:r>
      <w:r>
        <w:t xml:space="preserve"> </w:t>
      </w:r>
      <w:r>
        <w:t xml:space="preserve">· Intranasal oxytocin increases state anhedonia following imagery training of positive social outcomes in individuals lower in extraversion, trust-altruism, and openness to experience. PMID 33839197</w:t>
      </w:r>
    </w:p>
    <w:p>
      <w:pPr>
        <w:numPr>
          <w:ilvl w:val="0"/>
          <w:numId w:val="1418"/>
        </w:numPr>
        <w:pStyle w:val="Compact"/>
      </w:pPr>
      <w:r>
        <w:t xml:space="preserve">2021 · Kapetaniou GE ·</w:t>
      </w:r>
      <w:r>
        <w:t xml:space="preserve"> </w:t>
      </w:r>
      <w:r>
        <w:rPr>
          <w:iCs/>
          <w:i/>
        </w:rPr>
        <w:t xml:space="preserve">Elife</w:t>
      </w:r>
      <w:r>
        <w:t xml:space="preserve"> </w:t>
      </w:r>
      <w:r>
        <w:t xml:space="preserve">· The role of oxytocin in delay of gratification and flexibility in non-social decision making. PMID 33821797</w:t>
      </w:r>
    </w:p>
    <w:p>
      <w:pPr>
        <w:numPr>
          <w:ilvl w:val="0"/>
          <w:numId w:val="1418"/>
        </w:numPr>
        <w:pStyle w:val="Compact"/>
      </w:pPr>
      <w:r>
        <w:t xml:space="preserve">2021 · Buchanan RW ·</w:t>
      </w:r>
      <w:r>
        <w:t xml:space="preserve"> </w:t>
      </w:r>
      <w:r>
        <w:rPr>
          <w:iCs/>
          <w:i/>
        </w:rPr>
        <w:t xml:space="preserve">J Clin Psychopharmacol</w:t>
      </w:r>
      <w:r>
        <w:t xml:space="preserve"> </w:t>
      </w:r>
      <w:r>
        <w:t xml:space="preserve">· Combined Oxytocin and Cognitive Behavioral Social Skills Training for Social Function in People With Schizophrenia. PMID 33783399</w:t>
      </w:r>
    </w:p>
    <w:p>
      <w:pPr>
        <w:numPr>
          <w:ilvl w:val="0"/>
          <w:numId w:val="1418"/>
        </w:numPr>
        <w:pStyle w:val="Compact"/>
      </w:pPr>
      <w:r>
        <w:t xml:space="preserve">2021 · Kato Y ·</w:t>
      </w:r>
      <w:r>
        <w:t xml:space="preserve"> </w:t>
      </w:r>
      <w:r>
        <w:rPr>
          <w:iCs/>
          <w:i/>
        </w:rPr>
        <w:t xml:space="preserve">Mol Autism</w:t>
      </w:r>
      <w:r>
        <w:t xml:space="preserve"> </w:t>
      </w:r>
      <w:r>
        <w:t xml:space="preserve">· Oxytocin-induced increase in N,N-dimethylglycine and time course of changes in oxytocin efficacy for autism social core symptoms. PMID 33622389</w:t>
      </w:r>
    </w:p>
    <w:p>
      <w:pPr>
        <w:numPr>
          <w:ilvl w:val="0"/>
          <w:numId w:val="1418"/>
        </w:numPr>
        <w:pStyle w:val="Compact"/>
      </w:pPr>
      <w:r>
        <w:t xml:space="preserve">2021 · Zheng X ·</w:t>
      </w:r>
      <w:r>
        <w:t xml:space="preserve"> </w:t>
      </w:r>
      <w:r>
        <w:rPr>
          <w:iCs/>
          <w:i/>
        </w:rPr>
        <w:t xml:space="preserve">J Psychopharmacol</w:t>
      </w:r>
      <w:r>
        <w:t xml:space="preserve"> </w:t>
      </w:r>
      <w:r>
        <w:t xml:space="preserve">· Intranasal oxytocin may help maintain romantic bonds by decreasing jealousy evoked by either imagined or real partner infidelity. PMID 33601928</w:t>
      </w:r>
    </w:p>
    <w:p>
      <w:pPr>
        <w:numPr>
          <w:ilvl w:val="0"/>
          <w:numId w:val="1418"/>
        </w:numPr>
        <w:pStyle w:val="Compact"/>
      </w:pPr>
      <w:r>
        <w:t xml:space="preserve">2021 · Andari E ·</w:t>
      </w:r>
      <w:r>
        <w:t xml:space="preserve"> </w:t>
      </w:r>
      <w:r>
        <w:rPr>
          <w:iCs/>
          <w:i/>
        </w:rPr>
        <w:t xml:space="preserve">J Clin Psychopharmacol</w:t>
      </w:r>
      <w:r>
        <w:t xml:space="preserve"> </w:t>
      </w:r>
      <w:r>
        <w:t xml:space="preserve">· Effects of Oxytocin on Emotion Recognition in Schizophrenia: A Randomized Double-Blind Pilot Study. PMID 33587397</w:t>
      </w:r>
    </w:p>
    <w:p>
      <w:pPr>
        <w:numPr>
          <w:ilvl w:val="0"/>
          <w:numId w:val="1418"/>
        </w:numPr>
        <w:pStyle w:val="Compact"/>
      </w:pPr>
      <w:r>
        <w:t xml:space="preserve">2021 · Kou J ·</w:t>
      </w:r>
      <w:r>
        <w:t xml:space="preserve"> </w:t>
      </w:r>
      <w:r>
        <w:rPr>
          <w:iCs/>
          <w:i/>
        </w:rPr>
        <w:t xml:space="preserve">Transl Psychiatry</w:t>
      </w:r>
      <w:r>
        <w:t xml:space="preserve"> </w:t>
      </w:r>
      <w:r>
        <w:t xml:space="preserve">· In the nose or on the tongue? Contrasting motivational effects of oral and intranasal oxytocin on arousal and reward during social processing. PMID 33542175</w:t>
      </w:r>
    </w:p>
    <w:p>
      <w:pPr>
        <w:numPr>
          <w:ilvl w:val="0"/>
          <w:numId w:val="1418"/>
        </w:numPr>
        <w:pStyle w:val="Compact"/>
      </w:pPr>
      <w:r>
        <w:t xml:space="preserve">2021 · Martins D ·</w:t>
      </w:r>
      <w:r>
        <w:t xml:space="preserve"> </w:t>
      </w:r>
      <w:r>
        <w:rPr>
          <w:iCs/>
          <w:i/>
        </w:rPr>
        <w:t xml:space="preserve">Commun Biol</w:t>
      </w:r>
      <w:r>
        <w:t xml:space="preserve"> </w:t>
      </w:r>
      <w:r>
        <w:t xml:space="preserve">· Oxytocin modulates local topography of human functional connectome in healthy men at rest. PMID 33452496</w:t>
      </w:r>
    </w:p>
    <w:p>
      <w:pPr>
        <w:numPr>
          <w:ilvl w:val="0"/>
          <w:numId w:val="1418"/>
        </w:numPr>
        <w:pStyle w:val="Compact"/>
      </w:pPr>
      <w:r>
        <w:t xml:space="preserve">2021 · Melby K ·</w:t>
      </w:r>
      <w:r>
        <w:t xml:space="preserve"> </w:t>
      </w:r>
      <w:r>
        <w:rPr>
          <w:iCs/>
          <w:i/>
        </w:rPr>
        <w:t xml:space="preserve">Alcohol Alcohol</w:t>
      </w:r>
      <w:r>
        <w:t xml:space="preserve"> </w:t>
      </w:r>
      <w:r>
        <w:t xml:space="preserve">· Efficacy of Self-Administered Intranasal Oxytocin on Alcohol Use and Craving After Detoxification in Patients With Alcohol Dependence. A Double-Blind Placebo-Controlled Trial. PMID 33352584</w:t>
      </w:r>
    </w:p>
    <w:p>
      <w:pPr>
        <w:numPr>
          <w:ilvl w:val="0"/>
          <w:numId w:val="1418"/>
        </w:numPr>
        <w:pStyle w:val="Compact"/>
      </w:pPr>
      <w:r>
        <w:t xml:space="preserve">2021 · Radke S ·</w:t>
      </w:r>
      <w:r>
        <w:t xml:space="preserve"> </w:t>
      </w:r>
      <w:r>
        <w:rPr>
          <w:iCs/>
          <w:i/>
        </w:rPr>
        <w:t xml:space="preserve">Soc Cogn Affect Neurosci</w:t>
      </w:r>
      <w:r>
        <w:t xml:space="preserve"> </w:t>
      </w:r>
      <w:r>
        <w:t xml:space="preserve">· Neurobiobehavioral responses to virtual social rejection in females-exploring the influence of oxytocin. PMID 33326562</w:t>
      </w:r>
    </w:p>
    <w:p>
      <w:pPr>
        <w:numPr>
          <w:ilvl w:val="0"/>
          <w:numId w:val="1418"/>
        </w:numPr>
        <w:pStyle w:val="Compact"/>
      </w:pPr>
      <w:r>
        <w:t xml:space="preserve">2021 · Alaerts K ·</w:t>
      </w:r>
      <w:r>
        <w:t xml:space="preserve"> </w:t>
      </w:r>
      <w:r>
        <w:rPr>
          <w:iCs/>
          <w:i/>
        </w:rPr>
        <w:t xml:space="preserve">Eur Neuropsychopharmacol</w:t>
      </w:r>
      <w:r>
        <w:t xml:space="preserve"> </w:t>
      </w:r>
      <w:r>
        <w:t xml:space="preserve">· Changes in endogenous oxytocin levels after intranasal oxytocin treatment in adult men with autism: An exploratory study with long-term follow-up. PMID 33309460</w:t>
      </w:r>
    </w:p>
    <w:p>
      <w:pPr>
        <w:numPr>
          <w:ilvl w:val="0"/>
          <w:numId w:val="1418"/>
        </w:numPr>
        <w:pStyle w:val="Compact"/>
      </w:pPr>
      <w:r>
        <w:t xml:space="preserve">2021 · Damen L ·</w:t>
      </w:r>
      <w:r>
        <w:t xml:space="preserve"> </w:t>
      </w:r>
      <w:r>
        <w:rPr>
          <w:iCs/>
          <w:i/>
        </w:rPr>
        <w:t xml:space="preserve">Clin Endocrinol (Oxf)</w:t>
      </w:r>
      <w:r>
        <w:t xml:space="preserve"> </w:t>
      </w:r>
      <w:r>
        <w:t xml:space="preserve">· Oxytocin in young children with Prader-Willi syndrome: Results of a randomized, double-blind, placebo-controlled, crossover trial investigating 3 months of oxytocin. PMID 33296519</w:t>
      </w:r>
    </w:p>
    <w:p>
      <w:pPr>
        <w:numPr>
          <w:ilvl w:val="0"/>
          <w:numId w:val="1418"/>
        </w:numPr>
        <w:pStyle w:val="Compact"/>
      </w:pPr>
      <w:r>
        <w:t xml:space="preserve">2021 · Meusel M ·</w:t>
      </w:r>
      <w:r>
        <w:t xml:space="preserve"> </w:t>
      </w:r>
      <w:r>
        <w:rPr>
          <w:iCs/>
          <w:i/>
        </w:rPr>
        <w:t xml:space="preserve">Am J Physiol Regul Integr Comp Physiol</w:t>
      </w:r>
      <w:r>
        <w:t xml:space="preserve"> </w:t>
      </w:r>
      <w:r>
        <w:t xml:space="preserve">· Intranasal oxytocin has sympathoexcitatory effects on vascular tone in healthy males. PMID 33296278</w:t>
      </w:r>
    </w:p>
    <w:p>
      <w:pPr>
        <w:numPr>
          <w:ilvl w:val="0"/>
          <w:numId w:val="1418"/>
        </w:numPr>
        <w:pStyle w:val="Compact"/>
      </w:pPr>
      <w:r>
        <w:t xml:space="preserve">2021 · Zhuang Q ·</w:t>
      </w:r>
      <w:r>
        <w:t xml:space="preserve"> </w:t>
      </w:r>
      <w:r>
        <w:rPr>
          <w:iCs/>
          <w:i/>
        </w:rPr>
        <w:t xml:space="preserve">J Psychopharmacol</w:t>
      </w:r>
      <w:r>
        <w:t xml:space="preserve"> </w:t>
      </w:r>
      <w:r>
        <w:t xml:space="preserve">· Oxytocin-induced facilitation of learning in a probabilistic task is associated with reduced feedback- and error-related negativity potentials. PMID 33274683</w:t>
      </w:r>
    </w:p>
    <w:p>
      <w:pPr>
        <w:numPr>
          <w:ilvl w:val="0"/>
          <w:numId w:val="1418"/>
        </w:numPr>
        <w:pStyle w:val="Compact"/>
      </w:pPr>
      <w:r>
        <w:t xml:space="preserve">2021 · Dou H ·</w:t>
      </w:r>
      <w:r>
        <w:t xml:space="preserve"> </w:t>
      </w:r>
      <w:r>
        <w:rPr>
          <w:iCs/>
          <w:i/>
        </w:rPr>
        <w:t xml:space="preserve">Psychopharmacology (Berl)</w:t>
      </w:r>
      <w:r>
        <w:t xml:space="preserve"> </w:t>
      </w:r>
      <w:r>
        <w:t xml:space="preserve">· Intranasal oxytocin decreases fear generalization in males, but does not modulate discrimination threshold. PMID 33241482</w:t>
      </w:r>
    </w:p>
    <w:p>
      <w:pPr>
        <w:numPr>
          <w:ilvl w:val="0"/>
          <w:numId w:val="1418"/>
        </w:numPr>
        <w:pStyle w:val="Compact"/>
      </w:pPr>
      <w:r>
        <w:t xml:space="preserve">2021 · Plessow F ·</w:t>
      </w:r>
      <w:r>
        <w:t xml:space="preserve"> </w:t>
      </w:r>
      <w:r>
        <w:rPr>
          <w:iCs/>
          <w:i/>
        </w:rPr>
        <w:t xml:space="preserve">Obesity (Silver Spring)</w:t>
      </w:r>
      <w:r>
        <w:t xml:space="preserve"> </w:t>
      </w:r>
      <w:r>
        <w:t xml:space="preserve">· Oxytocin Administration Increases Proactive Control in Men with Overweight or Obesity: A Randomized, Double-Blind, Placebo-Controlled Crossover Study. PMID 33225615</w:t>
      </w:r>
    </w:p>
    <w:p>
      <w:pPr>
        <w:numPr>
          <w:ilvl w:val="0"/>
          <w:numId w:val="1418"/>
        </w:numPr>
        <w:pStyle w:val="Compact"/>
      </w:pPr>
      <w:r>
        <w:t xml:space="preserve">2021 · Hollander E ·</w:t>
      </w:r>
      <w:r>
        <w:t xml:space="preserve"> </w:t>
      </w:r>
      <w:r>
        <w:rPr>
          <w:iCs/>
          <w:i/>
        </w:rPr>
        <w:t xml:space="preserve">J Psychiatr Res</w:t>
      </w:r>
      <w:r>
        <w:t xml:space="preserve"> </w:t>
      </w:r>
      <w:r>
        <w:t xml:space="preserve">· Intranasal oxytocin versus placebo for hyperphagia and repetitive behaviors in children with Prader-Willi Syndrome: A randomized controlled pilot trial. PMID 33190843</w:t>
      </w:r>
    </w:p>
    <w:p>
      <w:pPr>
        <w:numPr>
          <w:ilvl w:val="0"/>
          <w:numId w:val="1418"/>
        </w:numPr>
        <w:pStyle w:val="Compact"/>
      </w:pPr>
      <w:r>
        <w:t xml:space="preserve">2021 · Liao Z ·</w:t>
      </w:r>
      <w:r>
        <w:t xml:space="preserve"> </w:t>
      </w:r>
      <w:r>
        <w:rPr>
          <w:iCs/>
          <w:i/>
        </w:rPr>
        <w:t xml:space="preserve">Psychopharmacology (Berl)</w:t>
      </w:r>
      <w:r>
        <w:t xml:space="preserve"> </w:t>
      </w:r>
      <w:r>
        <w:t xml:space="preserve">· Intranasal oxytocin decreases self-oriented learning. PMID 33156402</w:t>
      </w:r>
    </w:p>
    <w:p>
      <w:pPr>
        <w:numPr>
          <w:ilvl w:val="0"/>
          <w:numId w:val="1418"/>
        </w:numPr>
        <w:pStyle w:val="Compact"/>
      </w:pPr>
      <w:r>
        <w:t xml:space="preserve">2021 · Flynn MJ ·</w:t>
      </w:r>
      <w:r>
        <w:t xml:space="preserve"> </w:t>
      </w:r>
      <w:r>
        <w:rPr>
          <w:iCs/>
          <w:i/>
        </w:rPr>
        <w:t xml:space="preserve">Int J Gynaecol Obstet</w:t>
      </w:r>
      <w:r>
        <w:t xml:space="preserve"> </w:t>
      </w:r>
      <w:r>
        <w:t xml:space="preserve">· Intranasal oxytocin as a treatment for chronic pelvic pain: A randomized controlled feasibility study. PMID 33112417</w:t>
      </w:r>
    </w:p>
    <w:p>
      <w:pPr>
        <w:numPr>
          <w:ilvl w:val="0"/>
          <w:numId w:val="1418"/>
        </w:numPr>
        <w:pStyle w:val="Compact"/>
      </w:pPr>
      <w:r>
        <w:t xml:space="preserve">2021 · Riem MME ·</w:t>
      </w:r>
      <w:r>
        <w:t xml:space="preserve"> </w:t>
      </w:r>
      <w:r>
        <w:rPr>
          <w:iCs/>
          <w:i/>
        </w:rPr>
        <w:t xml:space="preserve">J Affect Disord</w:t>
      </w:r>
      <w:r>
        <w:t xml:space="preserve"> </w:t>
      </w:r>
      <w:r>
        <w:t xml:space="preserve">· Intranasal oxytocin and the stress-buffering effects of social support during experimentally induced pain: The role of attachment security. PMID 32961410</w:t>
      </w:r>
    </w:p>
    <w:p>
      <w:pPr>
        <w:numPr>
          <w:ilvl w:val="0"/>
          <w:numId w:val="1418"/>
        </w:numPr>
        <w:pStyle w:val="Compact"/>
      </w:pPr>
      <w:r>
        <w:t xml:space="preserve">2020 · Melkonyan A ·</w:t>
      </w:r>
      <w:r>
        <w:t xml:space="preserve"> </w:t>
      </w:r>
      <w:r>
        <w:rPr>
          <w:iCs/>
          <w:i/>
        </w:rPr>
        <w:t xml:space="preserve">J Neuroendocrinol</w:t>
      </w:r>
      <w:r>
        <w:t xml:space="preserve"> </w:t>
      </w:r>
      <w:r>
        <w:t xml:space="preserve">· Unchanged food approach-avoidance behaviour of healthy men after oxytocin administration. PMID 33314397</w:t>
      </w:r>
    </w:p>
    <w:p>
      <w:pPr>
        <w:numPr>
          <w:ilvl w:val="0"/>
          <w:numId w:val="1418"/>
        </w:numPr>
        <w:pStyle w:val="Compact"/>
      </w:pPr>
      <w:r>
        <w:t xml:space="preserve">2020 · Ma Y ·</w:t>
      </w:r>
      <w:r>
        <w:t xml:space="preserve"> </w:t>
      </w:r>
      <w:r>
        <w:rPr>
          <w:iCs/>
          <w:i/>
        </w:rPr>
        <w:t xml:space="preserve">Biol Psychol</w:t>
      </w:r>
      <w:r>
        <w:t xml:space="preserve"> </w:t>
      </w:r>
      <w:r>
        <w:t xml:space="preserve">· Intranasal oxytocin attenuates insula activity in response to dynamic angry faces. PMID 33157152</w:t>
      </w:r>
    </w:p>
    <w:p>
      <w:pPr>
        <w:numPr>
          <w:ilvl w:val="0"/>
          <w:numId w:val="1418"/>
        </w:numPr>
        <w:pStyle w:val="Compact"/>
      </w:pPr>
      <w:r>
        <w:t xml:space="preserve">2020 · Oliver LD ·</w:t>
      </w:r>
      <w:r>
        <w:t xml:space="preserve"> </w:t>
      </w:r>
      <w:r>
        <w:rPr>
          <w:iCs/>
          <w:i/>
        </w:rPr>
        <w:t xml:space="preserve">Neurology</w:t>
      </w:r>
      <w:r>
        <w:t xml:space="preserve"> </w:t>
      </w:r>
      <w:r>
        <w:t xml:space="preserve">· Neural effects of oxytocin and mimicry in frontotemporal dementia: A randomized crossover study. PMID 32963103</w:t>
      </w:r>
    </w:p>
    <w:p>
      <w:pPr>
        <w:numPr>
          <w:ilvl w:val="0"/>
          <w:numId w:val="1418"/>
        </w:numPr>
        <w:pStyle w:val="Compact"/>
      </w:pPr>
      <w:r>
        <w:t xml:space="preserve">2020 · Hovey D ·</w:t>
      </w:r>
      <w:r>
        <w:t xml:space="preserve"> </w:t>
      </w:r>
      <w:r>
        <w:rPr>
          <w:iCs/>
          <w:i/>
        </w:rPr>
        <w:t xml:space="preserve">Transl Psychiatry</w:t>
      </w:r>
      <w:r>
        <w:t xml:space="preserve"> </w:t>
      </w:r>
      <w:r>
        <w:t xml:space="preserve">· The effect of intranasal oxytocin on visual processing and salience of human faces. PMID 32951002</w:t>
      </w:r>
    </w:p>
    <w:p>
      <w:pPr>
        <w:numPr>
          <w:ilvl w:val="0"/>
          <w:numId w:val="1418"/>
        </w:numPr>
        <w:pStyle w:val="Compact"/>
      </w:pPr>
      <w:r>
        <w:t xml:space="preserve">2020 · Jain V ·</w:t>
      </w:r>
      <w:r>
        <w:t xml:space="preserve"> </w:t>
      </w:r>
      <w:r>
        <w:rPr>
          <w:iCs/>
          <w:i/>
        </w:rPr>
        <w:t xml:space="preserve">Sleep Med</w:t>
      </w:r>
      <w:r>
        <w:t xml:space="preserve"> </w:t>
      </w:r>
      <w:r>
        <w:t xml:space="preserve">· Intranasal oxytocin increases respiratory rate and reduces obstructive event duration and oxygen desaturation in obstructive sleep apnea patients: a randomized double blinded placebo controlled study. PMID 32862007</w:t>
      </w:r>
    </w:p>
    <w:p>
      <w:pPr>
        <w:numPr>
          <w:ilvl w:val="0"/>
          <w:numId w:val="1418"/>
        </w:numPr>
        <w:pStyle w:val="Compact"/>
      </w:pPr>
      <w:r>
        <w:t xml:space="preserve">2020 · Chen Y ·</w:t>
      </w:r>
      <w:r>
        <w:t xml:space="preserve"> </w:t>
      </w:r>
      <w:r>
        <w:rPr>
          <w:iCs/>
          <w:i/>
        </w:rPr>
        <w:t xml:space="preserve">Eur Neuropsychopharmacol</w:t>
      </w:r>
      <w:r>
        <w:t xml:space="preserve"> </w:t>
      </w:r>
      <w:r>
        <w:t xml:space="preserve">· Oxytocin increases the pleasantness of affective touch and orbitofrontal cortex activity independent of valence. PMID 32861545</w:t>
      </w:r>
    </w:p>
    <w:p>
      <w:pPr>
        <w:numPr>
          <w:ilvl w:val="0"/>
          <w:numId w:val="1418"/>
        </w:numPr>
        <w:pStyle w:val="Compact"/>
      </w:pPr>
      <w:r>
        <w:t xml:space="preserve">2020 · Wang T ·</w:t>
      </w:r>
      <w:r>
        <w:t xml:space="preserve"> </w:t>
      </w:r>
      <w:r>
        <w:rPr>
          <w:iCs/>
          <w:i/>
        </w:rPr>
        <w:t xml:space="preserve">Pharmacol Biochem Behav</w:t>
      </w:r>
      <w:r>
        <w:t xml:space="preserve"> </w:t>
      </w:r>
      <w:r>
        <w:t xml:space="preserve">· Attachment anxiety moderates the effect of oxytocin on negative emotion recognition: Evidence from eye-movement data. PMID 32835786</w:t>
      </w:r>
    </w:p>
    <w:p>
      <w:pPr>
        <w:numPr>
          <w:ilvl w:val="0"/>
          <w:numId w:val="1418"/>
        </w:numPr>
        <w:pStyle w:val="Compact"/>
      </w:pPr>
      <w:r>
        <w:t xml:space="preserve">2020 · Morrison TE ·</w:t>
      </w:r>
      <w:r>
        <w:t xml:space="preserve"> </w:t>
      </w:r>
      <w:r>
        <w:rPr>
          <w:iCs/>
          <w:i/>
        </w:rPr>
        <w:t xml:space="preserve">Psychoneuroendocrinology</w:t>
      </w:r>
      <w:r>
        <w:t xml:space="preserve"> </w:t>
      </w:r>
      <w:r>
        <w:t xml:space="preserve">· Automatic Imitation in Comorbid PTSD &amp; Alcohol Use Disorder and Controls: an RCT of Intranasal Oxytocin. PMID 32745891</w:t>
      </w:r>
    </w:p>
    <w:p>
      <w:pPr>
        <w:numPr>
          <w:ilvl w:val="0"/>
          <w:numId w:val="1418"/>
        </w:numPr>
        <w:pStyle w:val="Compact"/>
      </w:pPr>
      <w:r>
        <w:t xml:space="preserve">2020 · Sippel LM ·</w:t>
      </w:r>
      <w:r>
        <w:t xml:space="preserve"> </w:t>
      </w:r>
      <w:r>
        <w:rPr>
          <w:iCs/>
          <w:i/>
        </w:rPr>
        <w:t xml:space="preserve">J Clin Psychopharmacol</w:t>
      </w:r>
      <w:r>
        <w:t xml:space="preserve"> </w:t>
      </w:r>
      <w:r>
        <w:t xml:space="preserve">· A Preliminary Examination of Endogenous Peripheral Oxytocin in a Pilot Randomized Clinical Trial of Oxytocin-Enhanced Psychotherapy for Posttraumatic Stress Disorder. PMID 32639293</w:t>
      </w:r>
    </w:p>
    <w:p>
      <w:pPr>
        <w:numPr>
          <w:ilvl w:val="0"/>
          <w:numId w:val="1418"/>
        </w:numPr>
        <w:pStyle w:val="Compact"/>
      </w:pPr>
      <w:r>
        <w:t xml:space="preserve">2020 · Borowiak K ·</w:t>
      </w:r>
      <w:r>
        <w:t xml:space="preserve"> </w:t>
      </w:r>
      <w:r>
        <w:rPr>
          <w:iCs/>
          <w:i/>
        </w:rPr>
        <w:t xml:space="preserve">Transl Psychiatry</w:t>
      </w:r>
      <w:r>
        <w:t xml:space="preserve"> </w:t>
      </w:r>
      <w:r>
        <w:t xml:space="preserve">· Intranasal oxytocin modulates brain responses to voice-identity recognition in typically developing individuals, but not in ASD. PMID 32636360</w:t>
      </w:r>
    </w:p>
    <w:p>
      <w:pPr>
        <w:numPr>
          <w:ilvl w:val="0"/>
          <w:numId w:val="1418"/>
        </w:numPr>
        <w:pStyle w:val="Compact"/>
      </w:pPr>
      <w:r>
        <w:t xml:space="preserve">2020 · Demartini B ·</w:t>
      </w:r>
      <w:r>
        <w:t xml:space="preserve"> </w:t>
      </w:r>
      <w:r>
        <w:rPr>
          <w:iCs/>
          <w:i/>
        </w:rPr>
        <w:t xml:space="preserve">J Clin Psychopharmacol</w:t>
      </w:r>
      <w:r>
        <w:t xml:space="preserve"> </w:t>
      </w:r>
      <w:r>
        <w:t xml:space="preserve">· The Effect of Intranasal Oxytocin in Patients With Functional Motor Symptoms: A Preliminary Open-Label Case Series. PMID 32604129</w:t>
      </w:r>
    </w:p>
    <w:p>
      <w:pPr>
        <w:numPr>
          <w:ilvl w:val="0"/>
          <w:numId w:val="1418"/>
        </w:numPr>
        <w:pStyle w:val="Compact"/>
      </w:pPr>
      <w:r>
        <w:t xml:space="preserve">2020 · Martins D ·</w:t>
      </w:r>
      <w:r>
        <w:t xml:space="preserve"> </w:t>
      </w:r>
      <w:r>
        <w:rPr>
          <w:iCs/>
          <w:i/>
        </w:rPr>
        <w:t xml:space="preserve">Transl Psychiatry</w:t>
      </w:r>
      <w:r>
        <w:t xml:space="preserve"> </w:t>
      </w:r>
      <w:r>
        <w:t xml:space="preserve">· Investigating resting brain perfusion abnormalities and disease target-engagement by intranasal oxytocin in women with bulimia nervosa and binge-eating disorder and healthy controls. PMID 32513936</w:t>
      </w:r>
    </w:p>
    <w:p>
      <w:pPr>
        <w:numPr>
          <w:ilvl w:val="0"/>
          <w:numId w:val="1418"/>
        </w:numPr>
        <w:pStyle w:val="Compact"/>
      </w:pPr>
      <w:r>
        <w:t xml:space="preserve">2020 · Le J ·</w:t>
      </w:r>
      <w:r>
        <w:t xml:space="preserve"> </w:t>
      </w:r>
      <w:r>
        <w:rPr>
          <w:iCs/>
          <w:i/>
        </w:rPr>
        <w:t xml:space="preserve">Transl Psychiatry</w:t>
      </w:r>
      <w:r>
        <w:t xml:space="preserve"> </w:t>
      </w:r>
      <w:r>
        <w:t xml:space="preserve">· Oxytocin biases eye-gaze to dynamic and static social images and the eyes of fearful faces: associations with trait autism. PMID 32398642</w:t>
      </w:r>
    </w:p>
    <w:p>
      <w:pPr>
        <w:numPr>
          <w:ilvl w:val="0"/>
          <w:numId w:val="1418"/>
        </w:numPr>
        <w:pStyle w:val="Compact"/>
      </w:pPr>
      <w:r>
        <w:t xml:space="preserve">2020 · Sherman BJ ·</w:t>
      </w:r>
      <w:r>
        <w:t xml:space="preserve"> </w:t>
      </w:r>
      <w:r>
        <w:rPr>
          <w:iCs/>
          <w:i/>
        </w:rPr>
        <w:t xml:space="preserve">Psychopharmacology (Berl)</w:t>
      </w:r>
      <w:r>
        <w:t xml:space="preserve"> </w:t>
      </w:r>
      <w:r>
        <w:t xml:space="preserve">· The effect of oxytocin, gender, and ovarian hormones on stress reactivity in individuals with cocaine use disorder. PMID 32388622</w:t>
      </w:r>
    </w:p>
    <w:p>
      <w:pPr>
        <w:numPr>
          <w:ilvl w:val="0"/>
          <w:numId w:val="1418"/>
        </w:numPr>
        <w:pStyle w:val="Compact"/>
      </w:pPr>
      <w:r>
        <w:t xml:space="preserve">2020 · Pfeifer AC ·</w:t>
      </w:r>
      <w:r>
        <w:t xml:space="preserve"> </w:t>
      </w:r>
      <w:r>
        <w:rPr>
          <w:iCs/>
          <w:i/>
        </w:rPr>
        <w:t xml:space="preserve">Mol Pain</w:t>
      </w:r>
      <w:r>
        <w:t xml:space="preserve"> </w:t>
      </w:r>
      <w:r>
        <w:t xml:space="preserve">· Oxytocin and positive couple interaction affect the perception of wound pain in everyday life. PMID 32308117</w:t>
      </w:r>
    </w:p>
    <w:p>
      <w:pPr>
        <w:numPr>
          <w:ilvl w:val="0"/>
          <w:numId w:val="1418"/>
        </w:numPr>
        <w:pStyle w:val="Compact"/>
      </w:pPr>
      <w:r>
        <w:t xml:space="preserve">2020 · Sabino ADV ·</w:t>
      </w:r>
      <w:r>
        <w:t xml:space="preserve"> </w:t>
      </w:r>
      <w:r>
        <w:rPr>
          <w:iCs/>
          <w:i/>
        </w:rPr>
        <w:t xml:space="preserve">Psychopharmacology (Berl)</w:t>
      </w:r>
      <w:r>
        <w:t xml:space="preserve"> </w:t>
      </w:r>
      <w:r>
        <w:t xml:space="preserve">· Acute effects of oxytocin in music performance anxiety: a crossover, randomized, placebo-controlled trial. PMID 32123973</w:t>
      </w:r>
    </w:p>
    <w:p>
      <w:pPr>
        <w:numPr>
          <w:ilvl w:val="0"/>
          <w:numId w:val="1418"/>
        </w:numPr>
        <w:pStyle w:val="Compact"/>
      </w:pPr>
      <w:r>
        <w:t xml:space="preserve">2020 · Wu Q ·</w:t>
      </w:r>
      <w:r>
        <w:t xml:space="preserve"> </w:t>
      </w:r>
      <w:r>
        <w:rPr>
          <w:iCs/>
          <w:i/>
        </w:rPr>
        <w:t xml:space="preserve">Psychoneuroendocrinology</w:t>
      </w:r>
      <w:r>
        <w:t xml:space="preserve"> </w:t>
      </w:r>
      <w:r>
        <w:t xml:space="preserve">· Oxytocin alters the effect of payoff but not base rate in emotion perception. PMID 32070797</w:t>
      </w:r>
    </w:p>
    <w:p>
      <w:pPr>
        <w:numPr>
          <w:ilvl w:val="0"/>
          <w:numId w:val="1418"/>
        </w:numPr>
        <w:pStyle w:val="Compact"/>
      </w:pPr>
      <w:r>
        <w:t xml:space="preserve">2020 · Melby K ·</w:t>
      </w:r>
      <w:r>
        <w:t xml:space="preserve"> </w:t>
      </w:r>
      <w:r>
        <w:rPr>
          <w:iCs/>
          <w:i/>
        </w:rPr>
        <w:t xml:space="preserve">PLoS One</w:t>
      </w:r>
      <w:r>
        <w:t xml:space="preserve"> </w:t>
      </w:r>
      <w:r>
        <w:t xml:space="preserve">· Actigraphy assessment of motor activity and sleep in patients with alcohol withdrawal syndrome and the effects of intranasal oxytocin. PMID 32053696</w:t>
      </w:r>
    </w:p>
    <w:p>
      <w:pPr>
        <w:numPr>
          <w:ilvl w:val="0"/>
          <w:numId w:val="1418"/>
        </w:numPr>
        <w:pStyle w:val="Compact"/>
      </w:pPr>
      <w:r>
        <w:t xml:space="preserve">2020 · Agurto C ·</w:t>
      </w:r>
      <w:r>
        <w:t xml:space="preserve"> </w:t>
      </w:r>
      <w:r>
        <w:rPr>
          <w:iCs/>
          <w:i/>
        </w:rPr>
        <w:t xml:space="preserve">Neuropsychopharmacology</w:t>
      </w:r>
      <w:r>
        <w:t xml:space="preserve"> </w:t>
      </w:r>
      <w:r>
        <w:t xml:space="preserve">· Detection of acute 3,4-methylenedioxymethamphetamine (MDMA) effects across protocols using automated natural language processing. PMID 31978933</w:t>
      </w:r>
    </w:p>
    <w:p>
      <w:pPr>
        <w:numPr>
          <w:ilvl w:val="0"/>
          <w:numId w:val="1418"/>
        </w:numPr>
        <w:pStyle w:val="Compact"/>
      </w:pPr>
      <w:r>
        <w:t xml:space="preserve">2020 · Bernaerts S ·</w:t>
      </w:r>
      <w:r>
        <w:t xml:space="preserve"> </w:t>
      </w:r>
      <w:r>
        <w:rPr>
          <w:iCs/>
          <w:i/>
        </w:rPr>
        <w:t xml:space="preserve">Mol Autism</w:t>
      </w:r>
      <w:r>
        <w:t xml:space="preserve"> </w:t>
      </w:r>
      <w:r>
        <w:t xml:space="preserve">· Behavioral effects of multiple-dose oxytocin treatment in autism: a randomized, placebo-controlled trial with long-term follow-up. PMID 31969977</w:t>
      </w:r>
    </w:p>
    <w:p>
      <w:pPr>
        <w:numPr>
          <w:ilvl w:val="0"/>
          <w:numId w:val="1418"/>
        </w:numPr>
        <w:pStyle w:val="Compact"/>
      </w:pPr>
      <w:r>
        <w:t xml:space="preserve">2020 · Sindermann C ·</w:t>
      </w:r>
      <w:r>
        <w:t xml:space="preserve"> </w:t>
      </w:r>
      <w:r>
        <w:rPr>
          <w:iCs/>
          <w:i/>
        </w:rPr>
        <w:t xml:space="preserve">Brain Behav</w:t>
      </w:r>
      <w:r>
        <w:t xml:space="preserve"> </w:t>
      </w:r>
      <w:r>
        <w:t xml:space="preserve">· The role of oxytocin on self-serving lying. PMID 31930678</w:t>
      </w:r>
    </w:p>
    <w:p>
      <w:pPr>
        <w:numPr>
          <w:ilvl w:val="0"/>
          <w:numId w:val="1418"/>
        </w:numPr>
        <w:pStyle w:val="Compact"/>
      </w:pPr>
      <w:r>
        <w:t xml:space="preserve">2020 · McClure EA ·</w:t>
      </w:r>
      <w:r>
        <w:t xml:space="preserve"> </w:t>
      </w:r>
      <w:r>
        <w:rPr>
          <w:iCs/>
          <w:i/>
        </w:rPr>
        <w:t xml:space="preserve">Psychopharmacology (Berl)</w:t>
      </w:r>
      <w:r>
        <w:t xml:space="preserve"> </w:t>
      </w:r>
      <w:r>
        <w:t xml:space="preserve">· The influence of gender and oxytocin on stress reactivity, cigarette craving, and smoking in a randomized, placebo-controlled laboratory relapse paradigm. PMID 31792646</w:t>
      </w:r>
    </w:p>
    <w:p>
      <w:pPr>
        <w:numPr>
          <w:ilvl w:val="0"/>
          <w:numId w:val="1418"/>
        </w:numPr>
        <w:pStyle w:val="Compact"/>
      </w:pPr>
      <w:r>
        <w:t xml:space="preserve">2020 · Lieberz J ·</w:t>
      </w:r>
      <w:r>
        <w:t xml:space="preserve"> </w:t>
      </w:r>
      <w:r>
        <w:rPr>
          <w:iCs/>
          <w:i/>
        </w:rPr>
        <w:t xml:space="preserve">Neuropsychopharmacology</w:t>
      </w:r>
      <w:r>
        <w:t xml:space="preserve"> </w:t>
      </w:r>
      <w:r>
        <w:t xml:space="preserve">· Kinetics of oxytocin effects on amygdala and striatal reactivity vary between women and men. PMID 31785587</w:t>
      </w:r>
    </w:p>
    <w:p>
      <w:pPr>
        <w:numPr>
          <w:ilvl w:val="0"/>
          <w:numId w:val="1418"/>
        </w:numPr>
        <w:pStyle w:val="Compact"/>
      </w:pPr>
      <w:r>
        <w:t xml:space="preserve">2020 · Verhees MWFT ·</w:t>
      </w:r>
      <w:r>
        <w:t xml:space="preserve"> </w:t>
      </w:r>
      <w:r>
        <w:rPr>
          <w:iCs/>
          <w:i/>
        </w:rPr>
        <w:t xml:space="preserve">J Behav Ther Exp Psychiatry</w:t>
      </w:r>
      <w:r>
        <w:t xml:space="preserve"> </w:t>
      </w:r>
      <w:r>
        <w:t xml:space="preserve">· Combining oxytocin and cognitive bias modification training in a randomized controlled trial: Effects on trust in maternal support. PMID 31610435</w:t>
      </w:r>
    </w:p>
    <w:p>
      <w:pPr>
        <w:numPr>
          <w:ilvl w:val="0"/>
          <w:numId w:val="1418"/>
        </w:numPr>
        <w:pStyle w:val="Compact"/>
      </w:pPr>
      <w:r>
        <w:t xml:space="preserve">2020 · Zhao W ·</w:t>
      </w:r>
      <w:r>
        <w:t xml:space="preserve"> </w:t>
      </w:r>
      <w:r>
        <w:rPr>
          <w:iCs/>
          <w:i/>
        </w:rPr>
        <w:t xml:space="preserve">Prog Neuropsychopharmacol Biol Psychiatry</w:t>
      </w:r>
      <w:r>
        <w:t xml:space="preserve"> </w:t>
      </w:r>
      <w:r>
        <w:t xml:space="preserve">· Oxytocin modulation of self-referential processing is partly replicable and sensitive to oxytocin receptor genotype. PMID 31415827</w:t>
      </w:r>
    </w:p>
    <w:p>
      <w:pPr>
        <w:numPr>
          <w:ilvl w:val="0"/>
          <w:numId w:val="1418"/>
        </w:numPr>
        <w:pStyle w:val="Compact"/>
      </w:pPr>
      <w:r>
        <w:t xml:space="preserve">2020 · Van Hedger K ·</w:t>
      </w:r>
      <w:r>
        <w:t xml:space="preserve"> </w:t>
      </w:r>
      <w:r>
        <w:rPr>
          <w:iCs/>
          <w:i/>
        </w:rPr>
        <w:t xml:space="preserve">Nicotine Tob Res</w:t>
      </w:r>
      <w:r>
        <w:t xml:space="preserve"> </w:t>
      </w:r>
      <w:r>
        <w:t xml:space="preserve">· Effects of Intranasal Oxytocin on Stress-Induced Cigarette Craving in Daily Smokers. PMID 30085292</w:t>
      </w:r>
    </w:p>
    <w:p>
      <w:pPr>
        <w:numPr>
          <w:ilvl w:val="0"/>
          <w:numId w:val="1418"/>
        </w:numPr>
        <w:pStyle w:val="Compact"/>
      </w:pPr>
      <w:r>
        <w:t xml:space="preserve">2020 · Yamasue H ·</w:t>
      </w:r>
      <w:r>
        <w:t xml:space="preserve"> </w:t>
      </w:r>
      <w:r>
        <w:rPr>
          <w:iCs/>
          <w:i/>
        </w:rPr>
        <w:t xml:space="preserve">Mol Psychiatry</w:t>
      </w:r>
      <w:r>
        <w:t xml:space="preserve"> </w:t>
      </w:r>
      <w:r>
        <w:t xml:space="preserve">· Effect of intranasal oxytocin on the core social symptoms of autism spectrum disorder: a randomized clinical trial. PMID 29955161</w:t>
      </w:r>
    </w:p>
    <w:p>
      <w:pPr>
        <w:numPr>
          <w:ilvl w:val="0"/>
          <w:numId w:val="1418"/>
        </w:numPr>
        <w:pStyle w:val="Compact"/>
      </w:pPr>
      <w:r>
        <w:t xml:space="preserve">2019 · Domes G ·</w:t>
      </w:r>
      <w:r>
        <w:t xml:space="preserve"> </w:t>
      </w:r>
      <w:r>
        <w:rPr>
          <w:iCs/>
          <w:i/>
        </w:rPr>
        <w:t xml:space="preserve">Transl Psychiatry</w:t>
      </w:r>
      <w:r>
        <w:t xml:space="preserve"> </w:t>
      </w:r>
      <w:r>
        <w:t xml:space="preserve">· Effects of intranasal oxytocin administration on empathy and approach motivation in women with borderline personality disorder: a randomized controlled trial. PMID 31801937</w:t>
      </w:r>
    </w:p>
    <w:p>
      <w:pPr>
        <w:numPr>
          <w:ilvl w:val="0"/>
          <w:numId w:val="1418"/>
        </w:numPr>
        <w:pStyle w:val="Compact"/>
      </w:pPr>
      <w:r>
        <w:t xml:space="preserve">2019 · Burmester V ·</w:t>
      </w:r>
      <w:r>
        <w:t xml:space="preserve"> </w:t>
      </w:r>
      <w:r>
        <w:rPr>
          <w:iCs/>
          <w:i/>
        </w:rPr>
        <w:t xml:space="preserve">Physiol Behav</w:t>
      </w:r>
      <w:r>
        <w:t xml:space="preserve"> </w:t>
      </w:r>
      <w:r>
        <w:t xml:space="preserve">· Oxytocin reduces post-stress sweet snack intake in women without attenuating salivary cortisol. PMID 31628930</w:t>
      </w:r>
    </w:p>
    <w:p>
      <w:pPr>
        <w:numPr>
          <w:ilvl w:val="0"/>
          <w:numId w:val="1418"/>
        </w:numPr>
        <w:pStyle w:val="Compact"/>
      </w:pPr>
      <w:r>
        <w:t xml:space="preserve">2019 · Stauffer CS ·</w:t>
      </w:r>
      <w:r>
        <w:t xml:space="preserve"> </w:t>
      </w:r>
      <w:r>
        <w:rPr>
          <w:iCs/>
          <w:i/>
        </w:rPr>
        <w:t xml:space="preserve">Alcohol Clin Exp Res</w:t>
      </w:r>
      <w:r>
        <w:t xml:space="preserve"> </w:t>
      </w:r>
      <w:r>
        <w:t xml:space="preserve">· Effects of Oxytocin Administration on Cue-Induced Craving in Co-occurring Alcohol Use Disorder and PTSD: A Within-Participant Randomized Clinical Trial. PMID 31610033</w:t>
      </w:r>
    </w:p>
    <w:p>
      <w:pPr>
        <w:numPr>
          <w:ilvl w:val="0"/>
          <w:numId w:val="1418"/>
        </w:numPr>
        <w:pStyle w:val="Compact"/>
      </w:pPr>
      <w:r>
        <w:t xml:space="preserve">2019 · Bradley ER ·</w:t>
      </w:r>
      <w:r>
        <w:t xml:space="preserve"> </w:t>
      </w:r>
      <w:r>
        <w:rPr>
          <w:iCs/>
          <w:i/>
        </w:rPr>
        <w:t xml:space="preserve">Schizophr Res</w:t>
      </w:r>
      <w:r>
        <w:t xml:space="preserve"> </w:t>
      </w:r>
      <w:r>
        <w:t xml:space="preserve">· Oxytocin increases eye gaze in schizophrenia. PMID 31416746</w:t>
      </w:r>
    </w:p>
    <w:p>
      <w:pPr>
        <w:numPr>
          <w:ilvl w:val="0"/>
          <w:numId w:val="1418"/>
        </w:numPr>
        <w:pStyle w:val="Compact"/>
      </w:pPr>
      <w:r>
        <w:t xml:space="preserve">2019 · Fragkaki I ·</w:t>
      </w:r>
      <w:r>
        <w:t xml:space="preserve"> </w:t>
      </w:r>
      <w:r>
        <w:rPr>
          <w:iCs/>
          <w:i/>
        </w:rPr>
        <w:t xml:space="preserve">Horm Behav</w:t>
      </w:r>
      <w:r>
        <w:t xml:space="preserve"> </w:t>
      </w:r>
      <w:r>
        <w:t xml:space="preserve">· The effect of oxytocin administration on empathy and emotion recognition in residential youth: A randomized, within-subjects trial. PMID 31351105</w:t>
      </w:r>
    </w:p>
    <w:p>
      <w:pPr>
        <w:numPr>
          <w:ilvl w:val="0"/>
          <w:numId w:val="1418"/>
        </w:numPr>
        <w:pStyle w:val="Compact"/>
      </w:pPr>
      <w:r>
        <w:t xml:space="preserve">2019 · Bozorgmehr A ·</w:t>
      </w:r>
      <w:r>
        <w:t xml:space="preserve"> </w:t>
      </w:r>
      <w:r>
        <w:rPr>
          <w:iCs/>
          <w:i/>
        </w:rPr>
        <w:t xml:space="preserve">Neurosci Lett</w:t>
      </w:r>
      <w:r>
        <w:t xml:space="preserve"> </w:t>
      </w:r>
      <w:r>
        <w:t xml:space="preserve">· Oxytocin moderates risky decision-making during the Iowa Gambling Task: A new insight based on the role of oxytocin receptor gene polymorphisms and interventional cognitive study. PMID 31200092</w:t>
      </w:r>
    </w:p>
    <w:p>
      <w:pPr>
        <w:numPr>
          <w:ilvl w:val="0"/>
          <w:numId w:val="1418"/>
        </w:numPr>
        <w:pStyle w:val="Compact"/>
      </w:pPr>
      <w:r>
        <w:t xml:space="preserve">2019 · Grace SA ·</w:t>
      </w:r>
      <w:r>
        <w:t xml:space="preserve"> </w:t>
      </w:r>
      <w:r>
        <w:rPr>
          <w:iCs/>
          <w:i/>
        </w:rPr>
        <w:t xml:space="preserve">Psychoneuroendocrinology</w:t>
      </w:r>
      <w:r>
        <w:t xml:space="preserve"> </w:t>
      </w:r>
      <w:r>
        <w:t xml:space="preserve">· Intranasal oxytocin alters amygdala-temporal resting-state functional connectivity in body dysmorphic disorder: A double-blind placebo-controlled randomized trial. PMID 31146138</w:t>
      </w:r>
    </w:p>
    <w:p>
      <w:pPr>
        <w:numPr>
          <w:ilvl w:val="0"/>
          <w:numId w:val="1418"/>
        </w:numPr>
        <w:pStyle w:val="Compact"/>
      </w:pPr>
      <w:r>
        <w:t xml:space="preserve">2019 · Tabak BA ·</w:t>
      </w:r>
      <w:r>
        <w:t xml:space="preserve"> </w:t>
      </w:r>
      <w:r>
        <w:rPr>
          <w:iCs/>
          <w:i/>
        </w:rPr>
        <w:t xml:space="preserve">Psychoneuroendocrinology</w:t>
      </w:r>
      <w:r>
        <w:t xml:space="preserve"> </w:t>
      </w:r>
      <w:r>
        <w:t xml:space="preserve">· Null results of oxytocin and vasopressin administration across a range of social cognitive and behavioral paradigms: Evidence from a randomized controlled trial. PMID 31128568</w:t>
      </w:r>
    </w:p>
    <w:p>
      <w:pPr>
        <w:numPr>
          <w:ilvl w:val="0"/>
          <w:numId w:val="1418"/>
        </w:numPr>
        <w:pStyle w:val="Compact"/>
      </w:pPr>
      <w:r>
        <w:t xml:space="preserve">2019 · Petereit P ·</w:t>
      </w:r>
      <w:r>
        <w:t xml:space="preserve"> </w:t>
      </w:r>
      <w:r>
        <w:rPr>
          <w:iCs/>
          <w:i/>
        </w:rPr>
        <w:t xml:space="preserve">Biol Psychol</w:t>
      </w:r>
      <w:r>
        <w:t xml:space="preserve"> </w:t>
      </w:r>
      <w:r>
        <w:t xml:space="preserve">· Oxytocin reduces the link between neural and affective responses after social exclusion. PMID 31075364</w:t>
      </w:r>
    </w:p>
    <w:p>
      <w:pPr>
        <w:numPr>
          <w:ilvl w:val="0"/>
          <w:numId w:val="1418"/>
        </w:numPr>
        <w:pStyle w:val="Compact"/>
      </w:pPr>
      <w:r>
        <w:t xml:space="preserve">2019 · Bartz JA ·</w:t>
      </w:r>
      <w:r>
        <w:t xml:space="preserve"> </w:t>
      </w:r>
      <w:r>
        <w:rPr>
          <w:iCs/>
          <w:i/>
        </w:rPr>
        <w:t xml:space="preserve">Biol Psychiatry Cogn Neurosci Neuroimaging</w:t>
      </w:r>
      <w:r>
        <w:t xml:space="preserve"> </w:t>
      </w:r>
      <w:r>
        <w:t xml:space="preserve">· Oxytocin Selectively Improves Empathic Accuracy: A Replication in Men and Novel Insights in Women. PMID 30954442</w:t>
      </w:r>
    </w:p>
    <w:p>
      <w:pPr>
        <w:numPr>
          <w:ilvl w:val="0"/>
          <w:numId w:val="1418"/>
        </w:numPr>
        <w:pStyle w:val="Compact"/>
      </w:pPr>
      <w:r>
        <w:t xml:space="preserve">2019 · Melby K ·</w:t>
      </w:r>
      <w:r>
        <w:t xml:space="preserve"> </w:t>
      </w:r>
      <w:r>
        <w:rPr>
          <w:iCs/>
          <w:i/>
        </w:rPr>
        <w:t xml:space="preserve">Drug Alcohol Depend</w:t>
      </w:r>
      <w:r>
        <w:t xml:space="preserve"> </w:t>
      </w:r>
      <w:r>
        <w:t xml:space="preserve">· Effect of intranasal oxytocin on alcohol withdrawal syndrome: A randomized placebo-controlled double-blind clinical trial. PMID 30784955</w:t>
      </w:r>
    </w:p>
    <w:p>
      <w:pPr>
        <w:numPr>
          <w:ilvl w:val="0"/>
          <w:numId w:val="1418"/>
        </w:numPr>
        <w:pStyle w:val="Compact"/>
      </w:pPr>
      <w:r>
        <w:t xml:space="preserve">2019 · Davies C ·</w:t>
      </w:r>
      <w:r>
        <w:t xml:space="preserve"> </w:t>
      </w:r>
      <w:r>
        <w:rPr>
          <w:iCs/>
          <w:i/>
        </w:rPr>
        <w:t xml:space="preserve">Neuropsychopharmacology</w:t>
      </w:r>
      <w:r>
        <w:t xml:space="preserve"> </w:t>
      </w:r>
      <w:r>
        <w:t xml:space="preserve">· Oxytocin modulates hippocampal perfusion in people at clinical high risk for psychosis. PMID 30626906</w:t>
      </w:r>
    </w:p>
    <w:p>
      <w:pPr>
        <w:numPr>
          <w:ilvl w:val="0"/>
          <w:numId w:val="1418"/>
        </w:numPr>
        <w:pStyle w:val="Compact"/>
      </w:pPr>
      <w:r>
        <w:t xml:space="preserve">2019 · Fang A ·</w:t>
      </w:r>
      <w:r>
        <w:t xml:space="preserve"> </w:t>
      </w:r>
      <w:r>
        <w:rPr>
          <w:iCs/>
          <w:i/>
        </w:rPr>
        <w:t xml:space="preserve">Depress Anxiety</w:t>
      </w:r>
      <w:r>
        <w:t xml:space="preserve"> </w:t>
      </w:r>
      <w:r>
        <w:t xml:space="preserve">· Intranasal oxytocin modulates higher order social cognition in body dysmorphic disorder. PMID 30614171</w:t>
      </w:r>
    </w:p>
    <w:p>
      <w:pPr>
        <w:numPr>
          <w:ilvl w:val="0"/>
          <w:numId w:val="1418"/>
        </w:numPr>
        <w:pStyle w:val="Compact"/>
      </w:pPr>
      <w:r>
        <w:t xml:space="preserve">2019 · Leslie M ·</w:t>
      </w:r>
      <w:r>
        <w:t xml:space="preserve"> </w:t>
      </w:r>
      <w:r>
        <w:rPr>
          <w:iCs/>
          <w:i/>
        </w:rPr>
        <w:t xml:space="preserve">Mol Cell Endocrinol</w:t>
      </w:r>
      <w:r>
        <w:t xml:space="preserve"> </w:t>
      </w:r>
      <w:r>
        <w:t xml:space="preserve">· The influence of oxytocin on eating behaviours and stress in women with bulimia nervosa and binge eating disorder. PMID 30579958</w:t>
      </w:r>
    </w:p>
    <w:p>
      <w:pPr>
        <w:numPr>
          <w:ilvl w:val="0"/>
          <w:numId w:val="1418"/>
        </w:numPr>
        <w:pStyle w:val="Compact"/>
      </w:pPr>
      <w:r>
        <w:t xml:space="preserve">2019 · Crucianelli L ·</w:t>
      </w:r>
      <w:r>
        <w:t xml:space="preserve"> </w:t>
      </w:r>
      <w:r>
        <w:rPr>
          <w:iCs/>
          <w:i/>
        </w:rPr>
        <w:t xml:space="preserve">J Cogn Neurosci</w:t>
      </w:r>
      <w:r>
        <w:t xml:space="preserve"> </w:t>
      </w:r>
      <w:r>
        <w:t xml:space="preserve">· Embodied Precision: Intranasal Oxytocin Modulates Multisensory Integration. PMID 30562138</w:t>
      </w:r>
    </w:p>
    <w:p>
      <w:pPr>
        <w:numPr>
          <w:ilvl w:val="0"/>
          <w:numId w:val="1418"/>
        </w:numPr>
        <w:pStyle w:val="Compact"/>
      </w:pPr>
      <w:r>
        <w:t xml:space="preserve">2019 · Koch SBJ ·</w:t>
      </w:r>
      <w:r>
        <w:t xml:space="preserve"> </w:t>
      </w:r>
      <w:r>
        <w:rPr>
          <w:iCs/>
          <w:i/>
        </w:rPr>
        <w:t xml:space="preserve">Eur Neuropsychopharmacol</w:t>
      </w:r>
      <w:r>
        <w:t xml:space="preserve"> </w:t>
      </w:r>
      <w:r>
        <w:t xml:space="preserve">· Effects of intranasal oxytocin on distraction as emotion regulation strategy in patients with post-traumatic stress disorder. PMID 30554861</w:t>
      </w:r>
    </w:p>
    <w:p>
      <w:pPr>
        <w:numPr>
          <w:ilvl w:val="0"/>
          <w:numId w:val="1418"/>
        </w:numPr>
        <w:pStyle w:val="Compact"/>
      </w:pPr>
      <w:r>
        <w:t xml:space="preserve">2019 · Kruppa JA ·</w:t>
      </w:r>
      <w:r>
        <w:t xml:space="preserve"> </w:t>
      </w:r>
      <w:r>
        <w:rPr>
          <w:iCs/>
          <w:i/>
        </w:rPr>
        <w:t xml:space="preserve">Neuropsychopharmacology</w:t>
      </w:r>
      <w:r>
        <w:t xml:space="preserve"> </w:t>
      </w:r>
      <w:r>
        <w:t xml:space="preserve">· Neural modulation of social reinforcement learning by intranasal oxytocin in male adults with high-functioning autism spectrum disorder: a randomized trial. PMID 30390065</w:t>
      </w:r>
    </w:p>
    <w:p>
      <w:pPr>
        <w:numPr>
          <w:ilvl w:val="0"/>
          <w:numId w:val="1418"/>
        </w:numPr>
        <w:pStyle w:val="Compact"/>
      </w:pPr>
      <w:r>
        <w:t xml:space="preserve">2019 · Flanagan JC ·</w:t>
      </w:r>
      <w:r>
        <w:t xml:space="preserve"> </w:t>
      </w:r>
      <w:r>
        <w:rPr>
          <w:iCs/>
          <w:i/>
        </w:rPr>
        <w:t xml:space="preserve">Exp Clin Psychopharmacol</w:t>
      </w:r>
      <w:r>
        <w:t xml:space="preserve"> </w:t>
      </w:r>
      <w:r>
        <w:t xml:space="preserve">· Effects of oxytocin on stress reactivity and craving in veterans with co-occurring PTSD and alcohol use disorder. PMID 30382728</w:t>
      </w:r>
    </w:p>
    <w:p>
      <w:pPr>
        <w:numPr>
          <w:ilvl w:val="0"/>
          <w:numId w:val="1418"/>
        </w:numPr>
        <w:pStyle w:val="Compact"/>
      </w:pPr>
      <w:r>
        <w:t xml:space="preserve">2019 · Eckstein M ·</w:t>
      </w:r>
      <w:r>
        <w:t xml:space="preserve"> </w:t>
      </w:r>
      <w:r>
        <w:rPr>
          <w:iCs/>
          <w:i/>
        </w:rPr>
        <w:t xml:space="preserve">Soc Neurosci</w:t>
      </w:r>
      <w:r>
        <w:t xml:space="preserve"> </w:t>
      </w:r>
      <w:r>
        <w:t xml:space="preserve">· Oxytocin increases eye-gaze towards novel social and non-social stimuli. PMID 30378456</w:t>
      </w:r>
    </w:p>
    <w:p>
      <w:pPr>
        <w:numPr>
          <w:ilvl w:val="0"/>
          <w:numId w:val="1418"/>
        </w:numPr>
        <w:pStyle w:val="Compact"/>
      </w:pPr>
      <w:r>
        <w:t xml:space="preserve">2019 · Grainger SA ·</w:t>
      </w:r>
      <w:r>
        <w:t xml:space="preserve"> </w:t>
      </w:r>
      <w:r>
        <w:rPr>
          <w:iCs/>
          <w:i/>
        </w:rPr>
        <w:t xml:space="preserve">J Psychopharmacol</w:t>
      </w:r>
      <w:r>
        <w:t xml:space="preserve"> </w:t>
      </w:r>
      <w:r>
        <w:t xml:space="preserve">· Intranasal oxytocin does not alter initial perceptions of facial trustworthiness in younger or older adults. PMID 30326770</w:t>
      </w:r>
    </w:p>
    <w:p>
      <w:pPr>
        <w:numPr>
          <w:ilvl w:val="0"/>
          <w:numId w:val="1418"/>
        </w:numPr>
        <w:pStyle w:val="Compact"/>
      </w:pPr>
      <w:r>
        <w:t xml:space="preserve">2019 · Quintana DS ·</w:t>
      </w:r>
      <w:r>
        <w:t xml:space="preserve"> </w:t>
      </w:r>
      <w:r>
        <w:rPr>
          <w:iCs/>
          <w:i/>
        </w:rPr>
        <w:t xml:space="preserve">Neuropsychopharmacology</w:t>
      </w:r>
      <w:r>
        <w:t xml:space="preserve"> </w:t>
      </w:r>
      <w:r>
        <w:t xml:space="preserve">· Low-dose intranasal oxytocin delivered with Breath Powered device modulates pupil diameter and amygdala activity: a randomized controlled pupillometry and fMRI study. PMID 30323359</w:t>
      </w:r>
    </w:p>
    <w:p>
      <w:pPr>
        <w:numPr>
          <w:ilvl w:val="0"/>
          <w:numId w:val="1418"/>
        </w:numPr>
        <w:pStyle w:val="Compact"/>
      </w:pPr>
      <w:r>
        <w:t xml:space="preserve">2019 · Halverson T ·</w:t>
      </w:r>
      <w:r>
        <w:t xml:space="preserve"> </w:t>
      </w:r>
      <w:r>
        <w:rPr>
          <w:iCs/>
          <w:i/>
        </w:rPr>
        <w:t xml:space="preserve">Schizophr Res</w:t>
      </w:r>
      <w:r>
        <w:t xml:space="preserve"> </w:t>
      </w:r>
      <w:r>
        <w:t xml:space="preserve">· Effects of oxytocin on empathy, introspective accuracy, and social symptoms in schizophrenia: A 12-week twice-daily randomized controlled trial. PMID 30243853</w:t>
      </w:r>
    </w:p>
    <w:p>
      <w:pPr>
        <w:numPr>
          <w:ilvl w:val="0"/>
          <w:numId w:val="1418"/>
        </w:numPr>
        <w:pStyle w:val="Compact"/>
      </w:pPr>
      <w:r>
        <w:t xml:space="preserve">2019 · Brede S ·</w:t>
      </w:r>
      <w:r>
        <w:t xml:space="preserve"> </w:t>
      </w:r>
      <w:r>
        <w:rPr>
          <w:iCs/>
          <w:i/>
        </w:rPr>
        <w:t xml:space="preserve">Diabetes Obes Metab</w:t>
      </w:r>
      <w:r>
        <w:t xml:space="preserve"> </w:t>
      </w:r>
      <w:r>
        <w:t xml:space="preserve">· Intranasal oxytocin fails to acutely improve glucose metabolism in obese men. PMID 30203536</w:t>
      </w:r>
    </w:p>
    <w:p>
      <w:pPr>
        <w:numPr>
          <w:ilvl w:val="0"/>
          <w:numId w:val="1418"/>
        </w:numPr>
        <w:pStyle w:val="Compact"/>
      </w:pPr>
      <w:r>
        <w:t xml:space="preserve">2019 · Schwaiger M ·</w:t>
      </w:r>
      <w:r>
        <w:t xml:space="preserve"> </w:t>
      </w:r>
      <w:r>
        <w:rPr>
          <w:iCs/>
          <w:i/>
        </w:rPr>
        <w:t xml:space="preserve">Psychoneuroendocrinology</w:t>
      </w:r>
      <w:r>
        <w:t xml:space="preserve"> </w:t>
      </w:r>
      <w:r>
        <w:t xml:space="preserve">· Oxytocin administration and emotion recognition abilities in adults with a history of childhood adversity. PMID 30189345</w:t>
      </w:r>
    </w:p>
    <w:p>
      <w:pPr>
        <w:numPr>
          <w:ilvl w:val="0"/>
          <w:numId w:val="1418"/>
        </w:numPr>
        <w:pStyle w:val="Compact"/>
      </w:pPr>
      <w:r>
        <w:t xml:space="preserve">2019 · Romney C ·</w:t>
      </w:r>
      <w:r>
        <w:t xml:space="preserve"> </w:t>
      </w:r>
      <w:r>
        <w:rPr>
          <w:iCs/>
          <w:i/>
        </w:rPr>
        <w:t xml:space="preserve">Int J Psychophysiol</w:t>
      </w:r>
      <w:r>
        <w:t xml:space="preserve"> </w:t>
      </w:r>
      <w:r>
        <w:t xml:space="preserve">· Where is the love? A double-blind, randomized study of the effects of intranasal oxytocin on stress regulation and aggression. PMID 30144492</w:t>
      </w:r>
    </w:p>
    <w:p>
      <w:pPr>
        <w:numPr>
          <w:ilvl w:val="0"/>
          <w:numId w:val="1418"/>
        </w:numPr>
        <w:pStyle w:val="Compact"/>
      </w:pPr>
      <w:r>
        <w:t xml:space="preserve">2018 · Finger E ·</w:t>
      </w:r>
      <w:r>
        <w:t xml:space="preserve"> </w:t>
      </w:r>
      <w:r>
        <w:rPr>
          <w:iCs/>
          <w:i/>
        </w:rPr>
        <w:t xml:space="preserve">Alzheimers Res Ther</w:t>
      </w:r>
      <w:r>
        <w:t xml:space="preserve"> </w:t>
      </w:r>
      <w:r>
        <w:t xml:space="preserve">· Adaptive crossover designs for assessment of symptomatic treatments targeting behaviour in neurodegenerative disease: a phase 2 clinical trial of intranasal oxytocin for frontotemporal dementia (FOXY). PMID 30261917</w:t>
      </w:r>
    </w:p>
    <w:p>
      <w:pPr>
        <w:numPr>
          <w:ilvl w:val="0"/>
          <w:numId w:val="1418"/>
        </w:numPr>
        <w:pStyle w:val="Compact"/>
      </w:pPr>
      <w:r>
        <w:t xml:space="preserve">2018 · Burmester V ·</w:t>
      </w:r>
      <w:r>
        <w:t xml:space="preserve"> </w:t>
      </w:r>
      <w:r>
        <w:rPr>
          <w:iCs/>
          <w:i/>
        </w:rPr>
        <w:t xml:space="preserve">Appetite</w:t>
      </w:r>
      <w:r>
        <w:t xml:space="preserve"> </w:t>
      </w:r>
      <w:r>
        <w:t xml:space="preserve">· Rapid-onset anorectic effects of intranasal oxytocin in young men. PMID 30081055</w:t>
      </w:r>
    </w:p>
    <w:p>
      <w:pPr>
        <w:numPr>
          <w:ilvl w:val="0"/>
          <w:numId w:val="1418"/>
        </w:numPr>
        <w:pStyle w:val="Compact"/>
      </w:pPr>
      <w:r>
        <w:t xml:space="preserve">2018 · Verhees MWFT ·</w:t>
      </w:r>
      <w:r>
        <w:t xml:space="preserve"> </w:t>
      </w:r>
      <w:r>
        <w:rPr>
          <w:iCs/>
          <w:i/>
        </w:rPr>
        <w:t xml:space="preserve">Psychopharmacology (Berl)</w:t>
      </w:r>
      <w:r>
        <w:t xml:space="preserve"> </w:t>
      </w:r>
      <w:r>
        <w:t xml:space="preserve">· No side-effects of single intranasal oxytocin administration in middle childhood. PMID 29915962</w:t>
      </w:r>
    </w:p>
    <w:p>
      <w:pPr>
        <w:numPr>
          <w:ilvl w:val="0"/>
          <w:numId w:val="1418"/>
        </w:numPr>
        <w:pStyle w:val="Compact"/>
      </w:pPr>
      <w:r>
        <w:t xml:space="preserve">2018 · Quintana DS ·</w:t>
      </w:r>
      <w:r>
        <w:t xml:space="preserve"> </w:t>
      </w:r>
      <w:r>
        <w:rPr>
          <w:iCs/>
          <w:i/>
        </w:rPr>
        <w:t xml:space="preserve">Horm Behav</w:t>
      </w:r>
      <w:r>
        <w:t xml:space="preserve"> </w:t>
      </w:r>
      <w:r>
        <w:t xml:space="preserve">· Saliva oxytocin measures do not reflect peripheral plasma concentrations after intranasal oxytocin administration in men. PMID 29750971</w:t>
      </w:r>
    </w:p>
    <w:p>
      <w:pPr>
        <w:numPr>
          <w:ilvl w:val="0"/>
          <w:numId w:val="1418"/>
        </w:numPr>
        <w:pStyle w:val="Compact"/>
      </w:pPr>
      <w:r>
        <w:t xml:space="preserve">2018 · Kruger THC ·</w:t>
      </w:r>
      <w:r>
        <w:t xml:space="preserve"> </w:t>
      </w:r>
      <w:r>
        <w:rPr>
          <w:iCs/>
          <w:i/>
        </w:rPr>
        <w:t xml:space="preserve">J Clin Psychopharmacol</w:t>
      </w:r>
      <w:r>
        <w:t xml:space="preserve"> </w:t>
      </w:r>
      <w:r>
        <w:t xml:space="preserve">· Effects of Intranasal Oxytocin Administration on Sexual Functions in Healthy Women: A Laboratory Paradigm. PMID 29596150</w:t>
      </w:r>
    </w:p>
    <w:p>
      <w:pPr>
        <w:numPr>
          <w:ilvl w:val="0"/>
          <w:numId w:val="1418"/>
        </w:numPr>
        <w:pStyle w:val="Compact"/>
      </w:pPr>
      <w:r>
        <w:t xml:space="preserve">2018 · Kim YR ·</w:t>
      </w:r>
      <w:r>
        <w:t xml:space="preserve"> </w:t>
      </w:r>
      <w:r>
        <w:rPr>
          <w:iCs/>
          <w:i/>
        </w:rPr>
        <w:t xml:space="preserve">Psychoneuroendocrinology</w:t>
      </w:r>
      <w:r>
        <w:t xml:space="preserve"> </w:t>
      </w:r>
      <w:r>
        <w:t xml:space="preserve">· Effects of intranasal oxytocin on the attentional bias to emotional stimuli in patients with bulimia nervosa. PMID 29529522</w:t>
      </w:r>
    </w:p>
    <w:p>
      <w:pPr>
        <w:numPr>
          <w:ilvl w:val="0"/>
          <w:numId w:val="1418"/>
        </w:numPr>
        <w:pStyle w:val="Compact"/>
      </w:pPr>
      <w:r>
        <w:t xml:space="preserve">2018 · Warren KR ·</w:t>
      </w:r>
      <w:r>
        <w:t xml:space="preserve"> </w:t>
      </w:r>
      <w:r>
        <w:rPr>
          <w:iCs/>
          <w:i/>
        </w:rPr>
        <w:t xml:space="preserve">Physiol Behav</w:t>
      </w:r>
      <w:r>
        <w:t xml:space="preserve"> </w:t>
      </w:r>
      <w:r>
        <w:t xml:space="preserve">· Effects of intranasal oxytocin on satiety signaling in people with schizophrenia. PMID 29524451</w:t>
      </w:r>
    </w:p>
    <w:p>
      <w:pPr>
        <w:numPr>
          <w:ilvl w:val="0"/>
          <w:numId w:val="1418"/>
        </w:numPr>
        <w:pStyle w:val="Compact"/>
      </w:pPr>
      <w:r>
        <w:t xml:space="preserve">2018 · Grainger SA ·</w:t>
      </w:r>
      <w:r>
        <w:t xml:space="preserve"> </w:t>
      </w:r>
      <w:r>
        <w:rPr>
          <w:iCs/>
          <w:i/>
        </w:rPr>
        <w:t xml:space="preserve">Horm Behav</w:t>
      </w:r>
      <w:r>
        <w:t xml:space="preserve"> </w:t>
      </w:r>
      <w:r>
        <w:t xml:space="preserve">· Intranasal oxytocin does not reduce age-related difficulties in social cognition. PMID 29408521</w:t>
      </w:r>
    </w:p>
    <w:p>
      <w:pPr>
        <w:numPr>
          <w:ilvl w:val="0"/>
          <w:numId w:val="1418"/>
        </w:numPr>
        <w:pStyle w:val="Compact"/>
      </w:pPr>
      <w:r>
        <w:t xml:space="preserve">2018 · Schumacher S ·</w:t>
      </w:r>
      <w:r>
        <w:t xml:space="preserve"> </w:t>
      </w:r>
      <w:r>
        <w:rPr>
          <w:iCs/>
          <w:i/>
        </w:rPr>
        <w:t xml:space="preserve">PLoS One</w:t>
      </w:r>
      <w:r>
        <w:t xml:space="preserve"> </w:t>
      </w:r>
      <w:r>
        <w:t xml:space="preserve">· Does trait anxiety influence effects of oxytocin on eye-blink startle reactivity? A randomized, double-blind, placebo-controlled crossover study. PMID 29300752</w:t>
      </w:r>
    </w:p>
    <w:p>
      <w:pPr>
        <w:numPr>
          <w:ilvl w:val="0"/>
          <w:numId w:val="1418"/>
        </w:numPr>
        <w:pStyle w:val="Compact"/>
      </w:pPr>
      <w:r>
        <w:t xml:space="preserve">2018 · Flanagan JC ·</w:t>
      </w:r>
      <w:r>
        <w:t xml:space="preserve"> </w:t>
      </w:r>
      <w:r>
        <w:rPr>
          <w:iCs/>
          <w:i/>
        </w:rPr>
        <w:t xml:space="preserve">J Psychiatr Res</w:t>
      </w:r>
      <w:r>
        <w:t xml:space="preserve"> </w:t>
      </w:r>
      <w:r>
        <w:t xml:space="preserve">· Augmenting Prolonged Exposure therapy for PTSD with intranasal oxytocin: A randomized, placebo-controlled pilot trial. PMID 29294429</w:t>
      </w:r>
    </w:p>
    <w:p>
      <w:pPr>
        <w:numPr>
          <w:ilvl w:val="0"/>
          <w:numId w:val="1418"/>
        </w:numPr>
        <w:pStyle w:val="Compact"/>
      </w:pPr>
      <w:r>
        <w:t xml:space="preserve">2018 · Ota M ·</w:t>
      </w:r>
      <w:r>
        <w:t xml:space="preserve"> </w:t>
      </w:r>
      <w:r>
        <w:rPr>
          <w:iCs/>
          <w:i/>
        </w:rPr>
        <w:t xml:space="preserve">Postgrad Med</w:t>
      </w:r>
      <w:r>
        <w:t xml:space="preserve"> </w:t>
      </w:r>
      <w:r>
        <w:t xml:space="preserve">· The effects of adjunctive intranasal oxytocin in patients with schizophrenia. PMID 29105546</w:t>
      </w:r>
    </w:p>
    <w:p>
      <w:pPr>
        <w:numPr>
          <w:ilvl w:val="0"/>
          <w:numId w:val="1418"/>
        </w:numPr>
        <w:pStyle w:val="Compact"/>
      </w:pPr>
      <w:r>
        <w:t xml:space="preserve">2018 · Hansson AC ·</w:t>
      </w:r>
      <w:r>
        <w:t xml:space="preserve"> </w:t>
      </w:r>
      <w:r>
        <w:rPr>
          <w:iCs/>
          <w:i/>
        </w:rPr>
        <w:t xml:space="preserve">Neuropsychopharmacology</w:t>
      </w:r>
      <w:r>
        <w:t xml:space="preserve"> </w:t>
      </w:r>
      <w:r>
        <w:t xml:space="preserve">· Oxytocin Reduces Alcohol Cue-Reactivity in Alcohol-Dependent Rats and Humans. PMID 29090683</w:t>
      </w:r>
    </w:p>
    <w:p>
      <w:pPr>
        <w:numPr>
          <w:ilvl w:val="0"/>
          <w:numId w:val="1418"/>
        </w:numPr>
        <w:pStyle w:val="Compact"/>
      </w:pPr>
      <w:r>
        <w:t xml:space="preserve">2018 · Russell J ·</w:t>
      </w:r>
      <w:r>
        <w:t xml:space="preserve"> </w:t>
      </w:r>
      <w:r>
        <w:rPr>
          <w:iCs/>
          <w:i/>
        </w:rPr>
        <w:t xml:space="preserve">Psychoneuroendocrinology</w:t>
      </w:r>
      <w:r>
        <w:t xml:space="preserve"> </w:t>
      </w:r>
      <w:r>
        <w:t xml:space="preserve">· Intranasal oxytocin in the treatment of anorexia nervosa: Randomized controlled trial during re-feeding. PMID 29049935</w:t>
      </w:r>
    </w:p>
    <w:p>
      <w:pPr>
        <w:numPr>
          <w:ilvl w:val="0"/>
          <w:numId w:val="1418"/>
        </w:numPr>
        <w:pStyle w:val="Compact"/>
      </w:pPr>
      <w:r>
        <w:t xml:space="preserve">2018 · Rutherford HJV ·</w:t>
      </w:r>
      <w:r>
        <w:t xml:space="preserve"> </w:t>
      </w:r>
      <w:r>
        <w:rPr>
          <w:iCs/>
          <w:i/>
        </w:rPr>
        <w:t xml:space="preserve">Int J Psychophysiol</w:t>
      </w:r>
      <w:r>
        <w:t xml:space="preserve"> </w:t>
      </w:r>
      <w:r>
        <w:t xml:space="preserve">· Intranasal oxytocin decreases cross-frequency coupling of neural oscillations at rest. PMID 28965930</w:t>
      </w:r>
    </w:p>
    <w:p>
      <w:pPr>
        <w:numPr>
          <w:ilvl w:val="0"/>
          <w:numId w:val="1418"/>
        </w:numPr>
        <w:pStyle w:val="Compact"/>
      </w:pPr>
      <w:r>
        <w:t xml:space="preserve">2018 · Labuschagne I ·</w:t>
      </w:r>
      <w:r>
        <w:t xml:space="preserve"> </w:t>
      </w:r>
      <w:r>
        <w:rPr>
          <w:iCs/>
          <w:i/>
        </w:rPr>
        <w:t xml:space="preserve">Prog Neuropsychopharmacol Biol Psychiatry</w:t>
      </w:r>
      <w:r>
        <w:t xml:space="preserve"> </w:t>
      </w:r>
      <w:r>
        <w:t xml:space="preserve">· Oxytocin selectively modulates brain processing of disgust in Huntington’s disease gene carriers. PMID 28947180</w:t>
      </w:r>
    </w:p>
    <w:p>
      <w:pPr>
        <w:numPr>
          <w:ilvl w:val="0"/>
          <w:numId w:val="1418"/>
        </w:numPr>
        <w:pStyle w:val="Compact"/>
      </w:pPr>
      <w:r>
        <w:t xml:space="preserve">2018 · Plessow F ·</w:t>
      </w:r>
      <w:r>
        <w:t xml:space="preserve"> </w:t>
      </w:r>
      <w:r>
        <w:rPr>
          <w:iCs/>
          <w:i/>
        </w:rPr>
        <w:t xml:space="preserve">Neuropsychopharmacology</w:t>
      </w:r>
      <w:r>
        <w:t xml:space="preserve"> </w:t>
      </w:r>
      <w:r>
        <w:t xml:space="preserve">· Effects of Intranasal Oxytocin on the Blood Oxygenation Level-Dependent Signal in Food Motivation and Cognitive Control Pathways in Overweight and Obese Men. PMID 28930284</w:t>
      </w:r>
    </w:p>
    <w:p>
      <w:pPr>
        <w:numPr>
          <w:ilvl w:val="0"/>
          <w:numId w:val="1418"/>
        </w:numPr>
        <w:pStyle w:val="Compact"/>
      </w:pPr>
      <w:r>
        <w:t xml:space="preserve">2018 · Tracy LM ·</w:t>
      </w:r>
      <w:r>
        <w:t xml:space="preserve"> </w:t>
      </w:r>
      <w:r>
        <w:rPr>
          <w:iCs/>
          <w:i/>
        </w:rPr>
        <w:t xml:space="preserve">Prog Neuropsychopharmacol Biol Psychiatry</w:t>
      </w:r>
      <w:r>
        <w:t xml:space="preserve"> </w:t>
      </w:r>
      <w:r>
        <w:t xml:space="preserve">· Intranasal oxytocin reduces heart rate variability during a mental arithmetic task: A randomised, double-blind, placebo-controlled cross-over study. PMID 28844717</w:t>
      </w:r>
    </w:p>
    <w:p>
      <w:pPr>
        <w:numPr>
          <w:ilvl w:val="0"/>
          <w:numId w:val="1418"/>
        </w:numPr>
        <w:pStyle w:val="Compact"/>
      </w:pPr>
      <w:r>
        <w:t xml:space="preserve">2018 · Strathearn L ·</w:t>
      </w:r>
      <w:r>
        <w:t xml:space="preserve"> </w:t>
      </w:r>
      <w:r>
        <w:rPr>
          <w:iCs/>
          <w:i/>
        </w:rPr>
        <w:t xml:space="preserve">Dev Psychopathol</w:t>
      </w:r>
      <w:r>
        <w:t xml:space="preserve"> </w:t>
      </w:r>
      <w:r>
        <w:t xml:space="preserve">· Visual systemizing preference in children with autism: A randomized controlled trial of intranasal oxytocin. PMID 28712371</w:t>
      </w:r>
    </w:p>
    <w:p>
      <w:pPr>
        <w:numPr>
          <w:ilvl w:val="0"/>
          <w:numId w:val="1418"/>
        </w:numPr>
        <w:pStyle w:val="Compact"/>
      </w:pPr>
      <w:r>
        <w:t xml:space="preserve">2017 · Tollenaar MS ·</w:t>
      </w:r>
      <w:r>
        <w:t xml:space="preserve"> </w:t>
      </w:r>
      <w:r>
        <w:rPr>
          <w:iCs/>
          <w:i/>
        </w:rPr>
        <w:t xml:space="preserve">Psychopharmacology (Berl)</w:t>
      </w:r>
      <w:r>
        <w:t xml:space="preserve"> </w:t>
      </w:r>
      <w:r>
        <w:t xml:space="preserve">· Does oxytocin lead to emotional interference during a working memory paradigm?. PMID 28913643</w:t>
      </w:r>
    </w:p>
    <w:p>
      <w:pPr>
        <w:numPr>
          <w:ilvl w:val="0"/>
          <w:numId w:val="1418"/>
        </w:numPr>
        <w:pStyle w:val="Compact"/>
      </w:pPr>
      <w:r>
        <w:t xml:space="preserve">2017 · Rutherford HJV ·</w:t>
      </w:r>
      <w:r>
        <w:t xml:space="preserve"> </w:t>
      </w:r>
      <w:r>
        <w:rPr>
          <w:iCs/>
          <w:i/>
        </w:rPr>
        <w:t xml:space="preserve">Biol Psychol</w:t>
      </w:r>
      <w:r>
        <w:t xml:space="preserve"> </w:t>
      </w:r>
      <w:r>
        <w:t xml:space="preserve">· Intranasal oxytocin and the neural correlates of infant face processing in non-parent women. PMID 28800972</w:t>
      </w:r>
    </w:p>
    <w:p>
      <w:pPr>
        <w:numPr>
          <w:ilvl w:val="0"/>
          <w:numId w:val="1418"/>
        </w:numPr>
        <w:pStyle w:val="Compact"/>
      </w:pPr>
      <w:r>
        <w:t xml:space="preserve">2017 · Brodmann K ·</w:t>
      </w:r>
      <w:r>
        <w:t xml:space="preserve"> </w:t>
      </w:r>
      <w:r>
        <w:rPr>
          <w:iCs/>
          <w:i/>
        </w:rPr>
        <w:t xml:space="preserve">Brain Connect</w:t>
      </w:r>
      <w:r>
        <w:t xml:space="preserve"> </w:t>
      </w:r>
      <w:r>
        <w:t xml:space="preserve">· Intranasal Oxytocin Selectively Modulates Large-Scale Brain Networks in Humans. PMID 28762756</w:t>
      </w:r>
    </w:p>
    <w:p>
      <w:pPr>
        <w:numPr>
          <w:ilvl w:val="0"/>
          <w:numId w:val="1418"/>
        </w:numPr>
        <w:pStyle w:val="Compact"/>
      </w:pPr>
      <w:r>
        <w:t xml:space="preserve">2017 · Parker KJ ·</w:t>
      </w:r>
      <w:r>
        <w:t xml:space="preserve"> </w:t>
      </w:r>
      <w:r>
        <w:rPr>
          <w:iCs/>
          <w:i/>
        </w:rPr>
        <w:t xml:space="preserve">Proc Natl Acad Sci U S A</w:t>
      </w:r>
      <w:r>
        <w:t xml:space="preserve"> </w:t>
      </w:r>
      <w:r>
        <w:t xml:space="preserve">· Intranasal oxytocin treatment for social deficits and biomarkers of response in children with autism. PMID 28696286</w:t>
      </w:r>
    </w:p>
    <w:p>
      <w:pPr>
        <w:numPr>
          <w:ilvl w:val="0"/>
          <w:numId w:val="1418"/>
        </w:numPr>
        <w:pStyle w:val="Compact"/>
      </w:pPr>
      <w:r>
        <w:t xml:space="preserve">2017 · Spengler FB ·</w:t>
      </w:r>
      <w:r>
        <w:t xml:space="preserve"> </w:t>
      </w:r>
      <w:r>
        <w:rPr>
          <w:iCs/>
          <w:i/>
        </w:rPr>
        <w:t xml:space="preserve">Biol Psychiatry</w:t>
      </w:r>
      <w:r>
        <w:t xml:space="preserve"> </w:t>
      </w:r>
      <w:r>
        <w:t xml:space="preserve">· Kinetics and Dose Dependency of Intranasal Oxytocin Effects on Amygdala Reactivity. PMID 28629540</w:t>
      </w:r>
    </w:p>
    <w:p>
      <w:pPr>
        <w:numPr>
          <w:ilvl w:val="0"/>
          <w:numId w:val="1418"/>
        </w:numPr>
        <w:pStyle w:val="Compact"/>
      </w:pPr>
      <w:r>
        <w:t xml:space="preserve">2017 · Tracy LM ·</w:t>
      </w:r>
      <w:r>
        <w:t xml:space="preserve"> </w:t>
      </w:r>
      <w:r>
        <w:rPr>
          <w:iCs/>
          <w:i/>
        </w:rPr>
        <w:t xml:space="preserve">Psychoneuroendocrinology</w:t>
      </w:r>
      <w:r>
        <w:t xml:space="preserve"> </w:t>
      </w:r>
      <w:r>
        <w:t xml:space="preserve">· Sex-specific effects of intranasal oxytocin on thermal pain perception: A randomised, double-blind, placebo-controlled cross-over study. PMID 28601750</w:t>
      </w:r>
    </w:p>
    <w:p>
      <w:pPr>
        <w:numPr>
          <w:ilvl w:val="0"/>
          <w:numId w:val="1418"/>
        </w:numPr>
        <w:pStyle w:val="Compact"/>
      </w:pPr>
      <w:r>
        <w:t xml:space="preserve">2017 · Buchanan RW ·</w:t>
      </w:r>
      <w:r>
        <w:t xml:space="preserve"> </w:t>
      </w:r>
      <w:r>
        <w:rPr>
          <w:iCs/>
          <w:i/>
        </w:rPr>
        <w:t xml:space="preserve">J Clin Psychopharmacol</w:t>
      </w:r>
      <w:r>
        <w:t xml:space="preserve"> </w:t>
      </w:r>
      <w:r>
        <w:t xml:space="preserve">· A Randomized Clinical Trial of Oxytocin or Galantamine for the Treatment of Negative Symptoms and Cognitive Impairments in People With Schizophrenia. PMID 28590362</w:t>
      </w:r>
    </w:p>
    <w:p>
      <w:pPr>
        <w:numPr>
          <w:ilvl w:val="0"/>
          <w:numId w:val="1418"/>
        </w:numPr>
        <w:pStyle w:val="Compact"/>
      </w:pPr>
      <w:r>
        <w:t xml:space="preserve">2017 · Quintana DS ·</w:t>
      </w:r>
      <w:r>
        <w:t xml:space="preserve"> </w:t>
      </w:r>
      <w:r>
        <w:rPr>
          <w:iCs/>
          <w:i/>
        </w:rPr>
        <w:t xml:space="preserve">Transl Psychiatry</w:t>
      </w:r>
      <w:r>
        <w:t xml:space="preserve"> </w:t>
      </w:r>
      <w:r>
        <w:t xml:space="preserve">· Dose-dependent social-cognitive effects of intranasal oxytocin delivered with novel Breath Powered device in adults with autism spectrum disorder: a randomized placebo-controlled double-blind crossover trial. PMID 28534875</w:t>
      </w:r>
    </w:p>
    <w:p>
      <w:pPr>
        <w:numPr>
          <w:ilvl w:val="0"/>
          <w:numId w:val="1418"/>
        </w:numPr>
        <w:pStyle w:val="Compact"/>
      </w:pPr>
      <w:r>
        <w:t xml:space="preserve">2017 · Caravaggio F ·</w:t>
      </w:r>
      <w:r>
        <w:t xml:space="preserve"> </w:t>
      </w:r>
      <w:r>
        <w:rPr>
          <w:iCs/>
          <w:i/>
        </w:rPr>
        <w:t xml:space="preserve">Psychoneuroendocrinology</w:t>
      </w:r>
      <w:r>
        <w:t xml:space="preserve"> </w:t>
      </w:r>
      <w:r>
        <w:t xml:space="preserve">· Intranasal oxytocin does not modulate jumping to conclusions in schizophrenia: Potential interactions with caudate volume and baseline social functioning. PMID 28431278</w:t>
      </w:r>
    </w:p>
    <w:p>
      <w:pPr>
        <w:numPr>
          <w:ilvl w:val="0"/>
          <w:numId w:val="1418"/>
        </w:numPr>
        <w:pStyle w:val="Compact"/>
      </w:pPr>
      <w:r>
        <w:t xml:space="preserve">2017 · Kanat M ·</w:t>
      </w:r>
      <w:r>
        <w:t xml:space="preserve"> </w:t>
      </w:r>
      <w:r>
        <w:rPr>
          <w:iCs/>
          <w:i/>
        </w:rPr>
        <w:t xml:space="preserve">Transl Psychiatry</w:t>
      </w:r>
      <w:r>
        <w:t xml:space="preserve"> </w:t>
      </w:r>
      <w:r>
        <w:t xml:space="preserve">· Restoring effects of oxytocin on the attentional preference for faces in autism. PMID 28418399</w:t>
      </w:r>
    </w:p>
    <w:p>
      <w:pPr>
        <w:numPr>
          <w:ilvl w:val="0"/>
          <w:numId w:val="1418"/>
        </w:numPr>
        <w:pStyle w:val="Compact"/>
      </w:pPr>
      <w:r>
        <w:t xml:space="preserve">2017 · Bethlehem RAI ·</w:t>
      </w:r>
      <w:r>
        <w:t xml:space="preserve"> </w:t>
      </w:r>
      <w:r>
        <w:rPr>
          <w:iCs/>
          <w:i/>
        </w:rPr>
        <w:t xml:space="preserve">Transl Psychiatry</w:t>
      </w:r>
      <w:r>
        <w:t xml:space="preserve"> </w:t>
      </w:r>
      <w:r>
        <w:t xml:space="preserve">· Intranasal oxytocin enhances intrinsic corticostriatal functional connectivity in women. PMID 28418398</w:t>
      </w:r>
    </w:p>
    <w:p>
      <w:pPr>
        <w:numPr>
          <w:ilvl w:val="0"/>
          <w:numId w:val="1418"/>
        </w:numPr>
        <w:pStyle w:val="Compact"/>
      </w:pPr>
      <w:r>
        <w:t xml:space="preserve">2017 · Rash JA ·</w:t>
      </w:r>
      <w:r>
        <w:t xml:space="preserve"> </w:t>
      </w:r>
      <w:r>
        <w:rPr>
          <w:iCs/>
          <w:i/>
        </w:rPr>
        <w:t xml:space="preserve">BMJ Open</w:t>
      </w:r>
      <w:r>
        <w:t xml:space="preserve"> </w:t>
      </w:r>
      <w:r>
        <w:t xml:space="preserve">· Protocol for a placebo-controlled, within-participants crossover trial evaluating the efficacy of intranasal oxytocin to improve pain and function among women with chronic pelvic musculoskeletal pain. PMID 28416501</w:t>
      </w:r>
    </w:p>
    <w:p>
      <w:pPr>
        <w:numPr>
          <w:ilvl w:val="0"/>
          <w:numId w:val="1418"/>
        </w:numPr>
        <w:pStyle w:val="Compact"/>
      </w:pPr>
      <w:r>
        <w:t xml:space="preserve">2017 · Miller JL ·</w:t>
      </w:r>
      <w:r>
        <w:t xml:space="preserve"> </w:t>
      </w:r>
      <w:r>
        <w:rPr>
          <w:iCs/>
          <w:i/>
        </w:rPr>
        <w:t xml:space="preserve">Am J Med Genet A</w:t>
      </w:r>
      <w:r>
        <w:t xml:space="preserve"> </w:t>
      </w:r>
      <w:r>
        <w:t xml:space="preserve">· Oxytocin treatment in children with Prader-Willi syndrome: A double-blind, placebo-controlled, crossover study. PMID 28371242</w:t>
      </w:r>
    </w:p>
    <w:p>
      <w:pPr>
        <w:numPr>
          <w:ilvl w:val="0"/>
          <w:numId w:val="1418"/>
        </w:numPr>
        <w:pStyle w:val="Compact"/>
      </w:pPr>
      <w:r>
        <w:t xml:space="preserve">2017 · Sack M ·</w:t>
      </w:r>
      <w:r>
        <w:t xml:space="preserve"> </w:t>
      </w:r>
      <w:r>
        <w:rPr>
          <w:iCs/>
          <w:i/>
        </w:rPr>
        <w:t xml:space="preserve">BMC Med</w:t>
      </w:r>
      <w:r>
        <w:t xml:space="preserve"> </w:t>
      </w:r>
      <w:r>
        <w:t xml:space="preserve">· Intranasal oxytocin reduces provoked symptoms in female patients with posttraumatic stress disorder despite exerting sympathomimetic and positive chronotropic effects in a randomized controlled trial. PMID 28209155</w:t>
      </w:r>
    </w:p>
    <w:p>
      <w:pPr>
        <w:numPr>
          <w:ilvl w:val="0"/>
          <w:numId w:val="1418"/>
        </w:numPr>
        <w:pStyle w:val="Compact"/>
      </w:pPr>
      <w:r>
        <w:t xml:space="preserve">2017 · Muin DA ·</w:t>
      </w:r>
      <w:r>
        <w:t xml:space="preserve"> </w:t>
      </w:r>
      <w:r>
        <w:rPr>
          <w:iCs/>
          <w:i/>
        </w:rPr>
        <w:t xml:space="preserve">Fertil Steril</w:t>
      </w:r>
      <w:r>
        <w:t xml:space="preserve"> </w:t>
      </w:r>
      <w:r>
        <w:t xml:space="preserve">· Men’s sexual response to female partner’s intranasal oxytocin administration for hypoactive sexual desire disorder: an open prospective cohort study. PMID 28189292</w:t>
      </w:r>
    </w:p>
    <w:p>
      <w:pPr>
        <w:numPr>
          <w:ilvl w:val="0"/>
          <w:numId w:val="1418"/>
        </w:numPr>
        <w:pStyle w:val="Compact"/>
      </w:pPr>
      <w:r>
        <w:t xml:space="preserve">2017 · Li T ·</w:t>
      </w:r>
      <w:r>
        <w:t xml:space="preserve"> </w:t>
      </w:r>
      <w:r>
        <w:rPr>
          <w:iCs/>
          <w:i/>
        </w:rPr>
        <w:t xml:space="preserve">Horm Behav</w:t>
      </w:r>
      <w:r>
        <w:t xml:space="preserve"> </w:t>
      </w:r>
      <w:r>
        <w:t xml:space="preserve">· Intranasal oxytocin, but not vasopressin, augments neural responses to toddlers in human fathers. PMID 28161387</w:t>
      </w:r>
    </w:p>
    <w:p>
      <w:pPr>
        <w:numPr>
          <w:ilvl w:val="0"/>
          <w:numId w:val="1418"/>
        </w:numPr>
        <w:pStyle w:val="Compact"/>
      </w:pPr>
      <w:r>
        <w:t xml:space="preserve">2017 · Chen X ·</w:t>
      </w:r>
      <w:r>
        <w:t xml:space="preserve"> </w:t>
      </w:r>
      <w:r>
        <w:rPr>
          <w:iCs/>
          <w:i/>
        </w:rPr>
        <w:t xml:space="preserve">Psychoneuroendocrinology</w:t>
      </w:r>
      <w:r>
        <w:t xml:space="preserve"> </w:t>
      </w:r>
      <w:r>
        <w:t xml:space="preserve">· Within vs. between-subject effects of intranasal oxytocin on the neural response to cooperative and non-cooperative social interactions. PMID 28142074</w:t>
      </w:r>
    </w:p>
    <w:p>
      <w:pPr>
        <w:numPr>
          <w:ilvl w:val="0"/>
          <w:numId w:val="1418"/>
        </w:numPr>
        <w:pStyle w:val="Compact"/>
      </w:pPr>
      <w:r>
        <w:t xml:space="preserve">2017 · Leppanen J ·</w:t>
      </w:r>
      <w:r>
        <w:t xml:space="preserve"> </w:t>
      </w:r>
      <w:r>
        <w:rPr>
          <w:iCs/>
          <w:i/>
        </w:rPr>
        <w:t xml:space="preserve">J Neuroendocrinol</w:t>
      </w:r>
      <w:r>
        <w:t xml:space="preserve"> </w:t>
      </w:r>
      <w:r>
        <w:t xml:space="preserve">· Effects of Intranasal Oxytocin on the Interpretation and Expression of Emotions in Anorexia Nervosa. PMID 28140486</w:t>
      </w:r>
    </w:p>
    <w:p>
      <w:pPr>
        <w:numPr>
          <w:ilvl w:val="0"/>
          <w:numId w:val="1418"/>
        </w:numPr>
        <w:pStyle w:val="Compact"/>
      </w:pPr>
      <w:r>
        <w:t xml:space="preserve">2017 · Jarskog LF ·</w:t>
      </w:r>
      <w:r>
        <w:t xml:space="preserve"> </w:t>
      </w:r>
      <w:r>
        <w:rPr>
          <w:iCs/>
          <w:i/>
        </w:rPr>
        <w:t xml:space="preserve">Schizophr Res</w:t>
      </w:r>
      <w:r>
        <w:t xml:space="preserve"> </w:t>
      </w:r>
      <w:r>
        <w:t xml:space="preserve">· A 12-week randomized controlled trial of twice-daily intranasal oxytocin for social cognitive deficits in people with schizophrenia. PMID 28094169</w:t>
      </w:r>
    </w:p>
    <w:p>
      <w:pPr>
        <w:numPr>
          <w:ilvl w:val="0"/>
          <w:numId w:val="1418"/>
        </w:numPr>
        <w:pStyle w:val="Compact"/>
      </w:pPr>
      <w:r>
        <w:t xml:space="preserve">2017 · Woolley JD ·</w:t>
      </w:r>
      <w:r>
        <w:t xml:space="preserve"> </w:t>
      </w:r>
      <w:r>
        <w:rPr>
          <w:iCs/>
          <w:i/>
        </w:rPr>
        <w:t xml:space="preserve">Psychol Med</w:t>
      </w:r>
      <w:r>
        <w:t xml:space="preserve"> </w:t>
      </w:r>
      <w:r>
        <w:t xml:space="preserve">· Intranasal oxytocin increases facial expressivity, but not ratings of trustworthiness, in patients with schizophrenia and healthy controls. PMID 28091349</w:t>
      </w:r>
    </w:p>
    <w:p>
      <w:pPr>
        <w:numPr>
          <w:ilvl w:val="0"/>
          <w:numId w:val="1418"/>
        </w:numPr>
        <w:pStyle w:val="Compact"/>
      </w:pPr>
      <w:r>
        <w:t xml:space="preserve">2017 · van Zuiden M ·</w:t>
      </w:r>
      <w:r>
        <w:t xml:space="preserve"> </w:t>
      </w:r>
      <w:r>
        <w:rPr>
          <w:iCs/>
          <w:i/>
        </w:rPr>
        <w:t xml:space="preserve">Biol Psychiatry</w:t>
      </w:r>
      <w:r>
        <w:t xml:space="preserve"> </w:t>
      </w:r>
      <w:r>
        <w:t xml:space="preserve">· Intranasal Oxytocin to Prevent Posttraumatic Stress Disorder Symptoms: A Randomized Controlled Trial in Emergency Department Patients. PMID 28087128</w:t>
      </w:r>
    </w:p>
    <w:p>
      <w:pPr>
        <w:numPr>
          <w:ilvl w:val="0"/>
          <w:numId w:val="1418"/>
        </w:numPr>
        <w:pStyle w:val="Compact"/>
      </w:pPr>
      <w:r>
        <w:t xml:space="preserve">2017 · Xu X ·</w:t>
      </w:r>
      <w:r>
        <w:t xml:space="preserve"> </w:t>
      </w:r>
      <w:r>
        <w:rPr>
          <w:iCs/>
          <w:i/>
        </w:rPr>
        <w:t xml:space="preserve">Sci Rep</w:t>
      </w:r>
      <w:r>
        <w:t xml:space="preserve"> </w:t>
      </w:r>
      <w:r>
        <w:t xml:space="preserve">· Oxytocin biases men but not women to restore social connections with individuals who socially exclude them. PMID 28079166</w:t>
      </w:r>
    </w:p>
    <w:p>
      <w:pPr>
        <w:numPr>
          <w:ilvl w:val="0"/>
          <w:numId w:val="1418"/>
        </w:numPr>
        <w:pStyle w:val="Compact"/>
      </w:pPr>
      <w:r>
        <w:t xml:space="preserve">2017 · Hecht EE ·</w:t>
      </w:r>
      <w:r>
        <w:t xml:space="preserve"> </w:t>
      </w:r>
      <w:r>
        <w:rPr>
          <w:iCs/>
          <w:i/>
        </w:rPr>
        <w:t xml:space="preserve">Neuroimage</w:t>
      </w:r>
      <w:r>
        <w:t xml:space="preserve"> </w:t>
      </w:r>
      <w:r>
        <w:t xml:space="preserve">· Intranasal oxytocin reduces social perception in women: Neural activation and individual variation. PMID 27989775</w:t>
      </w:r>
    </w:p>
    <w:p>
      <w:pPr>
        <w:numPr>
          <w:ilvl w:val="0"/>
          <w:numId w:val="1418"/>
        </w:numPr>
        <w:pStyle w:val="Compact"/>
      </w:pPr>
      <w:r>
        <w:t xml:space="preserve">2017 · Nawijn L ·</w:t>
      </w:r>
      <w:r>
        <w:t xml:space="preserve"> </w:t>
      </w:r>
      <w:r>
        <w:rPr>
          <w:iCs/>
          <w:i/>
        </w:rPr>
        <w:t xml:space="preserve">Soc Cogn Affect Neurosci</w:t>
      </w:r>
      <w:r>
        <w:t xml:space="preserve"> </w:t>
      </w:r>
      <w:r>
        <w:t xml:space="preserve">· Intranasal oxytocin increases neural responses to social reward in post-traumatic stress disorder. PMID 27614769</w:t>
      </w:r>
    </w:p>
    <w:p>
      <w:pPr>
        <w:numPr>
          <w:ilvl w:val="0"/>
          <w:numId w:val="1418"/>
        </w:numPr>
        <w:pStyle w:val="Compact"/>
      </w:pPr>
      <w:r>
        <w:t xml:space="preserve">2017 · Palgi S ·</w:t>
      </w:r>
      <w:r>
        <w:t xml:space="preserve"> </w:t>
      </w:r>
      <w:r>
        <w:rPr>
          <w:iCs/>
          <w:i/>
        </w:rPr>
        <w:t xml:space="preserve">Psychol Trauma</w:t>
      </w:r>
      <w:r>
        <w:t xml:space="preserve"> </w:t>
      </w:r>
      <w:r>
        <w:t xml:space="preserve">· The role of oxytocin in empathy in PTSD. PMID 27243570</w:t>
      </w:r>
    </w:p>
    <w:p>
      <w:pPr>
        <w:numPr>
          <w:ilvl w:val="0"/>
          <w:numId w:val="1418"/>
        </w:numPr>
        <w:pStyle w:val="Compact"/>
      </w:pPr>
      <w:r>
        <w:t xml:space="preserve">2017 · Mah BL ·</w:t>
      </w:r>
      <w:r>
        <w:t xml:space="preserve"> </w:t>
      </w:r>
      <w:r>
        <w:rPr>
          <w:iCs/>
          <w:i/>
        </w:rPr>
        <w:t xml:space="preserve">Child Psychiatry Hum Dev</w:t>
      </w:r>
      <w:r>
        <w:t xml:space="preserve"> </w:t>
      </w:r>
      <w:r>
        <w:t xml:space="preserve">· The Effects of Intranasal Oxytocin Administration on Sensitive Caregiving in Mothers with Postnatal Depression. PMID 27100724</w:t>
      </w:r>
    </w:p>
    <w:p>
      <w:pPr>
        <w:numPr>
          <w:ilvl w:val="0"/>
          <w:numId w:val="1418"/>
        </w:numPr>
        <w:pStyle w:val="Compact"/>
      </w:pPr>
      <w:r>
        <w:t xml:space="preserve">2016 · Gordon I ·</w:t>
      </w:r>
      <w:r>
        <w:t xml:space="preserve"> </w:t>
      </w:r>
      <w:r>
        <w:rPr>
          <w:iCs/>
          <w:i/>
        </w:rPr>
        <w:t xml:space="preserve">Sci Rep</w:t>
      </w:r>
      <w:r>
        <w:t xml:space="preserve"> </w:t>
      </w:r>
      <w:r>
        <w:t xml:space="preserve">· Intranasal Oxytocin Enhances Connectivity in the Neural Circuitry Supporting Social Motivation and Social Perception in Children with Autism. PMID 27845765</w:t>
      </w:r>
    </w:p>
    <w:p>
      <w:pPr>
        <w:numPr>
          <w:ilvl w:val="0"/>
          <w:numId w:val="1418"/>
        </w:numPr>
        <w:pStyle w:val="Compact"/>
      </w:pPr>
      <w:r>
        <w:t xml:space="preserve">2016 · Miller MA ·</w:t>
      </w:r>
      <w:r>
        <w:t xml:space="preserve"> </w:t>
      </w:r>
      <w:r>
        <w:rPr>
          <w:iCs/>
          <w:i/>
        </w:rPr>
        <w:t xml:space="preserve">Behav Pharmacol</w:t>
      </w:r>
      <w:r>
        <w:t xml:space="preserve"> </w:t>
      </w:r>
      <w:r>
        <w:t xml:space="preserve">· Intranasal oxytocin dampens cue-elicited cigarette craving in daily smokers: a pilot study. PMID 27661192</w:t>
      </w:r>
    </w:p>
    <w:p>
      <w:pPr>
        <w:numPr>
          <w:ilvl w:val="0"/>
          <w:numId w:val="1418"/>
        </w:numPr>
        <w:pStyle w:val="Compact"/>
      </w:pPr>
      <w:r>
        <w:t xml:space="preserve">2016 · Mickey BJ ·</w:t>
      </w:r>
      <w:r>
        <w:t xml:space="preserve"> </w:t>
      </w:r>
      <w:r>
        <w:rPr>
          <w:iCs/>
          <w:i/>
        </w:rPr>
        <w:t xml:space="preserve">Psychopharmacology (Berl)</w:t>
      </w:r>
      <w:r>
        <w:t xml:space="preserve"> </w:t>
      </w:r>
      <w:r>
        <w:t xml:space="preserve">· Oxytocin modulates hemodynamic responses to monetary incentives in humans. PMID 27614896</w:t>
      </w:r>
    </w:p>
    <w:p>
      <w:pPr>
        <w:numPr>
          <w:ilvl w:val="0"/>
          <w:numId w:val="1418"/>
        </w:numPr>
        <w:pStyle w:val="Compact"/>
      </w:pPr>
      <w:r>
        <w:t xml:space="preserve">2016 · Kosaka H ·</w:t>
      </w:r>
      <w:r>
        <w:t xml:space="preserve"> </w:t>
      </w:r>
      <w:r>
        <w:rPr>
          <w:iCs/>
          <w:i/>
        </w:rPr>
        <w:t xml:space="preserve">Transl Psychiatry</w:t>
      </w:r>
      <w:r>
        <w:t xml:space="preserve"> </w:t>
      </w:r>
      <w:r>
        <w:t xml:space="preserve">· Oxytocin efficacy is modulated by dosage and oxytocin receptor genotype in young adults with high-functioning autism: a 24-week randomized clinical trial. PMID 27552585</w:t>
      </w:r>
    </w:p>
    <w:p>
      <w:pPr>
        <w:numPr>
          <w:ilvl w:val="0"/>
          <w:numId w:val="1418"/>
        </w:numPr>
        <w:pStyle w:val="Compact"/>
      </w:pPr>
      <w:r>
        <w:t xml:space="preserve">2016 · Zunhammer M ·</w:t>
      </w:r>
      <w:r>
        <w:t xml:space="preserve"> </w:t>
      </w:r>
      <w:r>
        <w:rPr>
          <w:iCs/>
          <w:i/>
        </w:rPr>
        <w:t xml:space="preserve">Sci Rep</w:t>
      </w:r>
      <w:r>
        <w:t xml:space="preserve"> </w:t>
      </w:r>
      <w:r>
        <w:t xml:space="preserve">· Pain modulation by intranasal oxytocin and emotional picture viewing - a randomized double-blind fMRI study. PMID 27546446</w:t>
      </w:r>
    </w:p>
    <w:p>
      <w:pPr>
        <w:numPr>
          <w:ilvl w:val="0"/>
          <w:numId w:val="1418"/>
        </w:numPr>
        <w:pStyle w:val="Compact"/>
      </w:pPr>
      <w:r>
        <w:t xml:space="preserve">2016 · Brambilla M ·</w:t>
      </w:r>
      <w:r>
        <w:t xml:space="preserve"> </w:t>
      </w:r>
      <w:r>
        <w:rPr>
          <w:iCs/>
          <w:i/>
        </w:rPr>
        <w:t xml:space="preserve">Eur Neuropsychopharmacol</w:t>
      </w:r>
      <w:r>
        <w:t xml:space="preserve"> </w:t>
      </w:r>
      <w:r>
        <w:t xml:space="preserve">· Oxytocin to modulate emotional processing in schizophrenia: A randomized, double-blind, cross-over clinical trial. PMID 27527256</w:t>
      </w:r>
    </w:p>
    <w:p>
      <w:pPr>
        <w:numPr>
          <w:ilvl w:val="0"/>
          <w:numId w:val="1418"/>
        </w:numPr>
        <w:pStyle w:val="Compact"/>
      </w:pPr>
      <w:r>
        <w:t xml:space="preserve">2016 · Kuppens RJ ·</w:t>
      </w:r>
      <w:r>
        <w:t xml:space="preserve"> </w:t>
      </w:r>
      <w:r>
        <w:rPr>
          <w:iCs/>
          <w:i/>
        </w:rPr>
        <w:t xml:space="preserve">Clin Endocrinol (Oxf)</w:t>
      </w:r>
      <w:r>
        <w:t xml:space="preserve"> </w:t>
      </w:r>
      <w:r>
        <w:t xml:space="preserve">· Promising effects of oxytocin on social and food-related behaviour in young children with Prader-Willi syndrome: a randomized, double-blind, controlled crossover trial. PMID 27486141</w:t>
      </w:r>
    </w:p>
    <w:p>
      <w:pPr>
        <w:numPr>
          <w:ilvl w:val="0"/>
          <w:numId w:val="1418"/>
        </w:numPr>
        <w:pStyle w:val="Compact"/>
      </w:pPr>
      <w:r>
        <w:t xml:space="preserve">2016 · Cardoso C ·</w:t>
      </w:r>
      <w:r>
        <w:t xml:space="preserve"> </w:t>
      </w:r>
      <w:r>
        <w:rPr>
          <w:iCs/>
          <w:i/>
        </w:rPr>
        <w:t xml:space="preserve">Psychoneuroendocrinology</w:t>
      </w:r>
      <w:r>
        <w:t xml:space="preserve"> </w:t>
      </w:r>
      <w:r>
        <w:t xml:space="preserve">· Oxytocin and social context moderate social support seeking in women during negative memory recall. PMID 27164224</w:t>
      </w:r>
    </w:p>
    <w:p>
      <w:pPr>
        <w:numPr>
          <w:ilvl w:val="0"/>
          <w:numId w:val="1418"/>
        </w:numPr>
        <w:pStyle w:val="Compact"/>
      </w:pPr>
      <w:r>
        <w:t xml:space="preserve">2016 · Mitchell JM ·</w:t>
      </w:r>
      <w:r>
        <w:t xml:space="preserve"> </w:t>
      </w:r>
      <w:r>
        <w:rPr>
          <w:iCs/>
          <w:i/>
        </w:rPr>
        <w:t xml:space="preserve">J Addict Med</w:t>
      </w:r>
      <w:r>
        <w:t xml:space="preserve"> </w:t>
      </w:r>
      <w:r>
        <w:t xml:space="preserve">· Intranasal Oxytocin Selectively Modulates Social Perception, Craving, and Approach Behavior in Subjects With Alcohol Use Disorder. PMID 27159342</w:t>
      </w:r>
    </w:p>
    <w:p>
      <w:pPr>
        <w:numPr>
          <w:ilvl w:val="0"/>
          <w:numId w:val="1418"/>
        </w:numPr>
        <w:pStyle w:val="Compact"/>
      </w:pPr>
      <w:r>
        <w:t xml:space="preserve">2016 · Woolley JD ·</w:t>
      </w:r>
      <w:r>
        <w:t xml:space="preserve"> </w:t>
      </w:r>
      <w:r>
        <w:rPr>
          <w:iCs/>
          <w:i/>
        </w:rPr>
        <w:t xml:space="preserve">Psychopharmacology (Berl)</w:t>
      </w:r>
      <w:r>
        <w:t xml:space="preserve"> </w:t>
      </w:r>
      <w:r>
        <w:t xml:space="preserve">· The effects of intranasal oxytocin in opioid-dependent individuals and healthy control subjects: a pilot study. PMID 27137199</w:t>
      </w:r>
    </w:p>
    <w:p>
      <w:pPr>
        <w:numPr>
          <w:ilvl w:val="0"/>
          <w:numId w:val="1418"/>
        </w:numPr>
        <w:pStyle w:val="Compact"/>
      </w:pPr>
      <w:r>
        <w:t xml:space="preserve">2016 · Quintana DS ·</w:t>
      </w:r>
      <w:r>
        <w:t xml:space="preserve"> </w:t>
      </w:r>
      <w:r>
        <w:rPr>
          <w:iCs/>
          <w:i/>
        </w:rPr>
        <w:t xml:space="preserve">Psychoneuroendocrinology</w:t>
      </w:r>
      <w:r>
        <w:t xml:space="preserve"> </w:t>
      </w:r>
      <w:r>
        <w:t xml:space="preserve">· Low dose intranasal oxytocin delivered with Breath Powered device dampens amygdala response to emotional stimuli: A peripheral effect-controlled within-subjects randomized dose-response fMRI trial. PMID 27107209</w:t>
      </w:r>
    </w:p>
    <w:p>
      <w:pPr>
        <w:numPr>
          <w:ilvl w:val="0"/>
          <w:numId w:val="1418"/>
        </w:numPr>
        <w:pStyle w:val="Compact"/>
      </w:pPr>
      <w:r>
        <w:t xml:space="preserve">2016 · Hertz U ·</w:t>
      </w:r>
      <w:r>
        <w:t xml:space="preserve"> </w:t>
      </w:r>
      <w:r>
        <w:rPr>
          <w:iCs/>
          <w:i/>
        </w:rPr>
        <w:t xml:space="preserve">PLoS One</w:t>
      </w:r>
      <w:r>
        <w:t xml:space="preserve"> </w:t>
      </w:r>
      <w:r>
        <w:t xml:space="preserve">· Oxytocin Effect on Collective Decision Making: A Randomized Placebo Controlled Study. PMID 27070542</w:t>
      </w:r>
    </w:p>
    <w:p>
      <w:pPr>
        <w:numPr>
          <w:ilvl w:val="0"/>
          <w:numId w:val="1418"/>
        </w:numPr>
        <w:pStyle w:val="Compact"/>
      </w:pPr>
      <w:r>
        <w:t xml:space="preserve">2016 · Cardoso C ·</w:t>
      </w:r>
      <w:r>
        <w:t xml:space="preserve"> </w:t>
      </w:r>
      <w:r>
        <w:rPr>
          <w:iCs/>
          <w:i/>
        </w:rPr>
        <w:t xml:space="preserve">Psychoneuroendocrinology</w:t>
      </w:r>
      <w:r>
        <w:t xml:space="preserve"> </w:t>
      </w:r>
      <w:r>
        <w:t xml:space="preserve">· Memory response to oxytocin predicts relationship dissolution over 18 months. PMID 26986091</w:t>
      </w:r>
    </w:p>
    <w:p>
      <w:pPr>
        <w:numPr>
          <w:ilvl w:val="0"/>
          <w:numId w:val="1418"/>
        </w:numPr>
        <w:pStyle w:val="Compact"/>
      </w:pPr>
      <w:r>
        <w:t xml:space="preserve">2016 · Colonnello V ·</w:t>
      </w:r>
      <w:r>
        <w:t xml:space="preserve"> </w:t>
      </w:r>
      <w:r>
        <w:rPr>
          <w:iCs/>
          <w:i/>
        </w:rPr>
        <w:t xml:space="preserve">Psychoneuroendocrinology</w:t>
      </w:r>
      <w:r>
        <w:t xml:space="preserve"> </w:t>
      </w:r>
      <w:r>
        <w:t xml:space="preserve">· As time goes by: Oxytocin influences the subjective perception of time in a social context. PMID 26945451</w:t>
      </w:r>
    </w:p>
    <w:p>
      <w:pPr>
        <w:numPr>
          <w:ilvl w:val="0"/>
          <w:numId w:val="1418"/>
        </w:numPr>
        <w:pStyle w:val="Compact"/>
      </w:pPr>
      <w:r>
        <w:t xml:space="preserve">2016 · Dagani J ·</w:t>
      </w:r>
      <w:r>
        <w:t xml:space="preserve"> </w:t>
      </w:r>
      <w:r>
        <w:rPr>
          <w:iCs/>
          <w:i/>
        </w:rPr>
        <w:t xml:space="preserve">Schizophr Res</w:t>
      </w:r>
      <w:r>
        <w:t xml:space="preserve"> </w:t>
      </w:r>
      <w:r>
        <w:t xml:space="preserve">· Do we need oxytocin to treat schizophrenia? A randomized clinical trial. PMID 26883950</w:t>
      </w:r>
    </w:p>
    <w:p>
      <w:pPr>
        <w:numPr>
          <w:ilvl w:val="0"/>
          <w:numId w:val="1418"/>
        </w:numPr>
        <w:pStyle w:val="Compact"/>
      </w:pPr>
      <w:r>
        <w:t xml:space="preserve">2016 · Nawijn L ·</w:t>
      </w:r>
      <w:r>
        <w:t xml:space="preserve"> </w:t>
      </w:r>
      <w:r>
        <w:rPr>
          <w:iCs/>
          <w:i/>
        </w:rPr>
        <w:t xml:space="preserve">Psychoneuroendocrinology</w:t>
      </w:r>
      <w:r>
        <w:t xml:space="preserve"> </w:t>
      </w:r>
      <w:r>
        <w:t xml:space="preserve">· Intranasal oxytocin enhances neural processing of monetary reward and loss in post-traumatic stress disorder and traumatized controls. PMID 26851698</w:t>
      </w:r>
    </w:p>
    <w:p>
      <w:pPr>
        <w:numPr>
          <w:ilvl w:val="0"/>
          <w:numId w:val="1418"/>
        </w:numPr>
        <w:pStyle w:val="Compact"/>
      </w:pPr>
      <w:r>
        <w:t xml:space="preserve">2016 · Koch SB ·</w:t>
      </w:r>
      <w:r>
        <w:t xml:space="preserve"> </w:t>
      </w:r>
      <w:r>
        <w:rPr>
          <w:iCs/>
          <w:i/>
        </w:rPr>
        <w:t xml:space="preserve">Neuropsychopharmacology</w:t>
      </w:r>
      <w:r>
        <w:t xml:space="preserve"> </w:t>
      </w:r>
      <w:r>
        <w:t xml:space="preserve">· Intranasal Oxytocin Normalizes Amygdala Functional Connectivity in Posttraumatic Stress Disorder. PMID 26741286</w:t>
      </w:r>
    </w:p>
    <w:p>
      <w:pPr>
        <w:numPr>
          <w:ilvl w:val="0"/>
          <w:numId w:val="1418"/>
        </w:numPr>
        <w:pStyle w:val="Compact"/>
      </w:pPr>
      <w:r>
        <w:t xml:space="preserve">2016 · Busnelli M ·</w:t>
      </w:r>
      <w:r>
        <w:t xml:space="preserve"> </w:t>
      </w:r>
      <w:r>
        <w:rPr>
          <w:iCs/>
          <w:i/>
        </w:rPr>
        <w:t xml:space="preserve">J Neuroendocrinol</w:t>
      </w:r>
      <w:r>
        <w:t xml:space="preserve"> </w:t>
      </w:r>
      <w:r>
        <w:t xml:space="preserve">· Unaltered Oxytocin and Vasopressin Plasma Levels in Patients with Schizophrenia After 4 Months of Daily Treatment with Intranasal Oxytocin. PMID 26715485</w:t>
      </w:r>
    </w:p>
    <w:p>
      <w:pPr>
        <w:numPr>
          <w:ilvl w:val="0"/>
          <w:numId w:val="1418"/>
        </w:numPr>
        <w:pStyle w:val="Compact"/>
      </w:pPr>
      <w:r>
        <w:t xml:space="preserve">2016 · Palgi S ·</w:t>
      </w:r>
      <w:r>
        <w:t xml:space="preserve"> </w:t>
      </w:r>
      <w:r>
        <w:rPr>
          <w:iCs/>
          <w:i/>
        </w:rPr>
        <w:t xml:space="preserve">Psychoneuroendocrinology</w:t>
      </w:r>
      <w:r>
        <w:t xml:space="preserve"> </w:t>
      </w:r>
      <w:r>
        <w:t xml:space="preserve">· Oxytocin improves compassion toward women among patients with PTSD. PMID 26671007</w:t>
      </w:r>
    </w:p>
    <w:p>
      <w:pPr>
        <w:numPr>
          <w:ilvl w:val="0"/>
          <w:numId w:val="1418"/>
        </w:numPr>
        <w:pStyle w:val="Compact"/>
      </w:pPr>
      <w:r>
        <w:t xml:space="preserve">2016 · Paloyelis Y ·</w:t>
      </w:r>
      <w:r>
        <w:t xml:space="preserve"> </w:t>
      </w:r>
      <w:r>
        <w:rPr>
          <w:iCs/>
          <w:i/>
        </w:rPr>
        <w:t xml:space="preserve">J Neuroendocrinol</w:t>
      </w:r>
      <w:r>
        <w:t xml:space="preserve"> </w:t>
      </w:r>
      <w:r>
        <w:t xml:space="preserve">· The Analgesic Effect of Oxytocin in Humans: A Double-Blind, Placebo-Controlled Cross-Over Study Using Laser-Evoked Potentials. PMID 26660859</w:t>
      </w:r>
    </w:p>
    <w:p>
      <w:pPr>
        <w:numPr>
          <w:ilvl w:val="0"/>
          <w:numId w:val="1418"/>
        </w:numPr>
        <w:pStyle w:val="Compact"/>
      </w:pPr>
      <w:r>
        <w:t xml:space="preserve">2016 · Koch SB ·</w:t>
      </w:r>
      <w:r>
        <w:t xml:space="preserve"> </w:t>
      </w:r>
      <w:r>
        <w:rPr>
          <w:iCs/>
          <w:i/>
        </w:rPr>
        <w:t xml:space="preserve">Neuropsychopharmacology</w:t>
      </w:r>
      <w:r>
        <w:t xml:space="preserve"> </w:t>
      </w:r>
      <w:r>
        <w:t xml:space="preserve">· Intranasal Oxytocin Administration Dampens Amygdala Reactivity towards Emotional Faces in Male and Female PTSD Patients. PMID 26404844</w:t>
      </w:r>
    </w:p>
    <w:p>
      <w:pPr>
        <w:numPr>
          <w:ilvl w:val="0"/>
          <w:numId w:val="1418"/>
        </w:numPr>
        <w:pStyle w:val="Compact"/>
      </w:pPr>
      <w:r>
        <w:t xml:space="preserve">2016 · Frijling JL ·</w:t>
      </w:r>
      <w:r>
        <w:t xml:space="preserve"> </w:t>
      </w:r>
      <w:r>
        <w:rPr>
          <w:iCs/>
          <w:i/>
        </w:rPr>
        <w:t xml:space="preserve">Soc Cogn Affect Neurosci</w:t>
      </w:r>
      <w:r>
        <w:t xml:space="preserve"> </w:t>
      </w:r>
      <w:r>
        <w:t xml:space="preserve">· Effects of intranasal oxytocin on amygdala reactivity to emotional faces in recently trauma-exposed individuals. PMID 26382634</w:t>
      </w:r>
    </w:p>
    <w:p>
      <w:pPr>
        <w:numPr>
          <w:ilvl w:val="0"/>
          <w:numId w:val="1418"/>
        </w:numPr>
        <w:pStyle w:val="Compact"/>
      </w:pPr>
      <w:r>
        <w:t xml:space="preserve">2016 · Frijling JL ·</w:t>
      </w:r>
      <w:r>
        <w:t xml:space="preserve"> </w:t>
      </w:r>
      <w:r>
        <w:rPr>
          <w:iCs/>
          <w:i/>
        </w:rPr>
        <w:t xml:space="preserve">Neuropsychopharmacology</w:t>
      </w:r>
      <w:r>
        <w:t xml:space="preserve"> </w:t>
      </w:r>
      <w:r>
        <w:t xml:space="preserve">· Intranasal Oxytocin Affects Amygdala Functional Connectivity after Trauma Script-Driven Imagery in Distressed Recently Trauma-Exposed Individuals. PMID 26346640</w:t>
      </w:r>
    </w:p>
    <w:p>
      <w:pPr>
        <w:numPr>
          <w:ilvl w:val="0"/>
          <w:numId w:val="1418"/>
        </w:numPr>
        <w:pStyle w:val="Compact"/>
      </w:pPr>
      <w:r>
        <w:t xml:space="preserve">2016 · Eckstein M ·</w:t>
      </w:r>
      <w:r>
        <w:t xml:space="preserve"> </w:t>
      </w:r>
      <w:r>
        <w:rPr>
          <w:iCs/>
          <w:i/>
        </w:rPr>
        <w:t xml:space="preserve">Neuropsychopharmacology</w:t>
      </w:r>
      <w:r>
        <w:t xml:space="preserve"> </w:t>
      </w:r>
      <w:r>
        <w:t xml:space="preserve">· Oxytocin Facilitates Pavlovian Fear Learning in Males. PMID 26272050</w:t>
      </w:r>
    </w:p>
    <w:p>
      <w:pPr>
        <w:numPr>
          <w:ilvl w:val="0"/>
          <w:numId w:val="1418"/>
        </w:numPr>
        <w:pStyle w:val="Compact"/>
      </w:pPr>
      <w:r>
        <w:t xml:space="preserve">2016 · Goodyear K ·</w:t>
      </w:r>
      <w:r>
        <w:t xml:space="preserve"> </w:t>
      </w:r>
      <w:r>
        <w:rPr>
          <w:iCs/>
          <w:i/>
        </w:rPr>
        <w:t xml:space="preserve">Soc Neurosci</w:t>
      </w:r>
      <w:r>
        <w:t xml:space="preserve"> </w:t>
      </w:r>
      <w:r>
        <w:t xml:space="preserve">· Oxytocin influences intuitions about the relationship between belief in free will and moral responsibility. PMID 25916658</w:t>
      </w:r>
    </w:p>
    <w:p>
      <w:pPr>
        <w:numPr>
          <w:ilvl w:val="0"/>
          <w:numId w:val="1418"/>
        </w:numPr>
        <w:pStyle w:val="Compact"/>
      </w:pPr>
      <w:r>
        <w:t xml:space="preserve">2015 · Daughters K ·</w:t>
      </w:r>
      <w:r>
        <w:t xml:space="preserve"> </w:t>
      </w:r>
      <w:r>
        <w:rPr>
          <w:iCs/>
          <w:i/>
        </w:rPr>
        <w:t xml:space="preserve">PLoS One</w:t>
      </w:r>
      <w:r>
        <w:t xml:space="preserve"> </w:t>
      </w:r>
      <w:r>
        <w:t xml:space="preserve">· Salivary Oxytocin Concentrations in Males following Intranasal Administration of Oxytocin: A Double-Blind, Cross-Over Study. PMID 26669935</w:t>
      </w:r>
    </w:p>
    <w:p>
      <w:pPr>
        <w:numPr>
          <w:ilvl w:val="0"/>
          <w:numId w:val="1418"/>
        </w:numPr>
        <w:pStyle w:val="Compact"/>
      </w:pPr>
      <w:r>
        <w:t xml:space="preserve">2015 · Kim YR ·</w:t>
      </w:r>
      <w:r>
        <w:t xml:space="preserve"> </w:t>
      </w:r>
      <w:r>
        <w:rPr>
          <w:iCs/>
          <w:i/>
        </w:rPr>
        <w:t xml:space="preserve">PLoS One</w:t>
      </w:r>
      <w:r>
        <w:t xml:space="preserve"> </w:t>
      </w:r>
      <w:r>
        <w:t xml:space="preserve">· The Impact of Oxytocin on Food Intake and Emotion Recognition in Patients with Eating Disorders: A Double Blind Single Dose Within-Subject Cross-Over Design. PMID 26402337</w:t>
      </w:r>
    </w:p>
    <w:p>
      <w:pPr>
        <w:numPr>
          <w:ilvl w:val="0"/>
          <w:numId w:val="1418"/>
        </w:numPr>
        <w:pStyle w:val="Compact"/>
      </w:pPr>
      <w:r>
        <w:t xml:space="preserve">2015 · Flanagan JC ·</w:t>
      </w:r>
      <w:r>
        <w:t xml:space="preserve"> </w:t>
      </w:r>
      <w:r>
        <w:rPr>
          <w:iCs/>
          <w:i/>
        </w:rPr>
        <w:t xml:space="preserve">Psychiatry Res</w:t>
      </w:r>
      <w:r>
        <w:t xml:space="preserve"> </w:t>
      </w:r>
      <w:r>
        <w:t xml:space="preserve">· Effects of adverse childhood experiences on the association between intranasal oxytocin and social stress reactivity among individuals with cocaine dependence. PMID 26231584</w:t>
      </w:r>
    </w:p>
    <w:p>
      <w:pPr>
        <w:numPr>
          <w:ilvl w:val="0"/>
          <w:numId w:val="1418"/>
        </w:numPr>
        <w:pStyle w:val="Compact"/>
      </w:pPr>
      <w:r>
        <w:t xml:space="preserve">2015 · Quintana DS ·</w:t>
      </w:r>
      <w:r>
        <w:t xml:space="preserve"> </w:t>
      </w:r>
      <w:r>
        <w:rPr>
          <w:iCs/>
          <w:i/>
        </w:rPr>
        <w:t xml:space="preserve">Transl Psychiatry</w:t>
      </w:r>
      <w:r>
        <w:t xml:space="preserve"> </w:t>
      </w:r>
      <w:r>
        <w:t xml:space="preserve">· Low-dose oxytocin delivered intranasally with Breath Powered device affects social-cognitive behavior: a randomized four-way crossover trial with nasal cavity dimension assessment. PMID 26171983</w:t>
      </w:r>
    </w:p>
    <w:p>
      <w:pPr>
        <w:numPr>
          <w:ilvl w:val="0"/>
          <w:numId w:val="1418"/>
        </w:numPr>
        <w:pStyle w:val="Compact"/>
      </w:pPr>
      <w:r>
        <w:t xml:space="preserve">2015 · Muin DA ·</w:t>
      </w:r>
      <w:r>
        <w:t xml:space="preserve"> </w:t>
      </w:r>
      <w:r>
        <w:rPr>
          <w:iCs/>
          <w:i/>
        </w:rPr>
        <w:t xml:space="preserve">Fertil Steril</w:t>
      </w:r>
      <w:r>
        <w:t xml:space="preserve"> </w:t>
      </w:r>
      <w:r>
        <w:t xml:space="preserve">· Effect of long-term intranasal oxytocin on sexual dysfunction in premenopausal and postmenopausal women: a randomized trial. PMID 26151620</w:t>
      </w:r>
    </w:p>
    <w:p>
      <w:pPr>
        <w:numPr>
          <w:ilvl w:val="0"/>
          <w:numId w:val="1418"/>
        </w:numPr>
        <w:pStyle w:val="Compact"/>
      </w:pPr>
      <w:r>
        <w:t xml:space="preserve">2015 · Huang Y ·</w:t>
      </w:r>
      <w:r>
        <w:t xml:space="preserve"> </w:t>
      </w:r>
      <w:r>
        <w:rPr>
          <w:iCs/>
          <w:i/>
        </w:rPr>
        <w:t xml:space="preserve">Psychoneuroendocrinology</w:t>
      </w:r>
      <w:r>
        <w:t xml:space="preserve"> </w:t>
      </w:r>
      <w:r>
        <w:t xml:space="preserve">· Oxytocin enhances implicit social conformity to both in-group and out-group opinions. PMID 26143536</w:t>
      </w:r>
    </w:p>
    <w:p>
      <w:pPr>
        <w:numPr>
          <w:ilvl w:val="0"/>
          <w:numId w:val="1418"/>
        </w:numPr>
        <w:pStyle w:val="Compact"/>
      </w:pPr>
      <w:r>
        <w:t xml:space="preserve">2015 · Bartz JA ·</w:t>
      </w:r>
      <w:r>
        <w:t xml:space="preserve"> </w:t>
      </w:r>
      <w:r>
        <w:rPr>
          <w:iCs/>
          <w:i/>
        </w:rPr>
        <w:t xml:space="preserve">Psychol Sci</w:t>
      </w:r>
      <w:r>
        <w:t xml:space="preserve"> </w:t>
      </w:r>
      <w:r>
        <w:t xml:space="preserve">· Differential Effects of Oxytocin on Agency and Communion for Anxiously and Avoidantly Attached Individuals. PMID 26122122</w:t>
      </w:r>
    </w:p>
    <w:p>
      <w:pPr>
        <w:numPr>
          <w:ilvl w:val="0"/>
          <w:numId w:val="1418"/>
        </w:numPr>
        <w:pStyle w:val="Compact"/>
      </w:pPr>
      <w:r>
        <w:t xml:space="preserve">2015 · Wirth MM ·</w:t>
      </w:r>
      <w:r>
        <w:t xml:space="preserve"> </w:t>
      </w:r>
      <w:r>
        <w:rPr>
          <w:iCs/>
          <w:i/>
        </w:rPr>
        <w:t xml:space="preserve">Neuropsychobiology</w:t>
      </w:r>
      <w:r>
        <w:t xml:space="preserve"> </w:t>
      </w:r>
      <w:r>
        <w:t xml:space="preserve">· Effects of intranasal oxytocin on steroid hormones in men and women. PMID 26044829</w:t>
      </w:r>
    </w:p>
    <w:p>
      <w:pPr>
        <w:numPr>
          <w:ilvl w:val="0"/>
          <w:numId w:val="1418"/>
        </w:numPr>
        <w:pStyle w:val="Compact"/>
      </w:pPr>
      <w:r>
        <w:t xml:space="preserve">2015 · Feng C ·</w:t>
      </w:r>
      <w:r>
        <w:t xml:space="preserve"> </w:t>
      </w:r>
      <w:r>
        <w:rPr>
          <w:iCs/>
          <w:i/>
        </w:rPr>
        <w:t xml:space="preserve">Neuropsychologia</w:t>
      </w:r>
      <w:r>
        <w:t xml:space="preserve"> </w:t>
      </w:r>
      <w:r>
        <w:t xml:space="preserve">· Neuroticism modulates the effects of intranasal vasopressin treatment on the neural response to positive and negative social interactions. PMID 25979609</w:t>
      </w:r>
    </w:p>
    <w:p>
      <w:pPr>
        <w:numPr>
          <w:ilvl w:val="0"/>
          <w:numId w:val="1418"/>
        </w:numPr>
        <w:pStyle w:val="Compact"/>
      </w:pPr>
      <w:r>
        <w:t xml:space="preserve">2015 · Lawson EA ·</w:t>
      </w:r>
      <w:r>
        <w:t xml:space="preserve"> </w:t>
      </w:r>
      <w:r>
        <w:rPr>
          <w:iCs/>
          <w:i/>
        </w:rPr>
        <w:t xml:space="preserve">Obesity (Silver Spring)</w:t>
      </w:r>
      <w:r>
        <w:t xml:space="preserve"> </w:t>
      </w:r>
      <w:r>
        <w:t xml:space="preserve">· Oxytocin reduces caloric intake in men. PMID 25865294</w:t>
      </w:r>
    </w:p>
    <w:p>
      <w:pPr>
        <w:numPr>
          <w:ilvl w:val="0"/>
          <w:numId w:val="1418"/>
        </w:numPr>
        <w:pStyle w:val="Compact"/>
      </w:pPr>
      <w:r>
        <w:t xml:space="preserve">2015 · Acheson DT ·</w:t>
      </w:r>
      <w:r>
        <w:t xml:space="preserve"> </w:t>
      </w:r>
      <w:r>
        <w:rPr>
          <w:iCs/>
          <w:i/>
        </w:rPr>
        <w:t xml:space="preserve">Depress Anxiety</w:t>
      </w:r>
      <w:r>
        <w:t xml:space="preserve"> </w:t>
      </w:r>
      <w:r>
        <w:t xml:space="preserve">· Intranasal oxytocin administration prior to exposure therapy for arachnophobia impedes treatment response. PMID 25826649</w:t>
      </w:r>
    </w:p>
    <w:p>
      <w:pPr>
        <w:numPr>
          <w:ilvl w:val="0"/>
          <w:numId w:val="1418"/>
        </w:numPr>
        <w:pStyle w:val="Compact"/>
      </w:pPr>
      <w:r>
        <w:t xml:space="preserve">2015 · Auyeung B ·</w:t>
      </w:r>
      <w:r>
        <w:t xml:space="preserve"> </w:t>
      </w:r>
      <w:r>
        <w:rPr>
          <w:iCs/>
          <w:i/>
        </w:rPr>
        <w:t xml:space="preserve">Transl Psychiatry</w:t>
      </w:r>
      <w:r>
        <w:t xml:space="preserve"> </w:t>
      </w:r>
      <w:r>
        <w:t xml:space="preserve">· Oxytocin increases eye contact during a real-time, naturalistic social interaction in males with and without autism. PMID 25668435</w:t>
      </w:r>
    </w:p>
    <w:p>
      <w:pPr>
        <w:numPr>
          <w:ilvl w:val="0"/>
          <w:numId w:val="1418"/>
        </w:numPr>
        <w:pStyle w:val="Compact"/>
      </w:pPr>
      <w:r>
        <w:t xml:space="preserve">2015 · Shin NY ·</w:t>
      </w:r>
      <w:r>
        <w:t xml:space="preserve"> </w:t>
      </w:r>
      <w:r>
        <w:rPr>
          <w:iCs/>
          <w:i/>
        </w:rPr>
        <w:t xml:space="preserve">Neuropsychopharmacology</w:t>
      </w:r>
      <w:r>
        <w:t xml:space="preserve"> </w:t>
      </w:r>
      <w:r>
        <w:t xml:space="preserve">· Effects of Oxytocin on Neural Response to Facial Expressions in Patients with Schizophrenia. PMID 25666311</w:t>
      </w:r>
    </w:p>
    <w:p>
      <w:pPr>
        <w:numPr>
          <w:ilvl w:val="0"/>
          <w:numId w:val="1418"/>
        </w:numPr>
        <w:pStyle w:val="Compact"/>
      </w:pPr>
      <w:r>
        <w:t xml:space="preserve">2015 · Zunhammer M ·</w:t>
      </w:r>
      <w:r>
        <w:t xml:space="preserve"> </w:t>
      </w:r>
      <w:r>
        <w:rPr>
          <w:iCs/>
          <w:i/>
        </w:rPr>
        <w:t xml:space="preserve">Psychosom Med</w:t>
      </w:r>
      <w:r>
        <w:t xml:space="preserve"> </w:t>
      </w:r>
      <w:r>
        <w:t xml:space="preserve">· Effects of intranasal oxytocin on thermal pain in healthy men: a randomized functional magnetic resonance imaging study. PMID 25647754</w:t>
      </w:r>
    </w:p>
    <w:p>
      <w:pPr>
        <w:numPr>
          <w:ilvl w:val="0"/>
          <w:numId w:val="1418"/>
        </w:numPr>
        <w:pStyle w:val="Compact"/>
      </w:pPr>
      <w:r>
        <w:t xml:space="preserve">2015 · Woolley JD ·</w:t>
      </w:r>
      <w:r>
        <w:t xml:space="preserve"> </w:t>
      </w:r>
      <w:r>
        <w:rPr>
          <w:iCs/>
          <w:i/>
        </w:rPr>
        <w:t xml:space="preserve">Psychoneuroendocrinology</w:t>
      </w:r>
      <w:r>
        <w:t xml:space="preserve"> </w:t>
      </w:r>
      <w:r>
        <w:t xml:space="preserve">· Oxytocin administration selectively improves olfactory detection thresholds for lyral in patients with schizophrenia. PMID 25637811</w:t>
      </w:r>
    </w:p>
    <w:p>
      <w:pPr>
        <w:numPr>
          <w:ilvl w:val="0"/>
          <w:numId w:val="1418"/>
        </w:numPr>
        <w:pStyle w:val="Compact"/>
      </w:pPr>
      <w:r>
        <w:t xml:space="preserve">2015 · Brüne M ·</w:t>
      </w:r>
      <w:r>
        <w:t xml:space="preserve"> </w:t>
      </w:r>
      <w:r>
        <w:rPr>
          <w:iCs/>
          <w:i/>
        </w:rPr>
        <w:t xml:space="preserve">J Nerv Ment Dis</w:t>
      </w:r>
      <w:r>
        <w:t xml:space="preserve"> </w:t>
      </w:r>
      <w:r>
        <w:t xml:space="preserve">· Nonverbal communication of patients with borderline personality disorder during clinical interviews: a double-blind placebo-controlled study using intranasal oxytocin. PMID 25594788</w:t>
      </w:r>
    </w:p>
    <w:p>
      <w:pPr>
        <w:numPr>
          <w:ilvl w:val="0"/>
          <w:numId w:val="1418"/>
        </w:numPr>
        <w:pStyle w:val="Compact"/>
      </w:pPr>
      <w:r>
        <w:t xml:space="preserve">2015 · Gregory R ·</w:t>
      </w:r>
      <w:r>
        <w:t xml:space="preserve"> </w:t>
      </w:r>
      <w:r>
        <w:rPr>
          <w:iCs/>
          <w:i/>
        </w:rPr>
        <w:t xml:space="preserve">Horm Behav</w:t>
      </w:r>
      <w:r>
        <w:t xml:space="preserve"> </w:t>
      </w:r>
      <w:r>
        <w:t xml:space="preserve">· Oxytocin increases VTA activation to infant and sexual stimuli in nulliparous and postpartum women. PMID 25562711</w:t>
      </w:r>
    </w:p>
    <w:p>
      <w:pPr>
        <w:numPr>
          <w:ilvl w:val="0"/>
          <w:numId w:val="1418"/>
        </w:numPr>
        <w:pStyle w:val="Compact"/>
      </w:pPr>
      <w:r>
        <w:t xml:space="preserve">2015 · Finger EC ·</w:t>
      </w:r>
      <w:r>
        <w:t xml:space="preserve"> </w:t>
      </w:r>
      <w:r>
        <w:rPr>
          <w:iCs/>
          <w:i/>
        </w:rPr>
        <w:t xml:space="preserve">Neurology</w:t>
      </w:r>
      <w:r>
        <w:t xml:space="preserve"> </w:t>
      </w:r>
      <w:r>
        <w:t xml:space="preserve">· Oxytocin for frontotemporal dementia: a randomized dose-finding study of safety and tolerability. PMID 25503617</w:t>
      </w:r>
    </w:p>
    <w:p>
      <w:pPr>
        <w:numPr>
          <w:ilvl w:val="0"/>
          <w:numId w:val="1418"/>
        </w:numPr>
        <w:pStyle w:val="Compact"/>
      </w:pPr>
      <w:r>
        <w:t xml:space="preserve">2015 · Edelson MG ·</w:t>
      </w:r>
      <w:r>
        <w:t xml:space="preserve"> </w:t>
      </w:r>
      <w:r>
        <w:rPr>
          <w:iCs/>
          <w:i/>
        </w:rPr>
        <w:t xml:space="preserve">Neuropsychopharmacology</w:t>
      </w:r>
      <w:r>
        <w:t xml:space="preserve"> </w:t>
      </w:r>
      <w:r>
        <w:t xml:space="preserve">· Opposing effects of oxytocin on overt compliance and lasting changes to memory. PMID 25308350</w:t>
      </w:r>
    </w:p>
    <w:p>
      <w:pPr>
        <w:numPr>
          <w:ilvl w:val="0"/>
          <w:numId w:val="1418"/>
        </w:numPr>
        <w:pStyle w:val="Compact"/>
      </w:pPr>
      <w:r>
        <w:t xml:space="preserve">2015 · Scantamburlo G ·</w:t>
      </w:r>
      <w:r>
        <w:t xml:space="preserve"> </w:t>
      </w:r>
      <w:r>
        <w:rPr>
          <w:iCs/>
          <w:i/>
        </w:rPr>
        <w:t xml:space="preserve">Eur Psychiatry</w:t>
      </w:r>
      <w:r>
        <w:t xml:space="preserve"> </w:t>
      </w:r>
      <w:r>
        <w:t xml:space="preserve">· Additional intranasal oxytocin to escitalopram improves depressive symptoms in resistant depression: an open trial. PMID 25282363</w:t>
      </w:r>
    </w:p>
    <w:p>
      <w:pPr>
        <w:numPr>
          <w:ilvl w:val="0"/>
          <w:numId w:val="1418"/>
        </w:numPr>
        <w:pStyle w:val="Compact"/>
      </w:pPr>
      <w:r>
        <w:t xml:space="preserve">2015 · Guastella AJ ·</w:t>
      </w:r>
      <w:r>
        <w:t xml:space="preserve"> </w:t>
      </w:r>
      <w:r>
        <w:rPr>
          <w:iCs/>
          <w:i/>
        </w:rPr>
        <w:t xml:space="preserve">J Child Psychol Psychiatry</w:t>
      </w:r>
      <w:r>
        <w:t xml:space="preserve"> </w:t>
      </w:r>
      <w:r>
        <w:t xml:space="preserve">· The effects of a course of intranasal oxytocin on social behaviors in youth diagnosed with autism spectrum disorders: a randomized controlled trial. PMID 25087908</w:t>
      </w:r>
    </w:p>
    <w:p>
      <w:pPr>
        <w:numPr>
          <w:ilvl w:val="0"/>
          <w:numId w:val="1418"/>
        </w:numPr>
        <w:pStyle w:val="Compact"/>
      </w:pPr>
      <w:r>
        <w:t xml:space="preserve">2015 · Aoki Y ·</w:t>
      </w:r>
      <w:r>
        <w:t xml:space="preserve"> </w:t>
      </w:r>
      <w:r>
        <w:rPr>
          <w:iCs/>
          <w:i/>
        </w:rPr>
        <w:t xml:space="preserve">Mol Psychiatry</w:t>
      </w:r>
      <w:r>
        <w:t xml:space="preserve"> </w:t>
      </w:r>
      <w:r>
        <w:t xml:space="preserve">· Oxytocin’s neurochemical effects in the medial prefrontal cortex underlie recovery of task-specific brain activity in autism: a randomized controlled trial. PMID 25070538</w:t>
      </w:r>
    </w:p>
    <w:p>
      <w:pPr>
        <w:numPr>
          <w:ilvl w:val="0"/>
          <w:numId w:val="1418"/>
        </w:numPr>
        <w:pStyle w:val="Compact"/>
      </w:pPr>
      <w:r>
        <w:t xml:space="preserve">2014 · Kumar J ·</w:t>
      </w:r>
      <w:r>
        <w:t xml:space="preserve"> </w:t>
      </w:r>
      <w:r>
        <w:rPr>
          <w:iCs/>
          <w:i/>
        </w:rPr>
        <w:t xml:space="preserve">Int J Neuropsychopharmacol</w:t>
      </w:r>
      <w:r>
        <w:t xml:space="preserve"> </w:t>
      </w:r>
      <w:r>
        <w:t xml:space="preserve">· Oxytocin affects the connectivity of the precuneus and the amygdala: a randomized, double-blinded, placebo-controlled neuroimaging trial. PMID 25522395</w:t>
      </w:r>
    </w:p>
    <w:p>
      <w:pPr>
        <w:numPr>
          <w:ilvl w:val="0"/>
          <w:numId w:val="1418"/>
        </w:numPr>
        <w:pStyle w:val="Compact"/>
      </w:pPr>
      <w:r>
        <w:t xml:space="preserve">2014 · Colonnello V ·</w:t>
      </w:r>
      <w:r>
        <w:t xml:space="preserve"> </w:t>
      </w:r>
      <w:r>
        <w:rPr>
          <w:iCs/>
          <w:i/>
        </w:rPr>
        <w:t xml:space="preserve">J Psychosom Res</w:t>
      </w:r>
      <w:r>
        <w:t xml:space="preserve"> </w:t>
      </w:r>
      <w:r>
        <w:t xml:space="preserve">· Intranasal oxytocin enhances positive self-attribution in healthy men. PMID 25439340</w:t>
      </w:r>
    </w:p>
    <w:p>
      <w:pPr>
        <w:numPr>
          <w:ilvl w:val="0"/>
          <w:numId w:val="1418"/>
        </w:numPr>
        <w:pStyle w:val="Compact"/>
      </w:pPr>
      <w:r>
        <w:t xml:space="preserve">2014 · Horta de Macedo LR ·</w:t>
      </w:r>
      <w:r>
        <w:t xml:space="preserve"> </w:t>
      </w:r>
      <w:r>
        <w:rPr>
          <w:iCs/>
          <w:i/>
        </w:rPr>
        <w:t xml:space="preserve">Psychiatry Res</w:t>
      </w:r>
      <w:r>
        <w:t xml:space="preserve"> </w:t>
      </w:r>
      <w:r>
        <w:t xml:space="preserve">· Oxytocin does not improve performance of patients with schizophrenia and healthy volunteers in a facial emotion matching task. PMID 25190346</w:t>
      </w:r>
    </w:p>
    <w:p>
      <w:pPr>
        <w:numPr>
          <w:ilvl w:val="0"/>
          <w:numId w:val="1418"/>
        </w:numPr>
        <w:pStyle w:val="Compact"/>
      </w:pPr>
      <w:r>
        <w:t xml:space="preserve">2014 · Lee MR ·</w:t>
      </w:r>
      <w:r>
        <w:t xml:space="preserve"> </w:t>
      </w:r>
      <w:r>
        <w:rPr>
          <w:iCs/>
          <w:i/>
        </w:rPr>
        <w:t xml:space="preserve">Eur Neuropsychopharmacol</w:t>
      </w:r>
      <w:r>
        <w:t xml:space="preserve"> </w:t>
      </w:r>
      <w:r>
        <w:t xml:space="preserve">· Complexity of oxytocin׳s effects in a chronic cocaine dependent population. PMID 25044050</w:t>
      </w:r>
    </w:p>
    <w:p>
      <w:pPr>
        <w:numPr>
          <w:ilvl w:val="0"/>
          <w:numId w:val="1418"/>
        </w:numPr>
        <w:pStyle w:val="Compact"/>
      </w:pPr>
      <w:r>
        <w:t xml:space="preserve">2014 · Woolley JD ·</w:t>
      </w:r>
      <w:r>
        <w:t xml:space="preserve"> </w:t>
      </w:r>
      <w:r>
        <w:rPr>
          <w:iCs/>
          <w:i/>
        </w:rPr>
        <w:t xml:space="preserve">Psychoneuroendocrinology</w:t>
      </w:r>
      <w:r>
        <w:t xml:space="preserve"> </w:t>
      </w:r>
      <w:r>
        <w:t xml:space="preserve">· Oxytocin administration enhances controlled social cognition in patients with schizophrenia. PMID 25001961</w:t>
      </w:r>
    </w:p>
    <w:p>
      <w:pPr>
        <w:numPr>
          <w:ilvl w:val="0"/>
          <w:numId w:val="1418"/>
        </w:numPr>
        <w:pStyle w:val="Compact"/>
      </w:pPr>
      <w:r>
        <w:t xml:space="preserve">2014 · Einfeld SL ·</w:t>
      </w:r>
      <w:r>
        <w:t xml:space="preserve"> </w:t>
      </w:r>
      <w:r>
        <w:rPr>
          <w:iCs/>
          <w:i/>
        </w:rPr>
        <w:t xml:space="preserve">Am J Med Genet A</w:t>
      </w:r>
      <w:r>
        <w:t xml:space="preserve"> </w:t>
      </w:r>
      <w:r>
        <w:t xml:space="preserve">· A double-blind randomized controlled trial of oxytocin nasal spray in Prader Willi syndrome. PMID 24980612</w:t>
      </w:r>
    </w:p>
    <w:p>
      <w:pPr>
        <w:numPr>
          <w:ilvl w:val="0"/>
          <w:numId w:val="1418"/>
        </w:numPr>
        <w:pStyle w:val="Compact"/>
      </w:pPr>
      <w:r>
        <w:t xml:space="preserve">2014 · Rash JA ·</w:t>
      </w:r>
      <w:r>
        <w:t xml:space="preserve"> </w:t>
      </w:r>
      <w:r>
        <w:rPr>
          <w:iCs/>
          <w:i/>
        </w:rPr>
        <w:t xml:space="preserve">Psychosom Med</w:t>
      </w:r>
      <w:r>
        <w:t xml:space="preserve"> </w:t>
      </w:r>
      <w:r>
        <w:t xml:space="preserve">· The effect of intranasal oxytocin administration on acute cold pressor pain: a placebo-controlled, double-blind, within-participants crossover investigation. PMID 24979580</w:t>
      </w:r>
    </w:p>
    <w:p>
      <w:pPr>
        <w:numPr>
          <w:ilvl w:val="0"/>
          <w:numId w:val="1418"/>
        </w:numPr>
        <w:pStyle w:val="Compact"/>
      </w:pPr>
      <w:r>
        <w:t xml:space="preserve">2014 · Bhandari R ·</w:t>
      </w:r>
      <w:r>
        <w:t xml:space="preserve"> </w:t>
      </w:r>
      <w:r>
        <w:rPr>
          <w:iCs/>
          <w:i/>
        </w:rPr>
        <w:t xml:space="preserve">Soc Neurosci</w:t>
      </w:r>
      <w:r>
        <w:t xml:space="preserve"> </w:t>
      </w:r>
      <w:r>
        <w:t xml:space="preserve">· Effects of intranasal oxytocin administration on memory for infant cues: moderation by childhood emotional maltreatment. PMID 24968101</w:t>
      </w:r>
    </w:p>
    <w:p>
      <w:pPr>
        <w:numPr>
          <w:ilvl w:val="0"/>
          <w:numId w:val="1418"/>
        </w:numPr>
        <w:pStyle w:val="Compact"/>
      </w:pPr>
      <w:r>
        <w:t xml:space="preserve">2014 · Yao S ·</w:t>
      </w:r>
      <w:r>
        <w:t xml:space="preserve"> </w:t>
      </w:r>
      <w:r>
        <w:rPr>
          <w:iCs/>
          <w:i/>
        </w:rPr>
        <w:t xml:space="preserve">Int J Neuropsychopharmacol</w:t>
      </w:r>
      <w:r>
        <w:t xml:space="preserve"> </w:t>
      </w:r>
      <w:r>
        <w:t xml:space="preserve">· Oxytocin makes females, but not males, less forgiving following betrayal of trust. PMID 24916520</w:t>
      </w:r>
    </w:p>
    <w:p>
      <w:pPr>
        <w:numPr>
          <w:ilvl w:val="0"/>
          <w:numId w:val="1418"/>
        </w:numPr>
        <w:pStyle w:val="Compact"/>
      </w:pPr>
      <w:r>
        <w:t xml:space="preserve">2014 · Hoge EA ·</w:t>
      </w:r>
      <w:r>
        <w:t xml:space="preserve"> </w:t>
      </w:r>
      <w:r>
        <w:rPr>
          <w:iCs/>
          <w:i/>
        </w:rPr>
        <w:t xml:space="preserve">Hum Psychopharmacol</w:t>
      </w:r>
      <w:r>
        <w:t xml:space="preserve"> </w:t>
      </w:r>
      <w:r>
        <w:t xml:space="preserve">· Gender moderates the effect of oxytocin on social judgments. PMID 24911580</w:t>
      </w:r>
    </w:p>
    <w:p>
      <w:pPr>
        <w:numPr>
          <w:ilvl w:val="0"/>
          <w:numId w:val="1418"/>
        </w:numPr>
        <w:pStyle w:val="Compact"/>
      </w:pPr>
      <w:r>
        <w:t xml:space="preserve">2014 · Kirkpatrick MG ·</w:t>
      </w:r>
      <w:r>
        <w:t xml:space="preserve"> </w:t>
      </w:r>
      <w:r>
        <w:rPr>
          <w:iCs/>
          <w:i/>
        </w:rPr>
        <w:t xml:space="preserve">Psychoneuroendocrinology</w:t>
      </w:r>
      <w:r>
        <w:t xml:space="preserve"> </w:t>
      </w:r>
      <w:r>
        <w:t xml:space="preserve">· Plasma oxytocin concentrations following MDMA or intranasal oxytocin in humans. PMID 24882155</w:t>
      </w:r>
    </w:p>
    <w:p>
      <w:pPr>
        <w:numPr>
          <w:ilvl w:val="0"/>
          <w:numId w:val="1418"/>
        </w:numPr>
        <w:pStyle w:val="Compact"/>
      </w:pPr>
      <w:r>
        <w:t xml:space="preserve">2014 · Gibson CM ·</w:t>
      </w:r>
      <w:r>
        <w:t xml:space="preserve"> </w:t>
      </w:r>
      <w:r>
        <w:rPr>
          <w:iCs/>
          <w:i/>
        </w:rPr>
        <w:t xml:space="preserve">Schizophr Res</w:t>
      </w:r>
      <w:r>
        <w:t xml:space="preserve"> </w:t>
      </w:r>
      <w:r>
        <w:t xml:space="preserve">· A pilot six-week randomized controlled trial of oxytocin on social cognition and social skills in schizophrenia. PMID 24799299</w:t>
      </w:r>
    </w:p>
    <w:p>
      <w:pPr>
        <w:numPr>
          <w:ilvl w:val="0"/>
          <w:numId w:val="1418"/>
        </w:numPr>
        <w:pStyle w:val="Compact"/>
      </w:pPr>
      <w:r>
        <w:t xml:space="preserve">2014 · Frijling JL ·</w:t>
      </w:r>
      <w:r>
        <w:t xml:space="preserve"> </w:t>
      </w:r>
      <w:r>
        <w:rPr>
          <w:iCs/>
          <w:i/>
        </w:rPr>
        <w:t xml:space="preserve">BMC Psychiatry</w:t>
      </w:r>
      <w:r>
        <w:t xml:space="preserve"> </w:t>
      </w:r>
      <w:r>
        <w:t xml:space="preserve">· Efficacy of oxytocin administration early after psychotrauma in preventing the development of PTSD: study protocol of a randomized controlled trial. PMID 24679046</w:t>
      </w:r>
    </w:p>
    <w:p>
      <w:pPr>
        <w:numPr>
          <w:ilvl w:val="0"/>
          <w:numId w:val="1418"/>
        </w:numPr>
        <w:pStyle w:val="Compact"/>
      </w:pPr>
      <w:r>
        <w:t xml:space="preserve">2014 · Davis MC ·</w:t>
      </w:r>
      <w:r>
        <w:t xml:space="preserve"> </w:t>
      </w:r>
      <w:r>
        <w:rPr>
          <w:iCs/>
          <w:i/>
        </w:rPr>
        <w:t xml:space="preserve">Neuropsychopharmacology</w:t>
      </w:r>
      <w:r>
        <w:t xml:space="preserve"> </w:t>
      </w:r>
      <w:r>
        <w:t xml:space="preserve">· Oxytocin-augmented social cognitive skills training in schizophrenia. PMID 24637803</w:t>
      </w:r>
    </w:p>
    <w:p>
      <w:pPr>
        <w:numPr>
          <w:ilvl w:val="0"/>
          <w:numId w:val="1418"/>
        </w:numPr>
        <w:pStyle w:val="Compact"/>
      </w:pPr>
      <w:r>
        <w:t xml:space="preserve">2014 · Kim YR ·</w:t>
      </w:r>
      <w:r>
        <w:t xml:space="preserve"> </w:t>
      </w:r>
      <w:r>
        <w:rPr>
          <w:iCs/>
          <w:i/>
        </w:rPr>
        <w:t xml:space="preserve">PLoS One</w:t>
      </w:r>
      <w:r>
        <w:t xml:space="preserve"> </w:t>
      </w:r>
      <w:r>
        <w:t xml:space="preserve">· The impact of intranasal oxytocin on attention to social emotional stimuli in patients with anorexia nervosa: a double blind within-subject cross-over experiment. PMID 24603863</w:t>
      </w:r>
    </w:p>
    <w:p>
      <w:pPr>
        <w:numPr>
          <w:ilvl w:val="0"/>
          <w:numId w:val="1418"/>
        </w:numPr>
        <w:pStyle w:val="Compact"/>
      </w:pPr>
      <w:r>
        <w:t xml:space="preserve">2014 · Behnia B ·</w:t>
      </w:r>
      <w:r>
        <w:t xml:space="preserve"> </w:t>
      </w:r>
      <w:r>
        <w:rPr>
          <w:iCs/>
          <w:i/>
        </w:rPr>
        <w:t xml:space="preserve">Horm Behav</w:t>
      </w:r>
      <w:r>
        <w:t xml:space="preserve"> </w:t>
      </w:r>
      <w:r>
        <w:t xml:space="preserve">· Differential effects of intranasal oxytocin on sexual experiences and partner interactions in couples. PMID 24503174</w:t>
      </w:r>
    </w:p>
    <w:p>
      <w:pPr>
        <w:numPr>
          <w:ilvl w:val="0"/>
          <w:numId w:val="1418"/>
        </w:numPr>
        <w:pStyle w:val="Compact"/>
      </w:pPr>
      <w:r>
        <w:t xml:space="preserve">2014 · Riem MM ·</w:t>
      </w:r>
      <w:r>
        <w:t xml:space="preserve"> </w:t>
      </w:r>
      <w:r>
        <w:rPr>
          <w:iCs/>
          <w:i/>
        </w:rPr>
        <w:t xml:space="preserve">Prog Neuropsychopharmacol Biol Psychiatry</w:t>
      </w:r>
      <w:r>
        <w:t xml:space="preserve"> </w:t>
      </w:r>
      <w:r>
        <w:t xml:space="preserve">· Oxytocin effects on mind-reading are moderated by experiences of maternal love withdrawal: an fMRI study. PMID 24486563</w:t>
      </w:r>
    </w:p>
    <w:p>
      <w:pPr>
        <w:numPr>
          <w:ilvl w:val="0"/>
          <w:numId w:val="1418"/>
        </w:numPr>
        <w:pStyle w:val="Compact"/>
      </w:pPr>
      <w:r>
        <w:t xml:space="preserve">2014 · Kirkpatrick MG ·</w:t>
      </w:r>
      <w:r>
        <w:t xml:space="preserve"> </w:t>
      </w:r>
      <w:r>
        <w:rPr>
          <w:iCs/>
          <w:i/>
        </w:rPr>
        <w:t xml:space="preserve">Neuropsychopharmacology</w:t>
      </w:r>
      <w:r>
        <w:t xml:space="preserve"> </w:t>
      </w:r>
      <w:r>
        <w:t xml:space="preserve">· Effects of MDMA and Intranasal oxytocin on social and emotional processing. PMID 24448644</w:t>
      </w:r>
    </w:p>
    <w:p>
      <w:pPr>
        <w:numPr>
          <w:ilvl w:val="0"/>
          <w:numId w:val="1418"/>
        </w:numPr>
        <w:pStyle w:val="Compact"/>
      </w:pPr>
      <w:r>
        <w:t xml:space="preserve">2014 · Cardoso C ·</w:t>
      </w:r>
      <w:r>
        <w:t xml:space="preserve"> </w:t>
      </w:r>
      <w:r>
        <w:rPr>
          <w:iCs/>
          <w:i/>
        </w:rPr>
        <w:t xml:space="preserve">Soc Neurosci</w:t>
      </w:r>
      <w:r>
        <w:t xml:space="preserve"> </w:t>
      </w:r>
      <w:r>
        <w:t xml:space="preserve">· Oxytocin and enhancement of the positive valence of social affiliation memories: an autobiographical memory study. PMID 24387003</w:t>
      </w:r>
    </w:p>
    <w:p>
      <w:pPr>
        <w:numPr>
          <w:ilvl w:val="0"/>
          <w:numId w:val="1418"/>
        </w:numPr>
        <w:pStyle w:val="Compact"/>
      </w:pPr>
      <w:r>
        <w:t xml:space="preserve">2014 · Watanabe T ·</w:t>
      </w:r>
      <w:r>
        <w:t xml:space="preserve"> </w:t>
      </w:r>
      <w:r>
        <w:rPr>
          <w:iCs/>
          <w:i/>
        </w:rPr>
        <w:t xml:space="preserve">JAMA Psychiatry</w:t>
      </w:r>
      <w:r>
        <w:t xml:space="preserve"> </w:t>
      </w:r>
      <w:r>
        <w:t xml:space="preserve">· Mitigation of sociocommunicational deficits of autism through oxytocin-induced recovery of medial prefrontal activity: a randomized trial. PMID 24352377</w:t>
      </w:r>
    </w:p>
    <w:p>
      <w:pPr>
        <w:numPr>
          <w:ilvl w:val="0"/>
          <w:numId w:val="1418"/>
        </w:numPr>
        <w:pStyle w:val="Compact"/>
      </w:pPr>
      <w:r>
        <w:t xml:space="preserve">2014 · Cardoso C ·</w:t>
      </w:r>
      <w:r>
        <w:t xml:space="preserve"> </w:t>
      </w:r>
      <w:r>
        <w:rPr>
          <w:iCs/>
          <w:i/>
        </w:rPr>
        <w:t xml:space="preserve">Emotion</w:t>
      </w:r>
      <w:r>
        <w:t xml:space="preserve"> </w:t>
      </w:r>
      <w:r>
        <w:t xml:space="preserve">· The effect of intranasal oxytocin on perceiving and understanding emotion on the Mayer-Salovey-Caruso Emotional Intelligence Test (MSCEIT). PMID 24188065</w:t>
      </w:r>
    </w:p>
    <w:p>
      <w:pPr>
        <w:numPr>
          <w:ilvl w:val="0"/>
          <w:numId w:val="1418"/>
        </w:numPr>
        <w:pStyle w:val="Compact"/>
      </w:pPr>
      <w:r>
        <w:t xml:space="preserve">2014 · Rilling JK ·</w:t>
      </w:r>
      <w:r>
        <w:t xml:space="preserve"> </w:t>
      </w:r>
      <w:r>
        <w:rPr>
          <w:iCs/>
          <w:i/>
        </w:rPr>
        <w:t xml:space="preserve">Psychoneuroendocrinology</w:t>
      </w:r>
      <w:r>
        <w:t xml:space="preserve"> </w:t>
      </w:r>
      <w:r>
        <w:t xml:space="preserve">· Sex differences in the neural and behavioral response to intranasal oxytocin and vasopressin during human social interaction. PMID 24157401</w:t>
      </w:r>
    </w:p>
    <w:p>
      <w:pPr>
        <w:numPr>
          <w:ilvl w:val="0"/>
          <w:numId w:val="1418"/>
        </w:numPr>
        <w:pStyle w:val="Compact"/>
      </w:pPr>
      <w:r>
        <w:t xml:space="preserve">2014 · Domes G ·</w:t>
      </w:r>
      <w:r>
        <w:t xml:space="preserve"> </w:t>
      </w:r>
      <w:r>
        <w:rPr>
          <w:iCs/>
          <w:i/>
        </w:rPr>
        <w:t xml:space="preserve">Neuropsychopharmacology</w:t>
      </w:r>
      <w:r>
        <w:t xml:space="preserve"> </w:t>
      </w:r>
      <w:r>
        <w:t xml:space="preserve">· Oxytocin promotes facial emotion recognition and amygdala reactivity in adults with asperger syndrome. PMID 24067301</w:t>
      </w:r>
    </w:p>
    <w:p>
      <w:pPr>
        <w:numPr>
          <w:ilvl w:val="0"/>
          <w:numId w:val="1418"/>
        </w:numPr>
        <w:pStyle w:val="Compact"/>
      </w:pPr>
      <w:r>
        <w:t xml:space="preserve">2014 · Dadds MR ·</w:t>
      </w:r>
      <w:r>
        <w:t xml:space="preserve"> </w:t>
      </w:r>
      <w:r>
        <w:rPr>
          <w:iCs/>
          <w:i/>
        </w:rPr>
        <w:t xml:space="preserve">J Autism Dev Disord</w:t>
      </w:r>
      <w:r>
        <w:t xml:space="preserve"> </w:t>
      </w:r>
      <w:r>
        <w:t xml:space="preserve">· Nasal oxytocin for social deficits in childhood autism: a randomized controlled trial. PMID 23888359</w:t>
      </w:r>
    </w:p>
    <w:p>
      <w:pPr>
        <w:numPr>
          <w:ilvl w:val="0"/>
          <w:numId w:val="1418"/>
        </w:numPr>
        <w:pStyle w:val="Compact"/>
      </w:pPr>
      <w:r>
        <w:t xml:space="preserve">2014 · Rupp HA ·</w:t>
      </w:r>
      <w:r>
        <w:t xml:space="preserve"> </w:t>
      </w:r>
      <w:r>
        <w:rPr>
          <w:iCs/>
          <w:i/>
        </w:rPr>
        <w:t xml:space="preserve">Soc Cogn Affect Neurosci</w:t>
      </w:r>
      <w:r>
        <w:t xml:space="preserve"> </w:t>
      </w:r>
      <w:r>
        <w:t xml:space="preserve">· Amygdala response to negative images in postpartum vs nulliparous women and intranasal oxytocin. PMID 22956670</w:t>
      </w:r>
    </w:p>
    <w:p>
      <w:pPr>
        <w:numPr>
          <w:ilvl w:val="0"/>
          <w:numId w:val="1418"/>
        </w:numPr>
        <w:pStyle w:val="Compact"/>
      </w:pPr>
      <w:r>
        <w:t xml:space="preserve">2013 · Striepens N ·</w:t>
      </w:r>
      <w:r>
        <w:t xml:space="preserve"> </w:t>
      </w:r>
      <w:r>
        <w:rPr>
          <w:iCs/>
          <w:i/>
        </w:rPr>
        <w:t xml:space="preserve">Sci Rep</w:t>
      </w:r>
      <w:r>
        <w:t xml:space="preserve"> </w:t>
      </w:r>
      <w:r>
        <w:t xml:space="preserve">· Elevated cerebrospinal fluid and blood concentrations of oxytocin following its intranasal administration in humans. PMID 24310737</w:t>
      </w:r>
    </w:p>
    <w:p>
      <w:pPr>
        <w:numPr>
          <w:ilvl w:val="0"/>
          <w:numId w:val="1418"/>
        </w:numPr>
        <w:pStyle w:val="Compact"/>
      </w:pPr>
      <w:r>
        <w:t xml:space="preserve">2013 · Montag C ·</w:t>
      </w:r>
      <w:r>
        <w:t xml:space="preserve"> </w:t>
      </w:r>
      <w:r>
        <w:rPr>
          <w:iCs/>
          <w:i/>
        </w:rPr>
        <w:t xml:space="preserve">Eur Arch Psychiatry Clin Neurosci</w:t>
      </w:r>
      <w:r>
        <w:t xml:space="preserve"> </w:t>
      </w:r>
      <w:r>
        <w:t xml:space="preserve">· An interaction between oxytocin and a genetic variation of the oxytocin receptor modulates amygdala activity toward direct gaze: evidence from a pharmacological imaging genetics study. PMID 24071915</w:t>
      </w:r>
    </w:p>
    <w:p>
      <w:pPr>
        <w:numPr>
          <w:ilvl w:val="0"/>
          <w:numId w:val="1418"/>
        </w:numPr>
        <w:pStyle w:val="Compact"/>
      </w:pPr>
      <w:r>
        <w:t xml:space="preserve">2013 · Ebert A ·</w:t>
      </w:r>
      <w:r>
        <w:t xml:space="preserve"> </w:t>
      </w:r>
      <w:r>
        <w:rPr>
          <w:iCs/>
          <w:i/>
        </w:rPr>
        <w:t xml:space="preserve">Soc Neurosci</w:t>
      </w:r>
      <w:r>
        <w:t xml:space="preserve"> </w:t>
      </w:r>
      <w:r>
        <w:t xml:space="preserve">· Modulation of interpersonal trust in borderline personality disorder by intranasal oxytocin and childhood trauma. PMID 23802121</w:t>
      </w:r>
    </w:p>
    <w:p>
      <w:pPr>
        <w:numPr>
          <w:ilvl w:val="0"/>
          <w:numId w:val="1418"/>
        </w:numPr>
        <w:pStyle w:val="Compact"/>
      </w:pPr>
      <w:r>
        <w:t xml:space="preserve">2013 · Cardoso C ·</w:t>
      </w:r>
      <w:r>
        <w:t xml:space="preserve"> </w:t>
      </w:r>
      <w:r>
        <w:rPr>
          <w:iCs/>
          <w:i/>
        </w:rPr>
        <w:t xml:space="preserve">Psychoneuroendocrinology</w:t>
      </w:r>
      <w:r>
        <w:t xml:space="preserve"> </w:t>
      </w:r>
      <w:r>
        <w:t xml:space="preserve">· Stress-induced negative mood moderates the relation between oxytocin administration and trust: evidence for the tend-and-befriend response to stress?. PMID 23768973</w:t>
      </w:r>
    </w:p>
    <w:p>
      <w:pPr>
        <w:numPr>
          <w:ilvl w:val="0"/>
          <w:numId w:val="1418"/>
        </w:numPr>
        <w:pStyle w:val="Compact"/>
      </w:pPr>
      <w:r>
        <w:t xml:space="preserve">2013 · Zhang H ·</w:t>
      </w:r>
      <w:r>
        <w:t xml:space="preserve"> </w:t>
      </w:r>
      <w:r>
        <w:rPr>
          <w:iCs/>
          <w:i/>
        </w:rPr>
        <w:t xml:space="preserve">PLoS One</w:t>
      </w:r>
      <w:r>
        <w:t xml:space="preserve"> </w:t>
      </w:r>
      <w:r>
        <w:t xml:space="preserve">· Treatment of obesity and diabetes using oxytocin or analogs in patients and mouse models. PMID 23700406</w:t>
      </w:r>
    </w:p>
    <w:p>
      <w:pPr>
        <w:numPr>
          <w:ilvl w:val="0"/>
          <w:numId w:val="1418"/>
        </w:numPr>
        <w:pStyle w:val="Compact"/>
      </w:pPr>
      <w:r>
        <w:t xml:space="preserve">2013 · Davis MC ·</w:t>
      </w:r>
      <w:r>
        <w:t xml:space="preserve"> </w:t>
      </w:r>
      <w:r>
        <w:rPr>
          <w:iCs/>
          <w:i/>
        </w:rPr>
        <w:t xml:space="preserve">Schizophr Res</w:t>
      </w:r>
      <w:r>
        <w:t xml:space="preserve"> </w:t>
      </w:r>
      <w:r>
        <w:t xml:space="preserve">· Effects of single dose intranasal oxytocin on social cognition in schizophrenia. PMID 23676253</w:t>
      </w:r>
    </w:p>
    <w:p>
      <w:pPr>
        <w:numPr>
          <w:ilvl w:val="0"/>
          <w:numId w:val="1418"/>
        </w:numPr>
        <w:pStyle w:val="Compact"/>
      </w:pPr>
      <w:r>
        <w:t xml:space="preserve">2013 · Acheson D ·</w:t>
      </w:r>
      <w:r>
        <w:t xml:space="preserve"> </w:t>
      </w:r>
      <w:r>
        <w:rPr>
          <w:iCs/>
          <w:i/>
        </w:rPr>
        <w:t xml:space="preserve">Psychopharmacology (Berl)</w:t>
      </w:r>
      <w:r>
        <w:t xml:space="preserve"> </w:t>
      </w:r>
      <w:r>
        <w:t xml:space="preserve">· The effect of intranasal oxytocin treatment on conditioned fear extinction and recall in a healthy human sample. PMID 23644911</w:t>
      </w:r>
    </w:p>
    <w:p>
      <w:pPr>
        <w:numPr>
          <w:ilvl w:val="0"/>
          <w:numId w:val="1418"/>
        </w:numPr>
        <w:pStyle w:val="Compact"/>
      </w:pPr>
      <w:r>
        <w:t xml:space="preserve">2013 · Prehn K ·</w:t>
      </w:r>
      <w:r>
        <w:t xml:space="preserve"> </w:t>
      </w:r>
      <w:r>
        <w:rPr>
          <w:iCs/>
          <w:i/>
        </w:rPr>
        <w:t xml:space="preserve">Psychophysiology</w:t>
      </w:r>
      <w:r>
        <w:t xml:space="preserve"> </w:t>
      </w:r>
      <w:r>
        <w:t xml:space="preserve">· Effects of intranasal oxytocin on pupil dilation indicate increased salience of socioaffective stimuli. PMID 23551070</w:t>
      </w:r>
    </w:p>
    <w:p>
      <w:pPr>
        <w:numPr>
          <w:ilvl w:val="0"/>
          <w:numId w:val="1418"/>
        </w:numPr>
        <w:pStyle w:val="Compact"/>
      </w:pPr>
      <w:r>
        <w:t xml:space="preserve">2013 · Domes G ·</w:t>
      </w:r>
      <w:r>
        <w:t xml:space="preserve"> </w:t>
      </w:r>
      <w:r>
        <w:rPr>
          <w:iCs/>
          <w:i/>
        </w:rPr>
        <w:t xml:space="preserve">Biol Psychiatry</w:t>
      </w:r>
      <w:r>
        <w:t xml:space="preserve"> </w:t>
      </w:r>
      <w:r>
        <w:t xml:space="preserve">· Effects of intranasal oxytocin on the neural basis of face processing in autism spectrum disorder. PMID 23510581</w:t>
      </w:r>
    </w:p>
    <w:p>
      <w:pPr>
        <w:numPr>
          <w:ilvl w:val="0"/>
          <w:numId w:val="1418"/>
        </w:numPr>
        <w:pStyle w:val="Compact"/>
      </w:pPr>
      <w:r>
        <w:t xml:space="preserve">2013 · Tachibana M ·</w:t>
      </w:r>
      <w:r>
        <w:t xml:space="preserve"> </w:t>
      </w:r>
      <w:r>
        <w:rPr>
          <w:iCs/>
          <w:i/>
        </w:rPr>
        <w:t xml:space="preserve">J Child Adolesc Psychopharmacol</w:t>
      </w:r>
      <w:r>
        <w:t xml:space="preserve"> </w:t>
      </w:r>
      <w:r>
        <w:t xml:space="preserve">· Long-term administration of intranasal oxytocin is a safe and promising therapy for early adolescent boys with autism spectrum disorders. PMID 23480321</w:t>
      </w:r>
    </w:p>
    <w:p>
      <w:pPr>
        <w:numPr>
          <w:ilvl w:val="0"/>
          <w:numId w:val="1418"/>
        </w:numPr>
        <w:pStyle w:val="Compact"/>
      </w:pPr>
      <w:r>
        <w:t xml:space="preserve">2013 · Theodoridou A ·</w:t>
      </w:r>
      <w:r>
        <w:t xml:space="preserve"> </w:t>
      </w:r>
      <w:r>
        <w:rPr>
          <w:iCs/>
          <w:i/>
        </w:rPr>
        <w:t xml:space="preserve">PLoS One</w:t>
      </w:r>
      <w:r>
        <w:t xml:space="preserve"> </w:t>
      </w:r>
      <w:r>
        <w:t xml:space="preserve">· A direct examination of the effect of intranasal administration of oxytocin on approach-avoidance motor responses to emotional stimuli. PMID 23469148</w:t>
      </w:r>
    </w:p>
    <w:p>
      <w:pPr>
        <w:numPr>
          <w:ilvl w:val="0"/>
          <w:numId w:val="1418"/>
        </w:numPr>
        <w:pStyle w:val="Compact"/>
      </w:pPr>
      <w:r>
        <w:t xml:space="preserve">2013 · Groppe SE ·</w:t>
      </w:r>
      <w:r>
        <w:t xml:space="preserve"> </w:t>
      </w:r>
      <w:r>
        <w:rPr>
          <w:iCs/>
          <w:i/>
        </w:rPr>
        <w:t xml:space="preserve">Biol Psychiatry</w:t>
      </w:r>
      <w:r>
        <w:t xml:space="preserve"> </w:t>
      </w:r>
      <w:r>
        <w:t xml:space="preserve">· Oxytocin influences processing of socially relevant cues in the ventral tegmental area of the human brain. PMID 23419544</w:t>
      </w:r>
    </w:p>
    <w:p>
      <w:pPr>
        <w:numPr>
          <w:ilvl w:val="0"/>
          <w:numId w:val="1418"/>
        </w:numPr>
        <w:pStyle w:val="Compact"/>
      </w:pPr>
      <w:r>
        <w:t xml:space="preserve">2013 · Lee MR ·</w:t>
      </w:r>
      <w:r>
        <w:t xml:space="preserve"> </w:t>
      </w:r>
      <w:r>
        <w:rPr>
          <w:iCs/>
          <w:i/>
        </w:rPr>
        <w:t xml:space="preserve">Schizophr Res</w:t>
      </w:r>
      <w:r>
        <w:t xml:space="preserve"> </w:t>
      </w:r>
      <w:r>
        <w:t xml:space="preserve">· Effects of adjunctive intranasal oxytocin on olfactory identification and clinical symptoms in schizophrenia: results from a randomized double blind placebo controlled pilot study. PMID 23415472</w:t>
      </w:r>
    </w:p>
    <w:p>
      <w:pPr>
        <w:numPr>
          <w:ilvl w:val="0"/>
          <w:numId w:val="1418"/>
        </w:numPr>
        <w:pStyle w:val="Compact"/>
      </w:pPr>
      <w:r>
        <w:t xml:space="preserve">2013 · Riem MM ·</w:t>
      </w:r>
      <w:r>
        <w:t xml:space="preserve"> </w:t>
      </w:r>
      <w:r>
        <w:rPr>
          <w:iCs/>
          <w:i/>
        </w:rPr>
        <w:t xml:space="preserve">Psychoneuroendocrinology</w:t>
      </w:r>
      <w:r>
        <w:t xml:space="preserve"> </w:t>
      </w:r>
      <w:r>
        <w:t xml:space="preserve">· Does intranasal oxytocin promote prosocial behavior to an excluded fellow player? A randomized-controlled trial with Cyberball. PMID 23352229</w:t>
      </w:r>
    </w:p>
    <w:p>
      <w:pPr>
        <w:numPr>
          <w:ilvl w:val="0"/>
          <w:numId w:val="1418"/>
        </w:numPr>
        <w:pStyle w:val="Compact"/>
      </w:pPr>
      <w:r>
        <w:t xml:space="preserve">2013 · Weigand A ·</w:t>
      </w:r>
      <w:r>
        <w:t xml:space="preserve"> </w:t>
      </w:r>
      <w:r>
        <w:rPr>
          <w:iCs/>
          <w:i/>
        </w:rPr>
        <w:t xml:space="preserve">Psychopharmacology (Berl)</w:t>
      </w:r>
      <w:r>
        <w:t xml:space="preserve"> </w:t>
      </w:r>
      <w:r>
        <w:t xml:space="preserve">· Effects of intranasal oxytocin prior to encoding and retrieval on recognition memory. PMID 23334103</w:t>
      </w:r>
    </w:p>
    <w:p>
      <w:pPr>
        <w:numPr>
          <w:ilvl w:val="0"/>
          <w:numId w:val="1418"/>
        </w:numPr>
        <w:pStyle w:val="Compact"/>
      </w:pPr>
      <w:r>
        <w:t xml:space="preserve">2013 · Modabbernia A ·</w:t>
      </w:r>
      <w:r>
        <w:t xml:space="preserve"> </w:t>
      </w:r>
      <w:r>
        <w:rPr>
          <w:iCs/>
          <w:i/>
        </w:rPr>
        <w:t xml:space="preserve">CNS Drugs</w:t>
      </w:r>
      <w:r>
        <w:t xml:space="preserve"> </w:t>
      </w:r>
      <w:r>
        <w:t xml:space="preserve">· Intranasal oxytocin as an adjunct to risperidone in patients with schizophrenia : an 8-week, randomized, double-blind, placebo-controlled study. PMID 23233269</w:t>
      </w:r>
    </w:p>
    <w:p>
      <w:pPr>
        <w:numPr>
          <w:ilvl w:val="0"/>
          <w:numId w:val="1418"/>
        </w:numPr>
        <w:pStyle w:val="Compact"/>
      </w:pPr>
      <w:r>
        <w:t xml:space="preserve">2013 · Huffmeijer R ·</w:t>
      </w:r>
      <w:r>
        <w:t xml:space="preserve"> </w:t>
      </w:r>
      <w:r>
        <w:rPr>
          <w:iCs/>
          <w:i/>
        </w:rPr>
        <w:t xml:space="preserve">Horm Behav</w:t>
      </w:r>
      <w:r>
        <w:t xml:space="preserve"> </w:t>
      </w:r>
      <w:r>
        <w:t xml:space="preserve">· The impact of oxytocin administration and maternal love withdrawal on event-related potential (ERP) responses to emotional faces with performance feedback. PMID 23159479</w:t>
      </w:r>
    </w:p>
    <w:p>
      <w:pPr>
        <w:numPr>
          <w:ilvl w:val="0"/>
          <w:numId w:val="1418"/>
        </w:numPr>
        <w:pStyle w:val="Compact"/>
      </w:pPr>
      <w:r>
        <w:t xml:space="preserve">2013 · Domes G ·</w:t>
      </w:r>
      <w:r>
        <w:t xml:space="preserve"> </w:t>
      </w:r>
      <w:r>
        <w:rPr>
          <w:iCs/>
          <w:i/>
        </w:rPr>
        <w:t xml:space="preserve">Psychol Med</w:t>
      </w:r>
      <w:r>
        <w:t xml:space="preserve"> </w:t>
      </w:r>
      <w:r>
        <w:t xml:space="preserve">· Intranasal oxytocin increases covert attention to positive social cues. PMID 23146328</w:t>
      </w:r>
    </w:p>
    <w:p>
      <w:pPr>
        <w:numPr>
          <w:ilvl w:val="0"/>
          <w:numId w:val="1418"/>
        </w:numPr>
        <w:pStyle w:val="Compact"/>
      </w:pPr>
      <w:r>
        <w:t xml:space="preserve">2013 · Mah BL ·</w:t>
      </w:r>
      <w:r>
        <w:t xml:space="preserve"> </w:t>
      </w:r>
      <w:r>
        <w:rPr>
          <w:iCs/>
          <w:i/>
        </w:rPr>
        <w:t xml:space="preserve">Prog Neuropsychopharmacol Biol Psychiatry</w:t>
      </w:r>
      <w:r>
        <w:t xml:space="preserve"> </w:t>
      </w:r>
      <w:r>
        <w:t xml:space="preserve">· Oxytocin in postnatally depressed mothers: its influence on mood and expressed emotion. PMID 23085508</w:t>
      </w:r>
    </w:p>
    <w:p>
      <w:pPr>
        <w:numPr>
          <w:ilvl w:val="0"/>
          <w:numId w:val="1418"/>
        </w:numPr>
        <w:pStyle w:val="Compact"/>
      </w:pPr>
      <w:r>
        <w:t xml:space="preserve">2013 · Pedersen CA ·</w:t>
      </w:r>
      <w:r>
        <w:t xml:space="preserve"> </w:t>
      </w:r>
      <w:r>
        <w:rPr>
          <w:iCs/>
          <w:i/>
        </w:rPr>
        <w:t xml:space="preserve">Alcohol Clin Exp Res</w:t>
      </w:r>
      <w:r>
        <w:t xml:space="preserve"> </w:t>
      </w:r>
      <w:r>
        <w:t xml:space="preserve">· Intranasal oxytocin blocks alcohol withdrawal in human subjects. PMID 23025690</w:t>
      </w:r>
    </w:p>
    <w:p>
      <w:pPr>
        <w:numPr>
          <w:ilvl w:val="0"/>
          <w:numId w:val="1418"/>
        </w:numPr>
        <w:pStyle w:val="Compact"/>
      </w:pPr>
      <w:r>
        <w:t xml:space="preserve">2013 · Ellenbogen MA ·</w:t>
      </w:r>
      <w:r>
        <w:t xml:space="preserve"> </w:t>
      </w:r>
      <w:r>
        <w:rPr>
          <w:iCs/>
          <w:i/>
        </w:rPr>
        <w:t xml:space="preserve">Psychoneuroendocrinology</w:t>
      </w:r>
      <w:r>
        <w:t xml:space="preserve"> </w:t>
      </w:r>
      <w:r>
        <w:t xml:space="preserve">· Intranasal oxytocin impedes the ability to ignore task-irrelevant facial expressions of sadness in students with depressive symptoms. PMID 22902063</w:t>
      </w:r>
    </w:p>
    <w:p>
      <w:pPr>
        <w:numPr>
          <w:ilvl w:val="0"/>
          <w:numId w:val="1418"/>
        </w:numPr>
        <w:pStyle w:val="Compact"/>
      </w:pPr>
      <w:r>
        <w:t xml:space="preserve">2013 · Cardoso C ·</w:t>
      </w:r>
      <w:r>
        <w:t xml:space="preserve"> </w:t>
      </w:r>
      <w:r>
        <w:rPr>
          <w:iCs/>
          <w:i/>
        </w:rPr>
        <w:t xml:space="preserve">Psychoneuroendocrinology</w:t>
      </w:r>
      <w:r>
        <w:t xml:space="preserve"> </w:t>
      </w:r>
      <w:r>
        <w:t xml:space="preserve">· Intranasal oxytocin attenuates the cortisol response to physical stress: a dose-response study. PMID 22889586</w:t>
      </w:r>
    </w:p>
    <w:p>
      <w:pPr>
        <w:numPr>
          <w:ilvl w:val="0"/>
          <w:numId w:val="1418"/>
        </w:numPr>
        <w:pStyle w:val="Compact"/>
      </w:pPr>
      <w:r>
        <w:t xml:space="preserve">2013 · Ditzen B ·</w:t>
      </w:r>
      <w:r>
        <w:t xml:space="preserve"> </w:t>
      </w:r>
      <w:r>
        <w:rPr>
          <w:iCs/>
          <w:i/>
        </w:rPr>
        <w:t xml:space="preserve">Soc Cogn Affect Neurosci</w:t>
      </w:r>
      <w:r>
        <w:t xml:space="preserve"> </w:t>
      </w:r>
      <w:r>
        <w:t xml:space="preserve">· Sex-specific effects of intranasal oxytocin on autonomic nervous system and emotional responses to couple conflict. PMID 22842905</w:t>
      </w:r>
    </w:p>
    <w:p>
      <w:pPr>
        <w:numPr>
          <w:ilvl w:val="0"/>
          <w:numId w:val="1418"/>
        </w:numPr>
        <w:pStyle w:val="Compact"/>
      </w:pPr>
      <w:r>
        <w:t xml:space="preserve">2013 · Leknes S ·</w:t>
      </w:r>
      <w:r>
        <w:t xml:space="preserve"> </w:t>
      </w:r>
      <w:r>
        <w:rPr>
          <w:iCs/>
          <w:i/>
        </w:rPr>
        <w:t xml:space="preserve">Soc Cogn Affect Neurosci</w:t>
      </w:r>
      <w:r>
        <w:t xml:space="preserve"> </w:t>
      </w:r>
      <w:r>
        <w:t xml:space="preserve">· Oxytocin enhances pupil dilation and sensitivity to</w:t>
      </w:r>
      <w:r>
        <w:t xml:space="preserve"> </w:t>
      </w:r>
      <w:r>
        <w:t xml:space="preserve">‘</w:t>
      </w:r>
      <w:r>
        <w:t xml:space="preserve">hidden</w:t>
      </w:r>
      <w:r>
        <w:t xml:space="preserve">’</w:t>
      </w:r>
      <w:r>
        <w:t xml:space="preserve"> </w:t>
      </w:r>
      <w:r>
        <w:t xml:space="preserve">emotional expressions. PMID 22648957</w:t>
      </w:r>
    </w:p>
    <w:p>
      <w:pPr>
        <w:numPr>
          <w:ilvl w:val="0"/>
          <w:numId w:val="1418"/>
        </w:numPr>
        <w:pStyle w:val="Compact"/>
      </w:pPr>
      <w:r>
        <w:t xml:space="preserve">2013 · Krueger F ·</w:t>
      </w:r>
      <w:r>
        <w:t xml:space="preserve"> </w:t>
      </w:r>
      <w:r>
        <w:rPr>
          <w:iCs/>
          <w:i/>
        </w:rPr>
        <w:t xml:space="preserve">Soc Cogn Affect Neurosci</w:t>
      </w:r>
      <w:r>
        <w:t xml:space="preserve"> </w:t>
      </w:r>
      <w:r>
        <w:t xml:space="preserve">· Oxytocin selectively increases perceptions of harm for victims but not the desire to punish offenders of criminal offenses. PMID 22368214</w:t>
      </w:r>
    </w:p>
    <w:p>
      <w:pPr>
        <w:numPr>
          <w:ilvl w:val="0"/>
          <w:numId w:val="1418"/>
        </w:numPr>
        <w:pStyle w:val="Compact"/>
      </w:pPr>
      <w:r>
        <w:t xml:space="preserve">2012 · Feifel D ·</w:t>
      </w:r>
      <w:r>
        <w:t xml:space="preserve"> </w:t>
      </w:r>
      <w:r>
        <w:rPr>
          <w:iCs/>
          <w:i/>
        </w:rPr>
        <w:t xml:space="preserve">Schizophr Res</w:t>
      </w:r>
      <w:r>
        <w:t xml:space="preserve"> </w:t>
      </w:r>
      <w:r>
        <w:t xml:space="preserve">· Adjunctive intranasal oxytocin improves verbal memory in people with schizophrenia. PMID 22682705</w:t>
      </w:r>
    </w:p>
    <w:p>
      <w:pPr>
        <w:numPr>
          <w:ilvl w:val="0"/>
          <w:numId w:val="1418"/>
        </w:numPr>
        <w:pStyle w:val="Compact"/>
      </w:pPr>
      <w:r>
        <w:t xml:space="preserve">2012 · Huffmeijer R ·</w:t>
      </w:r>
      <w:r>
        <w:t xml:space="preserve"> </w:t>
      </w:r>
      <w:r>
        <w:rPr>
          <w:iCs/>
          <w:i/>
        </w:rPr>
        <w:t xml:space="preserve">Neuro Endocrinol Lett</w:t>
      </w:r>
      <w:r>
        <w:t xml:space="preserve"> </w:t>
      </w:r>
      <w:r>
        <w:t xml:space="preserve">· Salivary levels of oxytocin remain elevated for more than two hours after intranasal oxytocin administration. PMID 22467107</w:t>
      </w:r>
    </w:p>
    <w:p>
      <w:pPr>
        <w:numPr>
          <w:ilvl w:val="0"/>
          <w:numId w:val="1418"/>
        </w:numPr>
        <w:pStyle w:val="Compact"/>
      </w:pPr>
      <w:r>
        <w:t xml:space="preserve">2012 · Weisman O ·</w:t>
      </w:r>
      <w:r>
        <w:t xml:space="preserve"> </w:t>
      </w:r>
      <w:r>
        <w:rPr>
          <w:iCs/>
          <w:i/>
        </w:rPr>
        <w:t xml:space="preserve">Psychoneuroendocrinology</w:t>
      </w:r>
      <w:r>
        <w:t xml:space="preserve"> </w:t>
      </w:r>
      <w:r>
        <w:t xml:space="preserve">· Intranasal oxytocin administration is reflected in human saliva. PMID 22436536</w:t>
      </w:r>
    </w:p>
    <w:p>
      <w:pPr>
        <w:numPr>
          <w:ilvl w:val="0"/>
          <w:numId w:val="1418"/>
        </w:numPr>
        <w:pStyle w:val="Compact"/>
      </w:pPr>
      <w:r>
        <w:t xml:space="preserve">2012 · Riem MM ·</w:t>
      </w:r>
      <w:r>
        <w:t xml:space="preserve"> </w:t>
      </w:r>
      <w:r>
        <w:rPr>
          <w:iCs/>
          <w:i/>
        </w:rPr>
        <w:t xml:space="preserve">Neuropsychopharmacology</w:t>
      </w:r>
      <w:r>
        <w:t xml:space="preserve"> </w:t>
      </w:r>
      <w:r>
        <w:t xml:space="preserve">· No laughing matter: intranasal oxytocin administration changes functional brain connectivity during exposure to infant laughter. PMID 22189289</w:t>
      </w:r>
    </w:p>
    <w:p>
      <w:pPr>
        <w:numPr>
          <w:ilvl w:val="0"/>
          <w:numId w:val="1418"/>
        </w:numPr>
        <w:pStyle w:val="Compact"/>
      </w:pPr>
      <w:r>
        <w:t xml:space="preserve">2012 · De Dreu CK ·</w:t>
      </w:r>
      <w:r>
        <w:t xml:space="preserve"> </w:t>
      </w:r>
      <w:r>
        <w:rPr>
          <w:iCs/>
          <w:i/>
        </w:rPr>
        <w:t xml:space="preserve">Psychoneuroendocrinology</w:t>
      </w:r>
      <w:r>
        <w:t xml:space="preserve"> </w:t>
      </w:r>
      <w:r>
        <w:t xml:space="preserve">· Oxytocin modulates the link between adult attachment and cooperation through reduced betrayal aversion. PMID 22055739</w:t>
      </w:r>
    </w:p>
    <w:p>
      <w:pPr>
        <w:numPr>
          <w:ilvl w:val="0"/>
          <w:numId w:val="1418"/>
        </w:numPr>
        <w:pStyle w:val="Compact"/>
      </w:pPr>
      <w:r>
        <w:t xml:space="preserve">2012 · Linnen AM ·</w:t>
      </w:r>
      <w:r>
        <w:t xml:space="preserve"> </w:t>
      </w:r>
      <w:r>
        <w:rPr>
          <w:iCs/>
          <w:i/>
        </w:rPr>
        <w:t xml:space="preserve">Stress</w:t>
      </w:r>
      <w:r>
        <w:t xml:space="preserve"> </w:t>
      </w:r>
      <w:r>
        <w:t xml:space="preserve">· Intranasal oxytocin and salivary cortisol concentrations during social rejection in university students. PMID 22044077</w:t>
      </w:r>
    </w:p>
    <w:p>
      <w:pPr>
        <w:numPr>
          <w:ilvl w:val="0"/>
          <w:numId w:val="1418"/>
        </w:numPr>
        <w:pStyle w:val="Compact"/>
      </w:pPr>
      <w:r>
        <w:t xml:space="preserve">2012 · Cardoso C ·</w:t>
      </w:r>
      <w:r>
        <w:t xml:space="preserve"> </w:t>
      </w:r>
      <w:r>
        <w:rPr>
          <w:iCs/>
          <w:i/>
        </w:rPr>
        <w:t xml:space="preserve">Psychopharmacology (Berl)</w:t>
      </w:r>
      <w:r>
        <w:t xml:space="preserve"> </w:t>
      </w:r>
      <w:r>
        <w:t xml:space="preserve">· Acute intranasal oxytocin improves positive self-perceptions of personality. PMID 22012170</w:t>
      </w:r>
    </w:p>
    <w:p>
      <w:pPr>
        <w:numPr>
          <w:ilvl w:val="0"/>
          <w:numId w:val="1418"/>
        </w:numPr>
        <w:pStyle w:val="Compact"/>
      </w:pPr>
      <w:r>
        <w:t xml:space="preserve">2012 · Cardoso C ·</w:t>
      </w:r>
      <w:r>
        <w:t xml:space="preserve"> </w:t>
      </w:r>
      <w:r>
        <w:rPr>
          <w:iCs/>
          <w:i/>
        </w:rPr>
        <w:t xml:space="preserve">Exp Clin Psychopharmacol</w:t>
      </w:r>
      <w:r>
        <w:t xml:space="preserve"> </w:t>
      </w:r>
      <w:r>
        <w:t xml:space="preserve">· Coping style moderates the effect of intranasal oxytocin on the mood response to interpersonal stress. PMID 21988218</w:t>
      </w:r>
    </w:p>
    <w:p>
      <w:pPr>
        <w:numPr>
          <w:ilvl w:val="0"/>
          <w:numId w:val="1418"/>
        </w:numPr>
        <w:pStyle w:val="Compact"/>
      </w:pPr>
      <w:r>
        <w:t xml:space="preserve">2012 · Hall SS ·</w:t>
      </w:r>
      <w:r>
        <w:t xml:space="preserve"> </w:t>
      </w:r>
      <w:r>
        <w:rPr>
          <w:iCs/>
          <w:i/>
        </w:rPr>
        <w:t xml:space="preserve">Psychoneuroendocrinology</w:t>
      </w:r>
      <w:r>
        <w:t xml:space="preserve"> </w:t>
      </w:r>
      <w:r>
        <w:t xml:space="preserve">· Effects of intranasal oxytocin on social anxiety in males with fragile X syndrome. PMID 21862226</w:t>
      </w:r>
    </w:p>
    <w:p>
      <w:pPr>
        <w:numPr>
          <w:ilvl w:val="0"/>
          <w:numId w:val="1418"/>
        </w:numPr>
        <w:pStyle w:val="Compact"/>
      </w:pPr>
      <w:r>
        <w:t xml:space="preserve">2012 · Lischke A ·</w:t>
      </w:r>
      <w:r>
        <w:t xml:space="preserve"> </w:t>
      </w:r>
      <w:r>
        <w:rPr>
          <w:iCs/>
          <w:i/>
        </w:rPr>
        <w:t xml:space="preserve">Psychoneuroendocrinology</w:t>
      </w:r>
      <w:r>
        <w:t xml:space="preserve"> </w:t>
      </w:r>
      <w:r>
        <w:t xml:space="preserve">· Intranasal oxytocin enhances emotion recognition from dynamic facial expressions and leaves eye-gaze unaffected. PMID 21862223</w:t>
      </w:r>
    </w:p>
    <w:p>
      <w:pPr>
        <w:numPr>
          <w:ilvl w:val="0"/>
          <w:numId w:val="1418"/>
        </w:numPr>
        <w:pStyle w:val="Compact"/>
      </w:pPr>
      <w:r>
        <w:t xml:space="preserve">2012 · Rilling JK ·</w:t>
      </w:r>
      <w:r>
        <w:t xml:space="preserve"> </w:t>
      </w:r>
      <w:r>
        <w:rPr>
          <w:iCs/>
          <w:i/>
        </w:rPr>
        <w:t xml:space="preserve">Psychoneuroendocrinology</w:t>
      </w:r>
      <w:r>
        <w:t xml:space="preserve"> </w:t>
      </w:r>
      <w:r>
        <w:t xml:space="preserve">· Effects of intranasal oxytocin and vasopressin on cooperative behavior and associated brain activity in men. PMID 21840129</w:t>
      </w:r>
    </w:p>
    <w:p>
      <w:pPr>
        <w:numPr>
          <w:ilvl w:val="0"/>
          <w:numId w:val="1418"/>
        </w:numPr>
        <w:pStyle w:val="Compact"/>
      </w:pPr>
      <w:r>
        <w:t xml:space="preserve">2011 · Jesso S ·</w:t>
      </w:r>
      <w:r>
        <w:t xml:space="preserve"> </w:t>
      </w:r>
      <w:r>
        <w:rPr>
          <w:iCs/>
          <w:i/>
        </w:rPr>
        <w:t xml:space="preserve">Brain</w:t>
      </w:r>
      <w:r>
        <w:t xml:space="preserve"> </w:t>
      </w:r>
      <w:r>
        <w:t xml:space="preserve">· The effects of oxytocin on social cognition and behaviour in frontotemporal dementia. PMID 21859765</w:t>
      </w:r>
    </w:p>
    <w:p>
      <w:pPr>
        <w:numPr>
          <w:ilvl w:val="0"/>
          <w:numId w:val="1418"/>
        </w:numPr>
        <w:pStyle w:val="Compact"/>
      </w:pPr>
      <w:r>
        <w:t xml:space="preserve">2011 · Pedersen CA ·</w:t>
      </w:r>
      <w:r>
        <w:t xml:space="preserve"> </w:t>
      </w:r>
      <w:r>
        <w:rPr>
          <w:iCs/>
          <w:i/>
        </w:rPr>
        <w:t xml:space="preserve">Schizophr Res</w:t>
      </w:r>
      <w:r>
        <w:t xml:space="preserve"> </w:t>
      </w:r>
      <w:r>
        <w:t xml:space="preserve">· Intranasal oxytocin reduces psychotic symptoms and improves Theory of Mind and social perception in schizophrenia. PMID 21840177</w:t>
      </w:r>
    </w:p>
    <w:p>
      <w:pPr>
        <w:numPr>
          <w:ilvl w:val="0"/>
          <w:numId w:val="1418"/>
        </w:numPr>
        <w:pStyle w:val="Compact"/>
      </w:pPr>
      <w:r>
        <w:t xml:space="preserve">2011 · Rockliff H ·</w:t>
      </w:r>
      <w:r>
        <w:t xml:space="preserve"> </w:t>
      </w:r>
      <w:r>
        <w:rPr>
          <w:iCs/>
          <w:i/>
        </w:rPr>
        <w:t xml:space="preserve">Emotion</w:t>
      </w:r>
      <w:r>
        <w:t xml:space="preserve"> </w:t>
      </w:r>
      <w:r>
        <w:t xml:space="preserve">· Effects of intranasal oxytocin on</w:t>
      </w:r>
      <w:r>
        <w:t xml:space="preserve"> </w:t>
      </w:r>
      <w:r>
        <w:t xml:space="preserve">‘</w:t>
      </w:r>
      <w:r>
        <w:t xml:space="preserve">compassion focused imagery</w:t>
      </w:r>
      <w:r>
        <w:t xml:space="preserve">’</w:t>
      </w:r>
      <w:r>
        <w:t xml:space="preserve">. PMID 21707149</w:t>
      </w:r>
    </w:p>
    <w:p>
      <w:pPr>
        <w:numPr>
          <w:ilvl w:val="0"/>
          <w:numId w:val="1418"/>
        </w:numPr>
        <w:pStyle w:val="Compact"/>
      </w:pPr>
      <w:r>
        <w:t xml:space="preserve">2011 · Simeon D ·</w:t>
      </w:r>
      <w:r>
        <w:t xml:space="preserve"> </w:t>
      </w:r>
      <w:r>
        <w:rPr>
          <w:iCs/>
          <w:i/>
        </w:rPr>
        <w:t xml:space="preserve">Psychoneuroendocrinology</w:t>
      </w:r>
      <w:r>
        <w:t xml:space="preserve"> </w:t>
      </w:r>
      <w:r>
        <w:t xml:space="preserve">· Oxytocin administration attenuates stress reactivity in borderline personality disorder: a pilot study. PMID 21546164</w:t>
      </w:r>
    </w:p>
    <w:p>
      <w:pPr>
        <w:numPr>
          <w:ilvl w:val="0"/>
          <w:numId w:val="1418"/>
        </w:numPr>
        <w:pStyle w:val="Compact"/>
      </w:pPr>
      <w:r>
        <w:t xml:space="preserve">2011 · Schulze L ·</w:t>
      </w:r>
      <w:r>
        <w:t xml:space="preserve"> </w:t>
      </w:r>
      <w:r>
        <w:rPr>
          <w:iCs/>
          <w:i/>
        </w:rPr>
        <w:t xml:space="preserve">Psychoneuroendocrinology</w:t>
      </w:r>
      <w:r>
        <w:t xml:space="preserve"> </w:t>
      </w:r>
      <w:r>
        <w:t xml:space="preserve">· Oxytocin increases recognition of masked emotional faces. PMID 21477929</w:t>
      </w:r>
    </w:p>
    <w:p>
      <w:pPr>
        <w:numPr>
          <w:ilvl w:val="0"/>
          <w:numId w:val="1418"/>
        </w:numPr>
        <w:pStyle w:val="Compact"/>
      </w:pPr>
      <w:r>
        <w:t xml:space="preserve">2011 · Goldman MB ·</w:t>
      </w:r>
      <w:r>
        <w:t xml:space="preserve"> </w:t>
      </w:r>
      <w:r>
        <w:rPr>
          <w:iCs/>
          <w:i/>
        </w:rPr>
        <w:t xml:space="preserve">Psychopharmacology (Berl)</w:t>
      </w:r>
      <w:r>
        <w:t xml:space="preserve"> </w:t>
      </w:r>
      <w:r>
        <w:t xml:space="preserve">· Divergent effects of two different doses of intranasal oxytocin on facial affect discrimination in schizophrenic patients with and without polydipsia. PMID 21301811</w:t>
      </w:r>
    </w:p>
    <w:p>
      <w:pPr>
        <w:numPr>
          <w:ilvl w:val="0"/>
          <w:numId w:val="1418"/>
        </w:numPr>
        <w:pStyle w:val="Compact"/>
      </w:pPr>
      <w:r>
        <w:t xml:space="preserve">2011 · Quirin M ·</w:t>
      </w:r>
      <w:r>
        <w:t xml:space="preserve"> </w:t>
      </w:r>
      <w:r>
        <w:rPr>
          <w:iCs/>
          <w:i/>
        </w:rPr>
        <w:t xml:space="preserve">Psychoneuroendocrinology</w:t>
      </w:r>
      <w:r>
        <w:t xml:space="preserve"> </w:t>
      </w:r>
      <w:r>
        <w:t xml:space="preserve">· Oxytocin buffers cortisol responses to stress in individuals with impaired emotion regulation abilities. PMID 21208748</w:t>
      </w:r>
    </w:p>
    <w:p>
      <w:pPr>
        <w:numPr>
          <w:ilvl w:val="0"/>
          <w:numId w:val="1418"/>
        </w:numPr>
        <w:pStyle w:val="Compact"/>
      </w:pPr>
      <w:r>
        <w:t xml:space="preserve">2011 · Bartz J ·</w:t>
      </w:r>
      <w:r>
        <w:t xml:space="preserve"> </w:t>
      </w:r>
      <w:r>
        <w:rPr>
          <w:iCs/>
          <w:i/>
        </w:rPr>
        <w:t xml:space="preserve">Soc Cogn Affect Neurosci</w:t>
      </w:r>
      <w:r>
        <w:t xml:space="preserve"> </w:t>
      </w:r>
      <w:r>
        <w:t xml:space="preserve">· Oxytocin can hinder trust and cooperation in borderline personality disorder. PMID 21115541</w:t>
      </w:r>
    </w:p>
    <w:p>
      <w:pPr>
        <w:numPr>
          <w:ilvl w:val="0"/>
          <w:numId w:val="1418"/>
        </w:numPr>
        <w:pStyle w:val="Compact"/>
      </w:pPr>
      <w:r>
        <w:t xml:space="preserve">2010 · Alvares GA ·</w:t>
      </w:r>
      <w:r>
        <w:t xml:space="preserve"> </w:t>
      </w:r>
      <w:r>
        <w:rPr>
          <w:iCs/>
          <w:i/>
        </w:rPr>
        <w:t xml:space="preserve">Exp Clin Psychopharmacol</w:t>
      </w:r>
      <w:r>
        <w:t xml:space="preserve"> </w:t>
      </w:r>
      <w:r>
        <w:t xml:space="preserve">· Acute effects of intranasal oxytocin on subjective and behavioral responses to social rejection. PMID 20695687</w:t>
      </w:r>
    </w:p>
    <w:p>
      <w:pPr>
        <w:numPr>
          <w:ilvl w:val="0"/>
          <w:numId w:val="1418"/>
        </w:numPr>
        <w:pStyle w:val="Compact"/>
      </w:pPr>
      <w:r>
        <w:t xml:space="preserve">2010 · Feifel D ·</w:t>
      </w:r>
      <w:r>
        <w:t xml:space="preserve"> </w:t>
      </w:r>
      <w:r>
        <w:rPr>
          <w:iCs/>
          <w:i/>
        </w:rPr>
        <w:t xml:space="preserve">Biol Psychiatry</w:t>
      </w:r>
      <w:r>
        <w:t xml:space="preserve"> </w:t>
      </w:r>
      <w:r>
        <w:t xml:space="preserve">· Adjunctive intranasal oxytocin reduces symptoms in schizophrenia patients. PMID 20615494</w:t>
      </w:r>
    </w:p>
    <w:p>
      <w:pPr>
        <w:numPr>
          <w:ilvl w:val="0"/>
          <w:numId w:val="1418"/>
        </w:numPr>
        <w:pStyle w:val="Compact"/>
      </w:pPr>
      <w:r>
        <w:t xml:space="preserve">2010 · Perry A ·</w:t>
      </w:r>
      <w:r>
        <w:t xml:space="preserve"> </w:t>
      </w:r>
      <w:r>
        <w:rPr>
          <w:iCs/>
          <w:i/>
        </w:rPr>
        <w:t xml:space="preserve">Psychoneuroendocrinology</w:t>
      </w:r>
      <w:r>
        <w:t xml:space="preserve"> </w:t>
      </w:r>
      <w:r>
        <w:t xml:space="preserve">· Intranasal oxytocin modulates EEG mu/alpha and beta rhythms during perception of biological motion. PMID 20493637</w:t>
      </w:r>
    </w:p>
    <w:p>
      <w:pPr>
        <w:numPr>
          <w:ilvl w:val="0"/>
          <w:numId w:val="1418"/>
        </w:numPr>
        <w:pStyle w:val="Compact"/>
      </w:pPr>
      <w:r>
        <w:t xml:space="preserve">2010 · Naber F ·</w:t>
      </w:r>
      <w:r>
        <w:t xml:space="preserve"> </w:t>
      </w:r>
      <w:r>
        <w:rPr>
          <w:iCs/>
          <w:i/>
        </w:rPr>
        <w:t xml:space="preserve">Psychoneuroendocrinology</w:t>
      </w:r>
      <w:r>
        <w:t xml:space="preserve"> </w:t>
      </w:r>
      <w:r>
        <w:t xml:space="preserve">· Intranasal oxytocin increases fathers’ observed responsiveness during play with their children: a double-blind within-subject experiment. PMID 20457491</w:t>
      </w:r>
    </w:p>
    <w:p>
      <w:pPr>
        <w:numPr>
          <w:ilvl w:val="0"/>
          <w:numId w:val="1418"/>
        </w:numPr>
        <w:pStyle w:val="Compact"/>
      </w:pPr>
      <w:r>
        <w:t xml:space="preserve">2010 · Ochsenkühn R ·</w:t>
      </w:r>
      <w:r>
        <w:t xml:space="preserve"> </w:t>
      </w:r>
      <w:r>
        <w:rPr>
          <w:iCs/>
          <w:i/>
        </w:rPr>
        <w:t xml:space="preserve">Arch Gynecol Obstet</w:t>
      </w:r>
      <w:r>
        <w:t xml:space="preserve"> </w:t>
      </w:r>
      <w:r>
        <w:t xml:space="preserve">· The effect of nasal oxytocin on pregnancy rates following intrauterine insemination: double-blind, randomized, clinical pilot study. PMID 19921230</w:t>
      </w:r>
    </w:p>
    <w:p>
      <w:pPr>
        <w:numPr>
          <w:ilvl w:val="0"/>
          <w:numId w:val="1418"/>
        </w:numPr>
        <w:pStyle w:val="Compact"/>
      </w:pPr>
      <w:r>
        <w:t xml:space="preserve">2010 · Guastella AJ ·</w:t>
      </w:r>
      <w:r>
        <w:t xml:space="preserve"> </w:t>
      </w:r>
      <w:r>
        <w:rPr>
          <w:iCs/>
          <w:i/>
        </w:rPr>
        <w:t xml:space="preserve">Biol Psychiatry</w:t>
      </w:r>
      <w:r>
        <w:t xml:space="preserve"> </w:t>
      </w:r>
      <w:r>
        <w:t xml:space="preserve">· Intranasal oxytocin improves emotion recognition for youth with autism spectrum disorders. PMID 19897177</w:t>
      </w:r>
    </w:p>
    <w:p>
      <w:pPr>
        <w:numPr>
          <w:ilvl w:val="0"/>
          <w:numId w:val="1418"/>
        </w:numPr>
        <w:pStyle w:val="Compact"/>
      </w:pPr>
      <w:r>
        <w:t xml:space="preserve">2009 · Guastella AJ ·</w:t>
      </w:r>
      <w:r>
        <w:t xml:space="preserve"> </w:t>
      </w:r>
      <w:r>
        <w:rPr>
          <w:iCs/>
          <w:i/>
        </w:rPr>
        <w:t xml:space="preserve">Psychoneuroendocrinology</w:t>
      </w:r>
      <w:r>
        <w:t xml:space="preserve"> </w:t>
      </w:r>
      <w:r>
        <w:t xml:space="preserve">· A randomized controlled trial of intranasal oxytocin as an adjunct to exposure therapy for social anxiety disorder. PMID 19246160</w:t>
      </w:r>
    </w:p>
    <w:p>
      <w:pPr>
        <w:numPr>
          <w:ilvl w:val="0"/>
          <w:numId w:val="1418"/>
        </w:numPr>
        <w:pStyle w:val="Compact"/>
      </w:pPr>
      <w:r>
        <w:t xml:space="preserve">2009 · Ditzen B ·</w:t>
      </w:r>
      <w:r>
        <w:t xml:space="preserve"> </w:t>
      </w:r>
      <w:r>
        <w:rPr>
          <w:iCs/>
          <w:i/>
        </w:rPr>
        <w:t xml:space="preserve">Biol Psychiatry</w:t>
      </w:r>
      <w:r>
        <w:t xml:space="preserve"> </w:t>
      </w:r>
      <w:r>
        <w:t xml:space="preserve">· Intranasal oxytocin increases positive communication and reduces cortisol levels during couple conflict. PMID 19027101</w:t>
      </w:r>
    </w:p>
    <w:p>
      <w:pPr>
        <w:numPr>
          <w:ilvl w:val="0"/>
          <w:numId w:val="1418"/>
        </w:numPr>
        <w:pStyle w:val="Compact"/>
      </w:pPr>
      <w:r>
        <w:t xml:space="preserve">2008 · Burri A ·</w:t>
      </w:r>
      <w:r>
        <w:t xml:space="preserve"> </w:t>
      </w:r>
      <w:r>
        <w:rPr>
          <w:iCs/>
          <w:i/>
        </w:rPr>
        <w:t xml:space="preserve">Psychoneuroendocrinology</w:t>
      </w:r>
      <w:r>
        <w:t xml:space="preserve"> </w:t>
      </w:r>
      <w:r>
        <w:t xml:space="preserve">· The acute effects of intranasal oxytocin administration on endocrine and sexual function in males. PMID 18375074</w:t>
      </w:r>
    </w:p>
    <w:p>
      <w:pPr>
        <w:numPr>
          <w:ilvl w:val="0"/>
          <w:numId w:val="1418"/>
        </w:numPr>
        <w:pStyle w:val="Compact"/>
      </w:pPr>
      <w:r>
        <w:t xml:space="preserve">2008 · Savaskan E ·</w:t>
      </w:r>
      <w:r>
        <w:t xml:space="preserve"> </w:t>
      </w:r>
      <w:r>
        <w:rPr>
          <w:iCs/>
          <w:i/>
        </w:rPr>
        <w:t xml:space="preserve">Psychoneuroendocrinology</w:t>
      </w:r>
      <w:r>
        <w:t xml:space="preserve"> </w:t>
      </w:r>
      <w:r>
        <w:t xml:space="preserve">· Post-learning intranasal oxytocin modulates human memory for facial identity. PMID 18221838</w:t>
      </w:r>
    </w:p>
    <w:p>
      <w:pPr>
        <w:numPr>
          <w:ilvl w:val="0"/>
          <w:numId w:val="1418"/>
        </w:numPr>
        <w:pStyle w:val="Compact"/>
      </w:pPr>
      <w:r>
        <w:t xml:space="preserve">2007 · Meinlschmidt G ·</w:t>
      </w:r>
      <w:r>
        <w:t xml:space="preserve"> </w:t>
      </w:r>
      <w:r>
        <w:rPr>
          <w:iCs/>
          <w:i/>
        </w:rPr>
        <w:t xml:space="preserve">Biol Psychiatry</w:t>
      </w:r>
      <w:r>
        <w:t xml:space="preserve"> </w:t>
      </w:r>
      <w:r>
        <w:t xml:space="preserve">· Sensitivity to intranasal oxytocin in adult men with early parental separation. PMID 17141739</w:t>
      </w:r>
    </w:p>
    <w:p>
      <w:pPr>
        <w:numPr>
          <w:ilvl w:val="0"/>
          <w:numId w:val="1418"/>
        </w:numPr>
        <w:pStyle w:val="Compact"/>
      </w:pPr>
      <w:r>
        <w:t xml:space="preserve">2004 · Heinrichs M ·</w:t>
      </w:r>
      <w:r>
        <w:t xml:space="preserve"> </w:t>
      </w:r>
      <w:r>
        <w:rPr>
          <w:iCs/>
          <w:i/>
        </w:rPr>
        <w:t xml:space="preserve">Physiol Behav</w:t>
      </w:r>
      <w:r>
        <w:t xml:space="preserve"> </w:t>
      </w:r>
      <w:r>
        <w:t xml:space="preserve">· Selective amnesic effects of oxytocin on human memory. PMID 15501488</w:t>
      </w:r>
    </w:p>
    <w:p>
      <w:pPr>
        <w:numPr>
          <w:ilvl w:val="0"/>
          <w:numId w:val="1418"/>
        </w:numPr>
        <w:pStyle w:val="Compact"/>
      </w:pPr>
      <w:r>
        <w:t xml:space="preserve">2003 · Heinrichs M ·</w:t>
      </w:r>
      <w:r>
        <w:t xml:space="preserve"> </w:t>
      </w:r>
      <w:r>
        <w:rPr>
          <w:iCs/>
          <w:i/>
        </w:rPr>
        <w:t xml:space="preserve">Biol Psychiatry</w:t>
      </w:r>
      <w:r>
        <w:t xml:space="preserve"> </w:t>
      </w:r>
      <w:r>
        <w:t xml:space="preserve">· Social support and oxytocin interact to suppress cortisol and subjective responses to psychosocial stress. PMID 14675803</w:t>
      </w:r>
    </w:p>
    <w:p>
      <w:pPr>
        <w:numPr>
          <w:ilvl w:val="0"/>
          <w:numId w:val="1418"/>
        </w:numPr>
        <w:pStyle w:val="Compact"/>
      </w:pPr>
      <w:r>
        <w:t xml:space="preserve">1996 · Epperson CN ·</w:t>
      </w:r>
      <w:r>
        <w:t xml:space="preserve"> </w:t>
      </w:r>
      <w:r>
        <w:rPr>
          <w:iCs/>
          <w:i/>
        </w:rPr>
        <w:t xml:space="preserve">Biol Psychiatry</w:t>
      </w:r>
      <w:r>
        <w:t xml:space="preserve"> </w:t>
      </w:r>
      <w:r>
        <w:t xml:space="preserve">· Intranasal oxytocin in obsessive-compulsive disorder. PMID 8879477</w:t>
      </w:r>
    </w:p>
    <w:p>
      <w:pPr>
        <w:numPr>
          <w:ilvl w:val="0"/>
          <w:numId w:val="1418"/>
        </w:numPr>
        <w:pStyle w:val="Compact"/>
      </w:pPr>
      <w:r>
        <w:t xml:space="preserve">1985 · Andreasson B ·</w:t>
      </w:r>
      <w:r>
        <w:t xml:space="preserve"> </w:t>
      </w:r>
      <w:r>
        <w:rPr>
          <w:iCs/>
          <w:i/>
        </w:rPr>
        <w:t xml:space="preserve">Acta Obstet Gynecol Scand</w:t>
      </w:r>
      <w:r>
        <w:t xml:space="preserve"> </w:t>
      </w:r>
      <w:r>
        <w:t xml:space="preserve">· Induction of labor. A double-blind randomized controlled study of prostaglandin E2 vaginal suppositories compared with intranasal oxytocin and with sequential treatment. PMID 3885670</w:t>
      </w:r>
    </w:p>
    <w:p>
      <w:pPr>
        <w:numPr>
          <w:ilvl w:val="0"/>
          <w:numId w:val="1418"/>
        </w:numPr>
        <w:pStyle w:val="Compact"/>
      </w:pPr>
      <w:r>
        <w:t xml:space="preserve">1983 · Larsen J ·</w:t>
      </w:r>
      <w:r>
        <w:t xml:space="preserve"> </w:t>
      </w:r>
      <w:r>
        <w:rPr>
          <w:iCs/>
          <w:i/>
        </w:rPr>
        <w:t xml:space="preserve">Ugeskr Laeger</w:t>
      </w:r>
      <w:r>
        <w:t xml:space="preserve"> </w:t>
      </w:r>
      <w:r>
        <w:t xml:space="preserve">· [Induction of labor. A double-blind randomized study of prostaglandin E2 vaginal suppositories compared with intranasal oxytocin]. PMID 6351397</w:t>
      </w:r>
    </w:p>
    <w:bookmarkEnd w:id="3064"/>
    <w:bookmarkStart w:id="3065" w:name="gonadorelina-9"/>
    <w:p>
      <w:pPr>
        <w:pStyle w:val="Heading2"/>
      </w:pPr>
      <w:r>
        <w:t xml:space="preserve">Gonadorelina (9)</w:t>
      </w:r>
    </w:p>
    <w:p>
      <w:pPr>
        <w:numPr>
          <w:ilvl w:val="0"/>
          <w:numId w:val="1419"/>
        </w:numPr>
        <w:pStyle w:val="Compact"/>
      </w:pPr>
      <w:r>
        <w:t xml:space="preserve">2022 · Fiala V ·</w:t>
      </w:r>
      <w:r>
        <w:t xml:space="preserve"> </w:t>
      </w:r>
      <w:r>
        <w:rPr>
          <w:iCs/>
          <w:i/>
        </w:rPr>
        <w:t xml:space="preserve">J Pediatr Urol</w:t>
      </w:r>
      <w:r>
        <w:t xml:space="preserve"> </w:t>
      </w:r>
      <w:r>
        <w:t xml:space="preserve">· The safety of neoadjuvant hormonal treatment in infants with cryptorchidism. PMID 35691791</w:t>
      </w:r>
    </w:p>
    <w:p>
      <w:pPr>
        <w:numPr>
          <w:ilvl w:val="0"/>
          <w:numId w:val="1419"/>
        </w:numPr>
        <w:pStyle w:val="Compact"/>
      </w:pPr>
      <w:r>
        <w:t xml:space="preserve">2014 · Spinelli C ·</w:t>
      </w:r>
      <w:r>
        <w:t xml:space="preserve"> </w:t>
      </w:r>
      <w:r>
        <w:rPr>
          <w:iCs/>
          <w:i/>
        </w:rPr>
        <w:t xml:space="preserve">Pediatr Surg Int</w:t>
      </w:r>
      <w:r>
        <w:t xml:space="preserve"> </w:t>
      </w:r>
      <w:r>
        <w:t xml:space="preserve">· Effects on normalized testicular atrophy index (TAIn) in cryptorchid infants treated with GnRHa pre and post-operative vs surgery alone: a prospective randomized trial and long-term follow-up on 62 cases. PMID 25106891</w:t>
      </w:r>
    </w:p>
    <w:p>
      <w:pPr>
        <w:numPr>
          <w:ilvl w:val="0"/>
          <w:numId w:val="1419"/>
        </w:numPr>
        <w:pStyle w:val="Compact"/>
      </w:pPr>
      <w:r>
        <w:t xml:space="preserve">2011 · Shamash J ·</w:t>
      </w:r>
      <w:r>
        <w:t xml:space="preserve"> </w:t>
      </w:r>
      <w:r>
        <w:rPr>
          <w:iCs/>
          <w:i/>
        </w:rPr>
        <w:t xml:space="preserve">Br J Cancer</w:t>
      </w:r>
      <w:r>
        <w:t xml:space="preserve"> </w:t>
      </w:r>
      <w:r>
        <w:t xml:space="preserve">· A multi-centre randomised phase III trial of Dexamethasone vs Dexamethasone and diethylstilbestrol in castration-resistant prostate cancer: immediate vs deferred Diethylstilbestrol. PMID 21285990</w:t>
      </w:r>
    </w:p>
    <w:p>
      <w:pPr>
        <w:numPr>
          <w:ilvl w:val="0"/>
          <w:numId w:val="1419"/>
        </w:numPr>
        <w:pStyle w:val="Compact"/>
      </w:pPr>
      <w:r>
        <w:t xml:space="preserve">1997 · Falkenbach A ·</w:t>
      </w:r>
      <w:r>
        <w:t xml:space="preserve"> </w:t>
      </w:r>
      <w:r>
        <w:rPr>
          <w:iCs/>
          <w:i/>
        </w:rPr>
        <w:t xml:space="preserve">Eur J Appl Physiol Occup Physiol</w:t>
      </w:r>
      <w:r>
        <w:t xml:space="preserve"> </w:t>
      </w:r>
      <w:r>
        <w:t xml:space="preserve">· Unchanged response to stimulation of pituitary hormone release after serial UV irradiation in men. PMID 9189734</w:t>
      </w:r>
    </w:p>
    <w:p>
      <w:pPr>
        <w:numPr>
          <w:ilvl w:val="0"/>
          <w:numId w:val="1419"/>
        </w:numPr>
        <w:pStyle w:val="Compact"/>
      </w:pPr>
      <w:r>
        <w:t xml:space="preserve">1996 · Segarra A ·</w:t>
      </w:r>
      <w:r>
        <w:t xml:space="preserve"> </w:t>
      </w:r>
      <w:r>
        <w:rPr>
          <w:iCs/>
          <w:i/>
        </w:rPr>
        <w:t xml:space="preserve">Nephron</w:t>
      </w:r>
      <w:r>
        <w:t xml:space="preserve"> </w:t>
      </w:r>
      <w:r>
        <w:t xml:space="preserve">· Prospective case control study to determine the effect of lovastatin on serum testosterone and cortisol concentrations in hyperlipidemic nephrotic patients with chronic renal failure. PMID 8773342</w:t>
      </w:r>
    </w:p>
    <w:p>
      <w:pPr>
        <w:numPr>
          <w:ilvl w:val="0"/>
          <w:numId w:val="1419"/>
        </w:numPr>
        <w:pStyle w:val="Compact"/>
      </w:pPr>
      <w:r>
        <w:t xml:space="preserve">1990 · Santoro N ·</w:t>
      </w:r>
      <w:r>
        <w:t xml:space="preserve"> </w:t>
      </w:r>
      <w:r>
        <w:rPr>
          <w:iCs/>
          <w:i/>
        </w:rPr>
        <w:t xml:space="preserve">Am J Obstet Gynecol</w:t>
      </w:r>
      <w:r>
        <w:t xml:space="preserve"> </w:t>
      </w:r>
      <w:r>
        <w:t xml:space="preserve">· Efficacy and safety of intravenous pulsatile gonadotropin-releasing hormone: Lutrepulse for injection. PMID 2122733</w:t>
      </w:r>
    </w:p>
    <w:p>
      <w:pPr>
        <w:numPr>
          <w:ilvl w:val="0"/>
          <w:numId w:val="1419"/>
        </w:numPr>
        <w:pStyle w:val="Compact"/>
      </w:pPr>
      <w:r>
        <w:t xml:space="preserve">1987 · Kadrnka-Lovrencić M ·</w:t>
      </w:r>
      <w:r>
        <w:t xml:space="preserve"> </w:t>
      </w:r>
      <w:r>
        <w:rPr>
          <w:iCs/>
          <w:i/>
        </w:rPr>
        <w:t xml:space="preserve">Lijec Vjesn</w:t>
      </w:r>
      <w:r>
        <w:t xml:space="preserve"> </w:t>
      </w:r>
      <w:r>
        <w:t xml:space="preserve">· [Comparative clinico-therapeutic study of gonadorelin and chorionic gonadotropin in boys with undescended testes]. PMID 2885699</w:t>
      </w:r>
    </w:p>
    <w:p>
      <w:pPr>
        <w:numPr>
          <w:ilvl w:val="0"/>
          <w:numId w:val="1419"/>
        </w:numPr>
        <w:pStyle w:val="Compact"/>
      </w:pPr>
      <w:r>
        <w:t xml:space="preserve">1986 · Lopes P ·</w:t>
      </w:r>
      <w:r>
        <w:t xml:space="preserve"> </w:t>
      </w:r>
      <w:r>
        <w:rPr>
          <w:iCs/>
          <w:i/>
        </w:rPr>
        <w:t xml:space="preserve">Presse Med</w:t>
      </w:r>
      <w:r>
        <w:t xml:space="preserve"> </w:t>
      </w:r>
      <w:r>
        <w:t xml:space="preserve">· [Value of short-term use of a gonadorelin analog in an in vitro fertilization program]. PMID 2949236</w:t>
      </w:r>
    </w:p>
    <w:p>
      <w:pPr>
        <w:numPr>
          <w:ilvl w:val="0"/>
          <w:numId w:val="1419"/>
        </w:numPr>
        <w:pStyle w:val="Compact"/>
      </w:pPr>
      <w:r>
        <w:t xml:space="preserve">1985 · Steg A ·</w:t>
      </w:r>
      <w:r>
        <w:t xml:space="preserve"> </w:t>
      </w:r>
      <w:r>
        <w:rPr>
          <w:iCs/>
          <w:i/>
        </w:rPr>
        <w:t xml:space="preserve">Presse Med</w:t>
      </w:r>
      <w:r>
        <w:t xml:space="preserve"> </w:t>
      </w:r>
      <w:r>
        <w:t xml:space="preserve">· [Treatment of advanced prostatic cancer with a gonadorelin agonist, dTrp6 LHRH. 41 cases]. PMID 2934695</w:t>
      </w:r>
    </w:p>
    <w:bookmarkEnd w:id="3065"/>
    <w:bookmarkStart w:id="3066" w:name="Xafbc25bedfa9442642c4a72b1190b96f89385f8"/>
    <w:p>
      <w:pPr>
        <w:pStyle w:val="Heading2"/>
      </w:pPr>
      <w:r>
        <w:t xml:space="preserve">Peptidi di collagene (collagene idrolizzato) (101)</w:t>
      </w:r>
    </w:p>
    <w:p>
      <w:pPr>
        <w:numPr>
          <w:ilvl w:val="0"/>
          <w:numId w:val="1420"/>
        </w:numPr>
        <w:pStyle w:val="Compact"/>
      </w:pPr>
      <w:r>
        <w:t xml:space="preserve">2026 · Hwang S ·</w:t>
      </w:r>
      <w:r>
        <w:t xml:space="preserve"> </w:t>
      </w:r>
      <w:r>
        <w:rPr>
          <w:iCs/>
          <w:i/>
        </w:rPr>
        <w:t xml:space="preserve">J Med Food</w:t>
      </w:r>
      <w:r>
        <w:t xml:space="preserve"> </w:t>
      </w:r>
      <w:r>
        <w:t xml:space="preserve">· Low-Molecular-Weight Collagen Peptide Supplementation Improves Cellulite Severity, Skin Elasticity, and Hair Shaft Diameter: A Clinical Study with Pharmacokinetic Evaluation. PMID 41788055</w:t>
      </w:r>
    </w:p>
    <w:p>
      <w:pPr>
        <w:numPr>
          <w:ilvl w:val="0"/>
          <w:numId w:val="1420"/>
        </w:numPr>
        <w:pStyle w:val="Compact"/>
      </w:pPr>
      <w:r>
        <w:t xml:space="preserve">2026 · Proksch E ·</w:t>
      </w:r>
      <w:r>
        <w:t xml:space="preserve"> </w:t>
      </w:r>
      <w:r>
        <w:rPr>
          <w:iCs/>
          <w:i/>
        </w:rPr>
        <w:t xml:space="preserve">Skin Pharmacol Physiol</w:t>
      </w:r>
      <w:r>
        <w:t xml:space="preserve"> </w:t>
      </w:r>
      <w:r>
        <w:t xml:space="preserve">· Oral Administration of Specific Bioactive Collagen Peptides in the Treatment of Moderate Forms of Atopic Dermatitis: A New Approach. PMID 41758763</w:t>
      </w:r>
    </w:p>
    <w:p>
      <w:pPr>
        <w:numPr>
          <w:ilvl w:val="0"/>
          <w:numId w:val="1420"/>
        </w:numPr>
        <w:pStyle w:val="Compact"/>
      </w:pPr>
      <w:r>
        <w:t xml:space="preserve">2025 · Aguilera JA ·</w:t>
      </w:r>
      <w:r>
        <w:t xml:space="preserve"> </w:t>
      </w:r>
      <w:r>
        <w:rPr>
          <w:iCs/>
          <w:i/>
        </w:rPr>
        <w:t xml:space="preserve">J Int Soc Sports Nutr</w:t>
      </w:r>
      <w:r>
        <w:t xml:space="preserve"> </w:t>
      </w:r>
      <w:r>
        <w:t xml:space="preserve">· Dileucine-supplemented essential amino acids support whole-body anabolism after resistance exercise and serum-stimulated cell-based anabolism. PMID 41321015</w:t>
      </w:r>
    </w:p>
    <w:p>
      <w:pPr>
        <w:numPr>
          <w:ilvl w:val="0"/>
          <w:numId w:val="1420"/>
        </w:numPr>
        <w:pStyle w:val="Compact"/>
      </w:pPr>
      <w:r>
        <w:t xml:space="preserve">2025 · Wang Y ·</w:t>
      </w:r>
      <w:r>
        <w:t xml:space="preserve"> </w:t>
      </w:r>
      <w:r>
        <w:rPr>
          <w:iCs/>
          <w:i/>
        </w:rPr>
        <w:t xml:space="preserve">J Cosmet Dermatol</w:t>
      </w:r>
      <w:r>
        <w:t xml:space="preserve"> </w:t>
      </w:r>
      <w:r>
        <w:t xml:space="preserve">· The Sustained Effects of Bioactive Collagen Peptides on Skin Health: A Randomized, Double-Blind, Placebo-Controlled Clinical Study. PMID 41311286</w:t>
      </w:r>
    </w:p>
    <w:p>
      <w:pPr>
        <w:numPr>
          <w:ilvl w:val="0"/>
          <w:numId w:val="1420"/>
        </w:numPr>
        <w:pStyle w:val="Compact"/>
      </w:pPr>
      <w:r>
        <w:t xml:space="preserve">2025 · Chavez-Alfaro MA ·</w:t>
      </w:r>
      <w:r>
        <w:t xml:space="preserve"> </w:t>
      </w:r>
      <w:r>
        <w:rPr>
          <w:iCs/>
          <w:i/>
        </w:rPr>
        <w:t xml:space="preserve">Food Funct</w:t>
      </w:r>
      <w:r>
        <w:t xml:space="preserve"> </w:t>
      </w:r>
      <w:r>
        <w:t xml:space="preserve">· Effects of porcine-derived collagen hydrolysates on 24 h blood pressure profiles, markers for endothelial dysfunction and low-grade inflammation and the retinal vasculature in adults with overweight/obesity: a randomized, controlled trial. PMID 41288414</w:t>
      </w:r>
    </w:p>
    <w:p>
      <w:pPr>
        <w:numPr>
          <w:ilvl w:val="0"/>
          <w:numId w:val="1420"/>
        </w:numPr>
        <w:pStyle w:val="Compact"/>
      </w:pPr>
      <w:r>
        <w:t xml:space="preserve">2025 · Lee E ·</w:t>
      </w:r>
      <w:r>
        <w:t xml:space="preserve"> </w:t>
      </w:r>
      <w:r>
        <w:rPr>
          <w:iCs/>
          <w:i/>
        </w:rPr>
        <w:t xml:space="preserve">J Microbiol Biotechnol</w:t>
      </w:r>
      <w:r>
        <w:t xml:space="preserve"> </w:t>
      </w:r>
      <w:r>
        <w:t xml:space="preserve">· Skin Anti-Aging and Moisturizing Effects of Low-Molecular-Weight Collagen Peptide Supplementation in Healthy Adults: A Randomized, Double-Blind, Placebo-Controlled Clinical Trial. PMID 40935395</w:t>
      </w:r>
    </w:p>
    <w:p>
      <w:pPr>
        <w:numPr>
          <w:ilvl w:val="0"/>
          <w:numId w:val="1420"/>
        </w:numPr>
        <w:pStyle w:val="Compact"/>
      </w:pPr>
      <w:r>
        <w:t xml:space="preserve">2025 · Reynolds KM ·</w:t>
      </w:r>
      <w:r>
        <w:t xml:space="preserve"> </w:t>
      </w:r>
      <w:r>
        <w:rPr>
          <w:iCs/>
          <w:i/>
        </w:rPr>
        <w:t xml:space="preserve">Br J Nutr</w:t>
      </w:r>
      <w:r>
        <w:t xml:space="preserve"> </w:t>
      </w:r>
      <w:r>
        <w:t xml:space="preserve">· The effects of collagen peptide supplementation on appetite and post-exercise energy intake in females: a randomised controlled trial. PMID 40685650</w:t>
      </w:r>
    </w:p>
    <w:p>
      <w:pPr>
        <w:numPr>
          <w:ilvl w:val="0"/>
          <w:numId w:val="1420"/>
        </w:numPr>
        <w:pStyle w:val="Compact"/>
      </w:pPr>
      <w:r>
        <w:t xml:space="preserve">2025 · Miyamoto N ·</w:t>
      </w:r>
      <w:r>
        <w:t xml:space="preserve"> </w:t>
      </w:r>
      <w:r>
        <w:rPr>
          <w:iCs/>
          <w:i/>
        </w:rPr>
        <w:t xml:space="preserve">Med Sci Sports Exerc</w:t>
      </w:r>
      <w:r>
        <w:t xml:space="preserve"> </w:t>
      </w:r>
      <w:r>
        <w:t xml:space="preserve">· Collagen Peptide Supplementation Enhances Muscle-Tendon Stiffness and Explosive Strength: A 16-wk Randomized Controlled Trial. PMID 40623147</w:t>
      </w:r>
    </w:p>
    <w:p>
      <w:pPr>
        <w:numPr>
          <w:ilvl w:val="0"/>
          <w:numId w:val="1420"/>
        </w:numPr>
        <w:pStyle w:val="Compact"/>
      </w:pPr>
      <w:r>
        <w:t xml:space="preserve">2025 · Aussieker T ·</w:t>
      </w:r>
      <w:r>
        <w:t xml:space="preserve"> </w:t>
      </w:r>
      <w:r>
        <w:rPr>
          <w:iCs/>
          <w:i/>
        </w:rPr>
        <w:t xml:space="preserve">Med Sci Sports Exerc</w:t>
      </w:r>
      <w:r>
        <w:t xml:space="preserve"> </w:t>
      </w:r>
      <w:r>
        <w:t xml:space="preserve">· The Effects of Ingesting a Single Bolus of Hydrolyzed Collagen versus Free Amino Acids on Muscle Connective Protein Synthesis Rates. PMID 40523226</w:t>
      </w:r>
    </w:p>
    <w:p>
      <w:pPr>
        <w:numPr>
          <w:ilvl w:val="0"/>
          <w:numId w:val="1420"/>
        </w:numPr>
        <w:pStyle w:val="Compact"/>
      </w:pPr>
      <w:r>
        <w:t xml:space="preserve">2025 · Zague V ·</w:t>
      </w:r>
      <w:r>
        <w:t xml:space="preserve"> </w:t>
      </w:r>
      <w:r>
        <w:rPr>
          <w:iCs/>
          <w:i/>
        </w:rPr>
        <w:t xml:space="preserve">J Med Food</w:t>
      </w:r>
      <w:r>
        <w:t xml:space="preserve"> </w:t>
      </w:r>
      <w:r>
        <w:t xml:space="preserve">· Oral Collagen Oligopeptides as a Modulator of Skin Health: A Comprehensive Evaluation of Clinical and Molecular Effects. PMID 40518844</w:t>
      </w:r>
    </w:p>
    <w:p>
      <w:pPr>
        <w:numPr>
          <w:ilvl w:val="0"/>
          <w:numId w:val="1420"/>
        </w:numPr>
        <w:pStyle w:val="Compact"/>
      </w:pPr>
      <w:r>
        <w:t xml:space="preserve">2025 · Bhardwaj V ·</w:t>
      </w:r>
      <w:r>
        <w:t xml:space="preserve"> </w:t>
      </w:r>
      <w:r>
        <w:rPr>
          <w:iCs/>
          <w:i/>
        </w:rPr>
        <w:t xml:space="preserve">J Drugs Dermatol</w:t>
      </w:r>
      <w:r>
        <w:t xml:space="preserve"> </w:t>
      </w:r>
      <w:r>
        <w:t xml:space="preserve">· Artificial Intelligence-Based Personalization of Treatment Regimen for Hair Loss: A 6-Month Clinical Trial. PMID 40043278</w:t>
      </w:r>
    </w:p>
    <w:p>
      <w:pPr>
        <w:numPr>
          <w:ilvl w:val="0"/>
          <w:numId w:val="1420"/>
        </w:numPr>
        <w:pStyle w:val="Compact"/>
      </w:pPr>
      <w:r>
        <w:t xml:space="preserve">2025 · Xing X ·</w:t>
      </w:r>
      <w:r>
        <w:t xml:space="preserve"> </w:t>
      </w:r>
      <w:r>
        <w:rPr>
          <w:iCs/>
          <w:i/>
        </w:rPr>
        <w:t xml:space="preserve">Food Funct</w:t>
      </w:r>
      <w:r>
        <w:t xml:space="preserve"> </w:t>
      </w:r>
      <w:r>
        <w:t xml:space="preserve">· Effects of protein-rich multi-nutrient intervention on bone mineralization and development: insights from a randomized controlled trial in prepubertal children and a zebrafish experiment. PMID 39991811</w:t>
      </w:r>
    </w:p>
    <w:p>
      <w:pPr>
        <w:numPr>
          <w:ilvl w:val="0"/>
          <w:numId w:val="1420"/>
        </w:numPr>
        <w:pStyle w:val="Compact"/>
      </w:pPr>
      <w:r>
        <w:t xml:space="preserve">2025 · Paulus MC ·</w:t>
      </w:r>
      <w:r>
        <w:t xml:space="preserve"> </w:t>
      </w:r>
      <w:r>
        <w:rPr>
          <w:iCs/>
          <w:i/>
        </w:rPr>
        <w:t xml:space="preserve">Clin Nutr</w:t>
      </w:r>
      <w:r>
        <w:t xml:space="preserve"> </w:t>
      </w:r>
      <w:r>
        <w:t xml:space="preserve">· Feasibility challenges in protein supplementation research: Insights from the convalescence of functional outcomes after intensive care unit stay in a Randomised Controlled Trial. PMID 39914233</w:t>
      </w:r>
    </w:p>
    <w:p>
      <w:pPr>
        <w:numPr>
          <w:ilvl w:val="0"/>
          <w:numId w:val="1420"/>
        </w:numPr>
        <w:pStyle w:val="Compact"/>
      </w:pPr>
      <w:r>
        <w:t xml:space="preserve">2025 · Genç AS ·</w:t>
      </w:r>
      <w:r>
        <w:t xml:space="preserve"> </w:t>
      </w:r>
      <w:r>
        <w:rPr>
          <w:iCs/>
          <w:i/>
        </w:rPr>
        <w:t xml:space="preserve">BMC Musculoskelet Disord</w:t>
      </w:r>
      <w:r>
        <w:t xml:space="preserve"> </w:t>
      </w:r>
      <w:r>
        <w:t xml:space="preserve">· The effect of supplementation with type I and type III collagen peptide and type II hydrolyzed collagen on pain, quality of life and physical function in patients with meniscopathy: a randomized, double-blind, placebo-controlled study. PMID 39755603</w:t>
      </w:r>
    </w:p>
    <w:p>
      <w:pPr>
        <w:numPr>
          <w:ilvl w:val="0"/>
          <w:numId w:val="1420"/>
        </w:numPr>
        <w:pStyle w:val="Compact"/>
      </w:pPr>
      <w:r>
        <w:t xml:space="preserve">2025 · Genç AS ·</w:t>
      </w:r>
      <w:r>
        <w:t xml:space="preserve"> </w:t>
      </w:r>
      <w:r>
        <w:rPr>
          <w:iCs/>
          <w:i/>
        </w:rPr>
        <w:t xml:space="preserve">Jt Dis Relat Surg</w:t>
      </w:r>
      <w:r>
        <w:t xml:space="preserve"> </w:t>
      </w:r>
      <w:r>
        <w:t xml:space="preserve">· Effect of supplementation with type 1 and type 3 collagen peptide and type 2 hydrolyzed collagen on osteoarthritis-related pain, quality of life, and physical function: A double-blind, randomized, placebo-controlled study. PMID 39719905</w:t>
      </w:r>
    </w:p>
    <w:p>
      <w:pPr>
        <w:numPr>
          <w:ilvl w:val="0"/>
          <w:numId w:val="1420"/>
        </w:numPr>
        <w:pStyle w:val="Compact"/>
      </w:pPr>
      <w:r>
        <w:t xml:space="preserve">2024 · Nilsson MI ·</w:t>
      </w:r>
      <w:r>
        <w:t xml:space="preserve"> </w:t>
      </w:r>
      <w:r>
        <w:rPr>
          <w:iCs/>
          <w:i/>
        </w:rPr>
        <w:t xml:space="preserve">Nutrients</w:t>
      </w:r>
      <w:r>
        <w:t xml:space="preserve"> </w:t>
      </w:r>
      <w:r>
        <w:t xml:space="preserve">· Obesity and Metabolic Disease Impair the Anabolic Response to Protein Supplementation and Resistance Exercise: A Retrospective Analysis of a Randomized Clinical Trial with Implications for Aging, Sarcopenic Obesity, and Weight Management. PMID 39771028</w:t>
      </w:r>
    </w:p>
    <w:p>
      <w:pPr>
        <w:numPr>
          <w:ilvl w:val="0"/>
          <w:numId w:val="1420"/>
        </w:numPr>
        <w:pStyle w:val="Compact"/>
      </w:pPr>
      <w:r>
        <w:t xml:space="preserve">2024 · Barclay R ·</w:t>
      </w:r>
      <w:r>
        <w:t xml:space="preserve"> </w:t>
      </w:r>
      <w:r>
        <w:rPr>
          <w:iCs/>
          <w:i/>
        </w:rPr>
        <w:t xml:space="preserve">Nutrients</w:t>
      </w:r>
      <w:r>
        <w:t xml:space="preserve"> </w:t>
      </w:r>
      <w:r>
        <w:t xml:space="preserve">· Comparing the Effects of Collagen Hydrolysate and Dairy Protein on Recovery from Eccentric Exercise: A Double Blind, Placebo-Controlled Study. PMID 39771010</w:t>
      </w:r>
    </w:p>
    <w:p>
      <w:pPr>
        <w:numPr>
          <w:ilvl w:val="0"/>
          <w:numId w:val="1420"/>
        </w:numPr>
        <w:pStyle w:val="Compact"/>
      </w:pPr>
      <w:r>
        <w:t xml:space="preserve">2024 · Vleminckx S ·</w:t>
      </w:r>
      <w:r>
        <w:t xml:space="preserve"> </w:t>
      </w:r>
      <w:r>
        <w:rPr>
          <w:iCs/>
          <w:i/>
        </w:rPr>
        <w:t xml:space="preserve">J Cosmet Dermatol</w:t>
      </w:r>
      <w:r>
        <w:t xml:space="preserve"> </w:t>
      </w:r>
      <w:r>
        <w:t xml:space="preserve">· Influence of collagen peptide supplementation on visible signs of skin and nail health and -aging in an East Asian population: A double blind, randomized, placebo-controlled trial. PMID 39143887</w:t>
      </w:r>
    </w:p>
    <w:p>
      <w:pPr>
        <w:numPr>
          <w:ilvl w:val="0"/>
          <w:numId w:val="1420"/>
        </w:numPr>
        <w:pStyle w:val="Compact"/>
      </w:pPr>
      <w:r>
        <w:t xml:space="preserve">2024 · Kirmse M ·</w:t>
      </w:r>
      <w:r>
        <w:t xml:space="preserve"> </w:t>
      </w:r>
      <w:r>
        <w:rPr>
          <w:iCs/>
          <w:i/>
        </w:rPr>
        <w:t xml:space="preserve">Med Sci Sports Exerc</w:t>
      </w:r>
      <w:r>
        <w:t xml:space="preserve"> </w:t>
      </w:r>
      <w:r>
        <w:t xml:space="preserve">· Collagen Peptide Supplementation during Training Does Not Further Increase Connective Tissue Protein Synthesis Rates. PMID 39086044</w:t>
      </w:r>
    </w:p>
    <w:p>
      <w:pPr>
        <w:numPr>
          <w:ilvl w:val="0"/>
          <w:numId w:val="1420"/>
        </w:numPr>
        <w:pStyle w:val="Compact"/>
      </w:pPr>
      <w:r>
        <w:t xml:space="preserve">2024 · Morakul B ·</w:t>
      </w:r>
      <w:r>
        <w:t xml:space="preserve"> </w:t>
      </w:r>
      <w:r>
        <w:rPr>
          <w:iCs/>
          <w:i/>
        </w:rPr>
        <w:t xml:space="preserve">J Cosmet Dermatol</w:t>
      </w:r>
      <w:r>
        <w:t xml:space="preserve"> </w:t>
      </w:r>
      <w:r>
        <w:t xml:space="preserve">· The evidence from in vitro primary fibroblasts and a randomized, double-blind, placebo-controlled clinical trial of tuna collagen peptides intake on skin health. PMID 39075819</w:t>
      </w:r>
    </w:p>
    <w:p>
      <w:pPr>
        <w:numPr>
          <w:ilvl w:val="0"/>
          <w:numId w:val="1420"/>
        </w:numPr>
        <w:pStyle w:val="Compact"/>
      </w:pPr>
      <w:r>
        <w:t xml:space="preserve">2024 · Schulze C ·</w:t>
      </w:r>
      <w:r>
        <w:t xml:space="preserve"> </w:t>
      </w:r>
      <w:r>
        <w:rPr>
          <w:iCs/>
          <w:i/>
        </w:rPr>
        <w:t xml:space="preserve">Int J Environ Res Public Health</w:t>
      </w:r>
      <w:r>
        <w:t xml:space="preserve"> </w:t>
      </w:r>
      <w:r>
        <w:t xml:space="preserve">· Impact of Specific Bioactive Collagen Peptides on Joint Discomforts in the Lower Extremity during Daily Activities: A Randomized Controlled Trial. PMID 38928934</w:t>
      </w:r>
    </w:p>
    <w:p>
      <w:pPr>
        <w:numPr>
          <w:ilvl w:val="0"/>
          <w:numId w:val="1420"/>
        </w:numPr>
        <w:pStyle w:val="Compact"/>
      </w:pPr>
      <w:r>
        <w:t xml:space="preserve">2024 · Devasia S ·</w:t>
      </w:r>
      <w:r>
        <w:t xml:space="preserve"> </w:t>
      </w:r>
      <w:r>
        <w:rPr>
          <w:iCs/>
          <w:i/>
        </w:rPr>
        <w:t xml:space="preserve">Cartilage</w:t>
      </w:r>
      <w:r>
        <w:t xml:space="preserve"> </w:t>
      </w:r>
      <w:r>
        <w:t xml:space="preserve">· Management and Amelioration of Knee Joint Osteoarthritis in Adults Using a Novel High-Functional Bovine Collagen Peptide as a Nutritional Therapy: A Double-Blind, Prospective, Multicentric, Randomized, Active and Placebo Controlled, Five-Arm, Clinical Study to Evaluate the Efficacy, Safety, and Tolerability. PMID 38235711</w:t>
      </w:r>
    </w:p>
    <w:p>
      <w:pPr>
        <w:numPr>
          <w:ilvl w:val="0"/>
          <w:numId w:val="1420"/>
        </w:numPr>
        <w:pStyle w:val="Compact"/>
      </w:pPr>
      <w:r>
        <w:t xml:space="preserve">2024 · Salehi S ·</w:t>
      </w:r>
      <w:r>
        <w:t xml:space="preserve"> </w:t>
      </w:r>
      <w:r>
        <w:rPr>
          <w:iCs/>
          <w:i/>
        </w:rPr>
        <w:t xml:space="preserve">Burns</w:t>
      </w:r>
      <w:r>
        <w:t xml:space="preserve"> </w:t>
      </w:r>
      <w:r>
        <w:t xml:space="preserve">· Effects of hydrolyzed collagen alone or in combination with fish oil on the gut microbiome in patients with major burns. PMID 38114377</w:t>
      </w:r>
    </w:p>
    <w:p>
      <w:pPr>
        <w:numPr>
          <w:ilvl w:val="0"/>
          <w:numId w:val="1420"/>
        </w:numPr>
        <w:pStyle w:val="Compact"/>
      </w:pPr>
      <w:r>
        <w:t xml:space="preserve">2024 · Robberechts R ·</w:t>
      </w:r>
      <w:r>
        <w:t xml:space="preserve"> </w:t>
      </w:r>
      <w:r>
        <w:rPr>
          <w:iCs/>
          <w:i/>
        </w:rPr>
        <w:t xml:space="preserve">Int J Sport Nutr Exerc Metab</w:t>
      </w:r>
      <w:r>
        <w:t xml:space="preserve"> </w:t>
      </w:r>
      <w:r>
        <w:t xml:space="preserve">· Partly Substituting Whey for Collagen Peptide Supplementation Improves Neither Indices of Muscle Damage Nor Recovery of Functional Capacity During Eccentric Exercise Training in Fit Males. PMID 37922892</w:t>
      </w:r>
    </w:p>
    <w:p>
      <w:pPr>
        <w:numPr>
          <w:ilvl w:val="0"/>
          <w:numId w:val="1420"/>
        </w:numPr>
        <w:pStyle w:val="Compact"/>
      </w:pPr>
      <w:r>
        <w:t xml:space="preserve">2024 · Thomas C ·</w:t>
      </w:r>
      <w:r>
        <w:t xml:space="preserve"> </w:t>
      </w:r>
      <w:r>
        <w:rPr>
          <w:iCs/>
          <w:i/>
        </w:rPr>
        <w:t xml:space="preserve">Eur J Nutr</w:t>
      </w:r>
      <w:r>
        <w:t xml:space="preserve"> </w:t>
      </w:r>
      <w:r>
        <w:t xml:space="preserve">· Collagen peptide supplementation before bedtime reduces sleep fragmentation and improves cognitive function in physically active males with sleep complaints. PMID 37874350</w:t>
      </w:r>
    </w:p>
    <w:p>
      <w:pPr>
        <w:numPr>
          <w:ilvl w:val="0"/>
          <w:numId w:val="1420"/>
        </w:numPr>
        <w:pStyle w:val="Compact"/>
      </w:pPr>
      <w:r>
        <w:t xml:space="preserve">2024 · Seong SH ·</w:t>
      </w:r>
      <w:r>
        <w:t xml:space="preserve"> </w:t>
      </w:r>
      <w:r>
        <w:rPr>
          <w:iCs/>
          <w:i/>
        </w:rPr>
        <w:t xml:space="preserve">J Cosmet Dermatol</w:t>
      </w:r>
      <w:r>
        <w:t xml:space="preserve"> </w:t>
      </w:r>
      <w:r>
        <w:t xml:space="preserve">· Low-molecular-weight collagen peptides supplement promotes a healthy skin: A randomized, double-blinded, placebo-controlled study. PMID 37822045</w:t>
      </w:r>
    </w:p>
    <w:p>
      <w:pPr>
        <w:numPr>
          <w:ilvl w:val="0"/>
          <w:numId w:val="1420"/>
        </w:numPr>
        <w:pStyle w:val="Compact"/>
      </w:pPr>
      <w:r>
        <w:t xml:space="preserve">2023 · Chen L ·</w:t>
      </w:r>
      <w:r>
        <w:t xml:space="preserve"> </w:t>
      </w:r>
      <w:r>
        <w:rPr>
          <w:iCs/>
          <w:i/>
        </w:rPr>
        <w:t xml:space="preserve">Food Funct</w:t>
      </w:r>
      <w:r>
        <w:t xml:space="preserve"> </w:t>
      </w:r>
      <w:r>
        <w:t xml:space="preserve">· The effect of oral supplements containing collagen peptides rich in X-Hyp or X-Hyp-Gly compared with normal collagen hydrolysates on skin elasticity and collagen holes: a randomised double-blind clinical study. PMID 37970760</w:t>
      </w:r>
    </w:p>
    <w:p>
      <w:pPr>
        <w:numPr>
          <w:ilvl w:val="0"/>
          <w:numId w:val="1420"/>
        </w:numPr>
        <w:pStyle w:val="Compact"/>
      </w:pPr>
      <w:r>
        <w:t xml:space="preserve">2023 · Kviatkovsky SA ·</w:t>
      </w:r>
      <w:r>
        <w:t xml:space="preserve"> </w:t>
      </w:r>
      <w:r>
        <w:rPr>
          <w:iCs/>
          <w:i/>
        </w:rPr>
        <w:t xml:space="preserve">J Int Soc Sports Nutr</w:t>
      </w:r>
      <w:r>
        <w:t xml:space="preserve"> </w:t>
      </w:r>
      <w:r>
        <w:t xml:space="preserve">· Collagen peptides supplementation improves function, pain, and physical and mental outcomes in active adults. PMID 37551682</w:t>
      </w:r>
    </w:p>
    <w:p>
      <w:pPr>
        <w:numPr>
          <w:ilvl w:val="0"/>
          <w:numId w:val="1420"/>
        </w:numPr>
        <w:pStyle w:val="Compact"/>
      </w:pPr>
      <w:r>
        <w:t xml:space="preserve">2023 · Balshaw TG ·</w:t>
      </w:r>
      <w:r>
        <w:t xml:space="preserve"> </w:t>
      </w:r>
      <w:r>
        <w:rPr>
          <w:iCs/>
          <w:i/>
        </w:rPr>
        <w:t xml:space="preserve">Med Sci Sports Exerc</w:t>
      </w:r>
      <w:r>
        <w:t xml:space="preserve"> </w:t>
      </w:r>
      <w:r>
        <w:t xml:space="preserve">· The Effect of Specific Bioactive Collagen Peptides on Tendon Remodeling during 15 wk of Lower Body Resistance Training. PMID 37436929</w:t>
      </w:r>
    </w:p>
    <w:p>
      <w:pPr>
        <w:numPr>
          <w:ilvl w:val="0"/>
          <w:numId w:val="1420"/>
        </w:numPr>
        <w:pStyle w:val="Compact"/>
      </w:pPr>
      <w:r>
        <w:t xml:space="preserve">2023 · Jerger S ·</w:t>
      </w:r>
      <w:r>
        <w:t xml:space="preserve"> </w:t>
      </w:r>
      <w:r>
        <w:rPr>
          <w:iCs/>
          <w:i/>
        </w:rPr>
        <w:t xml:space="preserve">Eur J Sport Sci</w:t>
      </w:r>
      <w:r>
        <w:t xml:space="preserve"> </w:t>
      </w:r>
      <w:r>
        <w:t xml:space="preserve">· Specific collagen peptides increase adaptions of patellar tendon morphology following 14-weeks of high-load resistance training: A randomized-controlled trial. PMID 37424319</w:t>
      </w:r>
    </w:p>
    <w:p>
      <w:pPr>
        <w:numPr>
          <w:ilvl w:val="0"/>
          <w:numId w:val="1420"/>
        </w:numPr>
        <w:pStyle w:val="Compact"/>
      </w:pPr>
      <w:r>
        <w:t xml:space="preserve">2023 · Koizumi S ·</w:t>
      </w:r>
      <w:r>
        <w:t xml:space="preserve"> </w:t>
      </w:r>
      <w:r>
        <w:rPr>
          <w:iCs/>
          <w:i/>
        </w:rPr>
        <w:t xml:space="preserve">Biosci Biotechnol Biochem</w:t>
      </w:r>
      <w:r>
        <w:t xml:space="preserve"> </w:t>
      </w:r>
      <w:r>
        <w:t xml:space="preserve">· Ingestion of a collagen peptide containing high concentrations of prolyl-hydroxyproline and hydroxyprolyl-glycine reduces advanced glycation end products levels in the skin and subcutaneous blood vessel walls: a randomized, double-blind, placebo-controlled study. PMID 37245058</w:t>
      </w:r>
    </w:p>
    <w:p>
      <w:pPr>
        <w:numPr>
          <w:ilvl w:val="0"/>
          <w:numId w:val="1420"/>
        </w:numPr>
        <w:pStyle w:val="Compact"/>
      </w:pPr>
      <w:r>
        <w:t xml:space="preserve">2023 · Chen CC ·</w:t>
      </w:r>
      <w:r>
        <w:t xml:space="preserve"> </w:t>
      </w:r>
      <w:r>
        <w:rPr>
          <w:iCs/>
          <w:i/>
        </w:rPr>
        <w:t xml:space="preserve">Nutr J</w:t>
      </w:r>
      <w:r>
        <w:t xml:space="preserve"> </w:t>
      </w:r>
      <w:r>
        <w:t xml:space="preserve">· Randomized, double-blind, four-arm pilot study on the effects of chicken essence and type II collagen hydrolysate on joint, bone, and muscle functions. PMID 36918892</w:t>
      </w:r>
    </w:p>
    <w:p>
      <w:pPr>
        <w:numPr>
          <w:ilvl w:val="0"/>
          <w:numId w:val="1420"/>
        </w:numPr>
        <w:pStyle w:val="Compact"/>
      </w:pPr>
      <w:r>
        <w:t xml:space="preserve">2023 · Lee M ·</w:t>
      </w:r>
      <w:r>
        <w:t xml:space="preserve"> </w:t>
      </w:r>
      <w:r>
        <w:rPr>
          <w:iCs/>
          <w:i/>
        </w:rPr>
        <w:t xml:space="preserve">Food Funct</w:t>
      </w:r>
      <w:r>
        <w:t xml:space="preserve"> </w:t>
      </w:r>
      <w:r>
        <w:t xml:space="preserve">· Oral intake of collagen peptide NS improves hydration, elasticity, desquamation, and wrinkling in human skin: a randomized, double-blinded, placebo-controlled study. PMID 36916504</w:t>
      </w:r>
    </w:p>
    <w:p>
      <w:pPr>
        <w:numPr>
          <w:ilvl w:val="0"/>
          <w:numId w:val="1420"/>
        </w:numPr>
        <w:pStyle w:val="Compact"/>
      </w:pPr>
      <w:r>
        <w:t xml:space="preserve">2023 · Balshaw TG ·</w:t>
      </w:r>
      <w:r>
        <w:t xml:space="preserve"> </w:t>
      </w:r>
      <w:r>
        <w:rPr>
          <w:iCs/>
          <w:i/>
        </w:rPr>
        <w:t xml:space="preserve">Acta Physiol (Oxf)</w:t>
      </w:r>
      <w:r>
        <w:t xml:space="preserve"> </w:t>
      </w:r>
      <w:r>
        <w:t xml:space="preserve">· The effect of specific bioactive collagen peptides on function and muscle remodeling during human resistance training. PMID 36433662</w:t>
      </w:r>
    </w:p>
    <w:p>
      <w:pPr>
        <w:numPr>
          <w:ilvl w:val="0"/>
          <w:numId w:val="1420"/>
        </w:numPr>
        <w:pStyle w:val="Compact"/>
      </w:pPr>
      <w:r>
        <w:t xml:space="preserve">2023 · Taylor G ·</w:t>
      </w:r>
      <w:r>
        <w:t xml:space="preserve"> </w:t>
      </w:r>
      <w:r>
        <w:rPr>
          <w:iCs/>
          <w:i/>
        </w:rPr>
        <w:t xml:space="preserve">Eur J Nutr</w:t>
      </w:r>
      <w:r>
        <w:t xml:space="preserve"> </w:t>
      </w:r>
      <w:r>
        <w:t xml:space="preserve">· The effects of collagen peptides on exercise-induced gastrointestinal stress: a randomized, controlled trial. PMID 36370176</w:t>
      </w:r>
    </w:p>
    <w:p>
      <w:pPr>
        <w:numPr>
          <w:ilvl w:val="0"/>
          <w:numId w:val="1420"/>
        </w:numPr>
        <w:pStyle w:val="Compact"/>
      </w:pPr>
      <w:r>
        <w:t xml:space="preserve">2022 · Kim J ·</w:t>
      </w:r>
      <w:r>
        <w:t xml:space="preserve"> </w:t>
      </w:r>
      <w:r>
        <w:rPr>
          <w:iCs/>
          <w:i/>
        </w:rPr>
        <w:t xml:space="preserve">J Med Food</w:t>
      </w:r>
      <w:r>
        <w:t xml:space="preserve"> </w:t>
      </w:r>
      <w:r>
        <w:t xml:space="preserve">· Oral Supplementation of Low-Molecular-Weight Collagen Peptides Reduces Skin Wrinkles and Improves Biophysical Properties of Skin: A Randomized, Double-Blinded, Placebo-Controlled Study. PMID 36516059</w:t>
      </w:r>
    </w:p>
    <w:p>
      <w:pPr>
        <w:numPr>
          <w:ilvl w:val="0"/>
          <w:numId w:val="1420"/>
        </w:numPr>
        <w:pStyle w:val="Compact"/>
      </w:pPr>
      <w:r>
        <w:t xml:space="preserve">2022 · Jockel-Schneider Y ·</w:t>
      </w:r>
      <w:r>
        <w:t xml:space="preserve"> </w:t>
      </w:r>
      <w:r>
        <w:rPr>
          <w:iCs/>
          <w:i/>
        </w:rPr>
        <w:t xml:space="preserve">Nutrients</w:t>
      </w:r>
      <w:r>
        <w:t xml:space="preserve"> </w:t>
      </w:r>
      <w:r>
        <w:t xml:space="preserve">· Impact of a Specific Collagen Peptide Food Supplement on Periodontal Inflammation in Aftercare Patients-A Randomised Controlled Trial. PMID 36364735</w:t>
      </w:r>
    </w:p>
    <w:p>
      <w:pPr>
        <w:numPr>
          <w:ilvl w:val="0"/>
          <w:numId w:val="1420"/>
        </w:numPr>
        <w:pStyle w:val="Compact"/>
      </w:pPr>
      <w:r>
        <w:t xml:space="preserve">2022 · Jerger S ·</w:t>
      </w:r>
      <w:r>
        <w:t xml:space="preserve"> </w:t>
      </w:r>
      <w:r>
        <w:rPr>
          <w:iCs/>
          <w:i/>
        </w:rPr>
        <w:t xml:space="preserve">Scand J Med Sci Sports</w:t>
      </w:r>
      <w:r>
        <w:t xml:space="preserve"> </w:t>
      </w:r>
      <w:r>
        <w:t xml:space="preserve">· Effects of specific collagen peptide supplementation combined with resistance training on Achilles tendon properties. PMID 35403756</w:t>
      </w:r>
    </w:p>
    <w:p>
      <w:pPr>
        <w:numPr>
          <w:ilvl w:val="0"/>
          <w:numId w:val="1420"/>
        </w:numPr>
        <w:pStyle w:val="Compact"/>
      </w:pPr>
      <w:r>
        <w:t xml:space="preserve">2022 · Jacinto JL ·</w:t>
      </w:r>
      <w:r>
        <w:t xml:space="preserve"> </w:t>
      </w:r>
      <w:r>
        <w:rPr>
          <w:iCs/>
          <w:i/>
        </w:rPr>
        <w:t xml:space="preserve">Int J Sport Nutr Exerc Metab</w:t>
      </w:r>
      <w:r>
        <w:t xml:space="preserve"> </w:t>
      </w:r>
      <w:r>
        <w:t xml:space="preserve">· Whey Protein Supplementation Is Superior to Leucine-Matched Collagen Peptides to Increase Muscle Thickness During a 10-Week Resistance Training Program in Untrained Young Adults. PMID 35042187</w:t>
      </w:r>
    </w:p>
    <w:p>
      <w:pPr>
        <w:numPr>
          <w:ilvl w:val="0"/>
          <w:numId w:val="1420"/>
        </w:numPr>
        <w:pStyle w:val="Compact"/>
      </w:pPr>
      <w:r>
        <w:t xml:space="preserve">2022 · Lampropoulou-Adamidou K ·</w:t>
      </w:r>
      <w:r>
        <w:t xml:space="preserve"> </w:t>
      </w:r>
      <w:r>
        <w:rPr>
          <w:iCs/>
          <w:i/>
        </w:rPr>
        <w:t xml:space="preserve">J Clin Densitom</w:t>
      </w:r>
      <w:r>
        <w:t xml:space="preserve"> </w:t>
      </w:r>
      <w:r>
        <w:t xml:space="preserve">· Effect of Calcium and Vitamin D Supplementation With and Without Collagen Peptides on Volumetric and Areal Bone Mineral Density, Bone Geometry and Bone Turnover in Postmenopausal Women With Osteopenia. PMID 34980546</w:t>
      </w:r>
    </w:p>
    <w:p>
      <w:pPr>
        <w:numPr>
          <w:ilvl w:val="0"/>
          <w:numId w:val="1420"/>
        </w:numPr>
        <w:pStyle w:val="Compact"/>
      </w:pPr>
      <w:r>
        <w:t xml:space="preserve">2022 · Farì G ·</w:t>
      </w:r>
      <w:r>
        <w:t xml:space="preserve"> </w:t>
      </w:r>
      <w:r>
        <w:rPr>
          <w:iCs/>
          <w:i/>
        </w:rPr>
        <w:t xml:space="preserve">Endocr Metab Immune Disord Drug Targets</w:t>
      </w:r>
      <w:r>
        <w:t xml:space="preserve"> </w:t>
      </w:r>
      <w:r>
        <w:t xml:space="preserve">· Collagen Peptides, in Association with Vitamin C, Sodium Hyaluronate, Manganese and Copper, as Part of the Rehabilitation Project in the Treatment of Chronic Low Back Pain. PMID 33568038</w:t>
      </w:r>
    </w:p>
    <w:p>
      <w:pPr>
        <w:numPr>
          <w:ilvl w:val="0"/>
          <w:numId w:val="1420"/>
        </w:numPr>
        <w:pStyle w:val="Compact"/>
      </w:pPr>
      <w:r>
        <w:t xml:space="preserve">2021 · Maia Campos PMBG ·</w:t>
      </w:r>
      <w:r>
        <w:t xml:space="preserve"> </w:t>
      </w:r>
      <w:r>
        <w:rPr>
          <w:iCs/>
          <w:i/>
        </w:rPr>
        <w:t xml:space="preserve">Molecules</w:t>
      </w:r>
      <w:r>
        <w:t xml:space="preserve"> </w:t>
      </w:r>
      <w:r>
        <w:t xml:space="preserve">· Oral Supplementation with Hydrolyzed Fish Cartilage Improves the Morphological and Structural Characteristics of the Skin: A Double-Blind, Placebo-Controlled Clinical Study. PMID 34443468</w:t>
      </w:r>
    </w:p>
    <w:p>
      <w:pPr>
        <w:numPr>
          <w:ilvl w:val="0"/>
          <w:numId w:val="1420"/>
        </w:numPr>
        <w:pStyle w:val="Compact"/>
      </w:pPr>
      <w:r>
        <w:t xml:space="preserve">2021 · Osawa Y ·</w:t>
      </w:r>
      <w:r>
        <w:t xml:space="preserve"> </w:t>
      </w:r>
      <w:r>
        <w:rPr>
          <w:iCs/>
          <w:i/>
        </w:rPr>
        <w:t xml:space="preserve">Sci Rep</w:t>
      </w:r>
      <w:r>
        <w:t xml:space="preserve"> </w:t>
      </w:r>
      <w:r>
        <w:t xml:space="preserve">· Monitoring urinary collagen metabolite changes following collagen peptide ingestion and physical activity using ELISA with anti active collagen oligopeptide antibody. PMID 34188133</w:t>
      </w:r>
    </w:p>
    <w:p>
      <w:pPr>
        <w:numPr>
          <w:ilvl w:val="0"/>
          <w:numId w:val="1420"/>
        </w:numPr>
        <w:pStyle w:val="Compact"/>
      </w:pPr>
      <w:r>
        <w:t xml:space="preserve">2021 · Zdzieblik D ·</w:t>
      </w:r>
      <w:r>
        <w:t xml:space="preserve"> </w:t>
      </w:r>
      <w:r>
        <w:rPr>
          <w:iCs/>
          <w:i/>
        </w:rPr>
        <w:t xml:space="preserve">Int J Environ Res Public Health</w:t>
      </w:r>
      <w:r>
        <w:t xml:space="preserve"> </w:t>
      </w:r>
      <w:r>
        <w:t xml:space="preserve">· The Influence of Specific Bioactive Collagen Peptides on Body Composition and Muscle Strength in Middle-Aged, Untrained Men: A Randomized Controlled Trial. PMID 33946565</w:t>
      </w:r>
    </w:p>
    <w:p>
      <w:pPr>
        <w:numPr>
          <w:ilvl w:val="0"/>
          <w:numId w:val="1420"/>
        </w:numPr>
        <w:pStyle w:val="Compact"/>
      </w:pPr>
      <w:r>
        <w:t xml:space="preserve">2021 · Miyanaga M ·</w:t>
      </w:r>
      <w:r>
        <w:t xml:space="preserve"> </w:t>
      </w:r>
      <w:r>
        <w:rPr>
          <w:iCs/>
          <w:i/>
        </w:rPr>
        <w:t xml:space="preserve">Skin Pharmacol Physiol</w:t>
      </w:r>
      <w:r>
        <w:t xml:space="preserve"> </w:t>
      </w:r>
      <w:r>
        <w:t xml:space="preserve">· Oral Supplementation of Collagen Peptides Improves Skin Hydration by Increasing the Natural Moisturizing Factor Content in the Stratum Corneum: A Randomized, Double-Blind, Placebo-Controlled Clinical Trial. PMID 33774639</w:t>
      </w:r>
    </w:p>
    <w:p>
      <w:pPr>
        <w:numPr>
          <w:ilvl w:val="0"/>
          <w:numId w:val="1420"/>
        </w:numPr>
        <w:pStyle w:val="Compact"/>
      </w:pPr>
      <w:r>
        <w:t xml:space="preserve">2021 · Wageh M ·</w:t>
      </w:r>
      <w:r>
        <w:t xml:space="preserve"> </w:t>
      </w:r>
      <w:r>
        <w:rPr>
          <w:iCs/>
          <w:i/>
        </w:rPr>
        <w:t xml:space="preserve">Med Sci Sports Exerc</w:t>
      </w:r>
      <w:r>
        <w:t xml:space="preserve"> </w:t>
      </w:r>
      <w:r>
        <w:t xml:space="preserve">· The Effect of a Multi-ingredient Supplement on Resistance Training-induced Adaptations. PMID 33756525</w:t>
      </w:r>
    </w:p>
    <w:p>
      <w:pPr>
        <w:numPr>
          <w:ilvl w:val="0"/>
          <w:numId w:val="1420"/>
        </w:numPr>
        <w:pStyle w:val="Compact"/>
      </w:pPr>
      <w:r>
        <w:t xml:space="preserve">2021 · Zdzieblik D ·</w:t>
      </w:r>
      <w:r>
        <w:t xml:space="preserve"> </w:t>
      </w:r>
      <w:r>
        <w:rPr>
          <w:iCs/>
          <w:i/>
        </w:rPr>
        <w:t xml:space="preserve">Nutrients</w:t>
      </w:r>
      <w:r>
        <w:t xml:space="preserve"> </w:t>
      </w:r>
      <w:r>
        <w:t xml:space="preserve">· The Influence of Specific Bioactive Collagen Peptides on Knee Joint Discomfort in Young Physically Active Adults: A Randomized Controlled Trial. PMID 33562729</w:t>
      </w:r>
    </w:p>
    <w:p>
      <w:pPr>
        <w:numPr>
          <w:ilvl w:val="0"/>
          <w:numId w:val="1420"/>
        </w:numPr>
        <w:pStyle w:val="Compact"/>
      </w:pPr>
      <w:r>
        <w:t xml:space="preserve">2021 · Brook MS ·</w:t>
      </w:r>
      <w:r>
        <w:t xml:space="preserve"> </w:t>
      </w:r>
      <w:r>
        <w:rPr>
          <w:iCs/>
          <w:i/>
        </w:rPr>
        <w:t xml:space="preserve">Clin Nutr</w:t>
      </w:r>
      <w:r>
        <w:t xml:space="preserve"> </w:t>
      </w:r>
      <w:r>
        <w:t xml:space="preserve">· A collagen hydrolysate/milk protein-blend stimulates muscle anabolism equivalently to an isoenergetic milk protein-blend containing a greater quantity of essential amino acids in older men. PMID 33487503</w:t>
      </w:r>
    </w:p>
    <w:p>
      <w:pPr>
        <w:numPr>
          <w:ilvl w:val="0"/>
          <w:numId w:val="1420"/>
        </w:numPr>
        <w:pStyle w:val="Compact"/>
      </w:pPr>
      <w:r>
        <w:t xml:space="preserve">2021 · Prowting JL ·</w:t>
      </w:r>
      <w:r>
        <w:t xml:space="preserve"> </w:t>
      </w:r>
      <w:r>
        <w:rPr>
          <w:iCs/>
          <w:i/>
        </w:rPr>
        <w:t xml:space="preserve">Int J Sport Nutr Exerc Metab</w:t>
      </w:r>
      <w:r>
        <w:t xml:space="preserve"> </w:t>
      </w:r>
      <w:r>
        <w:t xml:space="preserve">· Effects of Collagen Peptides on Recovery Following Eccentric Exercise in Resistance-Trained Males-A Pilot Study. PMID 33186897</w:t>
      </w:r>
    </w:p>
    <w:p>
      <w:pPr>
        <w:numPr>
          <w:ilvl w:val="0"/>
          <w:numId w:val="1420"/>
        </w:numPr>
        <w:pStyle w:val="Compact"/>
      </w:pPr>
      <w:r>
        <w:t xml:space="preserve">2021 · Sangsuwan W ·</w:t>
      </w:r>
      <w:r>
        <w:t xml:space="preserve"> </w:t>
      </w:r>
      <w:r>
        <w:rPr>
          <w:iCs/>
          <w:i/>
        </w:rPr>
        <w:t xml:space="preserve">J Dermatolog Treat</w:t>
      </w:r>
      <w:r>
        <w:t xml:space="preserve"> </w:t>
      </w:r>
      <w:r>
        <w:t xml:space="preserve">· Four-weeks daily intake of oral collagen hydrolysate results in improved skin elasticity, especially in sun-exposed areas: a randomized, double-blind, placebo-controlled trial. PMID 32009486</w:t>
      </w:r>
    </w:p>
    <w:p>
      <w:pPr>
        <w:numPr>
          <w:ilvl w:val="0"/>
          <w:numId w:val="1420"/>
        </w:numPr>
        <w:pStyle w:val="Compact"/>
      </w:pPr>
      <w:r>
        <w:t xml:space="preserve">2020 · MacInnis MJ ·</w:t>
      </w:r>
      <w:r>
        <w:t xml:space="preserve"> </w:t>
      </w:r>
      <w:r>
        <w:rPr>
          <w:iCs/>
          <w:i/>
        </w:rPr>
        <w:t xml:space="preserve">Int J Sport Nutr Exerc Metab</w:t>
      </w:r>
      <w:r>
        <w:t xml:space="preserve"> </w:t>
      </w:r>
      <w:r>
        <w:t xml:space="preserve">· Presleep α-Lactalbumin Consumption Does Not Improve Sleep Quality or Time-Trial Performance in Cyclists. PMID 32698123</w:t>
      </w:r>
    </w:p>
    <w:p>
      <w:pPr>
        <w:numPr>
          <w:ilvl w:val="0"/>
          <w:numId w:val="1420"/>
        </w:numPr>
        <w:pStyle w:val="Compact"/>
      </w:pPr>
      <w:r>
        <w:t xml:space="preserve">2020 · Nomoto T ·</w:t>
      </w:r>
      <w:r>
        <w:t xml:space="preserve"> </w:t>
      </w:r>
      <w:r>
        <w:rPr>
          <w:iCs/>
          <w:i/>
        </w:rPr>
        <w:t xml:space="preserve">Adv Skin Wound Care</w:t>
      </w:r>
      <w:r>
        <w:t xml:space="preserve"> </w:t>
      </w:r>
      <w:r>
        <w:t xml:space="preserve">· Effect of an Oral Nutrition Supplement Containing Collagen Peptides on Stratum Corneum Hydration and Skin Elasticity in Hospitalized Older Adults: A Multicenter Open-label Randomized Controlled Study. PMID 32195722</w:t>
      </w:r>
    </w:p>
    <w:p>
      <w:pPr>
        <w:numPr>
          <w:ilvl w:val="0"/>
          <w:numId w:val="1420"/>
        </w:numPr>
        <w:pStyle w:val="Compact"/>
      </w:pPr>
      <w:r>
        <w:t xml:space="preserve">2020 · Argyrou C ·</w:t>
      </w:r>
      <w:r>
        <w:t xml:space="preserve"> </w:t>
      </w:r>
      <w:r>
        <w:rPr>
          <w:iCs/>
          <w:i/>
        </w:rPr>
        <w:t xml:space="preserve">J Musculoskelet Neuronal Interact</w:t>
      </w:r>
      <w:r>
        <w:t xml:space="preserve"> </w:t>
      </w:r>
      <w:r>
        <w:t xml:space="preserve">· Effect of calcium and vitamin D supplementation with and without collagen peptides on bone turnover in postmenopausal women with osteopenia. PMID 32131366</w:t>
      </w:r>
    </w:p>
    <w:p>
      <w:pPr>
        <w:numPr>
          <w:ilvl w:val="0"/>
          <w:numId w:val="1420"/>
        </w:numPr>
        <w:pStyle w:val="Compact"/>
      </w:pPr>
      <w:r>
        <w:t xml:space="preserve">2020 · Žmitek K ·</w:t>
      </w:r>
      <w:r>
        <w:t xml:space="preserve"> </w:t>
      </w:r>
      <w:r>
        <w:rPr>
          <w:iCs/>
          <w:i/>
        </w:rPr>
        <w:t xml:space="preserve">Nutrients</w:t>
      </w:r>
      <w:r>
        <w:t xml:space="preserve"> </w:t>
      </w:r>
      <w:r>
        <w:t xml:space="preserve">· Effects of a Combination of Water-Soluble CoenzymeQ10 and Collagen on Skin Parameters and Condition:Results of a Randomised, Placebo-Controlled,Double-Blind Study. PMID 32120787</w:t>
      </w:r>
    </w:p>
    <w:p>
      <w:pPr>
        <w:numPr>
          <w:ilvl w:val="0"/>
          <w:numId w:val="1420"/>
        </w:numPr>
        <w:pStyle w:val="Compact"/>
      </w:pPr>
      <w:r>
        <w:t xml:space="preserve">2020 · Laing S ·</w:t>
      </w:r>
      <w:r>
        <w:t xml:space="preserve"> </w:t>
      </w:r>
      <w:r>
        <w:rPr>
          <w:iCs/>
          <w:i/>
        </w:rPr>
        <w:t xml:space="preserve">J Med Food</w:t>
      </w:r>
      <w:r>
        <w:t xml:space="preserve"> </w:t>
      </w:r>
      <w:r>
        <w:t xml:space="preserve">· A Dermonutrient Containing Special Collagen Peptides Improves Skin Structure and Function: A Randomized, Placebo-Controlled, Triple-Blind Trial Using Confocal Laser Scanning Microscopy on the Cosmetic Effects and Tolerance of a Drinkable Collagen Supplement. PMID 32017646</w:t>
      </w:r>
    </w:p>
    <w:p>
      <w:pPr>
        <w:numPr>
          <w:ilvl w:val="0"/>
          <w:numId w:val="1420"/>
        </w:numPr>
        <w:pStyle w:val="Compact"/>
      </w:pPr>
      <w:r>
        <w:t xml:space="preserve">2020 · Bongers CCWG ·</w:t>
      </w:r>
      <w:r>
        <w:t xml:space="preserve"> </w:t>
      </w:r>
      <w:r>
        <w:rPr>
          <w:iCs/>
          <w:i/>
        </w:rPr>
        <w:t xml:space="preserve">Appl Physiol Nutr Metab</w:t>
      </w:r>
      <w:r>
        <w:t xml:space="preserve"> </w:t>
      </w:r>
      <w:r>
        <w:t xml:space="preserve">· Effectiveness of collagen supplementation on pain scores in healthy individuals with self-reported knee pain: a randomized controlled trial. PMID 31990581</w:t>
      </w:r>
    </w:p>
    <w:p>
      <w:pPr>
        <w:numPr>
          <w:ilvl w:val="0"/>
          <w:numId w:val="1420"/>
        </w:numPr>
        <w:pStyle w:val="Compact"/>
      </w:pPr>
      <w:r>
        <w:t xml:space="preserve">2020 · Oikawa SY ·</w:t>
      </w:r>
      <w:r>
        <w:t xml:space="preserve"> </w:t>
      </w:r>
      <w:r>
        <w:rPr>
          <w:iCs/>
          <w:i/>
        </w:rPr>
        <w:t xml:space="preserve">Am J Clin Nutr</w:t>
      </w:r>
      <w:r>
        <w:t xml:space="preserve"> </w:t>
      </w:r>
      <w:r>
        <w:t xml:space="preserve">· Whey protein but not collagen peptides stimulate acute and longer-term muscle protein synthesis with and without resistance exercise in healthy older women: a randomized controlled trial. PMID 31919527</w:t>
      </w:r>
    </w:p>
    <w:p>
      <w:pPr>
        <w:numPr>
          <w:ilvl w:val="0"/>
          <w:numId w:val="1420"/>
        </w:numPr>
        <w:pStyle w:val="Compact"/>
      </w:pPr>
      <w:r>
        <w:t xml:space="preserve">2019 · Bolke L ·</w:t>
      </w:r>
      <w:r>
        <w:t xml:space="preserve"> </w:t>
      </w:r>
      <w:r>
        <w:rPr>
          <w:iCs/>
          <w:i/>
        </w:rPr>
        <w:t xml:space="preserve">Nutrients</w:t>
      </w:r>
      <w:r>
        <w:t xml:space="preserve"> </w:t>
      </w:r>
      <w:r>
        <w:t xml:space="preserve">· A Collagen Supplement Improves Skin Hydration, Elasticity, Roughness, and Density: Results of a Randomized, Placebo-Controlled, Blind Study. PMID 31627309</w:t>
      </w:r>
    </w:p>
    <w:p>
      <w:pPr>
        <w:numPr>
          <w:ilvl w:val="0"/>
          <w:numId w:val="1420"/>
        </w:numPr>
        <w:pStyle w:val="Compact"/>
      </w:pPr>
      <w:r>
        <w:t xml:space="preserve">2019 · Centner C ·</w:t>
      </w:r>
      <w:r>
        <w:t xml:space="preserve"> </w:t>
      </w:r>
      <w:r>
        <w:rPr>
          <w:iCs/>
          <w:i/>
        </w:rPr>
        <w:t xml:space="preserve">J Sports Sci Med</w:t>
      </w:r>
      <w:r>
        <w:t xml:space="preserve"> </w:t>
      </w:r>
      <w:r>
        <w:t xml:space="preserve">· Effects of Blood Flow Restriction Training with Protein Supplementation on Muscle Mass And Strength in Older Men. PMID 31427869</w:t>
      </w:r>
    </w:p>
    <w:p>
      <w:pPr>
        <w:numPr>
          <w:ilvl w:val="0"/>
          <w:numId w:val="1420"/>
        </w:numPr>
        <w:pStyle w:val="Compact"/>
      </w:pPr>
      <w:r>
        <w:t xml:space="preserve">2019 · Kirmse M ·</w:t>
      </w:r>
      <w:r>
        <w:t xml:space="preserve"> </w:t>
      </w:r>
      <w:r>
        <w:rPr>
          <w:iCs/>
          <w:i/>
        </w:rPr>
        <w:t xml:space="preserve">Nutrients</w:t>
      </w:r>
      <w:r>
        <w:t xml:space="preserve"> </w:t>
      </w:r>
      <w:r>
        <w:t xml:space="preserve">· Prolonged Collagen Peptide Supplementation and Resistance Exercise Training Affects Body Composition in Recreationally Active Men. PMID 31126103</w:t>
      </w:r>
    </w:p>
    <w:p>
      <w:pPr>
        <w:numPr>
          <w:ilvl w:val="0"/>
          <w:numId w:val="1420"/>
        </w:numPr>
        <w:pStyle w:val="Compact"/>
      </w:pPr>
      <w:r>
        <w:t xml:space="preserve">2019 · Oertzen-Hagemann V ·</w:t>
      </w:r>
      <w:r>
        <w:t xml:space="preserve"> </w:t>
      </w:r>
      <w:r>
        <w:rPr>
          <w:iCs/>
          <w:i/>
        </w:rPr>
        <w:t xml:space="preserve">Nutrients</w:t>
      </w:r>
      <w:r>
        <w:t xml:space="preserve"> </w:t>
      </w:r>
      <w:r>
        <w:t xml:space="preserve">· Effects of 12 Weeks of Hypertrophy Resistance Exercise Training Combined with Collagen Peptide Supplementation on the Skeletal Muscle Proteome in Recreationally Active Men. PMID 31091754</w:t>
      </w:r>
    </w:p>
    <w:p>
      <w:pPr>
        <w:numPr>
          <w:ilvl w:val="0"/>
          <w:numId w:val="1420"/>
        </w:numPr>
        <w:pStyle w:val="Compact"/>
      </w:pPr>
      <w:r>
        <w:t xml:space="preserve">2019 · Skov K ·</w:t>
      </w:r>
      <w:r>
        <w:t xml:space="preserve"> </w:t>
      </w:r>
      <w:r>
        <w:rPr>
          <w:iCs/>
          <w:i/>
        </w:rPr>
        <w:t xml:space="preserve">Nutrients</w:t>
      </w:r>
      <w:r>
        <w:t xml:space="preserve"> </w:t>
      </w:r>
      <w:r>
        <w:t xml:space="preserve">· Enzymatic Hydrolysis of a Collagen Hydrolysate Enhances Postprandial Absorption Rate-A Randomized Controlled Trial. PMID 31086034</w:t>
      </w:r>
    </w:p>
    <w:p>
      <w:pPr>
        <w:numPr>
          <w:ilvl w:val="0"/>
          <w:numId w:val="1420"/>
        </w:numPr>
        <w:pStyle w:val="Compact"/>
      </w:pPr>
      <w:r>
        <w:t xml:space="preserve">2019 · Jendricke P ·</w:t>
      </w:r>
      <w:r>
        <w:t xml:space="preserve"> </w:t>
      </w:r>
      <w:r>
        <w:rPr>
          <w:iCs/>
          <w:i/>
        </w:rPr>
        <w:t xml:space="preserve">Nutrients</w:t>
      </w:r>
      <w:r>
        <w:t xml:space="preserve"> </w:t>
      </w:r>
      <w:r>
        <w:t xml:space="preserve">· Specific Collagen Peptides in Combination with Resistance Training Improve Body Composition and Regional Muscle Strength in Premenopausal Women: A Randomized Controlled Trial. PMID 31010031</w:t>
      </w:r>
    </w:p>
    <w:p>
      <w:pPr>
        <w:numPr>
          <w:ilvl w:val="0"/>
          <w:numId w:val="1420"/>
        </w:numPr>
        <w:pStyle w:val="Compact"/>
      </w:pPr>
      <w:r>
        <w:t xml:space="preserve">2019 · Tak YJ ·</w:t>
      </w:r>
      <w:r>
        <w:t xml:space="preserve"> </w:t>
      </w:r>
      <w:r>
        <w:rPr>
          <w:iCs/>
          <w:i/>
        </w:rPr>
        <w:t xml:space="preserve">Mar Drugs</w:t>
      </w:r>
      <w:r>
        <w:t xml:space="preserve"> </w:t>
      </w:r>
      <w:r>
        <w:t xml:space="preserve">· Effect of Oral Ingestion of Low-Molecular Collagen Peptides Derived from Skate (Raja Kenojei) Skin on Body Fat in Overweight Adults: A Randomized, Double-Blind, Placebo-Controlled Trial. PMID 30866485</w:t>
      </w:r>
    </w:p>
    <w:p>
      <w:pPr>
        <w:numPr>
          <w:ilvl w:val="0"/>
          <w:numId w:val="1420"/>
        </w:numPr>
        <w:pStyle w:val="Compact"/>
      </w:pPr>
      <w:r>
        <w:t xml:space="preserve">2019 · Asai T ·</w:t>
      </w:r>
      <w:r>
        <w:t xml:space="preserve"> </w:t>
      </w:r>
      <w:r>
        <w:rPr>
          <w:iCs/>
          <w:i/>
        </w:rPr>
        <w:t xml:space="preserve">J Agric Food Chem</w:t>
      </w:r>
      <w:r>
        <w:t xml:space="preserve"> </w:t>
      </w:r>
      <w:r>
        <w:t xml:space="preserve">· Amount of Collagen in the Meat Contained in Japanese Daily Dishes and the Collagen Peptide Content in Human Blood after Ingestion of Cooked Fish Meat. PMID 30784272</w:t>
      </w:r>
    </w:p>
    <w:p>
      <w:pPr>
        <w:numPr>
          <w:ilvl w:val="0"/>
          <w:numId w:val="1420"/>
        </w:numPr>
        <w:pStyle w:val="Compact"/>
      </w:pPr>
      <w:r>
        <w:t xml:space="preserve">2019 · Clifford T ·</w:t>
      </w:r>
      <w:r>
        <w:t xml:space="preserve"> </w:t>
      </w:r>
      <w:r>
        <w:rPr>
          <w:iCs/>
          <w:i/>
        </w:rPr>
        <w:t xml:space="preserve">Amino Acids</w:t>
      </w:r>
      <w:r>
        <w:t xml:space="preserve"> </w:t>
      </w:r>
      <w:r>
        <w:t xml:space="preserve">· The effects of collagen peptides on muscle damage, inflammation and bone turnover following exercise: a randomized, controlled trial. PMID 30783776</w:t>
      </w:r>
    </w:p>
    <w:p>
      <w:pPr>
        <w:numPr>
          <w:ilvl w:val="0"/>
          <w:numId w:val="1420"/>
        </w:numPr>
        <w:pStyle w:val="Compact"/>
      </w:pPr>
      <w:r>
        <w:t xml:space="preserve">2019 · Praet SFE ·</w:t>
      </w:r>
      <w:r>
        <w:t xml:space="preserve"> </w:t>
      </w:r>
      <w:r>
        <w:rPr>
          <w:iCs/>
          <w:i/>
        </w:rPr>
        <w:t xml:space="preserve">Nutrients</w:t>
      </w:r>
      <w:r>
        <w:t xml:space="preserve"> </w:t>
      </w:r>
      <w:r>
        <w:t xml:space="preserve">· Oral Supplementation of Specific Collagen Peptides Combined with Calf-Strengthening Exercises Enhances Function and Reduces Pain in Achilles Tendinopathy Patients. PMID 30609761</w:t>
      </w:r>
    </w:p>
    <w:p>
      <w:pPr>
        <w:numPr>
          <w:ilvl w:val="0"/>
          <w:numId w:val="1420"/>
        </w:numPr>
        <w:pStyle w:val="Compact"/>
      </w:pPr>
      <w:r>
        <w:t xml:space="preserve">2018 · Ito N ·</w:t>
      </w:r>
      <w:r>
        <w:t xml:space="preserve"> </w:t>
      </w:r>
      <w:r>
        <w:rPr>
          <w:iCs/>
          <w:i/>
        </w:rPr>
        <w:t xml:space="preserve">Mar Drugs</w:t>
      </w:r>
      <w:r>
        <w:t xml:space="preserve"> </w:t>
      </w:r>
      <w:r>
        <w:t xml:space="preserve">· Effects of Composite Supplement Containing Collagen Peptide and Ornithine on Skin Conditions and Plasma IGF-1 Levels-A Randomized, Double-Blind, Placebo-Controlled Trial. PMID 30513923</w:t>
      </w:r>
    </w:p>
    <w:p>
      <w:pPr>
        <w:numPr>
          <w:ilvl w:val="0"/>
          <w:numId w:val="1420"/>
        </w:numPr>
        <w:pStyle w:val="Compact"/>
      </w:pPr>
      <w:r>
        <w:t xml:space="preserve">2018 · Oikawa SY ·</w:t>
      </w:r>
      <w:r>
        <w:t xml:space="preserve"> </w:t>
      </w:r>
      <w:r>
        <w:rPr>
          <w:iCs/>
          <w:i/>
        </w:rPr>
        <w:t xml:space="preserve">Am J Clin Nutr</w:t>
      </w:r>
      <w:r>
        <w:t xml:space="preserve"> </w:t>
      </w:r>
      <w:r>
        <w:t xml:space="preserve">· A randomized controlled trial of the impact of protein supplementation on leg lean mass and integrated muscle protein synthesis during inactivity and energy restriction in older persons. PMID 30289425</w:t>
      </w:r>
    </w:p>
    <w:p>
      <w:pPr>
        <w:numPr>
          <w:ilvl w:val="0"/>
          <w:numId w:val="1420"/>
        </w:numPr>
        <w:pStyle w:val="Compact"/>
      </w:pPr>
      <w:r>
        <w:t xml:space="preserve">2018 · Shigemura Y ·</w:t>
      </w:r>
      <w:r>
        <w:t xml:space="preserve"> </w:t>
      </w:r>
      <w:r>
        <w:rPr>
          <w:iCs/>
          <w:i/>
        </w:rPr>
        <w:t xml:space="preserve">Nutrients</w:t>
      </w:r>
      <w:r>
        <w:t xml:space="preserve"> </w:t>
      </w:r>
      <w:r>
        <w:t xml:space="preserve">· A Pilot Study for the Detection of Cyclic Prolyl-Hydroxyproline (Pro-Hyp) in Human Blood after Ingestion of Collagen Hydrolysate. PMID 30248982</w:t>
      </w:r>
    </w:p>
    <w:p>
      <w:pPr>
        <w:numPr>
          <w:ilvl w:val="0"/>
          <w:numId w:val="1420"/>
        </w:numPr>
        <w:pStyle w:val="Compact"/>
      </w:pPr>
      <w:r>
        <w:t xml:space="preserve">2018 · Czajka A ·</w:t>
      </w:r>
      <w:r>
        <w:t xml:space="preserve"> </w:t>
      </w:r>
      <w:r>
        <w:rPr>
          <w:iCs/>
          <w:i/>
        </w:rPr>
        <w:t xml:space="preserve">Nutr Res</w:t>
      </w:r>
      <w:r>
        <w:t xml:space="preserve"> </w:t>
      </w:r>
      <w:r>
        <w:t xml:space="preserve">· Daily oral supplementation with collagen peptides combined with vitamins and other bioactive compounds improves skin elasticity and has a beneficial effect on joint and general wellbeing. PMID 30122200</w:t>
      </w:r>
    </w:p>
    <w:p>
      <w:pPr>
        <w:numPr>
          <w:ilvl w:val="0"/>
          <w:numId w:val="1420"/>
        </w:numPr>
        <w:pStyle w:val="Compact"/>
      </w:pPr>
      <w:r>
        <w:t xml:space="preserve">2018 · Sugihara F ·</w:t>
      </w:r>
      <w:r>
        <w:t xml:space="preserve"> </w:t>
      </w:r>
      <w:r>
        <w:rPr>
          <w:iCs/>
          <w:i/>
        </w:rPr>
        <w:t xml:space="preserve">Sci Rep</w:t>
      </w:r>
      <w:r>
        <w:t xml:space="preserve"> </w:t>
      </w:r>
      <w:r>
        <w:t xml:space="preserve">· Ingestion of bioactive collagen hydrolysates enhanced pressure ulcer healing in a randomized double-blind placebo-controlled clinical study. PMID 30061579</w:t>
      </w:r>
    </w:p>
    <w:p>
      <w:pPr>
        <w:numPr>
          <w:ilvl w:val="0"/>
          <w:numId w:val="1420"/>
        </w:numPr>
        <w:pStyle w:val="Compact"/>
      </w:pPr>
      <w:r>
        <w:t xml:space="preserve">2018 · Kim DU ·</w:t>
      </w:r>
      <w:r>
        <w:t xml:space="preserve"> </w:t>
      </w:r>
      <w:r>
        <w:rPr>
          <w:iCs/>
          <w:i/>
        </w:rPr>
        <w:t xml:space="preserve">Nutrients</w:t>
      </w:r>
      <w:r>
        <w:t xml:space="preserve"> </w:t>
      </w:r>
      <w:r>
        <w:t xml:space="preserve">· Oral Intake of Low-Molecular-Weight Collagen Peptide Improves Hydration, Elasticity, and Wrinkling in Human Skin: A Randomized, Double-Blind, Placebo-Controlled Study. PMID 29949889</w:t>
      </w:r>
    </w:p>
    <w:p>
      <w:pPr>
        <w:numPr>
          <w:ilvl w:val="0"/>
          <w:numId w:val="1420"/>
        </w:numPr>
        <w:pStyle w:val="Compact"/>
      </w:pPr>
      <w:r>
        <w:t xml:space="preserve">2018 · Dressler P ·</w:t>
      </w:r>
      <w:r>
        <w:t xml:space="preserve"> </w:t>
      </w:r>
      <w:r>
        <w:rPr>
          <w:iCs/>
          <w:i/>
        </w:rPr>
        <w:t xml:space="preserve">J Sports Sci Med</w:t>
      </w:r>
      <w:r>
        <w:t xml:space="preserve"> </w:t>
      </w:r>
      <w:r>
        <w:t xml:space="preserve">· Improvement of Functional Ankle Properties Following Supplementation with Specific Collagen Peptides in Athletes with Chronic Ankle Instability. PMID 29769831</w:t>
      </w:r>
    </w:p>
    <w:p>
      <w:pPr>
        <w:numPr>
          <w:ilvl w:val="0"/>
          <w:numId w:val="1420"/>
        </w:numPr>
        <w:pStyle w:val="Compact"/>
      </w:pPr>
      <w:r>
        <w:t xml:space="preserve">2018 · König D ·</w:t>
      </w:r>
      <w:r>
        <w:t xml:space="preserve"> </w:t>
      </w:r>
      <w:r>
        <w:rPr>
          <w:iCs/>
          <w:i/>
        </w:rPr>
        <w:t xml:space="preserve">Nutrients</w:t>
      </w:r>
      <w:r>
        <w:t xml:space="preserve"> </w:t>
      </w:r>
      <w:r>
        <w:t xml:space="preserve">· Specific Collagen Peptides Improve Bone Mineral Density and Bone Markers in Postmenopausal Women-A Randomized Controlled Study. PMID 29337906</w:t>
      </w:r>
    </w:p>
    <w:p>
      <w:pPr>
        <w:numPr>
          <w:ilvl w:val="0"/>
          <w:numId w:val="1420"/>
        </w:numPr>
        <w:pStyle w:val="Compact"/>
      </w:pPr>
      <w:r>
        <w:t xml:space="preserve">2017 · Hakuta A ·</w:t>
      </w:r>
      <w:r>
        <w:t xml:space="preserve"> </w:t>
      </w:r>
      <w:r>
        <w:rPr>
          <w:iCs/>
          <w:i/>
        </w:rPr>
        <w:t xml:space="preserve">J Dermatol Sci</w:t>
      </w:r>
      <w:r>
        <w:t xml:space="preserve"> </w:t>
      </w:r>
      <w:r>
        <w:t xml:space="preserve">· Anti-inflammatory effect of collagen tripeptide in atopic dermatitis. PMID 29017796</w:t>
      </w:r>
    </w:p>
    <w:p>
      <w:pPr>
        <w:numPr>
          <w:ilvl w:val="0"/>
          <w:numId w:val="1420"/>
        </w:numPr>
        <w:pStyle w:val="Compact"/>
      </w:pPr>
      <w:r>
        <w:t xml:space="preserve">2017 · Hexsel D ·</w:t>
      </w:r>
      <w:r>
        <w:t xml:space="preserve"> </w:t>
      </w:r>
      <w:r>
        <w:rPr>
          <w:iCs/>
          <w:i/>
        </w:rPr>
        <w:t xml:space="preserve">J Cosmet Dermatol</w:t>
      </w:r>
      <w:r>
        <w:t xml:space="preserve"> </w:t>
      </w:r>
      <w:r>
        <w:t xml:space="preserve">· Oral supplementation with specific bioactive collagen peptides improves nail growth and reduces symptoms of brittle nails. PMID 28786550</w:t>
      </w:r>
    </w:p>
    <w:p>
      <w:pPr>
        <w:numPr>
          <w:ilvl w:val="0"/>
          <w:numId w:val="1420"/>
        </w:numPr>
        <w:pStyle w:val="Compact"/>
      </w:pPr>
      <w:r>
        <w:t xml:space="preserve">2017 · Genovese L ·</w:t>
      </w:r>
      <w:r>
        <w:t xml:space="preserve"> </w:t>
      </w:r>
      <w:r>
        <w:rPr>
          <w:iCs/>
          <w:i/>
        </w:rPr>
        <w:t xml:space="preserve">Skin Pharmacol Physiol</w:t>
      </w:r>
      <w:r>
        <w:t xml:space="preserve"> </w:t>
      </w:r>
      <w:r>
        <w:t xml:space="preserve">· An Insight into the Changes in Skin Texture and Properties following Dietary Intervention with a Nutricosmeceutical Containing a Blend of Collagen Bioactive Peptides and Antioxidants. PMID 28528342</w:t>
      </w:r>
    </w:p>
    <w:p>
      <w:pPr>
        <w:numPr>
          <w:ilvl w:val="0"/>
          <w:numId w:val="1420"/>
        </w:numPr>
        <w:pStyle w:val="Compact"/>
      </w:pPr>
      <w:r>
        <w:t xml:space="preserve">2017 · Zdzieblik D ·</w:t>
      </w:r>
      <w:r>
        <w:t xml:space="preserve"> </w:t>
      </w:r>
      <w:r>
        <w:rPr>
          <w:iCs/>
          <w:i/>
        </w:rPr>
        <w:t xml:space="preserve">Appl Physiol Nutr Metab</w:t>
      </w:r>
      <w:r>
        <w:t xml:space="preserve"> </w:t>
      </w:r>
      <w:r>
        <w:t xml:space="preserve">· Improvement of activity-related knee joint discomfort following supplementation of specific collagen peptides. PMID 28177710</w:t>
      </w:r>
    </w:p>
    <w:p>
      <w:pPr>
        <w:numPr>
          <w:ilvl w:val="0"/>
          <w:numId w:val="1420"/>
        </w:numPr>
        <w:pStyle w:val="Compact"/>
      </w:pPr>
      <w:r>
        <w:t xml:space="preserve">2016 · Yamamoto S ·</w:t>
      </w:r>
      <w:r>
        <w:t xml:space="preserve"> </w:t>
      </w:r>
      <w:r>
        <w:rPr>
          <w:iCs/>
          <w:i/>
        </w:rPr>
        <w:t xml:space="preserve">Biol Pharm Bull</w:t>
      </w:r>
      <w:r>
        <w:t xml:space="preserve"> </w:t>
      </w:r>
      <w:r>
        <w:t xml:space="preserve">· Absorption and Urinary Excretion of Peptides after Collagen Tripeptide Ingestion in Humans. PMID 26934933</w:t>
      </w:r>
    </w:p>
    <w:p>
      <w:pPr>
        <w:numPr>
          <w:ilvl w:val="0"/>
          <w:numId w:val="1420"/>
        </w:numPr>
        <w:pStyle w:val="Compact"/>
      </w:pPr>
      <w:r>
        <w:t xml:space="preserve">2016 · De Luca C ·</w:t>
      </w:r>
      <w:r>
        <w:t xml:space="preserve"> </w:t>
      </w:r>
      <w:r>
        <w:rPr>
          <w:iCs/>
          <w:i/>
        </w:rPr>
        <w:t xml:space="preserve">Oxid Med Cell Longev</w:t>
      </w:r>
      <w:r>
        <w:t xml:space="preserve"> </w:t>
      </w:r>
      <w:r>
        <w:t xml:space="preserve">· Skin Antiageing and Systemic Redox Effects of Supplementation with Marine Collagen Peptides and Plant-Derived Antioxidants: A Single-Blind Case-Control Clinical Study. PMID 26904164</w:t>
      </w:r>
    </w:p>
    <w:p>
      <w:pPr>
        <w:numPr>
          <w:ilvl w:val="0"/>
          <w:numId w:val="1420"/>
        </w:numPr>
        <w:pStyle w:val="Compact"/>
      </w:pPr>
      <w:r>
        <w:t xml:space="preserve">2016 · Inoue N ·</w:t>
      </w:r>
      <w:r>
        <w:t xml:space="preserve"> </w:t>
      </w:r>
      <w:r>
        <w:rPr>
          <w:iCs/>
          <w:i/>
        </w:rPr>
        <w:t xml:space="preserve">J Sci Food Agric</w:t>
      </w:r>
      <w:r>
        <w:t xml:space="preserve"> </w:t>
      </w:r>
      <w:r>
        <w:t xml:space="preserve">· Ingestion of bioactive collagen hydrolysates enhance facial skin moisture and elasticity and reduce facial ageing signs in a randomised double-blind placebo-controlled clinical study. PMID 26840887</w:t>
      </w:r>
    </w:p>
    <w:p>
      <w:pPr>
        <w:numPr>
          <w:ilvl w:val="0"/>
          <w:numId w:val="1420"/>
        </w:numPr>
        <w:pStyle w:val="Compact"/>
      </w:pPr>
      <w:r>
        <w:t xml:space="preserve">2016 · Stenbæk DS ·</w:t>
      </w:r>
      <w:r>
        <w:t xml:space="preserve"> </w:t>
      </w:r>
      <w:r>
        <w:rPr>
          <w:iCs/>
          <w:i/>
        </w:rPr>
        <w:t xml:space="preserve">Eur Neuropsychopharmacol</w:t>
      </w:r>
      <w:r>
        <w:t xml:space="preserve"> </w:t>
      </w:r>
      <w:r>
        <w:t xml:space="preserve">· Evaluation of acute tryptophan depletion and sham depletion with a gelatin-based collagen peptide protein mixture. PMID 26655163</w:t>
      </w:r>
    </w:p>
    <w:p>
      <w:pPr>
        <w:numPr>
          <w:ilvl w:val="0"/>
          <w:numId w:val="1420"/>
        </w:numPr>
        <w:pStyle w:val="Compact"/>
      </w:pPr>
      <w:r>
        <w:t xml:space="preserve">2015 · Kanzaki N ·</w:t>
      </w:r>
      <w:r>
        <w:t xml:space="preserve"> </w:t>
      </w:r>
      <w:r>
        <w:rPr>
          <w:iCs/>
          <w:i/>
        </w:rPr>
        <w:t xml:space="preserve">Clin Interv Aging</w:t>
      </w:r>
      <w:r>
        <w:t xml:space="preserve"> </w:t>
      </w:r>
      <w:r>
        <w:t xml:space="preserve">· Glucosamine-containing supplement improves locomotor functions in subjects with knee pain: a randomized, double-blind, placebo-controlled study. PMID 26604721</w:t>
      </w:r>
    </w:p>
    <w:p>
      <w:pPr>
        <w:numPr>
          <w:ilvl w:val="0"/>
          <w:numId w:val="1420"/>
        </w:numPr>
        <w:pStyle w:val="Compact"/>
      </w:pPr>
      <w:r>
        <w:t xml:space="preserve">2015 · Schunck M ·</w:t>
      </w:r>
      <w:r>
        <w:t xml:space="preserve"> </w:t>
      </w:r>
      <w:r>
        <w:rPr>
          <w:iCs/>
          <w:i/>
        </w:rPr>
        <w:t xml:space="preserve">J Med Food</w:t>
      </w:r>
      <w:r>
        <w:t xml:space="preserve"> </w:t>
      </w:r>
      <w:r>
        <w:t xml:space="preserve">· Dietary Supplementation with Specific Collagen Peptides Has a Body Mass Index-Dependent Beneficial Effect on Cellulite Morphology. PMID 26561784</w:t>
      </w:r>
    </w:p>
    <w:p>
      <w:pPr>
        <w:numPr>
          <w:ilvl w:val="0"/>
          <w:numId w:val="1420"/>
        </w:numPr>
        <w:pStyle w:val="Compact"/>
      </w:pPr>
      <w:r>
        <w:t xml:space="preserve">2015 · Asserin J ·</w:t>
      </w:r>
      <w:r>
        <w:t xml:space="preserve"> </w:t>
      </w:r>
      <w:r>
        <w:rPr>
          <w:iCs/>
          <w:i/>
        </w:rPr>
        <w:t xml:space="preserve">J Cosmet Dermatol</w:t>
      </w:r>
      <w:r>
        <w:t xml:space="preserve"> </w:t>
      </w:r>
      <w:r>
        <w:t xml:space="preserve">· The effect of oral collagen peptide supplementation on skin moisture and the dermal collagen network: evidence from an ex vivo model and randomized, placebo-controlled clinical trials. PMID 26362110</w:t>
      </w:r>
    </w:p>
    <w:p>
      <w:pPr>
        <w:numPr>
          <w:ilvl w:val="0"/>
          <w:numId w:val="1420"/>
        </w:numPr>
        <w:pStyle w:val="Compact"/>
      </w:pPr>
      <w:r>
        <w:t xml:space="preserve">2015 · Zdzieblik D ·</w:t>
      </w:r>
      <w:r>
        <w:t xml:space="preserve"> </w:t>
      </w:r>
      <w:r>
        <w:rPr>
          <w:iCs/>
          <w:i/>
        </w:rPr>
        <w:t xml:space="preserve">Br J Nutr</w:t>
      </w:r>
      <w:r>
        <w:t xml:space="preserve"> </w:t>
      </w:r>
      <w:r>
        <w:t xml:space="preserve">· Collagen peptide supplementation in combination with resistance training improves body composition and increases muscle strength in elderly sarcopenic men: a randomised controlled trial. PMID 26353786</w:t>
      </w:r>
    </w:p>
    <w:p>
      <w:pPr>
        <w:numPr>
          <w:ilvl w:val="0"/>
          <w:numId w:val="1420"/>
        </w:numPr>
        <w:pStyle w:val="Compact"/>
      </w:pPr>
      <w:r>
        <w:t xml:space="preserve">2015 · Elam ML ·</w:t>
      </w:r>
      <w:r>
        <w:t xml:space="preserve"> </w:t>
      </w:r>
      <w:r>
        <w:rPr>
          <w:iCs/>
          <w:i/>
        </w:rPr>
        <w:t xml:space="preserve">J Med Food</w:t>
      </w:r>
      <w:r>
        <w:t xml:space="preserve"> </w:t>
      </w:r>
      <w:r>
        <w:t xml:space="preserve">· A calcium-collagen chelate dietary supplement attenuates bone loss in postmenopausal women with osteopenia: a randomized controlled trial. PMID 25314004</w:t>
      </w:r>
    </w:p>
    <w:p>
      <w:pPr>
        <w:numPr>
          <w:ilvl w:val="0"/>
          <w:numId w:val="1420"/>
        </w:numPr>
        <w:pStyle w:val="Compact"/>
      </w:pPr>
      <w:r>
        <w:t xml:space="preserve">2015 · Kumar S ·</w:t>
      </w:r>
      <w:r>
        <w:t xml:space="preserve"> </w:t>
      </w:r>
      <w:r>
        <w:rPr>
          <w:iCs/>
          <w:i/>
        </w:rPr>
        <w:t xml:space="preserve">J Sci Food Agric</w:t>
      </w:r>
      <w:r>
        <w:t xml:space="preserve"> </w:t>
      </w:r>
      <w:r>
        <w:t xml:space="preserve">· A double-blind, placebo-controlled, randomised, clinical study on the effectiveness of collagen peptide on osteoarthritis. PMID 24852756</w:t>
      </w:r>
    </w:p>
    <w:p>
      <w:pPr>
        <w:numPr>
          <w:ilvl w:val="0"/>
          <w:numId w:val="1420"/>
        </w:numPr>
        <w:pStyle w:val="Compact"/>
      </w:pPr>
      <w:r>
        <w:t xml:space="preserve">2014 · Choi SY ·</w:t>
      </w:r>
      <w:r>
        <w:t xml:space="preserve"> </w:t>
      </w:r>
      <w:r>
        <w:rPr>
          <w:iCs/>
          <w:i/>
        </w:rPr>
        <w:t xml:space="preserve">Clin Exp Dermatol</w:t>
      </w:r>
      <w:r>
        <w:t xml:space="preserve"> </w:t>
      </w:r>
      <w:r>
        <w:t xml:space="preserve">· Effect of high advanced-collagen tripeptide on wound healing and skin recovery after fractional photothermolysis treatment. PMID 25283252</w:t>
      </w:r>
    </w:p>
    <w:p>
      <w:pPr>
        <w:numPr>
          <w:ilvl w:val="0"/>
          <w:numId w:val="1420"/>
        </w:numPr>
        <w:pStyle w:val="Compact"/>
      </w:pPr>
      <w:r>
        <w:t xml:space="preserve">2014 · Yoon HS ·</w:t>
      </w:r>
      <w:r>
        <w:t xml:space="preserve"> </w:t>
      </w:r>
      <w:r>
        <w:rPr>
          <w:iCs/>
          <w:i/>
        </w:rPr>
        <w:t xml:space="preserve">J Med Food</w:t>
      </w:r>
      <w:r>
        <w:t xml:space="preserve"> </w:t>
      </w:r>
      <w:r>
        <w:t xml:space="preserve">· Supplementating with dietary astaxanthin combined with collagen hydrolysate improves facial elasticity and decreases matrix metalloproteinase-1 and -12 expression: a comparative study with placebo. PMID 24955642</w:t>
      </w:r>
    </w:p>
    <w:p>
      <w:pPr>
        <w:numPr>
          <w:ilvl w:val="0"/>
          <w:numId w:val="1420"/>
        </w:numPr>
        <w:pStyle w:val="Compact"/>
      </w:pPr>
      <w:r>
        <w:t xml:space="preserve">2014 · Proksch E ·</w:t>
      </w:r>
      <w:r>
        <w:t xml:space="preserve"> </w:t>
      </w:r>
      <w:r>
        <w:rPr>
          <w:iCs/>
          <w:i/>
        </w:rPr>
        <w:t xml:space="preserve">Skin Pharmacol Physiol</w:t>
      </w:r>
      <w:r>
        <w:t xml:space="preserve"> </w:t>
      </w:r>
      <w:r>
        <w:t xml:space="preserve">· Oral intake of specific bioactive collagen peptides reduces skin wrinkles and increases dermal matrix synthesis. PMID 24401291</w:t>
      </w:r>
    </w:p>
    <w:p>
      <w:pPr>
        <w:numPr>
          <w:ilvl w:val="0"/>
          <w:numId w:val="1420"/>
        </w:numPr>
        <w:pStyle w:val="Compact"/>
      </w:pPr>
      <w:r>
        <w:t xml:space="preserve">2014 · Choi SY ·</w:t>
      </w:r>
      <w:r>
        <w:t xml:space="preserve"> </w:t>
      </w:r>
      <w:r>
        <w:rPr>
          <w:iCs/>
          <w:i/>
        </w:rPr>
        <w:t xml:space="preserve">J Cosmet Laser Ther</w:t>
      </w:r>
      <w:r>
        <w:t xml:space="preserve"> </w:t>
      </w:r>
      <w:r>
        <w:t xml:space="preserve">· Effects of collagen tripeptide supplement on skin properties: a prospective, randomized, controlled study. PMID 24131075</w:t>
      </w:r>
    </w:p>
    <w:p>
      <w:pPr>
        <w:numPr>
          <w:ilvl w:val="0"/>
          <w:numId w:val="1420"/>
        </w:numPr>
        <w:pStyle w:val="Compact"/>
      </w:pPr>
      <w:r>
        <w:t xml:space="preserve">2014 · Proksch E ·</w:t>
      </w:r>
      <w:r>
        <w:t xml:space="preserve"> </w:t>
      </w:r>
      <w:r>
        <w:rPr>
          <w:iCs/>
          <w:i/>
        </w:rPr>
        <w:t xml:space="preserve">Skin Pharmacol Physiol</w:t>
      </w:r>
      <w:r>
        <w:t xml:space="preserve"> </w:t>
      </w:r>
      <w:r>
        <w:t xml:space="preserve">· Oral supplementation of specific collagen peptides has beneficial effects on human skin physiology: a double-blind, placebo-controlled study. PMID 23949208</w:t>
      </w:r>
    </w:p>
    <w:p>
      <w:pPr>
        <w:numPr>
          <w:ilvl w:val="0"/>
          <w:numId w:val="1420"/>
        </w:numPr>
        <w:pStyle w:val="Compact"/>
      </w:pPr>
      <w:r>
        <w:t xml:space="preserve">2012 · Bruyère O ·</w:t>
      </w:r>
      <w:r>
        <w:t xml:space="preserve"> </w:t>
      </w:r>
      <w:r>
        <w:rPr>
          <w:iCs/>
          <w:i/>
        </w:rPr>
        <w:t xml:space="preserve">Complement Ther Med</w:t>
      </w:r>
      <w:r>
        <w:t xml:space="preserve"> </w:t>
      </w:r>
      <w:r>
        <w:t xml:space="preserve">· Effect of collagen hydrolysate in articular pain: a 6-month randomized, double-blind, placebo controlled study. PMID 22500661</w:t>
      </w:r>
    </w:p>
    <w:p>
      <w:pPr>
        <w:numPr>
          <w:ilvl w:val="0"/>
          <w:numId w:val="1420"/>
        </w:numPr>
        <w:pStyle w:val="Compact"/>
      </w:pPr>
      <w:r>
        <w:t xml:space="preserve">2010 · Zhu CF ·</w:t>
      </w:r>
      <w:r>
        <w:t xml:space="preserve"> </w:t>
      </w:r>
      <w:r>
        <w:rPr>
          <w:iCs/>
          <w:i/>
        </w:rPr>
        <w:t xml:space="preserve">Am J Med Sci</w:t>
      </w:r>
      <w:r>
        <w:t xml:space="preserve"> </w:t>
      </w:r>
      <w:r>
        <w:t xml:space="preserve">· Therapeutic effects of marine collagen peptides on Chinese patients with type 2 diabetes mellitus and primary hypertension. PMID 20739874</w:t>
      </w:r>
    </w:p>
    <w:p>
      <w:pPr>
        <w:numPr>
          <w:ilvl w:val="0"/>
          <w:numId w:val="1420"/>
        </w:numPr>
        <w:pStyle w:val="Compact"/>
      </w:pPr>
      <w:r>
        <w:t xml:space="preserve">2009 · Hays NP ·</w:t>
      </w:r>
      <w:r>
        <w:t xml:space="preserve"> </w:t>
      </w:r>
      <w:r>
        <w:rPr>
          <w:iCs/>
          <w:i/>
        </w:rPr>
        <w:t xml:space="preserve">J Am Diet Assoc</w:t>
      </w:r>
      <w:r>
        <w:t xml:space="preserve"> </w:t>
      </w:r>
      <w:r>
        <w:t xml:space="preserve">· Effects of whey and fortified collagen hydrolysate protein supplements on nitrogen balance and body composition in older women. PMID 19465192</w:t>
      </w:r>
    </w:p>
    <w:p>
      <w:pPr>
        <w:numPr>
          <w:ilvl w:val="0"/>
          <w:numId w:val="1420"/>
        </w:numPr>
        <w:pStyle w:val="Compact"/>
      </w:pPr>
      <w:r>
        <w:t xml:space="preserve">2008 · Clark KL ·</w:t>
      </w:r>
      <w:r>
        <w:t xml:space="preserve"> </w:t>
      </w:r>
      <w:r>
        <w:rPr>
          <w:iCs/>
          <w:i/>
        </w:rPr>
        <w:t xml:space="preserve">Curr Med Res Opin</w:t>
      </w:r>
      <w:r>
        <w:t xml:space="preserve"> </w:t>
      </w:r>
      <w:r>
        <w:t xml:space="preserve">· 24-Week study on the use of collagen hydrolysate as a dietary supplement in athletes with activity-related joint pain. PMID 18416885</w:t>
      </w:r>
    </w:p>
    <w:p>
      <w:pPr>
        <w:numPr>
          <w:ilvl w:val="0"/>
          <w:numId w:val="1420"/>
        </w:numPr>
        <w:pStyle w:val="Compact"/>
      </w:pPr>
      <w:r>
        <w:t xml:space="preserve">2001 · Peretz A ·</w:t>
      </w:r>
      <w:r>
        <w:t xml:space="preserve"> </w:t>
      </w:r>
      <w:r>
        <w:rPr>
          <w:iCs/>
          <w:i/>
        </w:rPr>
        <w:t xml:space="preserve">J Trace Elem Med Biol</w:t>
      </w:r>
      <w:r>
        <w:t xml:space="preserve"> </w:t>
      </w:r>
      <w:r>
        <w:t xml:space="preserve">· Zinc supplementation increases bone alkaline phosphatase in healthy men. PMID 11787985</w:t>
      </w:r>
    </w:p>
    <w:p>
      <w:pPr>
        <w:numPr>
          <w:ilvl w:val="0"/>
          <w:numId w:val="1420"/>
        </w:numPr>
        <w:pStyle w:val="Compact"/>
      </w:pPr>
      <w:r>
        <w:t xml:space="preserve">2000 · Moskowitz RW ·</w:t>
      </w:r>
      <w:r>
        <w:t xml:space="preserve"> </w:t>
      </w:r>
      <w:r>
        <w:rPr>
          <w:iCs/>
          <w:i/>
        </w:rPr>
        <w:t xml:space="preserve">Semin Arthritis Rheum</w:t>
      </w:r>
      <w:r>
        <w:t xml:space="preserve"> </w:t>
      </w:r>
      <w:r>
        <w:t xml:space="preserve">· Role of collagen hydrolysate in bone and joint disease. PMID 11071580</w:t>
      </w:r>
    </w:p>
    <w:p>
      <w:pPr>
        <w:numPr>
          <w:ilvl w:val="0"/>
          <w:numId w:val="1420"/>
        </w:numPr>
        <w:pStyle w:val="Compact"/>
      </w:pPr>
      <w:r>
        <w:t xml:space="preserve">1996 · Adam M ·</w:t>
      </w:r>
      <w:r>
        <w:t xml:space="preserve"> </w:t>
      </w:r>
      <w:r>
        <w:rPr>
          <w:iCs/>
          <w:i/>
        </w:rPr>
        <w:t xml:space="preserve">Cas Lek Cesk</w:t>
      </w:r>
      <w:r>
        <w:t xml:space="preserve"> </w:t>
      </w:r>
      <w:r>
        <w:t xml:space="preserve">· [Postmenopausal osteoporosis. Treatment with calcitonin and a diet rich in collagen proteins]. PMID 8625373</w:t>
      </w:r>
    </w:p>
    <w:bookmarkEnd w:id="3066"/>
    <w:bookmarkStart w:id="3067" w:name="lattotripeptidi-vpp-e-ipp-21"/>
    <w:p>
      <w:pPr>
        <w:pStyle w:val="Heading2"/>
      </w:pPr>
      <w:r>
        <w:t xml:space="preserve">Lattotripeptidi (VPP e IPP) (21)</w:t>
      </w:r>
    </w:p>
    <w:p>
      <w:pPr>
        <w:numPr>
          <w:ilvl w:val="0"/>
          <w:numId w:val="1421"/>
        </w:numPr>
        <w:pStyle w:val="Compact"/>
      </w:pPr>
      <w:r>
        <w:t xml:space="preserve">2023 · Yoshioka M ·</w:t>
      </w:r>
      <w:r>
        <w:t xml:space="preserve"> </w:t>
      </w:r>
      <w:r>
        <w:rPr>
          <w:iCs/>
          <w:i/>
        </w:rPr>
        <w:t xml:space="preserve">Sci Rep</w:t>
      </w:r>
      <w:r>
        <w:t xml:space="preserve"> </w:t>
      </w:r>
      <w:r>
        <w:t xml:space="preserve">· Effects of lactotripeptide ingestion and physical activity intervention on the fatigue status of middle-aged and older adults: a randomized controlled trial. PMID 37735182</w:t>
      </w:r>
    </w:p>
    <w:p>
      <w:pPr>
        <w:numPr>
          <w:ilvl w:val="0"/>
          <w:numId w:val="1421"/>
        </w:numPr>
        <w:pStyle w:val="Compact"/>
      </w:pPr>
      <w:r>
        <w:t xml:space="preserve">2019 · Hamasaki A ·</w:t>
      </w:r>
      <w:r>
        <w:t xml:space="preserve"> </w:t>
      </w:r>
      <w:r>
        <w:rPr>
          <w:iCs/>
          <w:i/>
        </w:rPr>
        <w:t xml:space="preserve">Am J Clin Nutr</w:t>
      </w:r>
      <w:r>
        <w:t xml:space="preserve"> </w:t>
      </w:r>
      <w:r>
        <w:t xml:space="preserve">· Combined effects of lactotripeptide and aerobic exercise on cognitive function and cerebral oxygenation in middle-aged and older adults. PMID 30624594</w:t>
      </w:r>
    </w:p>
    <w:p>
      <w:pPr>
        <w:numPr>
          <w:ilvl w:val="0"/>
          <w:numId w:val="1421"/>
        </w:numPr>
        <w:pStyle w:val="Compact"/>
      </w:pPr>
      <w:r>
        <w:t xml:space="preserve">2018 · Akazawa N ·</w:t>
      </w:r>
      <w:r>
        <w:t xml:space="preserve"> </w:t>
      </w:r>
      <w:r>
        <w:rPr>
          <w:iCs/>
          <w:i/>
        </w:rPr>
        <w:t xml:space="preserve">Nutr Res</w:t>
      </w:r>
      <w:r>
        <w:t xml:space="preserve"> </w:t>
      </w:r>
      <w:r>
        <w:t xml:space="preserve">· Lactotripeptide ingestion increases cerebral blood flow velocity in middle-aged and older adults. PMID 29703414</w:t>
      </w:r>
    </w:p>
    <w:p>
      <w:pPr>
        <w:numPr>
          <w:ilvl w:val="0"/>
          <w:numId w:val="1421"/>
        </w:numPr>
        <w:pStyle w:val="Compact"/>
      </w:pPr>
      <w:r>
        <w:t xml:space="preserve">2018 · Tagawa K ·</w:t>
      </w:r>
      <w:r>
        <w:t xml:space="preserve"> </w:t>
      </w:r>
      <w:r>
        <w:rPr>
          <w:iCs/>
          <w:i/>
        </w:rPr>
        <w:t xml:space="preserve">Am J Phys Med Rehabil</w:t>
      </w:r>
      <w:r>
        <w:t xml:space="preserve"> </w:t>
      </w:r>
      <w:r>
        <w:t xml:space="preserve">· Lactotripeptides Supplementations Alleviate the Decrease in Maximal Isometric Force After High-Intensity Eccentric Exercise: A Randomized, Placebo-Controlled, Double-Blind Clinical Trial. PMID 29189308</w:t>
      </w:r>
    </w:p>
    <w:p>
      <w:pPr>
        <w:numPr>
          <w:ilvl w:val="0"/>
          <w:numId w:val="1421"/>
        </w:numPr>
        <w:pStyle w:val="Compact"/>
      </w:pPr>
      <w:r>
        <w:t xml:space="preserve">2016 · Cicero AF ·</w:t>
      </w:r>
      <w:r>
        <w:t xml:space="preserve"> </w:t>
      </w:r>
      <w:r>
        <w:rPr>
          <w:iCs/>
          <w:i/>
        </w:rPr>
        <w:t xml:space="preserve">Metab Syndr Relat Disord</w:t>
      </w:r>
      <w:r>
        <w:t xml:space="preserve"> </w:t>
      </w:r>
      <w:r>
        <w:t xml:space="preserve">· Effect of Lactotripeptides (Isoleucine-Proline-Proline/Valine-Proline-Proline) on Blood Pressure and Arterial Stiffness Changes in Subjects with Suboptimal Blood Pressure Control and Metabolic Syndrome: A Double-Blind, Randomized, Crossover Clinical Trial. PMID 26683986</w:t>
      </w:r>
    </w:p>
    <w:p>
      <w:pPr>
        <w:numPr>
          <w:ilvl w:val="0"/>
          <w:numId w:val="1421"/>
        </w:numPr>
        <w:pStyle w:val="Compact"/>
      </w:pPr>
      <w:r>
        <w:t xml:space="preserve">2015 · Hautaniemi EJ ·</w:t>
      </w:r>
      <w:r>
        <w:t xml:space="preserve"> </w:t>
      </w:r>
      <w:r>
        <w:rPr>
          <w:iCs/>
          <w:i/>
        </w:rPr>
        <w:t xml:space="preserve">Br J Nutr</w:t>
      </w:r>
      <w:r>
        <w:t xml:space="preserve"> </w:t>
      </w:r>
      <w:r>
        <w:t xml:space="preserve">· Effect of fermented milk product containing lactotripeptides and plant sterol esters on haemodynamics in subjects with the metabolic syndrome–a randomised, double-blind, placebo-controlled study. PMID 26168857</w:t>
      </w:r>
    </w:p>
    <w:p>
      <w:pPr>
        <w:numPr>
          <w:ilvl w:val="0"/>
          <w:numId w:val="1421"/>
        </w:numPr>
        <w:pStyle w:val="Compact"/>
      </w:pPr>
      <w:r>
        <w:t xml:space="preserve">2012 · Jauhiainen T ·</w:t>
      </w:r>
      <w:r>
        <w:t xml:space="preserve"> </w:t>
      </w:r>
      <w:r>
        <w:rPr>
          <w:iCs/>
          <w:i/>
        </w:rPr>
        <w:t xml:space="preserve">Eur J Clin Nutr</w:t>
      </w:r>
      <w:r>
        <w:t xml:space="preserve"> </w:t>
      </w:r>
      <w:r>
        <w:t xml:space="preserve">· Effects of long-term intake of lactotripeptides on cardiovascular risk factors in hypertensive subjects. PMID 22617279</w:t>
      </w:r>
    </w:p>
    <w:p>
      <w:pPr>
        <w:numPr>
          <w:ilvl w:val="0"/>
          <w:numId w:val="1421"/>
        </w:numPr>
        <w:pStyle w:val="Compact"/>
      </w:pPr>
      <w:r>
        <w:t xml:space="preserve">2012 · Cicero AF ·</w:t>
      </w:r>
      <w:r>
        <w:t xml:space="preserve"> </w:t>
      </w:r>
      <w:r>
        <w:rPr>
          <w:iCs/>
          <w:i/>
        </w:rPr>
        <w:t xml:space="preserve">Clin Exp Hypertens</w:t>
      </w:r>
      <w:r>
        <w:t xml:space="preserve"> </w:t>
      </w:r>
      <w:r>
        <w:t xml:space="preserve">· Predictors of the short-term effect of isoleucine-proline-proline/valine-proline-proline lactotripeptides from casein on office and ambulatory blood pressure in subjects with pharmacologically untreated high-normal blood pressure or first-degree hypertension. PMID 22574612</w:t>
      </w:r>
    </w:p>
    <w:p>
      <w:pPr>
        <w:numPr>
          <w:ilvl w:val="0"/>
          <w:numId w:val="1421"/>
        </w:numPr>
        <w:pStyle w:val="Compact"/>
      </w:pPr>
      <w:r>
        <w:t xml:space="preserve">2011 · Cicero AF ·</w:t>
      </w:r>
      <w:r>
        <w:t xml:space="preserve"> </w:t>
      </w:r>
      <w:r>
        <w:rPr>
          <w:iCs/>
          <w:i/>
        </w:rPr>
        <w:t xml:space="preserve">Hypertens Res</w:t>
      </w:r>
      <w:r>
        <w:t xml:space="preserve"> </w:t>
      </w:r>
      <w:r>
        <w:t xml:space="preserve">· Lactotripeptides effect on office and 24-h ambulatory blood pressure, blood pressure stress response, pulse wave velocity and cardiac output in patients with high-normal blood pressure or first-degree hypertension: a randomized double-blind clinical trial. PMID 21753776</w:t>
      </w:r>
    </w:p>
    <w:p>
      <w:pPr>
        <w:numPr>
          <w:ilvl w:val="0"/>
          <w:numId w:val="1421"/>
        </w:numPr>
        <w:pStyle w:val="Compact"/>
      </w:pPr>
      <w:r>
        <w:t xml:space="preserve">2010 · Cicero AF ·</w:t>
      </w:r>
      <w:r>
        <w:t xml:space="preserve"> </w:t>
      </w:r>
      <w:r>
        <w:rPr>
          <w:iCs/>
          <w:i/>
        </w:rPr>
        <w:t xml:space="preserve">J Med Food</w:t>
      </w:r>
      <w:r>
        <w:t xml:space="preserve"> </w:t>
      </w:r>
      <w:r>
        <w:t xml:space="preserve">· Hemodynamic effects of lactotripeptides from casein hydrolysate in Mediterranean normotensive subjects and patients with high-normal blood pressure: a randomized, double-blind, crossover clinical trial. PMID 21091250</w:t>
      </w:r>
    </w:p>
    <w:p>
      <w:pPr>
        <w:numPr>
          <w:ilvl w:val="0"/>
          <w:numId w:val="1421"/>
        </w:numPr>
        <w:pStyle w:val="Compact"/>
      </w:pPr>
      <w:r>
        <w:t xml:space="preserve">2010 · Yamasue K ·</w:t>
      </w:r>
      <w:r>
        <w:t xml:space="preserve"> </w:t>
      </w:r>
      <w:r>
        <w:rPr>
          <w:iCs/>
          <w:i/>
        </w:rPr>
        <w:t xml:space="preserve">Clin Exp Hypertens</w:t>
      </w:r>
      <w:r>
        <w:t xml:space="preserve"> </w:t>
      </w:r>
      <w:r>
        <w:t xml:space="preserve">· The blood pressure lowering effect of lactotripeptides and salt intake in 24-h ambulatory blood pressure measurements. PMID 20608891</w:t>
      </w:r>
    </w:p>
    <w:p>
      <w:pPr>
        <w:numPr>
          <w:ilvl w:val="0"/>
          <w:numId w:val="1421"/>
        </w:numPr>
        <w:pStyle w:val="Compact"/>
      </w:pPr>
      <w:r>
        <w:t xml:space="preserve">2010 · Germino FW ·</w:t>
      </w:r>
      <w:r>
        <w:t xml:space="preserve"> </w:t>
      </w:r>
      <w:r>
        <w:rPr>
          <w:iCs/>
          <w:i/>
        </w:rPr>
        <w:t xml:space="preserve">J Clin Hypertens (Greenwich)</w:t>
      </w:r>
      <w:r>
        <w:t xml:space="preserve"> </w:t>
      </w:r>
      <w:r>
        <w:t xml:space="preserve">· The impact of lactotripeptides on blood pressure response in stage 1 and stage 2 hypertensives. PMID 20433527</w:t>
      </w:r>
    </w:p>
    <w:p>
      <w:pPr>
        <w:numPr>
          <w:ilvl w:val="0"/>
          <w:numId w:val="1421"/>
        </w:numPr>
        <w:pStyle w:val="Compact"/>
      </w:pPr>
      <w:r>
        <w:t xml:space="preserve">2010 · Jauhiainen T ·</w:t>
      </w:r>
      <w:r>
        <w:t xml:space="preserve"> </w:t>
      </w:r>
      <w:r>
        <w:rPr>
          <w:iCs/>
          <w:i/>
        </w:rPr>
        <w:t xml:space="preserve">Eur J Clin Nutr</w:t>
      </w:r>
      <w:r>
        <w:t xml:space="preserve"> </w:t>
      </w:r>
      <w:r>
        <w:t xml:space="preserve">· Long-term intervention with Lactobacillus helveticus fermented milk reduces augmentation index in hypertensive subjects. PMID 20145666</w:t>
      </w:r>
    </w:p>
    <w:p>
      <w:pPr>
        <w:numPr>
          <w:ilvl w:val="0"/>
          <w:numId w:val="1421"/>
        </w:numPr>
        <w:pStyle w:val="Compact"/>
      </w:pPr>
      <w:r>
        <w:t xml:space="preserve">2010 · Yoshizawa M ·</w:t>
      </w:r>
      <w:r>
        <w:t xml:space="preserve"> </w:t>
      </w:r>
      <w:r>
        <w:rPr>
          <w:iCs/>
          <w:i/>
        </w:rPr>
        <w:t xml:space="preserve">Am J Hypertens</w:t>
      </w:r>
      <w:r>
        <w:t xml:space="preserve"> </w:t>
      </w:r>
      <w:r>
        <w:t xml:space="preserve">· Additive beneficial effects of lactotripeptides intake with regular exercise on endothelium-dependent dilatation in postmenopausal women. PMID 20075849</w:t>
      </w:r>
    </w:p>
    <w:p>
      <w:pPr>
        <w:numPr>
          <w:ilvl w:val="0"/>
          <w:numId w:val="1421"/>
        </w:numPr>
        <w:pStyle w:val="Compact"/>
      </w:pPr>
      <w:r>
        <w:t xml:space="preserve">2009 · Nakamura T ·</w:t>
      </w:r>
      <w:r>
        <w:t xml:space="preserve"> </w:t>
      </w:r>
      <w:r>
        <w:rPr>
          <w:iCs/>
          <w:i/>
        </w:rPr>
        <w:t xml:space="preserve">J Med Food</w:t>
      </w:r>
      <w:r>
        <w:t xml:space="preserve"> </w:t>
      </w:r>
      <w:r>
        <w:t xml:space="preserve">· Beneficial potential of casein hydrolysate containing Val-Pro-Pro and Ile-Pro-Pro on central blood pressure and hemodynamic index: a preliminary study. PMID 19821692</w:t>
      </w:r>
    </w:p>
    <w:p>
      <w:pPr>
        <w:numPr>
          <w:ilvl w:val="0"/>
          <w:numId w:val="1421"/>
        </w:numPr>
        <w:pStyle w:val="Compact"/>
      </w:pPr>
      <w:r>
        <w:t xml:space="preserve">2009 · Yoshizawa M ·</w:t>
      </w:r>
      <w:r>
        <w:t xml:space="preserve"> </w:t>
      </w:r>
      <w:r>
        <w:rPr>
          <w:iCs/>
          <w:i/>
        </w:rPr>
        <w:t xml:space="preserve">Am J Physiol Heart Circ Physiol</w:t>
      </w:r>
      <w:r>
        <w:t xml:space="preserve"> </w:t>
      </w:r>
      <w:r>
        <w:t xml:space="preserve">· Additive beneficial effects of lactotripeptides and aerobic exercise on arterial compliance in postmenopausal women. PMID 19783777</w:t>
      </w:r>
    </w:p>
    <w:p>
      <w:pPr>
        <w:numPr>
          <w:ilvl w:val="0"/>
          <w:numId w:val="1421"/>
        </w:numPr>
        <w:pStyle w:val="Compact"/>
      </w:pPr>
      <w:r>
        <w:t xml:space="preserve">2009 · van Mierlo LA ·</w:t>
      </w:r>
      <w:r>
        <w:t xml:space="preserve"> </w:t>
      </w:r>
      <w:r>
        <w:rPr>
          <w:iCs/>
          <w:i/>
        </w:rPr>
        <w:t xml:space="preserve">Am J Clin Nutr</w:t>
      </w:r>
      <w:r>
        <w:t xml:space="preserve"> </w:t>
      </w:r>
      <w:r>
        <w:t xml:space="preserve">· Lactotripeptides do not lower ambulatory blood pressure in untreated whites: results from 2 controlled multicenter crossover studies. PMID 19106238</w:t>
      </w:r>
    </w:p>
    <w:p>
      <w:pPr>
        <w:numPr>
          <w:ilvl w:val="0"/>
          <w:numId w:val="1421"/>
        </w:numPr>
        <w:pStyle w:val="Compact"/>
      </w:pPr>
      <w:r>
        <w:t xml:space="preserve">2008 · van der Zander K ·</w:t>
      </w:r>
      <w:r>
        <w:t xml:space="preserve"> </w:t>
      </w:r>
      <w:r>
        <w:rPr>
          <w:iCs/>
          <w:i/>
        </w:rPr>
        <w:t xml:space="preserve">Am J Clin Nutr</w:t>
      </w:r>
      <w:r>
        <w:t xml:space="preserve"> </w:t>
      </w:r>
      <w:r>
        <w:t xml:space="preserve">· Enzymatically hydrolyzed lactotripeptides do not lower blood pressure in mildly hypertensive subjects. PMID 19064533</w:t>
      </w:r>
    </w:p>
    <w:p>
      <w:pPr>
        <w:numPr>
          <w:ilvl w:val="0"/>
          <w:numId w:val="1421"/>
        </w:numPr>
        <w:pStyle w:val="Compact"/>
      </w:pPr>
      <w:r>
        <w:t xml:space="preserve">2008 · Engberink MF ·</w:t>
      </w:r>
      <w:r>
        <w:t xml:space="preserve"> </w:t>
      </w:r>
      <w:r>
        <w:rPr>
          <w:iCs/>
          <w:i/>
        </w:rPr>
        <w:t xml:space="preserve">Hypertension</w:t>
      </w:r>
      <w:r>
        <w:t xml:space="preserve"> </w:t>
      </w:r>
      <w:r>
        <w:t xml:space="preserve">· Lactotripeptides show no effect on human blood pressure: results from a double-blind randomized controlled trial. PMID 18086944</w:t>
      </w:r>
    </w:p>
    <w:p>
      <w:pPr>
        <w:numPr>
          <w:ilvl w:val="0"/>
          <w:numId w:val="1421"/>
        </w:numPr>
        <w:pStyle w:val="Compact"/>
      </w:pPr>
      <w:r>
        <w:t xml:space="preserve">2007 · Foltz M ·</w:t>
      </w:r>
      <w:r>
        <w:t xml:space="preserve"> </w:t>
      </w:r>
      <w:r>
        <w:rPr>
          <w:iCs/>
          <w:i/>
        </w:rPr>
        <w:t xml:space="preserve">J Nutr</w:t>
      </w:r>
      <w:r>
        <w:t xml:space="preserve"> </w:t>
      </w:r>
      <w:r>
        <w:t xml:space="preserve">· Angiotensin converting enzyme inhibitory peptides from a lactotripeptide-enriched milk beverage are absorbed intact into the circulation. PMID 17374660</w:t>
      </w:r>
    </w:p>
    <w:p>
      <w:pPr>
        <w:numPr>
          <w:ilvl w:val="0"/>
          <w:numId w:val="1421"/>
        </w:numPr>
        <w:pStyle w:val="Compact"/>
      </w:pPr>
      <w:r>
        <w:t xml:space="preserve">2004 · Tuomilehto J ·</w:t>
      </w:r>
      <w:r>
        <w:t xml:space="preserve"> </w:t>
      </w:r>
      <w:r>
        <w:rPr>
          <w:iCs/>
          <w:i/>
        </w:rPr>
        <w:t xml:space="preserve">J Hum Hypertens</w:t>
      </w:r>
      <w:r>
        <w:t xml:space="preserve"> </w:t>
      </w:r>
      <w:r>
        <w:t xml:space="preserve">· Effect of ingesting sour milk fermented using Lactobacillus helveticus bacteria producing tripeptides on blood pressure in subjects with mild hypertension. PMID 15175633</w:t>
      </w:r>
    </w:p>
    <w:bookmarkEnd w:id="3067"/>
    <w:bookmarkStart w:id="3068" w:name="carnosina-57"/>
    <w:p>
      <w:pPr>
        <w:pStyle w:val="Heading2"/>
      </w:pPr>
      <w:r>
        <w:t xml:space="preserve">Carnosina (57)</w:t>
      </w:r>
    </w:p>
    <w:p>
      <w:pPr>
        <w:numPr>
          <w:ilvl w:val="0"/>
          <w:numId w:val="1422"/>
        </w:numPr>
        <w:pStyle w:val="Compact"/>
      </w:pPr>
      <w:r>
        <w:t xml:space="preserve">2026 · O’Toole TE ·</w:t>
      </w:r>
      <w:r>
        <w:t xml:space="preserve"> </w:t>
      </w:r>
      <w:r>
        <w:rPr>
          <w:iCs/>
          <w:i/>
        </w:rPr>
        <w:t xml:space="preserve">J Int Soc Sports Nutr</w:t>
      </w:r>
      <w:r>
        <w:t xml:space="preserve"> </w:t>
      </w:r>
      <w:r>
        <w:t xml:space="preserve">· Effects of carnosine supplementation on physical endurance: a placebo-controlled randomized clinical trial. PMID 42308284</w:t>
      </w:r>
    </w:p>
    <w:p>
      <w:pPr>
        <w:numPr>
          <w:ilvl w:val="0"/>
          <w:numId w:val="1422"/>
        </w:numPr>
        <w:pStyle w:val="Compact"/>
      </w:pPr>
      <w:r>
        <w:t xml:space="preserve">2026 · Togni L ·</w:t>
      </w:r>
      <w:r>
        <w:t xml:space="preserve"> </w:t>
      </w:r>
      <w:r>
        <w:rPr>
          <w:iCs/>
          <w:i/>
        </w:rPr>
        <w:t xml:space="preserve">Minerva Dent Oral Sci</w:t>
      </w:r>
      <w:r>
        <w:t xml:space="preserve"> </w:t>
      </w:r>
      <w:r>
        <w:t xml:space="preserve">· Zinc-L-carnosine mouthwash in oral mucositis patients: a single-blind, randomized, controlled trial. PMID 41855025</w:t>
      </w:r>
    </w:p>
    <w:p>
      <w:pPr>
        <w:numPr>
          <w:ilvl w:val="0"/>
          <w:numId w:val="1422"/>
        </w:numPr>
        <w:pStyle w:val="Compact"/>
      </w:pPr>
      <w:r>
        <w:t xml:space="preserve">2025 · Beaven CM ·</w:t>
      </w:r>
      <w:r>
        <w:t xml:space="preserve"> </w:t>
      </w:r>
      <w:r>
        <w:rPr>
          <w:iCs/>
          <w:i/>
        </w:rPr>
        <w:t xml:space="preserve">J Int Soc Sports Nutr</w:t>
      </w:r>
      <w:r>
        <w:t xml:space="preserve"> </w:t>
      </w:r>
      <w:r>
        <w:t xml:space="preserve">· Topical carnosine gel improves intermittent high-intensity exercise performance in world-class rugby sevens players. PMID 40859880</w:t>
      </w:r>
    </w:p>
    <w:p>
      <w:pPr>
        <w:numPr>
          <w:ilvl w:val="0"/>
          <w:numId w:val="1422"/>
        </w:numPr>
        <w:pStyle w:val="Compact"/>
      </w:pPr>
      <w:r>
        <w:t xml:space="preserve">2025 · Perić L ·</w:t>
      </w:r>
      <w:r>
        <w:t xml:space="preserve"> </w:t>
      </w:r>
      <w:r>
        <w:rPr>
          <w:iCs/>
          <w:i/>
        </w:rPr>
        <w:t xml:space="preserve">Appl Physiol Nutr Metab</w:t>
      </w:r>
      <w:r>
        <w:t xml:space="preserve"> </w:t>
      </w:r>
      <w:r>
        <w:t xml:space="preserve">· Carnosine-enriched functional food enhances micro- and macrovascular endothelium-independent vasodilation in competitive athletes-a randomized study. PMID 39983097</w:t>
      </w:r>
    </w:p>
    <w:p>
      <w:pPr>
        <w:numPr>
          <w:ilvl w:val="0"/>
          <w:numId w:val="1422"/>
        </w:numPr>
        <w:pStyle w:val="Compact"/>
      </w:pPr>
      <w:r>
        <w:t xml:space="preserve">2025 · O’Toole TE ·</w:t>
      </w:r>
      <w:r>
        <w:t xml:space="preserve"> </w:t>
      </w:r>
      <w:r>
        <w:rPr>
          <w:iCs/>
          <w:i/>
        </w:rPr>
        <w:t xml:space="preserve">Neurotherapeutics</w:t>
      </w:r>
      <w:r>
        <w:t xml:space="preserve"> </w:t>
      </w:r>
      <w:r>
        <w:t xml:space="preserve">· Carnosine supplementation improves cognitive outcomes in younger participants of the NEAT trial. PMID 39919936</w:t>
      </w:r>
    </w:p>
    <w:p>
      <w:pPr>
        <w:numPr>
          <w:ilvl w:val="0"/>
          <w:numId w:val="1422"/>
        </w:numPr>
        <w:pStyle w:val="Compact"/>
      </w:pPr>
      <w:r>
        <w:t xml:space="preserve">2024 · Saadati S ·</w:t>
      </w:r>
      <w:r>
        <w:t xml:space="preserve"> </w:t>
      </w:r>
      <w:r>
        <w:rPr>
          <w:iCs/>
          <w:i/>
        </w:rPr>
        <w:t xml:space="preserve">Nutrients</w:t>
      </w:r>
      <w:r>
        <w:t xml:space="preserve"> </w:t>
      </w:r>
      <w:r>
        <w:t xml:space="preserve">· The Effect of Carnosine Supplementation on Musculoskeletal Health in Adults with Prediabetes and Type 2 Diabetes: A Secondary Analysis of a Randomized Controlled Trial. PMID 39770949</w:t>
      </w:r>
    </w:p>
    <w:p>
      <w:pPr>
        <w:numPr>
          <w:ilvl w:val="0"/>
          <w:numId w:val="1422"/>
        </w:numPr>
        <w:pStyle w:val="Compact"/>
      </w:pPr>
      <w:r>
        <w:t xml:space="preserve">2024 · Saadati S ·</w:t>
      </w:r>
      <w:r>
        <w:t xml:space="preserve"> </w:t>
      </w:r>
      <w:r>
        <w:rPr>
          <w:iCs/>
          <w:i/>
        </w:rPr>
        <w:t xml:space="preserve">Nutrients</w:t>
      </w:r>
      <w:r>
        <w:t xml:space="preserve"> </w:t>
      </w:r>
      <w:r>
        <w:t xml:space="preserve">· Carnosine Supplementation Has No Effect on Inflammatory Markers in Adults with Prediabetes and Type 2 Diabetes: A Randomised Controlled Trial. PMID 39599686</w:t>
      </w:r>
    </w:p>
    <w:p>
      <w:pPr>
        <w:numPr>
          <w:ilvl w:val="0"/>
          <w:numId w:val="1422"/>
        </w:numPr>
        <w:pStyle w:val="Compact"/>
      </w:pPr>
      <w:r>
        <w:t xml:space="preserve">2024 · Abraham DA ·</w:t>
      </w:r>
      <w:r>
        <w:t xml:space="preserve"> </w:t>
      </w:r>
      <w:r>
        <w:rPr>
          <w:iCs/>
          <w:i/>
        </w:rPr>
        <w:t xml:space="preserve">Front Biosci (Landmark Ed)</w:t>
      </w:r>
      <w:r>
        <w:t xml:space="preserve"> </w:t>
      </w:r>
      <w:r>
        <w:t xml:space="preserve">· Estimation of Plasma Concentration of L-Carnosine and its Correlation with Core Symptoms of Autism Spectrum Disorder Children: A Pilot Clinical Trial. PMID 39473402</w:t>
      </w:r>
    </w:p>
    <w:p>
      <w:pPr>
        <w:numPr>
          <w:ilvl w:val="0"/>
          <w:numId w:val="1422"/>
        </w:numPr>
        <w:pStyle w:val="Compact"/>
      </w:pPr>
      <w:r>
        <w:t xml:space="preserve">2024 · Baba SP ·</w:t>
      </w:r>
      <w:r>
        <w:t xml:space="preserve"> </w:t>
      </w:r>
      <w:r>
        <w:rPr>
          <w:iCs/>
          <w:i/>
        </w:rPr>
        <w:t xml:space="preserve">Amino Acids</w:t>
      </w:r>
      <w:r>
        <w:t xml:space="preserve"> </w:t>
      </w:r>
      <w:r>
        <w:t xml:space="preserve">· Evaluation of supplementary carnosine accumulation and distribution: an initial analysis of participants in the Nucleophilic Defense Against PM Toxicity (NEAT) clinical trial. PMID 39215872</w:t>
      </w:r>
    </w:p>
    <w:p>
      <w:pPr>
        <w:numPr>
          <w:ilvl w:val="0"/>
          <w:numId w:val="1422"/>
        </w:numPr>
        <w:pStyle w:val="Compact"/>
      </w:pPr>
      <w:r>
        <w:t xml:space="preserve">2024 · Rondanelli M ·</w:t>
      </w:r>
      <w:r>
        <w:t xml:space="preserve"> </w:t>
      </w:r>
      <w:r>
        <w:rPr>
          <w:iCs/>
          <w:i/>
        </w:rPr>
        <w:t xml:space="preserve">Nutrients</w:t>
      </w:r>
      <w:r>
        <w:t xml:space="preserve"> </w:t>
      </w:r>
      <w:r>
        <w:t xml:space="preserve">· A Patented Dietary Supplement (Hydroxy-Methyl-Butyrate, Carnosine, Magnesium, Butyrate, Lactoferrin) Is a Promising Therapeutic Target for Age-Related Sarcopenia through the Regulation of Gut Permeability: A Randomized Controlled Trial. PMID 38732615</w:t>
      </w:r>
    </w:p>
    <w:p>
      <w:pPr>
        <w:numPr>
          <w:ilvl w:val="0"/>
          <w:numId w:val="1422"/>
        </w:numPr>
        <w:pStyle w:val="Compact"/>
      </w:pPr>
      <w:r>
        <w:t xml:space="preserve">2024 · Hariharan R ·</w:t>
      </w:r>
      <w:r>
        <w:t xml:space="preserve"> </w:t>
      </w:r>
      <w:r>
        <w:rPr>
          <w:iCs/>
          <w:i/>
        </w:rPr>
        <w:t xml:space="preserve">Nutr Metab Cardiovasc Dis</w:t>
      </w:r>
      <w:r>
        <w:t xml:space="preserve"> </w:t>
      </w:r>
      <w:r>
        <w:t xml:space="preserve">· Carnosine supplementation improves glucose control in adults with pre-diabetes and type 2 diabetes: A randomised controlled trial. PMID 38172006</w:t>
      </w:r>
    </w:p>
    <w:p>
      <w:pPr>
        <w:numPr>
          <w:ilvl w:val="0"/>
          <w:numId w:val="1422"/>
        </w:numPr>
        <w:pStyle w:val="Compact"/>
      </w:pPr>
      <w:r>
        <w:t xml:space="preserve">2023 · Saadati S ·</w:t>
      </w:r>
      <w:r>
        <w:t xml:space="preserve"> </w:t>
      </w:r>
      <w:r>
        <w:rPr>
          <w:iCs/>
          <w:i/>
        </w:rPr>
        <w:t xml:space="preserve">Nutrients</w:t>
      </w:r>
      <w:r>
        <w:t xml:space="preserve"> </w:t>
      </w:r>
      <w:r>
        <w:t xml:space="preserve">· Carnosine Did Not Affect Vascular and Metabolic Outcomes in Patients with Prediabetes and Type 2 Diabetes: A 14-Week Randomized Controlled Trial. PMID 38004228</w:t>
      </w:r>
    </w:p>
    <w:p>
      <w:pPr>
        <w:numPr>
          <w:ilvl w:val="0"/>
          <w:numId w:val="1422"/>
        </w:numPr>
        <w:pStyle w:val="Compact"/>
      </w:pPr>
      <w:r>
        <w:t xml:space="preserve">2021 · Siriwattanasit N ·</w:t>
      </w:r>
      <w:r>
        <w:t xml:space="preserve"> </w:t>
      </w:r>
      <w:r>
        <w:rPr>
          <w:iCs/>
          <w:i/>
        </w:rPr>
        <w:t xml:space="preserve">BMC Nephrol</w:t>
      </w:r>
      <w:r>
        <w:t xml:space="preserve"> </w:t>
      </w:r>
      <w:r>
        <w:t xml:space="preserve">· Effect of Oral carnosine supplementation on urinary TGF-β in diabetic nephropathy: a randomized controlled trial. PMID 34174842</w:t>
      </w:r>
    </w:p>
    <w:p>
      <w:pPr>
        <w:numPr>
          <w:ilvl w:val="0"/>
          <w:numId w:val="1422"/>
        </w:numPr>
        <w:pStyle w:val="Compact"/>
      </w:pPr>
      <w:r>
        <w:t xml:space="preserve">2021 · Blancquaert L ·</w:t>
      </w:r>
      <w:r>
        <w:t xml:space="preserve"> </w:t>
      </w:r>
      <w:r>
        <w:rPr>
          <w:iCs/>
          <w:i/>
        </w:rPr>
        <w:t xml:space="preserve">J Appl Physiol (1985)</w:t>
      </w:r>
      <w:r>
        <w:t xml:space="preserve"> </w:t>
      </w:r>
      <w:r>
        <w:t xml:space="preserve">· Acute preexercise supplementation of combined carnosine and anserine enhances initial maximal power of Wingate tests in humans. PMID 33914660</w:t>
      </w:r>
    </w:p>
    <w:p>
      <w:pPr>
        <w:numPr>
          <w:ilvl w:val="0"/>
          <w:numId w:val="1422"/>
        </w:numPr>
        <w:pStyle w:val="Compact"/>
      </w:pPr>
      <w:r>
        <w:t xml:space="preserve">2021 · Yamaguchi GC ·</w:t>
      </w:r>
      <w:r>
        <w:t xml:space="preserve"> </w:t>
      </w:r>
      <w:r>
        <w:rPr>
          <w:iCs/>
          <w:i/>
        </w:rPr>
        <w:t xml:space="preserve">Med Sci Sports Exerc</w:t>
      </w:r>
      <w:r>
        <w:t xml:space="preserve"> </w:t>
      </w:r>
      <w:r>
        <w:t xml:space="preserve">· Kinetics of Muscle Carnosine Decay after β-Alanine Supplementation: A 16-wk Washout Study. PMID 33148972</w:t>
      </w:r>
    </w:p>
    <w:p>
      <w:pPr>
        <w:numPr>
          <w:ilvl w:val="0"/>
          <w:numId w:val="1422"/>
        </w:numPr>
        <w:pStyle w:val="Compact"/>
      </w:pPr>
      <w:r>
        <w:t xml:space="preserve">2021 · Limonta E ·</w:t>
      </w:r>
      <w:r>
        <w:t xml:space="preserve"> </w:t>
      </w:r>
      <w:r>
        <w:rPr>
          <w:iCs/>
          <w:i/>
        </w:rPr>
        <w:t xml:space="preserve">J Sports Med Phys Fitness</w:t>
      </w:r>
      <w:r>
        <w:t xml:space="preserve"> </w:t>
      </w:r>
      <w:r>
        <w:t xml:space="preserve">· Acute carnosine and β-alanine supplementation increase the compensated part of the ventilation versus work rate relationship during a ramp incremental cycle test in physically active men. PMID 33092320</w:t>
      </w:r>
    </w:p>
    <w:p>
      <w:pPr>
        <w:numPr>
          <w:ilvl w:val="0"/>
          <w:numId w:val="1422"/>
        </w:numPr>
        <w:pStyle w:val="Compact"/>
      </w:pPr>
      <w:r>
        <w:t xml:space="preserve">2020 · Zanini D ·</w:t>
      </w:r>
      <w:r>
        <w:t xml:space="preserve"> </w:t>
      </w:r>
      <w:r>
        <w:rPr>
          <w:iCs/>
          <w:i/>
        </w:rPr>
        <w:t xml:space="preserve">Nutr Res</w:t>
      </w:r>
      <w:r>
        <w:t xml:space="preserve"> </w:t>
      </w:r>
      <w:r>
        <w:t xml:space="preserve">· Dietary supplementation with L-carnosine improves patient-reported outcomes, autonomic nervous system performance, and brain metabolism in 3 adult patients with multiple sclerosis. PMID 33189432</w:t>
      </w:r>
    </w:p>
    <w:p>
      <w:pPr>
        <w:numPr>
          <w:ilvl w:val="0"/>
          <w:numId w:val="1422"/>
        </w:numPr>
        <w:pStyle w:val="Compact"/>
      </w:pPr>
      <w:r>
        <w:t xml:space="preserve">2020 · Ann Abraham D ·</w:t>
      </w:r>
      <w:r>
        <w:t xml:space="preserve"> </w:t>
      </w:r>
      <w:r>
        <w:rPr>
          <w:iCs/>
          <w:i/>
        </w:rPr>
        <w:t xml:space="preserve">Amino Acids</w:t>
      </w:r>
      <w:r>
        <w:t xml:space="preserve"> </w:t>
      </w:r>
      <w:r>
        <w:t xml:space="preserve">· Effect of L-Carnosine as adjunctive therapy in the management of children with autism spectrum disorder: a randomized controlled study. PMID 33170378</w:t>
      </w:r>
    </w:p>
    <w:p>
      <w:pPr>
        <w:numPr>
          <w:ilvl w:val="0"/>
          <w:numId w:val="1422"/>
        </w:numPr>
        <w:pStyle w:val="Compact"/>
      </w:pPr>
      <w:r>
        <w:t xml:space="preserve">2019 · Masuoka N ·</w:t>
      </w:r>
      <w:r>
        <w:t xml:space="preserve"> </w:t>
      </w:r>
      <w:r>
        <w:rPr>
          <w:iCs/>
          <w:i/>
        </w:rPr>
        <w:t xml:space="preserve">Nutrients</w:t>
      </w:r>
      <w:r>
        <w:t xml:space="preserve"> </w:t>
      </w:r>
      <w:r>
        <w:t xml:space="preserve">· Effects of Anserine/Carnosine Supplementation on Mild Cognitive Impairment with APOE4. PMID 31319510</w:t>
      </w:r>
    </w:p>
    <w:p>
      <w:pPr>
        <w:numPr>
          <w:ilvl w:val="0"/>
          <w:numId w:val="1422"/>
        </w:numPr>
        <w:pStyle w:val="Compact"/>
      </w:pPr>
      <w:r>
        <w:t xml:space="preserve">2019 · Yehia R ·</w:t>
      </w:r>
      <w:r>
        <w:t xml:space="preserve"> </w:t>
      </w:r>
      <w:r>
        <w:rPr>
          <w:iCs/>
          <w:i/>
        </w:rPr>
        <w:t xml:space="preserve">Toxicol Appl Pharmacol</w:t>
      </w:r>
      <w:r>
        <w:t xml:space="preserve"> </w:t>
      </w:r>
      <w:r>
        <w:t xml:space="preserve">· L-Carnosine protects against Oxaliplatin-induced peripheral neuropathy in colorectal cancer patients: A perspective on targeting Nrf-2 and NF-κB pathways. PMID 30592963</w:t>
      </w:r>
    </w:p>
    <w:p>
      <w:pPr>
        <w:numPr>
          <w:ilvl w:val="0"/>
          <w:numId w:val="1422"/>
        </w:numPr>
        <w:pStyle w:val="Compact"/>
      </w:pPr>
      <w:r>
        <w:t xml:space="preserve">2019 · Baye E ·</w:t>
      </w:r>
      <w:r>
        <w:t xml:space="preserve"> </w:t>
      </w:r>
      <w:r>
        <w:rPr>
          <w:iCs/>
          <w:i/>
        </w:rPr>
        <w:t xml:space="preserve">Amino Acids</w:t>
      </w:r>
      <w:r>
        <w:t xml:space="preserve"> </w:t>
      </w:r>
      <w:r>
        <w:t xml:space="preserve">· Carnosine supplementation reduces plasma soluble transferrin receptor in healthy overweight or obese individuals: a pilot randomised trial. PMID 30136029</w:t>
      </w:r>
    </w:p>
    <w:p>
      <w:pPr>
        <w:numPr>
          <w:ilvl w:val="0"/>
          <w:numId w:val="1422"/>
        </w:numPr>
        <w:pStyle w:val="Compact"/>
      </w:pPr>
      <w:r>
        <w:t xml:space="preserve">2019 · Ghodsi R ·</w:t>
      </w:r>
      <w:r>
        <w:t xml:space="preserve"> </w:t>
      </w:r>
      <w:r>
        <w:rPr>
          <w:iCs/>
          <w:i/>
        </w:rPr>
        <w:t xml:space="preserve">Ann Clin Biochem</w:t>
      </w:r>
      <w:r>
        <w:t xml:space="preserve"> </w:t>
      </w:r>
      <w:r>
        <w:t xml:space="preserve">· Carnosine supplementation does not affect serum concentrations of advanced glycation and precursors of lipoxidation end products in autism: a randomized controlled clinical trial. PMID 30089410</w:t>
      </w:r>
    </w:p>
    <w:p>
      <w:pPr>
        <w:numPr>
          <w:ilvl w:val="0"/>
          <w:numId w:val="1422"/>
        </w:numPr>
        <w:pStyle w:val="Compact"/>
      </w:pPr>
      <w:r>
        <w:t xml:space="preserve">2018 · Karkabounas S ·</w:t>
      </w:r>
      <w:r>
        <w:t xml:space="preserve"> </w:t>
      </w:r>
      <w:r>
        <w:rPr>
          <w:iCs/>
          <w:i/>
        </w:rPr>
        <w:t xml:space="preserve">J Med Food</w:t>
      </w:r>
      <w:r>
        <w:t xml:space="preserve"> </w:t>
      </w:r>
      <w:r>
        <w:t xml:space="preserve">· Effects of α-Lipoic Acid, Carnosine, and Thiamine Supplementation in Obese Patients with Type 2 Diabetes Mellitus: A Randomized, Double-Blind Study. PMID 30311825</w:t>
      </w:r>
    </w:p>
    <w:p>
      <w:pPr>
        <w:numPr>
          <w:ilvl w:val="0"/>
          <w:numId w:val="1422"/>
        </w:numPr>
        <w:pStyle w:val="Compact"/>
      </w:pPr>
      <w:r>
        <w:t xml:space="preserve">2018 · Baye E ·</w:t>
      </w:r>
      <w:r>
        <w:t xml:space="preserve"> </w:t>
      </w:r>
      <w:r>
        <w:rPr>
          <w:iCs/>
          <w:i/>
        </w:rPr>
        <w:t xml:space="preserve">Nutrients</w:t>
      </w:r>
      <w:r>
        <w:t xml:space="preserve"> </w:t>
      </w:r>
      <w:r>
        <w:t xml:space="preserve">· Carnosine Supplementation Improves Serum Resistin Concentrations in Overweight or Obese Otherwise Healthy Adults: A Pilot Randomized Trial. PMID 30205427</w:t>
      </w:r>
    </w:p>
    <w:p>
      <w:pPr>
        <w:numPr>
          <w:ilvl w:val="0"/>
          <w:numId w:val="1422"/>
        </w:numPr>
        <w:pStyle w:val="Compact"/>
      </w:pPr>
      <w:r>
        <w:t xml:space="preserve">2018 · Blancquaert L ·</w:t>
      </w:r>
      <w:r>
        <w:t xml:space="preserve"> </w:t>
      </w:r>
      <w:r>
        <w:rPr>
          <w:iCs/>
          <w:i/>
        </w:rPr>
        <w:t xml:space="preserve">Br J Nutr</w:t>
      </w:r>
      <w:r>
        <w:t xml:space="preserve"> </w:t>
      </w:r>
      <w:r>
        <w:t xml:space="preserve">· Changing to a vegetarian diet reduces the body creatine pool in omnivorous women, but appears not to affect carnitine and carnosine homeostasis: a randomised trial. PMID 29569535</w:t>
      </w:r>
    </w:p>
    <w:p>
      <w:pPr>
        <w:numPr>
          <w:ilvl w:val="0"/>
          <w:numId w:val="1422"/>
        </w:numPr>
        <w:pStyle w:val="Compact"/>
      </w:pPr>
      <w:r>
        <w:t xml:space="preserve">2018 · Mehrazad-Saber Z ·</w:t>
      </w:r>
      <w:r>
        <w:t xml:space="preserve"> </w:t>
      </w:r>
      <w:r>
        <w:rPr>
          <w:iCs/>
          <w:i/>
        </w:rPr>
        <w:t xml:space="preserve">Basic Clin Pharmacol Toxicol</w:t>
      </w:r>
      <w:r>
        <w:t xml:space="preserve"> </w:t>
      </w:r>
      <w:r>
        <w:t xml:space="preserve">· Effects of l-Carnosine Supplementation on Sleep Disorders and Disease Severity in Autistic Children: A Randomized, Controlled Clinical Trial. PMID 29430839</w:t>
      </w:r>
    </w:p>
    <w:p>
      <w:pPr>
        <w:numPr>
          <w:ilvl w:val="0"/>
          <w:numId w:val="1422"/>
        </w:numPr>
        <w:pStyle w:val="Compact"/>
      </w:pPr>
      <w:r>
        <w:t xml:space="preserve">2018 · Houjeghani S ·</w:t>
      </w:r>
      <w:r>
        <w:t xml:space="preserve"> </w:t>
      </w:r>
      <w:r>
        <w:rPr>
          <w:iCs/>
          <w:i/>
        </w:rPr>
        <w:t xml:space="preserve">Nutr Res</w:t>
      </w:r>
      <w:r>
        <w:t xml:space="preserve"> </w:t>
      </w:r>
      <w:r>
        <w:t xml:space="preserve">· l-Carnosine supplementation attenuated fasting glucose, triglycerides, advanced glycation end products, and tumor necrosis factor-α levels in patients with type 2 diabetes: a double-blind placebo-controlled randomized clinical trial. PMID 29420997</w:t>
      </w:r>
    </w:p>
    <w:p>
      <w:pPr>
        <w:numPr>
          <w:ilvl w:val="0"/>
          <w:numId w:val="1422"/>
        </w:numPr>
        <w:pStyle w:val="Compact"/>
      </w:pPr>
      <w:r>
        <w:t xml:space="preserve">2018 · Elbarbary NS ·</w:t>
      </w:r>
      <w:r>
        <w:t xml:space="preserve"> </w:t>
      </w:r>
      <w:r>
        <w:rPr>
          <w:iCs/>
          <w:i/>
        </w:rPr>
        <w:t xml:space="preserve">Pediatr Diabetes</w:t>
      </w:r>
      <w:r>
        <w:t xml:space="preserve"> </w:t>
      </w:r>
      <w:r>
        <w:t xml:space="preserve">· The effect of 12 weeks carnosine supplementation on renal functional integrity and oxidative stress in pediatric patients with diabetic nephropathy: a randomized placebo-controlled trial. PMID 28744992</w:t>
      </w:r>
    </w:p>
    <w:p>
      <w:pPr>
        <w:numPr>
          <w:ilvl w:val="0"/>
          <w:numId w:val="1422"/>
        </w:numPr>
        <w:pStyle w:val="Compact"/>
      </w:pPr>
      <w:r>
        <w:t xml:space="preserve">2017 · Varanoske AN ·</w:t>
      </w:r>
      <w:r>
        <w:t xml:space="preserve"> </w:t>
      </w:r>
      <w:r>
        <w:rPr>
          <w:iCs/>
          <w:i/>
        </w:rPr>
        <w:t xml:space="preserve">Nutr Res</w:t>
      </w:r>
      <w:r>
        <w:t xml:space="preserve"> </w:t>
      </w:r>
      <w:r>
        <w:t xml:space="preserve">· β-Alanine supplementation elevates intramuscular carnosine content and attenuates fatigue in men and women similarly but does not change muscle l-histidine content. PMID 29246277</w:t>
      </w:r>
    </w:p>
    <w:p>
      <w:pPr>
        <w:numPr>
          <w:ilvl w:val="0"/>
          <w:numId w:val="1422"/>
        </w:numPr>
        <w:pStyle w:val="Compact"/>
      </w:pPr>
      <w:r>
        <w:t xml:space="preserve">2017 · Baye E ·</w:t>
      </w:r>
      <w:r>
        <w:t xml:space="preserve"> </w:t>
      </w:r>
      <w:r>
        <w:rPr>
          <w:iCs/>
          <w:i/>
        </w:rPr>
        <w:t xml:space="preserve">Sci Rep</w:t>
      </w:r>
      <w:r>
        <w:t xml:space="preserve"> </w:t>
      </w:r>
      <w:r>
        <w:t xml:space="preserve">· Effect of carnosine supplementation on the plasma lipidome in overweight and obese adults: a pilot randomised controlled trial. PMID 29234057</w:t>
      </w:r>
    </w:p>
    <w:p>
      <w:pPr>
        <w:numPr>
          <w:ilvl w:val="0"/>
          <w:numId w:val="1422"/>
        </w:numPr>
        <w:pStyle w:val="Compact"/>
      </w:pPr>
      <w:r>
        <w:t xml:space="preserve">2017 · Katakura Y ·</w:t>
      </w:r>
      <w:r>
        <w:t xml:space="preserve"> </w:t>
      </w:r>
      <w:r>
        <w:rPr>
          <w:iCs/>
          <w:i/>
        </w:rPr>
        <w:t xml:space="preserve">Nutrients</w:t>
      </w:r>
      <w:r>
        <w:t xml:space="preserve"> </w:t>
      </w:r>
      <w:r>
        <w:t xml:space="preserve">· Anserine/Carnosine Supplementation Suppresses the Expression of the Inflammatory Chemokine CCL24 in Peripheral Blood Mononuclear Cells from Elderly People. PMID 29088099</w:t>
      </w:r>
    </w:p>
    <w:p>
      <w:pPr>
        <w:numPr>
          <w:ilvl w:val="0"/>
          <w:numId w:val="1422"/>
        </w:numPr>
        <w:pStyle w:val="Compact"/>
      </w:pPr>
      <w:r>
        <w:t xml:space="preserve">2017 · Church DD ·</w:t>
      </w:r>
      <w:r>
        <w:t xml:space="preserve"> </w:t>
      </w:r>
      <w:r>
        <w:rPr>
          <w:iCs/>
          <w:i/>
        </w:rPr>
        <w:t xml:space="preserve">J Am Coll Nutr</w:t>
      </w:r>
      <w:r>
        <w:t xml:space="preserve"> </w:t>
      </w:r>
      <w:r>
        <w:t xml:space="preserve">· Comparison of Two β-Alanine Dosing Protocols on Muscle Carnosine Elevations. PMID 28910200</w:t>
      </w:r>
    </w:p>
    <w:p>
      <w:pPr>
        <w:numPr>
          <w:ilvl w:val="0"/>
          <w:numId w:val="1422"/>
        </w:numPr>
        <w:pStyle w:val="Compact"/>
      </w:pPr>
      <w:r>
        <w:t xml:space="preserve">2017 · Baye E ·</w:t>
      </w:r>
      <w:r>
        <w:t xml:space="preserve"> </w:t>
      </w:r>
      <w:r>
        <w:rPr>
          <w:iCs/>
          <w:i/>
        </w:rPr>
        <w:t xml:space="preserve">BMJ Open</w:t>
      </w:r>
      <w:r>
        <w:t xml:space="preserve"> </w:t>
      </w:r>
      <w:r>
        <w:t xml:space="preserve">· Does supplementation with carnosine improve cardiometabolic health and cognitive function in patients with pre-diabetes and type 2 diabetes? study protocol for a randomised, double-blind, placebo-controlled trial. PMID 28864708</w:t>
      </w:r>
    </w:p>
    <w:p>
      <w:pPr>
        <w:numPr>
          <w:ilvl w:val="0"/>
          <w:numId w:val="1422"/>
        </w:numPr>
        <w:pStyle w:val="Compact"/>
      </w:pPr>
      <w:r>
        <w:t xml:space="preserve">2017 · Saunders B ·</w:t>
      </w:r>
      <w:r>
        <w:t xml:space="preserve"> </w:t>
      </w:r>
      <w:r>
        <w:rPr>
          <w:iCs/>
          <w:i/>
        </w:rPr>
        <w:t xml:space="preserve">Med Sci Sports Exerc</w:t>
      </w:r>
      <w:r>
        <w:t xml:space="preserve"> </w:t>
      </w:r>
      <w:r>
        <w:t xml:space="preserve">· Twenty-four Weeks of β-Alanine Supplementation on Carnosine Content, Related Genes, and Exercise. PMID 28157726</w:t>
      </w:r>
    </w:p>
    <w:p>
      <w:pPr>
        <w:numPr>
          <w:ilvl w:val="0"/>
          <w:numId w:val="1422"/>
        </w:numPr>
        <w:pStyle w:val="Compact"/>
      </w:pPr>
      <w:r>
        <w:t xml:space="preserve">2016 · de Courten B ·</w:t>
      </w:r>
      <w:r>
        <w:t xml:space="preserve"> </w:t>
      </w:r>
      <w:r>
        <w:rPr>
          <w:iCs/>
          <w:i/>
        </w:rPr>
        <w:t xml:space="preserve">Obesity (Silver Spring)</w:t>
      </w:r>
      <w:r>
        <w:t xml:space="preserve"> </w:t>
      </w:r>
      <w:r>
        <w:t xml:space="preserve">· Effects of carnosine supplementation on glucose metabolism: Pilot clinical trial. PMID 27040154</w:t>
      </w:r>
    </w:p>
    <w:p>
      <w:pPr>
        <w:numPr>
          <w:ilvl w:val="0"/>
          <w:numId w:val="1422"/>
        </w:numPr>
        <w:pStyle w:val="Compact"/>
      </w:pPr>
      <w:r>
        <w:t xml:space="preserve">2016 · Mutolo MG ·</w:t>
      </w:r>
      <w:r>
        <w:t xml:space="preserve"> </w:t>
      </w:r>
      <w:r>
        <w:rPr>
          <w:iCs/>
          <w:i/>
        </w:rPr>
        <w:t xml:space="preserve">J Ocul Pharmacol Ther</w:t>
      </w:r>
      <w:r>
        <w:t xml:space="preserve"> </w:t>
      </w:r>
      <w:r>
        <w:t xml:space="preserve">· Oral Administration of Forskolin, Homotaurine, Carnosine, and Folic Acid in Patients with Primary Open Angle Glaucoma: Changes in Intraocular Pressure, Pattern Electroretinogram Amplitude, and Foveal Sensitivity. PMID 26771282</w:t>
      </w:r>
    </w:p>
    <w:p>
      <w:pPr>
        <w:numPr>
          <w:ilvl w:val="0"/>
          <w:numId w:val="1422"/>
        </w:numPr>
        <w:pStyle w:val="Compact"/>
      </w:pPr>
      <w:r>
        <w:t xml:space="preserve">2016 · Hisatsune T ·</w:t>
      </w:r>
      <w:r>
        <w:t xml:space="preserve"> </w:t>
      </w:r>
      <w:r>
        <w:rPr>
          <w:iCs/>
          <w:i/>
        </w:rPr>
        <w:t xml:space="preserve">J Alzheimers Dis</w:t>
      </w:r>
      <w:r>
        <w:t xml:space="preserve"> </w:t>
      </w:r>
      <w:r>
        <w:t xml:space="preserve">· Effect of Anserine/Carnosine Supplementation on Verbal Episodic Memory in Elderly People. PMID 26682691</w:t>
      </w:r>
    </w:p>
    <w:p>
      <w:pPr>
        <w:numPr>
          <w:ilvl w:val="0"/>
          <w:numId w:val="1422"/>
        </w:numPr>
        <w:pStyle w:val="Compact"/>
      </w:pPr>
      <w:r>
        <w:t xml:space="preserve">2016 · Invernizzi PL ·</w:t>
      </w:r>
      <w:r>
        <w:t xml:space="preserve"> </w:t>
      </w:r>
      <w:r>
        <w:rPr>
          <w:iCs/>
          <w:i/>
        </w:rPr>
        <w:t xml:space="preserve">Int J Sports Physiol Perform</w:t>
      </w:r>
      <w:r>
        <w:t xml:space="preserve"> </w:t>
      </w:r>
      <w:r>
        <w:t xml:space="preserve">· Effects of Acute Carnosine and β-Alanine on Isometric Force and Jumping Performance. PMID 26308179</w:t>
      </w:r>
    </w:p>
    <w:p>
      <w:pPr>
        <w:numPr>
          <w:ilvl w:val="0"/>
          <w:numId w:val="1422"/>
        </w:numPr>
        <w:pStyle w:val="Compact"/>
      </w:pPr>
      <w:r>
        <w:t xml:space="preserve">2015 · Hoffman JR ·</w:t>
      </w:r>
      <w:r>
        <w:t xml:space="preserve"> </w:t>
      </w:r>
      <w:r>
        <w:rPr>
          <w:iCs/>
          <w:i/>
        </w:rPr>
        <w:t xml:space="preserve">Amino Acids</w:t>
      </w:r>
      <w:r>
        <w:t xml:space="preserve"> </w:t>
      </w:r>
      <w:r>
        <w:t xml:space="preserve">· β-Alanine ingestion increases muscle carnosine content and combat specific performance in soldiers. PMID 25510839</w:t>
      </w:r>
    </w:p>
    <w:p>
      <w:pPr>
        <w:numPr>
          <w:ilvl w:val="0"/>
          <w:numId w:val="1422"/>
        </w:numPr>
        <w:pStyle w:val="Compact"/>
      </w:pPr>
      <w:r>
        <w:t xml:space="preserve">2015 · Lombardi C ·</w:t>
      </w:r>
      <w:r>
        <w:t xml:space="preserve"> </w:t>
      </w:r>
      <w:r>
        <w:rPr>
          <w:iCs/>
          <w:i/>
        </w:rPr>
        <w:t xml:space="preserve">Nutrition</w:t>
      </w:r>
      <w:r>
        <w:t xml:space="preserve"> </w:t>
      </w:r>
      <w:r>
        <w:t xml:space="preserve">· Effects of oral administration of orodispersible levo-carnosine on quality of life and exercise performance in patients with chronic heart failure. PMID 25287762</w:t>
      </w:r>
    </w:p>
    <w:p>
      <w:pPr>
        <w:numPr>
          <w:ilvl w:val="0"/>
          <w:numId w:val="1422"/>
        </w:numPr>
        <w:pStyle w:val="Compact"/>
      </w:pPr>
      <w:r>
        <w:t xml:space="preserve">2014 · Slowinska-Lisowska M ·</w:t>
      </w:r>
      <w:r>
        <w:t xml:space="preserve"> </w:t>
      </w:r>
      <w:r>
        <w:rPr>
          <w:iCs/>
          <w:i/>
        </w:rPr>
        <w:t xml:space="preserve">Acta Physiol Hung</w:t>
      </w:r>
      <w:r>
        <w:t xml:space="preserve"> </w:t>
      </w:r>
      <w:r>
        <w:t xml:space="preserve">· Influence of l-carnosine on pro-antioxidant status in elite kayakers and canoeists. PMID 25201708</w:t>
      </w:r>
    </w:p>
    <w:p>
      <w:pPr>
        <w:numPr>
          <w:ilvl w:val="0"/>
          <w:numId w:val="1422"/>
        </w:numPr>
        <w:pStyle w:val="Compact"/>
      </w:pPr>
      <w:r>
        <w:t xml:space="preserve">2014 · Sakae K ·</w:t>
      </w:r>
      <w:r>
        <w:t xml:space="preserve"> </w:t>
      </w:r>
      <w:r>
        <w:rPr>
          <w:iCs/>
          <w:i/>
        </w:rPr>
        <w:t xml:space="preserve">Biol Trace Elem Res</w:t>
      </w:r>
      <w:r>
        <w:t xml:space="preserve"> </w:t>
      </w:r>
      <w:r>
        <w:t xml:space="preserve">· Oral treatment of pressure ulcers with polaprezinc (zinc L-carnosine complex): 8-week open-label trial. PMID 24691900</w:t>
      </w:r>
    </w:p>
    <w:p>
      <w:pPr>
        <w:numPr>
          <w:ilvl w:val="0"/>
          <w:numId w:val="1422"/>
        </w:numPr>
        <w:pStyle w:val="Compact"/>
      </w:pPr>
      <w:r>
        <w:t xml:space="preserve">2014 · Chung W ·</w:t>
      </w:r>
      <w:r>
        <w:t xml:space="preserve"> </w:t>
      </w:r>
      <w:r>
        <w:rPr>
          <w:iCs/>
          <w:i/>
        </w:rPr>
        <w:t xml:space="preserve">Int J Sport Nutr Exerc Metab</w:t>
      </w:r>
      <w:r>
        <w:t xml:space="preserve"> </w:t>
      </w:r>
      <w:r>
        <w:t xml:space="preserve">· Doubling of muscle carnosine concentration does not improve laboratory 1-hr cycling time-trial performance. PMID 24457999</w:t>
      </w:r>
    </w:p>
    <w:p>
      <w:pPr>
        <w:numPr>
          <w:ilvl w:val="0"/>
          <w:numId w:val="1422"/>
        </w:numPr>
        <w:pStyle w:val="Compact"/>
      </w:pPr>
      <w:r>
        <w:t xml:space="preserve">2013 · Baraniuk JN ·</w:t>
      </w:r>
      <w:r>
        <w:t xml:space="preserve"> </w:t>
      </w:r>
      <w:r>
        <w:rPr>
          <w:iCs/>
          <w:i/>
        </w:rPr>
        <w:t xml:space="preserve">Glob J Health Sci</w:t>
      </w:r>
      <w:r>
        <w:t xml:space="preserve"> </w:t>
      </w:r>
      <w:r>
        <w:t xml:space="preserve">· Carnosine treatment for gulf war illness: a randomized controlled trial. PMID 23618477</w:t>
      </w:r>
    </w:p>
    <w:p>
      <w:pPr>
        <w:numPr>
          <w:ilvl w:val="0"/>
          <w:numId w:val="1422"/>
        </w:numPr>
        <w:pStyle w:val="Compact"/>
      </w:pPr>
      <w:r>
        <w:t xml:space="preserve">2012 · del Favero S ·</w:t>
      </w:r>
      <w:r>
        <w:t xml:space="preserve"> </w:t>
      </w:r>
      <w:r>
        <w:rPr>
          <w:iCs/>
          <w:i/>
        </w:rPr>
        <w:t xml:space="preserve">Amino Acids</w:t>
      </w:r>
      <w:r>
        <w:t xml:space="preserve"> </w:t>
      </w:r>
      <w:r>
        <w:t xml:space="preserve">· Beta-alanine (Carnosyn™) supplementation in elderly subjects (60-80 years): effects on muscle carnosine content and physical capacity. PMID 22143432</w:t>
      </w:r>
    </w:p>
    <w:p>
      <w:pPr>
        <w:numPr>
          <w:ilvl w:val="0"/>
          <w:numId w:val="1422"/>
        </w:numPr>
        <w:pStyle w:val="Compact"/>
      </w:pPr>
      <w:r>
        <w:t xml:space="preserve">2012 · Stellingwerff T ·</w:t>
      </w:r>
      <w:r>
        <w:t xml:space="preserve"> </w:t>
      </w:r>
      <w:r>
        <w:rPr>
          <w:iCs/>
          <w:i/>
        </w:rPr>
        <w:t xml:space="preserve">Amino Acids</w:t>
      </w:r>
      <w:r>
        <w:t xml:space="preserve"> </w:t>
      </w:r>
      <w:r>
        <w:t xml:space="preserve">· Effect of two β-alanine dosing protocols on muscle carnosine synthesis and washout. PMID 21847611</w:t>
      </w:r>
    </w:p>
    <w:p>
      <w:pPr>
        <w:numPr>
          <w:ilvl w:val="0"/>
          <w:numId w:val="1422"/>
        </w:numPr>
        <w:pStyle w:val="Compact"/>
      </w:pPr>
      <w:r>
        <w:t xml:space="preserve">2012 · Babizhayev MA ·</w:t>
      </w:r>
      <w:r>
        <w:t xml:space="preserve"> </w:t>
      </w:r>
      <w:r>
        <w:rPr>
          <w:iCs/>
          <w:i/>
        </w:rPr>
        <w:t xml:space="preserve">J Dermatolog Treat</w:t>
      </w:r>
      <w:r>
        <w:t xml:space="preserve"> </w:t>
      </w:r>
      <w:r>
        <w:t xml:space="preserve">· Skin beautification with oral non-hydrolized versions of carnosine and carcinine: Effective therapeutic management and cosmetic skincare solutions against oxidative glycation and free-radical production as a causal mechanism of diabetic complications and skin aging. PMID 21756141</w:t>
      </w:r>
    </w:p>
    <w:p>
      <w:pPr>
        <w:numPr>
          <w:ilvl w:val="0"/>
          <w:numId w:val="1422"/>
        </w:numPr>
        <w:pStyle w:val="Compact"/>
      </w:pPr>
      <w:r>
        <w:t xml:space="preserve">2011 · Gualano B ·</w:t>
      </w:r>
      <w:r>
        <w:t xml:space="preserve"> </w:t>
      </w:r>
      <w:r>
        <w:rPr>
          <w:iCs/>
          <w:i/>
        </w:rPr>
        <w:t xml:space="preserve">Appl Physiol Nutr Metab</w:t>
      </w:r>
      <w:r>
        <w:t xml:space="preserve"> </w:t>
      </w:r>
      <w:r>
        <w:t xml:space="preserve">· Creatine supplementation does not augment muscle carnosine content in type 2 diabetic patients. PMID 21999299</w:t>
      </w:r>
    </w:p>
    <w:p>
      <w:pPr>
        <w:numPr>
          <w:ilvl w:val="0"/>
          <w:numId w:val="1422"/>
        </w:numPr>
        <w:pStyle w:val="Compact"/>
      </w:pPr>
      <w:r>
        <w:t xml:space="preserve">2011 · Goto K ·</w:t>
      </w:r>
      <w:r>
        <w:t xml:space="preserve"> </w:t>
      </w:r>
      <w:r>
        <w:rPr>
          <w:iCs/>
          <w:i/>
        </w:rPr>
        <w:t xml:space="preserve">J Strength Cond Res</w:t>
      </w:r>
      <w:r>
        <w:t xml:space="preserve"> </w:t>
      </w:r>
      <w:r>
        <w:t xml:space="preserve">· Hormonal responses to resistance exercise after ingestion of carnosine and anserine. PMID 20224451</w:t>
      </w:r>
    </w:p>
    <w:p>
      <w:pPr>
        <w:numPr>
          <w:ilvl w:val="0"/>
          <w:numId w:val="1422"/>
        </w:numPr>
        <w:pStyle w:val="Compact"/>
      </w:pPr>
      <w:r>
        <w:t xml:space="preserve">2010 · Baguet A ·</w:t>
      </w:r>
      <w:r>
        <w:t xml:space="preserve"> </w:t>
      </w:r>
      <w:r>
        <w:rPr>
          <w:iCs/>
          <w:i/>
        </w:rPr>
        <w:t xml:space="preserve">J Appl Physiol (1985)</w:t>
      </w:r>
      <w:r>
        <w:t xml:space="preserve"> </w:t>
      </w:r>
      <w:r>
        <w:t xml:space="preserve">· Important role of muscle carnosine in rowing performance. PMID 20671038</w:t>
      </w:r>
    </w:p>
    <w:p>
      <w:pPr>
        <w:numPr>
          <w:ilvl w:val="0"/>
          <w:numId w:val="1422"/>
        </w:numPr>
        <w:pStyle w:val="Compact"/>
      </w:pPr>
      <w:r>
        <w:t xml:space="preserve">2009 · Kendrick IP ·</w:t>
      </w:r>
      <w:r>
        <w:t xml:space="preserve"> </w:t>
      </w:r>
      <w:r>
        <w:rPr>
          <w:iCs/>
          <w:i/>
        </w:rPr>
        <w:t xml:space="preserve">Eur J Appl Physiol</w:t>
      </w:r>
      <w:r>
        <w:t xml:space="preserve"> </w:t>
      </w:r>
      <w:r>
        <w:t xml:space="preserve">· The effect of 4 weeks beta-alanine supplementation and isokinetic training on carnosine concentrations in type I and II human skeletal muscle fibres. PMID 19214556</w:t>
      </w:r>
    </w:p>
    <w:p>
      <w:pPr>
        <w:numPr>
          <w:ilvl w:val="0"/>
          <w:numId w:val="1422"/>
        </w:numPr>
        <w:pStyle w:val="Compact"/>
      </w:pPr>
      <w:r>
        <w:t xml:space="preserve">2009 · Kairaluoma L ·</w:t>
      </w:r>
      <w:r>
        <w:t xml:space="preserve"> </w:t>
      </w:r>
      <w:r>
        <w:rPr>
          <w:iCs/>
          <w:i/>
        </w:rPr>
        <w:t xml:space="preserve">Child Care Health Dev</w:t>
      </w:r>
      <w:r>
        <w:t xml:space="preserve"> </w:t>
      </w:r>
      <w:r>
        <w:t xml:space="preserve">· Do fatty acids help in overcoming reading difficulties? A double-blind, placebo-controlled study of the effects of eicosapentaenoic acid and carnosine supplementation on children with dyslexia. PMID 18991979</w:t>
      </w:r>
    </w:p>
    <w:p>
      <w:pPr>
        <w:numPr>
          <w:ilvl w:val="0"/>
          <w:numId w:val="1422"/>
        </w:numPr>
        <w:pStyle w:val="Compact"/>
      </w:pPr>
      <w:r>
        <w:t xml:space="preserve">2007 · Derave W ·</w:t>
      </w:r>
      <w:r>
        <w:t xml:space="preserve"> </w:t>
      </w:r>
      <w:r>
        <w:rPr>
          <w:iCs/>
          <w:i/>
        </w:rPr>
        <w:t xml:space="preserve">J Appl Physiol (1985)</w:t>
      </w:r>
      <w:r>
        <w:t xml:space="preserve"> </w:t>
      </w:r>
      <w:r>
        <w:t xml:space="preserve">· beta-Alanine supplementation augments muscle carnosine content and attenuates fatigue during repeated isokinetic contraction bouts in trained sprinters. PMID 17690198</w:t>
      </w:r>
    </w:p>
    <w:p>
      <w:pPr>
        <w:numPr>
          <w:ilvl w:val="0"/>
          <w:numId w:val="1422"/>
        </w:numPr>
        <w:pStyle w:val="Compact"/>
      </w:pPr>
      <w:r>
        <w:t xml:space="preserve">2007 · Mahmood A ·</w:t>
      </w:r>
      <w:r>
        <w:t xml:space="preserve"> </w:t>
      </w:r>
      <w:r>
        <w:rPr>
          <w:iCs/>
          <w:i/>
        </w:rPr>
        <w:t xml:space="preserve">Gut</w:t>
      </w:r>
      <w:r>
        <w:t xml:space="preserve"> </w:t>
      </w:r>
      <w:r>
        <w:t xml:space="preserve">· Zinc carnosine, a health food supplement that stabilises small bowel integrity and stimulates gut repair processes. PMID 16777920</w:t>
      </w:r>
    </w:p>
    <w:p>
      <w:pPr>
        <w:numPr>
          <w:ilvl w:val="0"/>
          <w:numId w:val="1422"/>
        </w:numPr>
        <w:pStyle w:val="Compact"/>
      </w:pPr>
      <w:r>
        <w:t xml:space="preserve">2006 · Harris RC ·</w:t>
      </w:r>
      <w:r>
        <w:t xml:space="preserve"> </w:t>
      </w:r>
      <w:r>
        <w:rPr>
          <w:iCs/>
          <w:i/>
        </w:rPr>
        <w:t xml:space="preserve">Amino Acids</w:t>
      </w:r>
      <w:r>
        <w:t xml:space="preserve"> </w:t>
      </w:r>
      <w:r>
        <w:t xml:space="preserve">· The absorption of orally supplied beta-alanine and its effect on muscle carnosine synthesis in human vastus lateralis. PMID 16554972</w:t>
      </w:r>
    </w:p>
    <w:p>
      <w:pPr>
        <w:numPr>
          <w:ilvl w:val="0"/>
          <w:numId w:val="1422"/>
        </w:numPr>
        <w:pStyle w:val="Compact"/>
      </w:pPr>
      <w:r>
        <w:t xml:space="preserve">2006 · Suzuki Y ·</w:t>
      </w:r>
      <w:r>
        <w:t xml:space="preserve"> </w:t>
      </w:r>
      <w:r>
        <w:rPr>
          <w:iCs/>
          <w:i/>
        </w:rPr>
        <w:t xml:space="preserve">Med Sci Sports Exerc</w:t>
      </w:r>
      <w:r>
        <w:t xml:space="preserve"> </w:t>
      </w:r>
      <w:r>
        <w:t xml:space="preserve">· Carnosine and anserine ingestion enhances contribution of nonbicarbonate buffering. PMID 16531904</w:t>
      </w:r>
    </w:p>
    <w:p>
      <w:pPr>
        <w:numPr>
          <w:ilvl w:val="0"/>
          <w:numId w:val="1422"/>
        </w:numPr>
        <w:pStyle w:val="Compact"/>
      </w:pPr>
      <w:r>
        <w:t xml:space="preserve">2002 · Chez MG ·</w:t>
      </w:r>
      <w:r>
        <w:t xml:space="preserve"> </w:t>
      </w:r>
      <w:r>
        <w:rPr>
          <w:iCs/>
          <w:i/>
        </w:rPr>
        <w:t xml:space="preserve">J Child Neurol</w:t>
      </w:r>
      <w:r>
        <w:t xml:space="preserve"> </w:t>
      </w:r>
      <w:r>
        <w:t xml:space="preserve">· Double-blind, placebo-controlled study of L-carnosine supplementation in children with autistic spectrum disorders. PMID 12585724</w:t>
      </w:r>
    </w:p>
    <w:bookmarkEnd w:id="3068"/>
    <w:bookmarkStart w:id="3069" w:name="ghk-cu-peptide-di-rame-1"/>
    <w:p>
      <w:pPr>
        <w:pStyle w:val="Heading2"/>
      </w:pPr>
      <w:r>
        <w:t xml:space="preserve">GHK-Cu (peptide di rame) (1)</w:t>
      </w:r>
    </w:p>
    <w:p>
      <w:pPr>
        <w:numPr>
          <w:ilvl w:val="0"/>
          <w:numId w:val="1423"/>
        </w:numPr>
        <w:pStyle w:val="Compact"/>
      </w:pPr>
      <w:r>
        <w:t xml:space="preserve">2006 · Miller TR ·</w:t>
      </w:r>
      <w:r>
        <w:t xml:space="preserve"> </w:t>
      </w:r>
      <w:r>
        <w:rPr>
          <w:iCs/>
          <w:i/>
        </w:rPr>
        <w:t xml:space="preserve">Arch Facial Plast Surg</w:t>
      </w:r>
      <w:r>
        <w:t xml:space="preserve"> </w:t>
      </w:r>
      <w:r>
        <w:t xml:space="preserve">· Effects of topical copper tripeptide complex on CO2 laser-resurfaced skin. PMID 16847171</w:t>
      </w:r>
    </w:p>
    <w:bookmarkEnd w:id="3069"/>
    <w:bookmarkStart w:id="3070" w:name="palmitoil-pentapeptide-4-matrixyl-1"/>
    <w:p>
      <w:pPr>
        <w:pStyle w:val="Heading2"/>
      </w:pPr>
      <w:r>
        <w:t xml:space="preserve">Palmitoil pentapeptide-4 (Matrixyl) (1)</w:t>
      </w:r>
    </w:p>
    <w:p>
      <w:pPr>
        <w:numPr>
          <w:ilvl w:val="0"/>
          <w:numId w:val="1424"/>
        </w:numPr>
        <w:pStyle w:val="Compact"/>
      </w:pPr>
      <w:r>
        <w:t xml:space="preserve">2004 · Röper B ·</w:t>
      </w:r>
      <w:r>
        <w:t xml:space="preserve"> </w:t>
      </w:r>
      <w:r>
        <w:rPr>
          <w:iCs/>
          <w:i/>
        </w:rPr>
        <w:t xml:space="preserve">Strahlenther Onkol</w:t>
      </w:r>
      <w:r>
        <w:t xml:space="preserve"> </w:t>
      </w:r>
      <w:r>
        <w:t xml:space="preserve">· Thêta-Cream versus Bepanthol lotion in breast cancer patients under radiotherapy. A new prophylactic agent in skin care?. PMID 15127162</w:t>
      </w:r>
    </w:p>
    <w:bookmarkEnd w:id="3070"/>
    <w:bookmarkStart w:id="3071" w:name="acetil-esapeptide-8-argireline-3"/>
    <w:p>
      <w:pPr>
        <w:pStyle w:val="Heading2"/>
      </w:pPr>
      <w:r>
        <w:t xml:space="preserve">Acetil esapeptide-8 (Argireline) (3)</w:t>
      </w:r>
    </w:p>
    <w:p>
      <w:pPr>
        <w:numPr>
          <w:ilvl w:val="0"/>
          <w:numId w:val="1425"/>
        </w:numPr>
        <w:pStyle w:val="Compact"/>
      </w:pPr>
      <w:r>
        <w:t xml:space="preserve">2017 · Raikou V ·</w:t>
      </w:r>
      <w:r>
        <w:t xml:space="preserve"> </w:t>
      </w:r>
      <w:r>
        <w:rPr>
          <w:iCs/>
          <w:i/>
        </w:rPr>
        <w:t xml:space="preserve">J Cosmet Dermatol</w:t>
      </w:r>
      <w:r>
        <w:t xml:space="preserve"> </w:t>
      </w:r>
      <w:r>
        <w:t xml:space="preserve">· The efficacy study of the combination of tripeptide-10-citrulline and acetyl hexapeptide-3. A prospective, randomized controlled study. PMID 28150423</w:t>
      </w:r>
    </w:p>
    <w:p>
      <w:pPr>
        <w:numPr>
          <w:ilvl w:val="0"/>
          <w:numId w:val="1425"/>
        </w:numPr>
        <w:pStyle w:val="Compact"/>
      </w:pPr>
      <w:r>
        <w:t xml:space="preserve">2013 · Wang Y ·</w:t>
      </w:r>
      <w:r>
        <w:t xml:space="preserve"> </w:t>
      </w:r>
      <w:r>
        <w:rPr>
          <w:iCs/>
          <w:i/>
        </w:rPr>
        <w:t xml:space="preserve">Am J Clin Dermatol</w:t>
      </w:r>
      <w:r>
        <w:t xml:space="preserve"> </w:t>
      </w:r>
      <w:r>
        <w:t xml:space="preserve">· The anti-wrinkle efficacy of argireline, a synthetic hexapeptide, in Chinese subjects: a randomized, placebo-controlled study. PMID 23417317</w:t>
      </w:r>
    </w:p>
    <w:p>
      <w:pPr>
        <w:numPr>
          <w:ilvl w:val="0"/>
          <w:numId w:val="1425"/>
        </w:numPr>
        <w:pStyle w:val="Compact"/>
      </w:pPr>
      <w:r>
        <w:t xml:space="preserve">2013 · Lungu C ·</w:t>
      </w:r>
      <w:r>
        <w:t xml:space="preserve"> </w:t>
      </w:r>
      <w:r>
        <w:rPr>
          <w:iCs/>
          <w:i/>
        </w:rPr>
        <w:t xml:space="preserve">Eur J Neurol</w:t>
      </w:r>
      <w:r>
        <w:t xml:space="preserve"> </w:t>
      </w:r>
      <w:r>
        <w:t xml:space="preserve">· Pilot study of topical acetyl hexapeptide-8 in the treatment for blepharospasm in patients receiving botulinum toxin therapy. PMID 23146065</w:t>
      </w:r>
    </w:p>
    <w:bookmarkEnd w:id="3071"/>
    <w:bookmarkEnd w:id="3072"/>
    <w:bookmarkStart w:id="3073" w:name="sullautore"/>
    <w:p>
      <w:pPr>
        <w:pStyle w:val="Heading1"/>
      </w:pPr>
      <w:r>
        <w:t xml:space="preserve">Sull’autore</w:t>
      </w:r>
    </w:p>
    <w:p>
      <w:pPr>
        <w:pStyle w:val="FirstParagraph"/>
      </w:pPr>
      <w:r>
        <w:t xml:space="preserve">Josef Gallab si occupa da più di cinque anni in modo approfondito di peptidi, sport e biohacking. Gli interessa ciò che fa davvero progredire la salute e le prestazioni – e ciò che resta soltanto una promessa.</w:t>
      </w:r>
    </w:p>
    <w:p>
      <w:pPr>
        <w:pStyle w:val="BodyText"/>
      </w:pPr>
      <w:r>
        <w:t xml:space="preserve">L’ambiente, le promesse e i resoconti di esperienze legati a molti dei peptidi descritti in questo libro li conosce da vicino. Proprio per questo gli sta a cuore tenere ben separati l’entusiasmo e lo stato delle prove: prendere sul serio il potenziale dei peptidi senza tacere le domande aperte.</w:t>
      </w:r>
    </w:p>
    <w:p>
      <w:pPr>
        <w:pStyle w:val="BodyText"/>
      </w:pPr>
      <w:r>
        <w:t xml:space="preserve">Con</w:t>
      </w:r>
      <w:r>
        <w:t xml:space="preserve"> </w:t>
      </w:r>
      <w:r>
        <w:rPr>
          <w:iCs/>
          <w:i/>
        </w:rPr>
        <w:t xml:space="preserve">Il manuale dei peptidi</w:t>
      </w:r>
      <w:r>
        <w:t xml:space="preserve"> </w:t>
      </w:r>
      <w:r>
        <w:t xml:space="preserve">vuole dare alle lettrici e ai lettori lo strumento che a lui stesso mancava all’inizio – una panoramica onesta di ciò che gli studi mostrano davvero.</w:t>
      </w:r>
    </w:p>
    <w:bookmarkEnd w:id="30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0">
    <w:p>
      <w:pPr>
        <w:pStyle w:val="FootnoteText"/>
      </w:pPr>
      <w:r>
        <w:rPr>
          <w:rStyle w:val="FootnoteReference"/>
        </w:rPr>
        <w:footnoteRef/>
      </w:r>
      <w:r>
        <w:t xml:space="preserve"> </w:t>
      </w:r>
      <w:r>
        <w:t xml:space="preserve">Krug 2018, PMID 29864719.</w:t>
      </w:r>
    </w:p>
  </w:footnote>
  <w:footnote w:id="41">
    <w:p>
      <w:pPr>
        <w:pStyle w:val="FootnoteText"/>
      </w:pPr>
      <w:r>
        <w:rPr>
          <w:rStyle w:val="FootnoteReference"/>
        </w:rPr>
        <w:footnoteRef/>
      </w:r>
      <w:r>
        <w:t xml:space="preserve"> </w:t>
      </w:r>
      <w:r>
        <w:t xml:space="preserve">Eng 1992, PMID 1313797.</w:t>
      </w:r>
    </w:p>
  </w:footnote>
  <w:footnote w:id="43">
    <w:p>
      <w:pPr>
        <w:pStyle w:val="FootnoteText"/>
      </w:pPr>
      <w:r>
        <w:rPr>
          <w:rStyle w:val="FootnoteReference"/>
        </w:rPr>
        <w:footnoteRef/>
      </w:r>
      <w:r>
        <w:t xml:space="preserve"> </w:t>
      </w:r>
      <w:r>
        <w:t xml:space="preserve">Knudsen 2019, PMID 31031702.</w:t>
      </w:r>
    </w:p>
  </w:footnote>
  <w:footnote w:id="45">
    <w:p>
      <w:pPr>
        <w:pStyle w:val="FootnoteText"/>
      </w:pPr>
      <w:r>
        <w:rPr>
          <w:rStyle w:val="FootnoteReference"/>
        </w:rPr>
        <w:footnoteRef/>
      </w:r>
      <w:r>
        <w:t xml:space="preserve"> </w:t>
      </w:r>
      <w:r>
        <w:t xml:space="preserve">Deacon 1995, PMID 7883856.</w:t>
      </w:r>
    </w:p>
  </w:footnote>
  <w:footnote w:id="46">
    <w:p>
      <w:pPr>
        <w:pStyle w:val="FootnoteText"/>
      </w:pPr>
      <w:r>
        <w:rPr>
          <w:rStyle w:val="FootnoteReference"/>
        </w:rPr>
        <w:footnoteRef/>
      </w:r>
      <w:r>
        <w:t xml:space="preserve"> </w:t>
      </w:r>
      <w:r>
        <w:t xml:space="preserve">Lau 2015, PMID 26308095.</w:t>
      </w:r>
    </w:p>
  </w:footnote>
  <w:footnote w:id="47">
    <w:p>
      <w:pPr>
        <w:pStyle w:val="FootnoteText"/>
      </w:pPr>
      <w:r>
        <w:rPr>
          <w:rStyle w:val="FootnoteReference"/>
        </w:rPr>
        <w:footnoteRef/>
      </w:r>
      <w:r>
        <w:t xml:space="preserve"> </w:t>
      </w:r>
      <w:r>
        <w:t xml:space="preserve">Marso 2016, PMID 27633186.</w:t>
      </w:r>
    </w:p>
  </w:footnote>
  <w:footnote w:id="49">
    <w:p>
      <w:pPr>
        <w:pStyle w:val="FootnoteText"/>
      </w:pPr>
      <w:r>
        <w:rPr>
          <w:rStyle w:val="FootnoteReference"/>
        </w:rPr>
        <w:footnoteRef/>
      </w:r>
      <w:r>
        <w:t xml:space="preserve"> </w:t>
      </w:r>
      <w:r>
        <w:t xml:space="preserve">Merrifield 1969, PMID 4307033.</w:t>
      </w:r>
    </w:p>
  </w:footnote>
  <w:footnote w:id="50">
    <w:p>
      <w:pPr>
        <w:pStyle w:val="FootnoteText"/>
      </w:pPr>
      <w:r>
        <w:rPr>
          <w:rStyle w:val="FootnoteReference"/>
        </w:rPr>
        <w:footnoteRef/>
      </w:r>
      <w:r>
        <w:t xml:space="preserve"> </w:t>
      </w:r>
      <w:r>
        <w:t xml:space="preserve">The 1989, PMID 2690608.</w:t>
      </w:r>
    </w:p>
  </w:footnote>
  <w:footnote w:id="51">
    <w:p>
      <w:pPr>
        <w:pStyle w:val="FootnoteText"/>
      </w:pPr>
      <w:r>
        <w:rPr>
          <w:rStyle w:val="FootnoteReference"/>
        </w:rPr>
        <w:footnoteRef/>
      </w:r>
      <w:r>
        <w:t xml:space="preserve"> </w:t>
      </w:r>
      <w:r>
        <w:t xml:space="preserve">Hach 2024, PMID 39379664.</w:t>
      </w:r>
    </w:p>
  </w:footnote>
  <w:footnote w:id="53">
    <w:p>
      <w:pPr>
        <w:pStyle w:val="FootnoteText"/>
      </w:pPr>
      <w:r>
        <w:rPr>
          <w:rStyle w:val="FootnoteReference"/>
        </w:rPr>
        <w:footnoteRef/>
      </w:r>
      <w:r>
        <w:t xml:space="preserve"> </w:t>
      </w:r>
      <w:r>
        <w:t xml:space="preserve">Muttenthaler 2021, PMID 33536635.</w:t>
      </w:r>
    </w:p>
  </w:footnote>
  <w:footnote w:id="54">
    <w:p>
      <w:pPr>
        <w:pStyle w:val="FootnoteText"/>
      </w:pPr>
      <w:r>
        <w:rPr>
          <w:rStyle w:val="FootnoteReference"/>
        </w:rPr>
        <w:footnoteRef/>
      </w:r>
      <w:r>
        <w:t xml:space="preserve"> </w:t>
      </w:r>
      <w:r>
        <w:t xml:space="preserve">Lau 2018, PMID 28720325.</w:t>
      </w:r>
    </w:p>
  </w:footnote>
  <w:footnote w:id="56">
    <w:p>
      <w:pPr>
        <w:pStyle w:val="FootnoteText"/>
      </w:pPr>
      <w:r>
        <w:rPr>
          <w:rStyle w:val="FootnoteReference"/>
        </w:rPr>
        <w:footnoteRef/>
      </w:r>
      <w:r>
        <w:t xml:space="preserve"> </w:t>
      </w:r>
      <w:r>
        <w:t xml:space="preserve">Cox 2017, PMID 28035768.</w:t>
      </w:r>
    </w:p>
  </w:footnote>
  <w:footnote w:id="59">
    <w:p>
      <w:pPr>
        <w:pStyle w:val="FootnoteText"/>
      </w:pPr>
      <w:r>
        <w:rPr>
          <w:rStyle w:val="FootnoteReference"/>
        </w:rPr>
        <w:footnoteRef/>
      </w:r>
      <w:r>
        <w:t xml:space="preserve"> </w:t>
      </w:r>
      <w:r>
        <w:t xml:space="preserve">Wilding 2021, PMID 33567185.</w:t>
      </w:r>
    </w:p>
  </w:footnote>
  <w:footnote w:id="60">
    <w:p>
      <w:pPr>
        <w:pStyle w:val="FootnoteText"/>
      </w:pPr>
      <w:r>
        <w:rPr>
          <w:rStyle w:val="FootnoteReference"/>
        </w:rPr>
        <w:footnoteRef/>
      </w:r>
      <w:r>
        <w:t xml:space="preserve"> </w:t>
      </w:r>
      <w:r>
        <w:t xml:space="preserve">Hailu 2026, PMID 42437212.</w:t>
      </w:r>
    </w:p>
  </w:footnote>
  <w:footnote w:id="65">
    <w:p>
      <w:pPr>
        <w:pStyle w:val="FootnoteText"/>
      </w:pPr>
      <w:r>
        <w:rPr>
          <w:rStyle w:val="FootnoteReference"/>
        </w:rPr>
        <w:footnoteRef/>
      </w:r>
      <w:r>
        <w:t xml:space="preserve"> </w:t>
      </w:r>
      <w:r>
        <w:t xml:space="preserve">Banting 1922, PMID 20314060.</w:t>
      </w:r>
    </w:p>
  </w:footnote>
  <w:footnote w:id="66">
    <w:p>
      <w:pPr>
        <w:pStyle w:val="FootnoteText"/>
      </w:pPr>
      <w:r>
        <w:rPr>
          <w:rStyle w:val="FootnoteReference"/>
        </w:rPr>
        <w:footnoteRef/>
      </w:r>
      <w:r>
        <w:t xml:space="preserve"> </w:t>
      </w:r>
      <w:r>
        <w:t xml:space="preserve">Sims 2021, PMID 34267380.</w:t>
      </w:r>
    </w:p>
  </w:footnote>
  <w:footnote w:id="67">
    <w:p>
      <w:pPr>
        <w:pStyle w:val="FootnoteText"/>
      </w:pPr>
      <w:r>
        <w:rPr>
          <w:rStyle w:val="FootnoteReference"/>
        </w:rPr>
        <w:footnoteRef/>
      </w:r>
      <w:r>
        <w:t xml:space="preserve"> </w:t>
      </w:r>
      <w:r>
        <w:t xml:space="preserve">Owens 2022, PMID 34708913.</w:t>
      </w:r>
    </w:p>
  </w:footnote>
  <w:footnote w:id="69">
    <w:p>
      <w:pPr>
        <w:pStyle w:val="FootnoteText"/>
      </w:pPr>
      <w:r>
        <w:rPr>
          <w:rStyle w:val="FootnoteReference"/>
        </w:rPr>
        <w:footnoteRef/>
      </w:r>
      <w:r>
        <w:t xml:space="preserve"> </w:t>
      </w:r>
      <w:r>
        <w:t xml:space="preserve">Sanger 1952, PMID 13018185.</w:t>
      </w:r>
    </w:p>
  </w:footnote>
  <w:footnote w:id="70">
    <w:p>
      <w:pPr>
        <w:pStyle w:val="FootnoteText"/>
      </w:pPr>
      <w:r>
        <w:rPr>
          <w:rStyle w:val="FootnoteReference"/>
        </w:rPr>
        <w:footnoteRef/>
      </w:r>
      <w:r>
        <w:t xml:space="preserve"> </w:t>
      </w:r>
      <w:r>
        <w:t xml:space="preserve">Merrifield 1969, PMID 4307033.</w:t>
      </w:r>
    </w:p>
  </w:footnote>
  <w:footnote w:id="72">
    <w:p>
      <w:pPr>
        <w:pStyle w:val="FootnoteText"/>
      </w:pPr>
      <w:r>
        <w:rPr>
          <w:rStyle w:val="FootnoteReference"/>
        </w:rPr>
        <w:footnoteRef/>
      </w:r>
      <w:r>
        <w:t xml:space="preserve"> </w:t>
      </w:r>
      <w:r>
        <w:t xml:space="preserve">Yalow 1960, PMID 13846364.</w:t>
      </w:r>
    </w:p>
  </w:footnote>
  <w:footnote w:id="74">
    <w:p>
      <w:pPr>
        <w:pStyle w:val="FootnoteText"/>
      </w:pPr>
      <w:r>
        <w:rPr>
          <w:rStyle w:val="FootnoteReference"/>
        </w:rPr>
        <w:footnoteRef/>
      </w:r>
      <w:r>
        <w:t xml:space="preserve"> </w:t>
      </w:r>
      <w:r>
        <w:t xml:space="preserve">Ranke 2018, PMID 29546874.</w:t>
      </w:r>
    </w:p>
  </w:footnote>
  <w:footnote w:id="75">
    <w:p>
      <w:pPr>
        <w:pStyle w:val="FootnoteText"/>
      </w:pPr>
      <w:r>
        <w:rPr>
          <w:rStyle w:val="FootnoteReference"/>
        </w:rPr>
        <w:footnoteRef/>
      </w:r>
      <w:r>
        <w:t xml:space="preserve"> </w:t>
      </w:r>
      <w:r>
        <w:t xml:space="preserve">The 1989, PMID 2690608.</w:t>
      </w:r>
    </w:p>
  </w:footnote>
  <w:footnote w:id="76">
    <w:p>
      <w:pPr>
        <w:pStyle w:val="FootnoteText"/>
      </w:pPr>
      <w:r>
        <w:rPr>
          <w:rStyle w:val="FootnoteReference"/>
        </w:rPr>
        <w:footnoteRef/>
      </w:r>
      <w:r>
        <w:t xml:space="preserve"> </w:t>
      </w:r>
      <w:r>
        <w:t xml:space="preserve">Neer 2001, PMID 11346808.</w:t>
      </w:r>
    </w:p>
  </w:footnote>
  <w:footnote w:id="78">
    <w:p>
      <w:pPr>
        <w:pStyle w:val="FootnoteText"/>
      </w:pPr>
      <w:r>
        <w:rPr>
          <w:rStyle w:val="FootnoteReference"/>
        </w:rPr>
        <w:footnoteRef/>
      </w:r>
      <w:r>
        <w:t xml:space="preserve"> </w:t>
      </w:r>
      <w:r>
        <w:t xml:space="preserve">Kreymann 1987, PMID 2890903.</w:t>
      </w:r>
    </w:p>
  </w:footnote>
  <w:footnote w:id="79">
    <w:p>
      <w:pPr>
        <w:pStyle w:val="FootnoteText"/>
      </w:pPr>
      <w:r>
        <w:rPr>
          <w:rStyle w:val="FootnoteReference"/>
        </w:rPr>
        <w:footnoteRef/>
      </w:r>
      <w:r>
        <w:t xml:space="preserve"> </w:t>
      </w:r>
      <w:r>
        <w:t xml:space="preserve">Deacon 1995, PMID 7883856.</w:t>
      </w:r>
    </w:p>
  </w:footnote>
  <w:footnote w:id="81">
    <w:p>
      <w:pPr>
        <w:pStyle w:val="FootnoteText"/>
      </w:pPr>
      <w:r>
        <w:rPr>
          <w:rStyle w:val="FootnoteReference"/>
        </w:rPr>
        <w:footnoteRef/>
      </w:r>
      <w:r>
        <w:t xml:space="preserve"> </w:t>
      </w:r>
      <w:r>
        <w:t xml:space="preserve">Eng 1992, PMID 1313797.</w:t>
      </w:r>
    </w:p>
  </w:footnote>
  <w:footnote w:id="82">
    <w:p>
      <w:pPr>
        <w:pStyle w:val="FootnoteText"/>
      </w:pPr>
      <w:r>
        <w:rPr>
          <w:rStyle w:val="FootnoteReference"/>
        </w:rPr>
        <w:footnoteRef/>
      </w:r>
      <w:r>
        <w:t xml:space="preserve"> </w:t>
      </w:r>
      <w:r>
        <w:t xml:space="preserve">DeFronzo 2005, PMID 15855572.</w:t>
      </w:r>
    </w:p>
  </w:footnote>
  <w:footnote w:id="84">
    <w:p>
      <w:pPr>
        <w:pStyle w:val="FootnoteText"/>
      </w:pPr>
      <w:r>
        <w:rPr>
          <w:rStyle w:val="FootnoteReference"/>
        </w:rPr>
        <w:footnoteRef/>
      </w:r>
      <w:r>
        <w:t xml:space="preserve"> </w:t>
      </w:r>
      <w:r>
        <w:t xml:space="preserve">Knudsen 2019, PMID 31031702.</w:t>
      </w:r>
    </w:p>
  </w:footnote>
  <w:footnote w:id="85">
    <w:p>
      <w:pPr>
        <w:pStyle w:val="FootnoteText"/>
      </w:pPr>
      <w:r>
        <w:rPr>
          <w:rStyle w:val="FootnoteReference"/>
        </w:rPr>
        <w:footnoteRef/>
      </w:r>
      <w:r>
        <w:t xml:space="preserve"> </w:t>
      </w:r>
      <w:r>
        <w:t xml:space="preserve">Pi-Sunyer 2015, PMID 26132939.</w:t>
      </w:r>
    </w:p>
  </w:footnote>
  <w:footnote w:id="86">
    <w:p>
      <w:pPr>
        <w:pStyle w:val="FootnoteText"/>
      </w:pPr>
      <w:r>
        <w:rPr>
          <w:rStyle w:val="FootnoteReference"/>
        </w:rPr>
        <w:footnoteRef/>
      </w:r>
      <w:r>
        <w:t xml:space="preserve"> </w:t>
      </w:r>
      <w:r>
        <w:t xml:space="preserve">Lau 2015, PMID 26308095.</w:t>
      </w:r>
    </w:p>
  </w:footnote>
  <w:footnote w:id="87">
    <w:p>
      <w:pPr>
        <w:pStyle w:val="FootnoteText"/>
      </w:pPr>
      <w:r>
        <w:rPr>
          <w:rStyle w:val="FootnoteReference"/>
        </w:rPr>
        <w:footnoteRef/>
      </w:r>
      <w:r>
        <w:t xml:space="preserve"> </w:t>
      </w:r>
      <w:r>
        <w:t xml:space="preserve">Wilding 2021, PMID 33567185.</w:t>
      </w:r>
    </w:p>
  </w:footnote>
  <w:footnote w:id="89">
    <w:p>
      <w:pPr>
        <w:pStyle w:val="FootnoteText"/>
      </w:pPr>
      <w:r>
        <w:rPr>
          <w:rStyle w:val="FootnoteReference"/>
        </w:rPr>
        <w:footnoteRef/>
      </w:r>
      <w:r>
        <w:t xml:space="preserve"> </w:t>
      </w:r>
      <w:r>
        <w:t xml:space="preserve">Marso 2016, PMID 27295427.</w:t>
      </w:r>
    </w:p>
  </w:footnote>
  <w:footnote w:id="90">
    <w:p>
      <w:pPr>
        <w:pStyle w:val="FootnoteText"/>
      </w:pPr>
      <w:r>
        <w:rPr>
          <w:rStyle w:val="FootnoteReference"/>
        </w:rPr>
        <w:footnoteRef/>
      </w:r>
      <w:r>
        <w:t xml:space="preserve"> </w:t>
      </w:r>
      <w:r>
        <w:t xml:space="preserve">Marso 2016, PMID 27633186.</w:t>
      </w:r>
    </w:p>
  </w:footnote>
  <w:footnote w:id="91">
    <w:p>
      <w:pPr>
        <w:pStyle w:val="FootnoteText"/>
      </w:pPr>
      <w:r>
        <w:rPr>
          <w:rStyle w:val="FootnoteReference"/>
        </w:rPr>
        <w:footnoteRef/>
      </w:r>
      <w:r>
        <w:t xml:space="preserve"> </w:t>
      </w:r>
      <w:r>
        <w:t xml:space="preserve">Lincoff 2023, PMID 37952131.</w:t>
      </w:r>
    </w:p>
  </w:footnote>
  <w:footnote w:id="93">
    <w:p>
      <w:pPr>
        <w:pStyle w:val="FootnoteText"/>
      </w:pPr>
      <w:r>
        <w:rPr>
          <w:rStyle w:val="FootnoteReference"/>
        </w:rPr>
        <w:footnoteRef/>
      </w:r>
      <w:r>
        <w:t xml:space="preserve"> </w:t>
      </w:r>
      <w:r>
        <w:t xml:space="preserve">Aroda 2019, PMID 31186300.</w:t>
      </w:r>
    </w:p>
  </w:footnote>
  <w:footnote w:id="94">
    <w:p>
      <w:pPr>
        <w:pStyle w:val="FootnoteText"/>
      </w:pPr>
      <w:r>
        <w:rPr>
          <w:rStyle w:val="FootnoteReference"/>
        </w:rPr>
        <w:footnoteRef/>
      </w:r>
      <w:r>
        <w:t xml:space="preserve"> </w:t>
      </w:r>
      <w:r>
        <w:t xml:space="preserve">Jastreboff 2022, PMID 35658024.</w:t>
      </w:r>
    </w:p>
  </w:footnote>
  <w:footnote w:id="95">
    <w:p>
      <w:pPr>
        <w:pStyle w:val="FootnoteText"/>
      </w:pPr>
      <w:r>
        <w:rPr>
          <w:rStyle w:val="FootnoteReference"/>
        </w:rPr>
        <w:footnoteRef/>
      </w:r>
      <w:r>
        <w:t xml:space="preserve"> </w:t>
      </w:r>
      <w:r>
        <w:t xml:space="preserve">Kreymann 1987, PMID 2890903.</w:t>
      </w:r>
    </w:p>
  </w:footnote>
  <w:footnote w:id="101">
    <w:p>
      <w:pPr>
        <w:pStyle w:val="FootnoteText"/>
      </w:pPr>
      <w:r>
        <w:rPr>
          <w:rStyle w:val="FootnoteReference"/>
        </w:rPr>
        <w:footnoteRef/>
      </w:r>
      <w:r>
        <w:t xml:space="preserve"> </w:t>
      </w:r>
      <w:r>
        <w:t xml:space="preserve">Drucker 2020, PMID 31848464.</w:t>
      </w:r>
    </w:p>
  </w:footnote>
  <w:footnote w:id="103">
    <w:p>
      <w:pPr>
        <w:pStyle w:val="FootnoteText"/>
      </w:pPr>
      <w:r>
        <w:rPr>
          <w:rStyle w:val="FootnoteReference"/>
        </w:rPr>
        <w:footnoteRef/>
      </w:r>
      <w:r>
        <w:t xml:space="preserve"> </w:t>
      </w:r>
      <w:r>
        <w:t xml:space="preserve">Knudsen 2019, PMID 31031702.</w:t>
      </w:r>
    </w:p>
  </w:footnote>
  <w:footnote w:id="104">
    <w:p>
      <w:pPr>
        <w:pStyle w:val="FootnoteText"/>
      </w:pPr>
      <w:r>
        <w:rPr>
          <w:rStyle w:val="FootnoteReference"/>
        </w:rPr>
        <w:footnoteRef/>
      </w:r>
      <w:r>
        <w:t xml:space="preserve"> </w:t>
      </w:r>
      <w:r>
        <w:t xml:space="preserve">Marso 2016, PMID 27633186.</w:t>
      </w:r>
    </w:p>
  </w:footnote>
  <w:footnote w:id="105">
    <w:p>
      <w:pPr>
        <w:pStyle w:val="FootnoteText"/>
      </w:pPr>
      <w:r>
        <w:rPr>
          <w:rStyle w:val="FootnoteReference"/>
        </w:rPr>
        <w:footnoteRef/>
      </w:r>
      <w:r>
        <w:t xml:space="preserve"> </w:t>
      </w:r>
      <w:r>
        <w:t xml:space="preserve">Lambson 2023, PMID 37392810.</w:t>
      </w:r>
    </w:p>
  </w:footnote>
  <w:footnote w:id="107">
    <w:p>
      <w:pPr>
        <w:pStyle w:val="FootnoteText"/>
      </w:pPr>
      <w:r>
        <w:rPr>
          <w:rStyle w:val="FootnoteReference"/>
        </w:rPr>
        <w:footnoteRef/>
      </w:r>
      <w:r>
        <w:t xml:space="preserve"> </w:t>
      </w:r>
      <w:r>
        <w:t xml:space="preserve">Drucker 2020, PMID 31848464.</w:t>
      </w:r>
    </w:p>
  </w:footnote>
  <w:footnote w:id="109">
    <w:p>
      <w:pPr>
        <w:pStyle w:val="FootnoteText"/>
      </w:pPr>
      <w:r>
        <w:rPr>
          <w:rStyle w:val="FootnoteReference"/>
        </w:rPr>
        <w:footnoteRef/>
      </w:r>
      <w:r>
        <w:t xml:space="preserve"> </w:t>
      </w:r>
      <w:r>
        <w:t xml:space="preserve">Buckley 2018, PMID 30429357.</w:t>
      </w:r>
    </w:p>
  </w:footnote>
  <w:footnote w:id="110">
    <w:p>
      <w:pPr>
        <w:pStyle w:val="FootnoteText"/>
      </w:pPr>
      <w:r>
        <w:rPr>
          <w:rStyle w:val="FootnoteReference"/>
        </w:rPr>
        <w:footnoteRef/>
      </w:r>
      <w:r>
        <w:t xml:space="preserve"> </w:t>
      </w:r>
      <w:r>
        <w:t xml:space="preserve">Vahora 2026, PMID 42687069.</w:t>
      </w:r>
    </w:p>
  </w:footnote>
  <w:footnote w:id="111">
    <w:p>
      <w:pPr>
        <w:pStyle w:val="FootnoteText"/>
      </w:pPr>
      <w:r>
        <w:rPr>
          <w:rStyle w:val="FootnoteReference"/>
        </w:rPr>
        <w:footnoteRef/>
      </w:r>
      <w:r>
        <w:t xml:space="preserve"> </w:t>
      </w:r>
      <w:r>
        <w:t xml:space="preserve">Vahora 2026, PMID 42687069.</w:t>
      </w:r>
    </w:p>
  </w:footnote>
  <w:footnote w:id="112">
    <w:p>
      <w:pPr>
        <w:pStyle w:val="FootnoteText"/>
      </w:pPr>
      <w:r>
        <w:rPr>
          <w:rStyle w:val="FootnoteReference"/>
        </w:rPr>
        <w:footnoteRef/>
      </w:r>
      <w:r>
        <w:t xml:space="preserve"> </w:t>
      </w:r>
      <w:r>
        <w:t xml:space="preserve">Marso 2016, PMID 27633186.</w:t>
      </w:r>
    </w:p>
  </w:footnote>
  <w:footnote w:id="113">
    <w:p>
      <w:pPr>
        <w:pStyle w:val="FootnoteText"/>
      </w:pPr>
      <w:r>
        <w:rPr>
          <w:rStyle w:val="FootnoteReference"/>
        </w:rPr>
        <w:footnoteRef/>
      </w:r>
      <w:r>
        <w:t xml:space="preserve"> </w:t>
      </w:r>
      <w:r>
        <w:t xml:space="preserve">Aroda 2019, PMID 31186300.</w:t>
      </w:r>
    </w:p>
  </w:footnote>
  <w:footnote w:id="114">
    <w:p>
      <w:pPr>
        <w:pStyle w:val="FootnoteText"/>
      </w:pPr>
      <w:r>
        <w:rPr>
          <w:rStyle w:val="FootnoteReference"/>
        </w:rPr>
        <w:footnoteRef/>
      </w:r>
      <w:r>
        <w:t xml:space="preserve"> </w:t>
      </w:r>
      <w:r>
        <w:t xml:space="preserve">Vahora 2026, PMID 42687069.</w:t>
      </w:r>
    </w:p>
  </w:footnote>
  <w:footnote w:id="115">
    <w:p>
      <w:pPr>
        <w:pStyle w:val="FootnoteText"/>
      </w:pPr>
      <w:r>
        <w:rPr>
          <w:rStyle w:val="FootnoteReference"/>
        </w:rPr>
        <w:footnoteRef/>
      </w:r>
      <w:r>
        <w:t xml:space="preserve"> </w:t>
      </w:r>
      <w:r>
        <w:t xml:space="preserve">Aroda 2019, PMID 31186300.</w:t>
      </w:r>
    </w:p>
  </w:footnote>
  <w:footnote w:id="116">
    <w:p>
      <w:pPr>
        <w:pStyle w:val="FootnoteText"/>
      </w:pPr>
      <w:r>
        <w:rPr>
          <w:rStyle w:val="FootnoteReference"/>
        </w:rPr>
        <w:footnoteRef/>
      </w:r>
      <w:r>
        <w:t xml:space="preserve"> </w:t>
      </w:r>
      <w:r>
        <w:t xml:space="preserve">Knop 2023, PMID 37385278.</w:t>
      </w:r>
    </w:p>
  </w:footnote>
  <w:footnote w:id="117">
    <w:p>
      <w:pPr>
        <w:pStyle w:val="FootnoteText"/>
      </w:pPr>
      <w:r>
        <w:rPr>
          <w:rStyle w:val="FootnoteReference"/>
        </w:rPr>
        <w:footnoteRef/>
      </w:r>
      <w:r>
        <w:t xml:space="preserve"> </w:t>
      </w:r>
      <w:r>
        <w:t xml:space="preserve">Hach 2024, PMID 39379664.</w:t>
      </w:r>
    </w:p>
  </w:footnote>
  <w:footnote w:id="119">
    <w:p>
      <w:pPr>
        <w:pStyle w:val="FootnoteText"/>
      </w:pPr>
      <w:r>
        <w:rPr>
          <w:rStyle w:val="FootnoteReference"/>
        </w:rPr>
        <w:footnoteRef/>
      </w:r>
      <w:r>
        <w:t xml:space="preserve"> </w:t>
      </w:r>
      <w:r>
        <w:t xml:space="preserve">Sugihara 2012, PMID 22040651.</w:t>
      </w:r>
    </w:p>
  </w:footnote>
  <w:footnote w:id="121">
    <w:p>
      <w:pPr>
        <w:pStyle w:val="FootnoteText"/>
      </w:pPr>
      <w:r>
        <w:rPr>
          <w:rStyle w:val="FootnoteReference"/>
        </w:rPr>
        <w:footnoteRef/>
      </w:r>
      <w:r>
        <w:t xml:space="preserve"> </w:t>
      </w:r>
      <w:r>
        <w:t xml:space="preserve">Belcourt 2026, PMID 41689811.</w:t>
      </w:r>
    </w:p>
  </w:footnote>
  <w:footnote w:id="123">
    <w:p>
      <w:pPr>
        <w:pStyle w:val="FootnoteText"/>
      </w:pPr>
      <w:r>
        <w:rPr>
          <w:rStyle w:val="FootnoteReference"/>
        </w:rPr>
        <w:footnoteRef/>
      </w:r>
      <w:r>
        <w:t xml:space="preserve"> </w:t>
      </w:r>
      <w:r>
        <w:t xml:space="preserve">Leng 2016, PMID 26049207.</w:t>
      </w:r>
    </w:p>
  </w:footnote>
  <w:footnote w:id="125">
    <w:p>
      <w:pPr>
        <w:pStyle w:val="FootnoteText"/>
      </w:pPr>
      <w:r>
        <w:rPr>
          <w:rStyle w:val="FootnoteReference"/>
        </w:rPr>
        <w:footnoteRef/>
      </w:r>
      <w:r>
        <w:t xml:space="preserve"> </w:t>
      </w:r>
      <w:r>
        <w:t xml:space="preserve">Heinemann 2008, PMID 19885220.</w:t>
      </w:r>
    </w:p>
  </w:footnote>
  <w:footnote w:id="127">
    <w:p>
      <w:pPr>
        <w:pStyle w:val="FootnoteText"/>
      </w:pPr>
      <w:r>
        <w:rPr>
          <w:rStyle w:val="FootnoteReference"/>
        </w:rPr>
        <w:footnoteRef/>
      </w:r>
      <w:r>
        <w:t xml:space="preserve"> </w:t>
      </w:r>
      <w:r>
        <w:t xml:space="preserve">Bos 2000, PMID 10839713.</w:t>
      </w:r>
    </w:p>
  </w:footnote>
  <w:footnote w:id="129">
    <w:p>
      <w:pPr>
        <w:pStyle w:val="FootnoteText"/>
      </w:pPr>
      <w:r>
        <w:rPr>
          <w:rStyle w:val="FootnoteReference"/>
        </w:rPr>
        <w:footnoteRef/>
      </w:r>
      <w:r>
        <w:t xml:space="preserve"> </w:t>
      </w:r>
      <w:r>
        <w:t xml:space="preserve">Hach 2024, PMID 39379664.</w:t>
      </w:r>
    </w:p>
  </w:footnote>
  <w:footnote w:id="131">
    <w:p>
      <w:pPr>
        <w:pStyle w:val="FootnoteText"/>
      </w:pPr>
      <w:r>
        <w:rPr>
          <w:rStyle w:val="FootnoteReference"/>
        </w:rPr>
        <w:footnoteRef/>
      </w:r>
      <w:r>
        <w:t xml:space="preserve"> </w:t>
      </w:r>
      <w:r>
        <w:t xml:space="preserve">Hach 2024, PMID 39379664.</w:t>
      </w:r>
    </w:p>
  </w:footnote>
  <w:footnote w:id="138">
    <w:p>
      <w:pPr>
        <w:pStyle w:val="FootnoteText"/>
      </w:pPr>
      <w:r>
        <w:rPr>
          <w:rStyle w:val="FootnoteReference"/>
        </w:rPr>
        <w:footnoteRef/>
      </w:r>
      <w:r>
        <w:t xml:space="preserve"> </w:t>
      </w:r>
      <w:r>
        <w:t xml:space="preserve">Perel 2007, PMID 17175568.</w:t>
      </w:r>
    </w:p>
  </w:footnote>
  <w:footnote w:id="142">
    <w:p>
      <w:pPr>
        <w:pStyle w:val="FootnoteText"/>
      </w:pPr>
      <w:r>
        <w:rPr>
          <w:rStyle w:val="FootnoteReference"/>
        </w:rPr>
        <w:footnoteRef/>
      </w:r>
      <w:r>
        <w:t xml:space="preserve"> </w:t>
      </w:r>
      <w:r>
        <w:t xml:space="preserve">Wilding 2021, PMID 33567185.</w:t>
      </w:r>
    </w:p>
  </w:footnote>
  <w:footnote w:id="143">
    <w:p>
      <w:pPr>
        <w:pStyle w:val="FootnoteText"/>
      </w:pPr>
      <w:r>
        <w:rPr>
          <w:rStyle w:val="FootnoteReference"/>
        </w:rPr>
        <w:footnoteRef/>
      </w:r>
      <w:r>
        <w:t xml:space="preserve"> </w:t>
      </w:r>
      <w:r>
        <w:t xml:space="preserve">Mendias 2026, PMID 41966639.</w:t>
      </w:r>
    </w:p>
  </w:footnote>
  <w:footnote w:id="146">
    <w:p>
      <w:pPr>
        <w:pStyle w:val="FootnoteText"/>
      </w:pPr>
      <w:r>
        <w:rPr>
          <w:rStyle w:val="FootnoteReference"/>
        </w:rPr>
        <w:footnoteRef/>
      </w:r>
      <w:r>
        <w:t xml:space="preserve"> </w:t>
      </w:r>
      <w:r>
        <w:t xml:space="preserve">Echt 1991, PMID 1900101.</w:t>
      </w:r>
    </w:p>
  </w:footnote>
  <w:footnote w:id="148">
    <w:p>
      <w:pPr>
        <w:pStyle w:val="FootnoteText"/>
      </w:pPr>
      <w:r>
        <w:rPr>
          <w:rStyle w:val="FootnoteReference"/>
        </w:rPr>
        <w:footnoteRef/>
      </w:r>
      <w:r>
        <w:t xml:space="preserve"> </w:t>
      </w:r>
      <w:r>
        <w:t xml:space="preserve">Lincoff 2023, PMID 37952131.</w:t>
      </w:r>
    </w:p>
  </w:footnote>
  <w:footnote w:id="149">
    <w:p>
      <w:pPr>
        <w:pStyle w:val="FootnoteText"/>
      </w:pPr>
      <w:r>
        <w:rPr>
          <w:rStyle w:val="FootnoteReference"/>
        </w:rPr>
        <w:footnoteRef/>
      </w:r>
      <w:r>
        <w:t xml:space="preserve"> </w:t>
      </w:r>
      <w:r>
        <w:t xml:space="preserve">Lincoff 2023, PMID 37952131.</w:t>
      </w:r>
    </w:p>
  </w:footnote>
  <w:footnote w:id="151">
    <w:p>
      <w:pPr>
        <w:pStyle w:val="FootnoteText"/>
      </w:pPr>
      <w:r>
        <w:rPr>
          <w:rStyle w:val="FootnoteReference"/>
        </w:rPr>
        <w:footnoteRef/>
      </w:r>
      <w:r>
        <w:t xml:space="preserve"> </w:t>
      </w:r>
      <w:r>
        <w:t xml:space="preserve">Wilding 2021, PMID 33567185.</w:t>
      </w:r>
    </w:p>
  </w:footnote>
  <w:footnote w:id="153">
    <w:p>
      <w:pPr>
        <w:pStyle w:val="FootnoteText"/>
      </w:pPr>
      <w:r>
        <w:rPr>
          <w:rStyle w:val="FootnoteReference"/>
        </w:rPr>
        <w:footnoteRef/>
      </w:r>
      <w:r>
        <w:t xml:space="preserve"> </w:t>
      </w:r>
      <w:r>
        <w:t xml:space="preserve">Aroda 2019, PMID 31186300.</w:t>
      </w:r>
    </w:p>
  </w:footnote>
  <w:footnote w:id="155">
    <w:p>
      <w:pPr>
        <w:pStyle w:val="FootnoteText"/>
      </w:pPr>
      <w:r>
        <w:rPr>
          <w:rStyle w:val="FootnoteReference"/>
        </w:rPr>
        <w:footnoteRef/>
      </w:r>
      <w:r>
        <w:t xml:space="preserve"> </w:t>
      </w:r>
      <w:r>
        <w:t xml:space="preserve">Ioannidis 2005, PMID 16060722.</w:t>
      </w:r>
    </w:p>
  </w:footnote>
  <w:footnote w:id="157">
    <w:p>
      <w:pPr>
        <w:pStyle w:val="FootnoteText"/>
      </w:pPr>
      <w:r>
        <w:rPr>
          <w:rStyle w:val="FootnoteReference"/>
        </w:rPr>
        <w:footnoteRef/>
      </w:r>
      <w:r>
        <w:t xml:space="preserve"> </w:t>
      </w:r>
      <w:r>
        <w:t xml:space="preserve">Lundh 2017, PMID 28207928.</w:t>
      </w:r>
    </w:p>
  </w:footnote>
  <w:footnote w:id="159">
    <w:p>
      <w:pPr>
        <w:pStyle w:val="FootnoteText"/>
      </w:pPr>
      <w:r>
        <w:rPr>
          <w:rStyle w:val="FootnoteReference"/>
        </w:rPr>
        <w:footnoteRef/>
      </w:r>
      <w:r>
        <w:t xml:space="preserve"> </w:t>
      </w:r>
      <w:r>
        <w:t xml:space="preserve">Turner 2008, PMID 18199864.</w:t>
      </w:r>
    </w:p>
  </w:footnote>
  <w:footnote w:id="161">
    <w:p>
      <w:pPr>
        <w:pStyle w:val="FootnoteText"/>
      </w:pPr>
      <w:r>
        <w:rPr>
          <w:rStyle w:val="FootnoteReference"/>
        </w:rPr>
        <w:footnoteRef/>
      </w:r>
      <w:r>
        <w:t xml:space="preserve"> </w:t>
      </w:r>
      <w:r>
        <w:t xml:space="preserve">DeAngelis 2004, PMID 15355936.</w:t>
      </w:r>
    </w:p>
  </w:footnote>
  <w:footnote w:id="168">
    <w:p>
      <w:pPr>
        <w:pStyle w:val="FootnoteText"/>
      </w:pPr>
      <w:r>
        <w:rPr>
          <w:rStyle w:val="FootnoteReference"/>
        </w:rPr>
        <w:footnoteRef/>
      </w:r>
      <w:r>
        <w:t xml:space="preserve"> </w:t>
      </w:r>
      <w:r>
        <w:t xml:space="preserve">Belcourt 2025, PMID 39285774.</w:t>
      </w:r>
    </w:p>
  </w:footnote>
  <w:footnote w:id="169">
    <w:p>
      <w:pPr>
        <w:pStyle w:val="FootnoteText"/>
      </w:pPr>
      <w:r>
        <w:rPr>
          <w:rStyle w:val="FootnoteReference"/>
        </w:rPr>
        <w:footnoteRef/>
      </w:r>
      <w:r>
        <w:t xml:space="preserve"> </w:t>
      </w:r>
      <w:r>
        <w:t xml:space="preserve">Sedensky 2026, PMID 42541373.</w:t>
      </w:r>
    </w:p>
  </w:footnote>
  <w:footnote w:id="171">
    <w:p>
      <w:pPr>
        <w:pStyle w:val="FootnoteText"/>
      </w:pPr>
      <w:r>
        <w:rPr>
          <w:rStyle w:val="FootnoteReference"/>
        </w:rPr>
        <w:footnoteRef/>
      </w:r>
      <w:r>
        <w:t xml:space="preserve"> </w:t>
      </w:r>
      <w:r>
        <w:t xml:space="preserve">Ashraf 2024, PMID 39509151.</w:t>
      </w:r>
    </w:p>
  </w:footnote>
  <w:footnote w:id="173">
    <w:p>
      <w:pPr>
        <w:pStyle w:val="FootnoteText"/>
      </w:pPr>
      <w:r>
        <w:rPr>
          <w:rStyle w:val="FootnoteReference"/>
        </w:rPr>
        <w:footnoteRef/>
      </w:r>
      <w:r>
        <w:t xml:space="preserve"> </w:t>
      </w:r>
      <w:r>
        <w:t xml:space="preserve">Hach 2024, PMID 39379664.</w:t>
      </w:r>
    </w:p>
  </w:footnote>
  <w:footnote w:id="175">
    <w:p>
      <w:pPr>
        <w:pStyle w:val="FootnoteText"/>
      </w:pPr>
      <w:r>
        <w:rPr>
          <w:rStyle w:val="FootnoteReference"/>
        </w:rPr>
        <w:footnoteRef/>
      </w:r>
      <w:r>
        <w:t xml:space="preserve"> </w:t>
      </w:r>
      <w:r>
        <w:t xml:space="preserve">Breindahl 2015, PMID 24771717.</w:t>
      </w:r>
    </w:p>
  </w:footnote>
  <w:footnote w:id="177">
    <w:p>
      <w:pPr>
        <w:pStyle w:val="FootnoteText"/>
      </w:pPr>
      <w:r>
        <w:rPr>
          <w:rStyle w:val="FootnoteReference"/>
        </w:rPr>
        <w:footnoteRef/>
      </w:r>
      <w:r>
        <w:t xml:space="preserve"> </w:t>
      </w:r>
      <w:r>
        <w:t xml:space="preserve">Kohler 2010, PMID 21204286.</w:t>
      </w:r>
    </w:p>
  </w:footnote>
  <w:footnote w:id="178">
    <w:p>
      <w:pPr>
        <w:pStyle w:val="FootnoteText"/>
      </w:pPr>
      <w:r>
        <w:rPr>
          <w:rStyle w:val="FootnoteReference"/>
        </w:rPr>
        <w:footnoteRef/>
      </w:r>
      <w:r>
        <w:t xml:space="preserve"> </w:t>
      </w:r>
      <w:r>
        <w:t xml:space="preserve">Thomas 2010, PMID 20878896.</w:t>
      </w:r>
    </w:p>
  </w:footnote>
  <w:footnote w:id="179">
    <w:p>
      <w:pPr>
        <w:pStyle w:val="FootnoteText"/>
      </w:pPr>
      <w:r>
        <w:rPr>
          <w:rStyle w:val="FootnoteReference"/>
        </w:rPr>
        <w:footnoteRef/>
      </w:r>
      <w:r>
        <w:t xml:space="preserve"> </w:t>
      </w:r>
      <w:r>
        <w:t xml:space="preserve">Krug 2014, PMID 25168622.</w:t>
      </w:r>
    </w:p>
  </w:footnote>
  <w:footnote w:id="180">
    <w:p>
      <w:pPr>
        <w:pStyle w:val="FootnoteText"/>
      </w:pPr>
      <w:r>
        <w:rPr>
          <w:rStyle w:val="FootnoteReference"/>
        </w:rPr>
        <w:footnoteRef/>
      </w:r>
      <w:r>
        <w:t xml:space="preserve"> </w:t>
      </w:r>
      <w:r>
        <w:t xml:space="preserve">Hullstein 2015, PMID 26607218.</w:t>
      </w:r>
    </w:p>
  </w:footnote>
  <w:footnote w:id="181">
    <w:p>
      <w:pPr>
        <w:pStyle w:val="FootnoteText"/>
      </w:pPr>
      <w:r>
        <w:rPr>
          <w:rStyle w:val="FootnoteReference"/>
        </w:rPr>
        <w:footnoteRef/>
      </w:r>
      <w:r>
        <w:t xml:space="preserve"> </w:t>
      </w:r>
      <w:r>
        <w:t xml:space="preserve">Krug 2018, PMID 29864719.</w:t>
      </w:r>
    </w:p>
  </w:footnote>
  <w:footnote w:id="182">
    <w:p>
      <w:pPr>
        <w:pStyle w:val="FootnoteText"/>
      </w:pPr>
      <w:r>
        <w:rPr>
          <w:rStyle w:val="FootnoteReference"/>
        </w:rPr>
        <w:footnoteRef/>
      </w:r>
      <w:r>
        <w:t xml:space="preserve"> </w:t>
      </w:r>
      <w:r>
        <w:t xml:space="preserve">Cox 2017, PMID 28035768.</w:t>
      </w:r>
    </w:p>
  </w:footnote>
  <w:footnote w:id="183">
    <w:p>
      <w:pPr>
        <w:pStyle w:val="FootnoteText"/>
      </w:pPr>
      <w:r>
        <w:rPr>
          <w:rStyle w:val="FootnoteReference"/>
        </w:rPr>
        <w:footnoteRef/>
      </w:r>
      <w:r>
        <w:t xml:space="preserve"> </w:t>
      </w:r>
      <w:r>
        <w:t xml:space="preserve">Janvier 2018, PMID 30165334.</w:t>
      </w:r>
    </w:p>
  </w:footnote>
  <w:footnote w:id="187">
    <w:p>
      <w:pPr>
        <w:pStyle w:val="FootnoteText"/>
      </w:pPr>
      <w:r>
        <w:rPr>
          <w:rStyle w:val="FootnoteReference"/>
        </w:rPr>
        <w:footnoteRef/>
      </w:r>
      <w:r>
        <w:t xml:space="preserve"> </w:t>
      </w:r>
      <w:r>
        <w:t xml:space="preserve">Ashraf 2024, PMID 39509151.</w:t>
      </w:r>
    </w:p>
  </w:footnote>
  <w:footnote w:id="189">
    <w:p>
      <w:pPr>
        <w:pStyle w:val="FootnoteText"/>
      </w:pPr>
      <w:r>
        <w:rPr>
          <w:rStyle w:val="FootnoteReference"/>
        </w:rPr>
        <w:footnoteRef/>
      </w:r>
      <w:r>
        <w:t xml:space="preserve"> </w:t>
      </w:r>
      <w:r>
        <w:t xml:space="preserve">Ashraf 2024, PMID 39509151.</w:t>
      </w:r>
    </w:p>
  </w:footnote>
  <w:footnote w:id="191">
    <w:p>
      <w:pPr>
        <w:pStyle w:val="FootnoteText"/>
      </w:pPr>
      <w:r>
        <w:rPr>
          <w:rStyle w:val="FootnoteReference"/>
        </w:rPr>
        <w:footnoteRef/>
      </w:r>
      <w:r>
        <w:t xml:space="preserve"> </w:t>
      </w:r>
      <w:r>
        <w:t xml:space="preserve">Lambson 2023, PMID 37392810.</w:t>
      </w:r>
    </w:p>
  </w:footnote>
  <w:footnote w:id="193">
    <w:p>
      <w:pPr>
        <w:pStyle w:val="FootnoteText"/>
      </w:pPr>
      <w:r>
        <w:rPr>
          <w:rStyle w:val="FootnoteReference"/>
        </w:rPr>
        <w:footnoteRef/>
      </w:r>
      <w:r>
        <w:t xml:space="preserve"> </w:t>
      </w:r>
      <w:r>
        <w:t xml:space="preserve">Ruder 2024, PMID 39028647.</w:t>
      </w:r>
    </w:p>
  </w:footnote>
  <w:footnote w:id="194">
    <w:p>
      <w:pPr>
        <w:pStyle w:val="FootnoteText"/>
      </w:pPr>
      <w:r>
        <w:rPr>
          <w:rStyle w:val="FootnoteReference"/>
        </w:rPr>
        <w:footnoteRef/>
      </w:r>
      <w:r>
        <w:t xml:space="preserve"> </w:t>
      </w:r>
      <w:r>
        <w:t xml:space="preserve">Antonacci 2026, PMID 41125326.</w:t>
      </w:r>
    </w:p>
  </w:footnote>
  <w:footnote w:id="195">
    <w:p>
      <w:pPr>
        <w:pStyle w:val="FootnoteText"/>
      </w:pPr>
      <w:r>
        <w:rPr>
          <w:rStyle w:val="FootnoteReference"/>
        </w:rPr>
        <w:footnoteRef/>
      </w:r>
      <w:r>
        <w:t xml:space="preserve"> </w:t>
      </w:r>
      <w:r>
        <w:t xml:space="preserve">Stammers 2026, PMID 42390457.</w:t>
      </w:r>
    </w:p>
  </w:footnote>
  <w:footnote w:id="196">
    <w:p>
      <w:pPr>
        <w:pStyle w:val="FootnoteText"/>
      </w:pPr>
      <w:r>
        <w:rPr>
          <w:rStyle w:val="FootnoteReference"/>
        </w:rPr>
        <w:footnoteRef/>
      </w:r>
      <w:r>
        <w:t xml:space="preserve"> </w:t>
      </w:r>
      <w:r>
        <w:t xml:space="preserve">Zinzi 2026, PMID 42137313.</w:t>
      </w:r>
    </w:p>
  </w:footnote>
  <w:footnote w:id="198">
    <w:p>
      <w:pPr>
        <w:pStyle w:val="FootnoteText"/>
      </w:pPr>
      <w:r>
        <w:rPr>
          <w:rStyle w:val="FootnoteReference"/>
        </w:rPr>
        <w:footnoteRef/>
      </w:r>
      <w:r>
        <w:t xml:space="preserve"> </w:t>
      </w:r>
      <w:r>
        <w:t xml:space="preserve">Rubin 2026, PMID 42853576.</w:t>
      </w:r>
    </w:p>
  </w:footnote>
  <w:footnote w:id="199">
    <w:p>
      <w:pPr>
        <w:pStyle w:val="FootnoteText"/>
      </w:pPr>
      <w:r>
        <w:rPr>
          <w:rStyle w:val="FootnoteReference"/>
        </w:rPr>
        <w:footnoteRef/>
      </w:r>
      <w:r>
        <w:t xml:space="preserve"> </w:t>
      </w:r>
      <w:r>
        <w:t xml:space="preserve">Buzzi 2026, PMID 42843917.</w:t>
      </w:r>
    </w:p>
  </w:footnote>
  <w:footnote w:id="201">
    <w:p>
      <w:pPr>
        <w:pStyle w:val="FootnoteText"/>
      </w:pPr>
      <w:r>
        <w:rPr>
          <w:rStyle w:val="FootnoteReference"/>
        </w:rPr>
        <w:footnoteRef/>
      </w:r>
      <w:r>
        <w:t xml:space="preserve"> </w:t>
      </w:r>
      <w:r>
        <w:t xml:space="preserve">Nelson 2012, PMID 23121206.</w:t>
      </w:r>
    </w:p>
  </w:footnote>
  <w:footnote w:id="202">
    <w:p>
      <w:pPr>
        <w:pStyle w:val="FootnoteText"/>
      </w:pPr>
      <w:r>
        <w:rPr>
          <w:rStyle w:val="FootnoteReference"/>
        </w:rPr>
        <w:footnoteRef/>
      </w:r>
      <w:r>
        <w:t xml:space="preserve"> </w:t>
      </w:r>
      <w:r>
        <w:t xml:space="preserve">Moiz 2026, PMID 42757290.</w:t>
      </w:r>
    </w:p>
  </w:footnote>
  <w:footnote w:id="203">
    <w:p>
      <w:pPr>
        <w:pStyle w:val="FootnoteText"/>
      </w:pPr>
      <w:r>
        <w:rPr>
          <w:rStyle w:val="FootnoteReference"/>
        </w:rPr>
        <w:footnoteRef/>
      </w:r>
      <w:r>
        <w:t xml:space="preserve"> </w:t>
      </w:r>
      <w:r>
        <w:t xml:space="preserve">Mendias 2026, PMID 41966639.</w:t>
      </w:r>
    </w:p>
  </w:footnote>
  <w:footnote w:id="205">
    <w:p>
      <w:pPr>
        <w:pStyle w:val="FootnoteText"/>
      </w:pPr>
      <w:r>
        <w:rPr>
          <w:rStyle w:val="FootnoteReference"/>
        </w:rPr>
        <w:footnoteRef/>
      </w:r>
      <w:r>
        <w:t xml:space="preserve"> </w:t>
      </w:r>
      <w:r>
        <w:t xml:space="preserve">McCall 2026, PMID 40285721.</w:t>
      </w:r>
    </w:p>
  </w:footnote>
  <w:footnote w:id="206">
    <w:p>
      <w:pPr>
        <w:pStyle w:val="FootnoteText"/>
      </w:pPr>
      <w:r>
        <w:rPr>
          <w:rStyle w:val="FootnoteReference"/>
        </w:rPr>
        <w:footnoteRef/>
      </w:r>
      <w:r>
        <w:t xml:space="preserve"> </w:t>
      </w:r>
      <w:r>
        <w:t xml:space="preserve">Belcourt 2026, PMID 41689811.</w:t>
      </w:r>
    </w:p>
  </w:footnote>
  <w:footnote w:id="208">
    <w:p>
      <w:pPr>
        <w:pStyle w:val="FootnoteText"/>
      </w:pPr>
      <w:r>
        <w:rPr>
          <w:rStyle w:val="FootnoteReference"/>
        </w:rPr>
        <w:footnoteRef/>
      </w:r>
      <w:r>
        <w:t xml:space="preserve"> </w:t>
      </w:r>
      <w:r>
        <w:t xml:space="preserve">Hailu 2026, PMID 42437212.</w:t>
      </w:r>
    </w:p>
  </w:footnote>
  <w:footnote w:id="216">
    <w:p>
      <w:pPr>
        <w:pStyle w:val="FootnoteText"/>
      </w:pPr>
      <w:r>
        <w:rPr>
          <w:rStyle w:val="FootnoteReference"/>
        </w:rPr>
        <w:footnoteRef/>
      </w:r>
      <w:r>
        <w:t xml:space="preserve"> </w:t>
      </w:r>
      <w:r>
        <w:t xml:space="preserve">Thomas 2010, PMID 20878896.</w:t>
      </w:r>
    </w:p>
  </w:footnote>
  <w:footnote w:id="222">
    <w:p>
      <w:pPr>
        <w:pStyle w:val="FootnoteText"/>
      </w:pPr>
      <w:r>
        <w:rPr>
          <w:rStyle w:val="FootnoteReference"/>
        </w:rPr>
        <w:footnoteRef/>
      </w:r>
      <w:r>
        <w:t xml:space="preserve"> </w:t>
      </w:r>
      <w:r>
        <w:t xml:space="preserve">Belcourt 2026, PMID 41689811.</w:t>
      </w:r>
    </w:p>
  </w:footnote>
  <w:footnote w:id="223">
    <w:p>
      <w:pPr>
        <w:pStyle w:val="FootnoteText"/>
      </w:pPr>
      <w:r>
        <w:rPr>
          <w:rStyle w:val="FootnoteReference"/>
        </w:rPr>
        <w:footnoteRef/>
      </w:r>
      <w:r>
        <w:t xml:space="preserve"> </w:t>
      </w:r>
      <w:r>
        <w:t xml:space="preserve">Belcourt 2025, PMID 39285774.</w:t>
      </w:r>
    </w:p>
  </w:footnote>
  <w:footnote w:id="225">
    <w:p>
      <w:pPr>
        <w:pStyle w:val="FootnoteText"/>
      </w:pPr>
      <w:r>
        <w:rPr>
          <w:rStyle w:val="FootnoteReference"/>
        </w:rPr>
        <w:footnoteRef/>
      </w:r>
      <w:r>
        <w:t xml:space="preserve"> </w:t>
      </w:r>
      <w:r>
        <w:t xml:space="preserve">Cox 2017, PMID 28035768.</w:t>
      </w:r>
    </w:p>
  </w:footnote>
  <w:footnote w:id="235">
    <w:p>
      <w:pPr>
        <w:pStyle w:val="FootnoteText"/>
      </w:pPr>
      <w:r>
        <w:rPr>
          <w:rStyle w:val="FootnoteReference"/>
        </w:rPr>
        <w:footnoteRef/>
      </w:r>
      <w:r>
        <w:t xml:space="preserve"> </w:t>
      </w:r>
      <w:r>
        <w:t xml:space="preserve">Eng 1992, PMID 1313797.</w:t>
      </w:r>
    </w:p>
  </w:footnote>
  <w:footnote w:id="238">
    <w:p>
      <w:pPr>
        <w:pStyle w:val="FootnoteText"/>
      </w:pPr>
      <w:r>
        <w:rPr>
          <w:rStyle w:val="FootnoteReference"/>
        </w:rPr>
        <w:footnoteRef/>
      </w:r>
      <w:r>
        <w:t xml:space="preserve"> </w:t>
      </w:r>
      <w:r>
        <w:t xml:space="preserve">Heine 2005, PMID 16230722.</w:t>
      </w:r>
    </w:p>
  </w:footnote>
  <w:footnote w:id="240">
    <w:p>
      <w:pPr>
        <w:pStyle w:val="FootnoteText"/>
      </w:pPr>
      <w:r>
        <w:rPr>
          <w:rStyle w:val="FootnoteReference"/>
        </w:rPr>
        <w:footnoteRef/>
      </w:r>
      <w:r>
        <w:t xml:space="preserve"> </w:t>
      </w:r>
      <w:r>
        <w:t xml:space="preserve">Wysham 2015, PMID 25744115.</w:t>
      </w:r>
    </w:p>
  </w:footnote>
  <w:footnote w:id="241">
    <w:p>
      <w:pPr>
        <w:pStyle w:val="FootnoteText"/>
      </w:pPr>
      <w:r>
        <w:rPr>
          <w:rStyle w:val="FootnoteReference"/>
        </w:rPr>
        <w:footnoteRef/>
      </w:r>
      <w:r>
        <w:t xml:space="preserve"> </w:t>
      </w:r>
      <w:r>
        <w:t xml:space="preserve">Bergenstal 2010, PMID 20580422.</w:t>
      </w:r>
    </w:p>
  </w:footnote>
  <w:footnote w:id="242">
    <w:p>
      <w:pPr>
        <w:pStyle w:val="FootnoteText"/>
      </w:pPr>
      <w:r>
        <w:rPr>
          <w:rStyle w:val="FootnoteReference"/>
        </w:rPr>
        <w:footnoteRef/>
      </w:r>
      <w:r>
        <w:t xml:space="preserve"> </w:t>
      </w:r>
      <w:r>
        <w:t xml:space="preserve">Diamant 2010, PMID 20609969.</w:t>
      </w:r>
    </w:p>
  </w:footnote>
  <w:footnote w:id="244">
    <w:p>
      <w:pPr>
        <w:pStyle w:val="FootnoteText"/>
      </w:pPr>
      <w:r>
        <w:rPr>
          <w:rStyle w:val="FootnoteReference"/>
        </w:rPr>
        <w:footnoteRef/>
      </w:r>
      <w:r>
        <w:t xml:space="preserve"> </w:t>
      </w:r>
      <w:r>
        <w:t xml:space="preserve">Buse 2013, PMID 23141817.</w:t>
      </w:r>
    </w:p>
  </w:footnote>
  <w:footnote w:id="245">
    <w:p>
      <w:pPr>
        <w:pStyle w:val="FootnoteText"/>
      </w:pPr>
      <w:r>
        <w:rPr>
          <w:rStyle w:val="FootnoteReference"/>
        </w:rPr>
        <w:footnoteRef/>
      </w:r>
      <w:r>
        <w:t xml:space="preserve"> </w:t>
      </w:r>
      <w:r>
        <w:t xml:space="preserve">Ahmann 2018, PMID 29246950.</w:t>
      </w:r>
    </w:p>
  </w:footnote>
  <w:footnote w:id="247">
    <w:p>
      <w:pPr>
        <w:pStyle w:val="FootnoteText"/>
      </w:pPr>
      <w:r>
        <w:rPr>
          <w:rStyle w:val="FootnoteReference"/>
        </w:rPr>
        <w:footnoteRef/>
      </w:r>
      <w:r>
        <w:t xml:space="preserve"> </w:t>
      </w:r>
      <w:r>
        <w:t xml:space="preserve">Holman 2017, PMID 28910237.</w:t>
      </w:r>
    </w:p>
  </w:footnote>
  <w:footnote w:id="248">
    <w:p>
      <w:pPr>
        <w:pStyle w:val="FootnoteText"/>
      </w:pPr>
      <w:r>
        <w:rPr>
          <w:rStyle w:val="FootnoteReference"/>
        </w:rPr>
        <w:footnoteRef/>
      </w:r>
      <w:r>
        <w:t xml:space="preserve"> </w:t>
      </w:r>
      <w:r>
        <w:t xml:space="preserve">Kristensen 2019, PMID 31422062.</w:t>
      </w:r>
    </w:p>
  </w:footnote>
  <w:footnote w:id="249">
    <w:p>
      <w:pPr>
        <w:pStyle w:val="FootnoteText"/>
      </w:pPr>
      <w:r>
        <w:rPr>
          <w:rStyle w:val="FootnoteReference"/>
        </w:rPr>
        <w:footnoteRef/>
      </w:r>
      <w:r>
        <w:t xml:space="preserve"> </w:t>
      </w:r>
      <w:r>
        <w:t xml:space="preserve">Ruff 2022, PMID 34873344.</w:t>
      </w:r>
    </w:p>
  </w:footnote>
  <w:footnote w:id="251">
    <w:p>
      <w:pPr>
        <w:pStyle w:val="FootnoteText"/>
      </w:pPr>
      <w:r>
        <w:rPr>
          <w:rStyle w:val="FootnoteReference"/>
        </w:rPr>
        <w:footnoteRef/>
      </w:r>
      <w:r>
        <w:t xml:space="preserve"> </w:t>
      </w:r>
      <w:r>
        <w:t xml:space="preserve">Rosenstock 2010, PMID 20332357.</w:t>
      </w:r>
    </w:p>
  </w:footnote>
  <w:footnote w:id="252">
    <w:p>
      <w:pPr>
        <w:pStyle w:val="FootnoteText"/>
      </w:pPr>
      <w:r>
        <w:rPr>
          <w:rStyle w:val="FootnoteReference"/>
        </w:rPr>
        <w:footnoteRef/>
      </w:r>
      <w:r>
        <w:t xml:space="preserve"> </w:t>
      </w:r>
      <w:r>
        <w:t xml:space="preserve">Su 2016, PMID 27343423.</w:t>
      </w:r>
    </w:p>
  </w:footnote>
  <w:footnote w:id="253">
    <w:p>
      <w:pPr>
        <w:pStyle w:val="FootnoteText"/>
      </w:pPr>
      <w:r>
        <w:rPr>
          <w:rStyle w:val="FootnoteReference"/>
        </w:rPr>
        <w:footnoteRef/>
      </w:r>
      <w:r>
        <w:t xml:space="preserve"> </w:t>
      </w:r>
      <w:r>
        <w:t xml:space="preserve">Tamborlane 2022, PMID 35679098.</w:t>
      </w:r>
    </w:p>
  </w:footnote>
  <w:footnote w:id="255">
    <w:p>
      <w:pPr>
        <w:pStyle w:val="FootnoteText"/>
      </w:pPr>
      <w:r>
        <w:rPr>
          <w:rStyle w:val="FootnoteReference"/>
        </w:rPr>
        <w:footnoteRef/>
      </w:r>
      <w:r>
        <w:t xml:space="preserve"> </w:t>
      </w:r>
      <w:r>
        <w:t xml:space="preserve">PMID 28781108.</w:t>
      </w:r>
    </w:p>
  </w:footnote>
  <w:footnote w:id="256">
    <w:p>
      <w:pPr>
        <w:pStyle w:val="FootnoteText"/>
      </w:pPr>
      <w:r>
        <w:rPr>
          <w:rStyle w:val="FootnoteReference"/>
        </w:rPr>
        <w:footnoteRef/>
      </w:r>
      <w:r>
        <w:t xml:space="preserve"> </w:t>
      </w:r>
      <w:r>
        <w:t xml:space="preserve">Vijiaratnam 2025, PMID 39919773.</w:t>
      </w:r>
    </w:p>
  </w:footnote>
  <w:footnote w:id="257">
    <w:p>
      <w:pPr>
        <w:pStyle w:val="FootnoteText"/>
      </w:pPr>
      <w:r>
        <w:rPr>
          <w:rStyle w:val="FootnoteReference"/>
        </w:rPr>
        <w:footnoteRef/>
      </w:r>
      <w:r>
        <w:t xml:space="preserve"> </w:t>
      </w:r>
      <w:r>
        <w:t xml:space="preserve">McGarry 2024, PMID 38101901.</w:t>
      </w:r>
    </w:p>
  </w:footnote>
  <w:footnote w:id="258">
    <w:p>
      <w:pPr>
        <w:pStyle w:val="FootnoteText"/>
      </w:pPr>
      <w:r>
        <w:rPr>
          <w:rStyle w:val="FootnoteReference"/>
        </w:rPr>
        <w:footnoteRef/>
      </w:r>
      <w:r>
        <w:t xml:space="preserve"> </w:t>
      </w:r>
      <w:r>
        <w:t xml:space="preserve">Vijiaratnam 2025, PMID 40727970.</w:t>
      </w:r>
    </w:p>
  </w:footnote>
  <w:footnote w:id="260">
    <w:p>
      <w:pPr>
        <w:pStyle w:val="FootnoteText"/>
      </w:pPr>
      <w:r>
        <w:rPr>
          <w:rStyle w:val="FootnoteReference"/>
        </w:rPr>
        <w:footnoteRef/>
      </w:r>
      <w:r>
        <w:t xml:space="preserve"> </w:t>
      </w:r>
      <w:r>
        <w:t xml:space="preserve">Mullins 2019, PMID 31518224.</w:t>
      </w:r>
    </w:p>
  </w:footnote>
  <w:footnote w:id="261">
    <w:p>
      <w:pPr>
        <w:pStyle w:val="FootnoteText"/>
      </w:pPr>
      <w:r>
        <w:rPr>
          <w:rStyle w:val="FootnoteReference"/>
        </w:rPr>
        <w:footnoteRef/>
      </w:r>
      <w:r>
        <w:t xml:space="preserve"> </w:t>
      </w:r>
      <w:r>
        <w:t xml:space="preserve">Dei Cas 2024, PMID 38565814.</w:t>
      </w:r>
    </w:p>
  </w:footnote>
  <w:footnote w:id="262">
    <w:p>
      <w:pPr>
        <w:pStyle w:val="FootnoteText"/>
      </w:pPr>
      <w:r>
        <w:rPr>
          <w:rStyle w:val="FootnoteReference"/>
        </w:rPr>
        <w:footnoteRef/>
      </w:r>
      <w:r>
        <w:t xml:space="preserve"> </w:t>
      </w:r>
      <w:r>
        <w:t xml:space="preserve">Klausen 2022, PMID 36066977.</w:t>
      </w:r>
    </w:p>
  </w:footnote>
  <w:footnote w:id="263">
    <w:p>
      <w:pPr>
        <w:pStyle w:val="FootnoteText"/>
      </w:pPr>
      <w:r>
        <w:rPr>
          <w:rStyle w:val="FootnoteReference"/>
        </w:rPr>
        <w:footnoteRef/>
      </w:r>
      <w:r>
        <w:t xml:space="preserve"> </w:t>
      </w:r>
      <w:r>
        <w:t xml:space="preserve">Mitchell 2023, PMID 36907221.</w:t>
      </w:r>
    </w:p>
  </w:footnote>
  <w:footnote w:id="266">
    <w:p>
      <w:pPr>
        <w:pStyle w:val="FootnoteText"/>
      </w:pPr>
      <w:r>
        <w:rPr>
          <w:rStyle w:val="FootnoteReference"/>
        </w:rPr>
        <w:footnoteRef/>
      </w:r>
      <w:r>
        <w:t xml:space="preserve"> </w:t>
      </w:r>
      <w:r>
        <w:t xml:space="preserve">Eng 1992, PMID 1313797.</w:t>
      </w:r>
    </w:p>
  </w:footnote>
  <w:footnote w:id="267">
    <w:p>
      <w:pPr>
        <w:pStyle w:val="FootnoteText"/>
      </w:pPr>
      <w:r>
        <w:rPr>
          <w:rStyle w:val="FootnoteReference"/>
        </w:rPr>
        <w:footnoteRef/>
      </w:r>
      <w:r>
        <w:t xml:space="preserve"> </w:t>
      </w:r>
      <w:r>
        <w:t xml:space="preserve">Xu 1999, PMID 10580413.</w:t>
      </w:r>
    </w:p>
  </w:footnote>
  <w:footnote w:id="268">
    <w:p>
      <w:pPr>
        <w:pStyle w:val="FootnoteText"/>
      </w:pPr>
      <w:r>
        <w:rPr>
          <w:rStyle w:val="FootnoteReference"/>
        </w:rPr>
        <w:footnoteRef/>
      </w:r>
      <w:r>
        <w:t xml:space="preserve"> </w:t>
      </w:r>
      <w:r>
        <w:t xml:space="preserve">Bjerre Knudsen 2010, PMID 20203154.</w:t>
      </w:r>
    </w:p>
  </w:footnote>
  <w:footnote w:id="270">
    <w:p>
      <w:pPr>
        <w:pStyle w:val="FootnoteText"/>
      </w:pPr>
      <w:r>
        <w:rPr>
          <w:rStyle w:val="FootnoteReference"/>
        </w:rPr>
        <w:footnoteRef/>
      </w:r>
      <w:r>
        <w:t xml:space="preserve"> </w:t>
      </w:r>
      <w:r>
        <w:t xml:space="preserve">Heine 2005, PMID 16230722.</w:t>
      </w:r>
    </w:p>
  </w:footnote>
  <w:footnote w:id="271">
    <w:p>
      <w:pPr>
        <w:pStyle w:val="FootnoteText"/>
      </w:pPr>
      <w:r>
        <w:rPr>
          <w:rStyle w:val="FootnoteReference"/>
        </w:rPr>
        <w:footnoteRef/>
      </w:r>
      <w:r>
        <w:t xml:space="preserve"> </w:t>
      </w:r>
      <w:r>
        <w:t xml:space="preserve">Buse 2013, PMID 23141817.</w:t>
      </w:r>
    </w:p>
  </w:footnote>
  <w:footnote w:id="272">
    <w:p>
      <w:pPr>
        <w:pStyle w:val="FootnoteText"/>
      </w:pPr>
      <w:r>
        <w:rPr>
          <w:rStyle w:val="FootnoteReference"/>
        </w:rPr>
        <w:footnoteRef/>
      </w:r>
      <w:r>
        <w:t xml:space="preserve"> </w:t>
      </w:r>
      <w:r>
        <w:t xml:space="preserve">Kendall 2005, PMID 15855571.</w:t>
      </w:r>
    </w:p>
  </w:footnote>
  <w:footnote w:id="273">
    <w:p>
      <w:pPr>
        <w:pStyle w:val="FootnoteText"/>
      </w:pPr>
      <w:r>
        <w:rPr>
          <w:rStyle w:val="FootnoteReference"/>
        </w:rPr>
        <w:footnoteRef/>
      </w:r>
      <w:r>
        <w:t xml:space="preserve"> </w:t>
      </w:r>
      <w:r>
        <w:t xml:space="preserve">Wysham 2015, PMID 25744115.</w:t>
      </w:r>
    </w:p>
  </w:footnote>
  <w:footnote w:id="274">
    <w:p>
      <w:pPr>
        <w:pStyle w:val="FootnoteText"/>
      </w:pPr>
      <w:r>
        <w:rPr>
          <w:rStyle w:val="FootnoteReference"/>
        </w:rPr>
        <w:footnoteRef/>
      </w:r>
      <w:r>
        <w:t xml:space="preserve"> </w:t>
      </w:r>
      <w:r>
        <w:t xml:space="preserve">Dore 2013, PMID 23981106.</w:t>
      </w:r>
    </w:p>
  </w:footnote>
  <w:footnote w:id="275">
    <w:p>
      <w:pPr>
        <w:pStyle w:val="FootnoteText"/>
      </w:pPr>
      <w:r>
        <w:rPr>
          <w:rStyle w:val="FootnoteReference"/>
        </w:rPr>
        <w:footnoteRef/>
      </w:r>
      <w:r>
        <w:t xml:space="preserve"> </w:t>
      </w:r>
      <w:r>
        <w:t xml:space="preserve">Holman 2017, PMID 28910237.</w:t>
      </w:r>
    </w:p>
  </w:footnote>
  <w:footnote w:id="276">
    <w:p>
      <w:pPr>
        <w:pStyle w:val="FootnoteText"/>
      </w:pPr>
      <w:r>
        <w:rPr>
          <w:rStyle w:val="FootnoteReference"/>
        </w:rPr>
        <w:footnoteRef/>
      </w:r>
      <w:r>
        <w:t xml:space="preserve"> </w:t>
      </w:r>
      <w:r>
        <w:t xml:space="preserve">Liang 2019, PMID 30474347.</w:t>
      </w:r>
    </w:p>
  </w:footnote>
  <w:footnote w:id="277">
    <w:p>
      <w:pPr>
        <w:pStyle w:val="FootnoteText"/>
      </w:pPr>
      <w:r>
        <w:rPr>
          <w:rStyle w:val="FootnoteReference"/>
        </w:rPr>
        <w:footnoteRef/>
      </w:r>
      <w:r>
        <w:t xml:space="preserve"> </w:t>
      </w:r>
      <w:r>
        <w:t xml:space="preserve">Silverii 2025, PMID 40437949.</w:t>
      </w:r>
    </w:p>
  </w:footnote>
  <w:footnote w:id="278">
    <w:p>
      <w:pPr>
        <w:pStyle w:val="FootnoteText"/>
      </w:pPr>
      <w:r>
        <w:rPr>
          <w:rStyle w:val="FootnoteReference"/>
        </w:rPr>
        <w:footnoteRef/>
      </w:r>
      <w:r>
        <w:t xml:space="preserve"> </w:t>
      </w:r>
      <w:r>
        <w:t xml:space="preserve">NCT05663515.</w:t>
      </w:r>
    </w:p>
  </w:footnote>
  <w:footnote w:id="281">
    <w:p>
      <w:pPr>
        <w:pStyle w:val="FootnoteText"/>
      </w:pPr>
      <w:r>
        <w:rPr>
          <w:rStyle w:val="FootnoteReference"/>
        </w:rPr>
        <w:footnoteRef/>
      </w:r>
      <w:r>
        <w:t xml:space="preserve"> </w:t>
      </w:r>
      <w:r>
        <w:t xml:space="preserve">Ji 2021, PMID 33687487.</w:t>
      </w:r>
    </w:p>
  </w:footnote>
  <w:footnote w:id="282">
    <w:p>
      <w:pPr>
        <w:pStyle w:val="FootnoteText"/>
      </w:pPr>
      <w:r>
        <w:rPr>
          <w:rStyle w:val="FootnoteReference"/>
        </w:rPr>
        <w:footnoteRef/>
      </w:r>
      <w:r>
        <w:t xml:space="preserve"> </w:t>
      </w:r>
      <w:r>
        <w:t xml:space="preserve">NCT06254014, NCT06257966.</w:t>
      </w:r>
    </w:p>
  </w:footnote>
  <w:footnote w:id="283">
    <w:p>
      <w:pPr>
        <w:pStyle w:val="FootnoteText"/>
      </w:pPr>
      <w:r>
        <w:rPr>
          <w:rStyle w:val="FootnoteReference"/>
        </w:rPr>
        <w:footnoteRef/>
      </w:r>
      <w:r>
        <w:t xml:space="preserve"> </w:t>
      </w:r>
      <w:r>
        <w:t xml:space="preserve">NCT07497399.</w:t>
      </w:r>
    </w:p>
  </w:footnote>
  <w:footnote w:id="284">
    <w:p>
      <w:pPr>
        <w:pStyle w:val="FootnoteText"/>
      </w:pPr>
      <w:r>
        <w:rPr>
          <w:rStyle w:val="FootnoteReference"/>
        </w:rPr>
        <w:footnoteRef/>
      </w:r>
      <w:r>
        <w:t xml:space="preserve"> </w:t>
      </w:r>
      <w:r>
        <w:t xml:space="preserve">NCT05663515.</w:t>
      </w:r>
    </w:p>
  </w:footnote>
  <w:footnote w:id="285">
    <w:p>
      <w:pPr>
        <w:pStyle w:val="FootnoteText"/>
      </w:pPr>
      <w:r>
        <w:rPr>
          <w:rStyle w:val="FootnoteReference"/>
        </w:rPr>
        <w:footnoteRef/>
      </w:r>
      <w:r>
        <w:t xml:space="preserve"> </w:t>
      </w:r>
      <w:r>
        <w:t xml:space="preserve">NCT01511393.</w:t>
      </w:r>
    </w:p>
  </w:footnote>
  <w:footnote w:id="286">
    <w:p>
      <w:pPr>
        <w:pStyle w:val="FootnoteText"/>
      </w:pPr>
      <w:r>
        <w:rPr>
          <w:rStyle w:val="FootnoteReference"/>
        </w:rPr>
        <w:footnoteRef/>
      </w:r>
      <w:r>
        <w:t xml:space="preserve"> </w:t>
      </w:r>
      <w:r>
        <w:t xml:space="preserve">NCT07808879.</w:t>
      </w:r>
    </w:p>
  </w:footnote>
  <w:footnote w:id="290">
    <w:p>
      <w:pPr>
        <w:pStyle w:val="FootnoteText"/>
      </w:pPr>
      <w:r>
        <w:rPr>
          <w:rStyle w:val="FootnoteReference"/>
        </w:rPr>
        <w:footnoteRef/>
      </w:r>
      <w:r>
        <w:t xml:space="preserve"> </w:t>
      </w:r>
      <w:r>
        <w:t xml:space="preserve">Knudsen 2019, PMID 31031702.</w:t>
      </w:r>
    </w:p>
  </w:footnote>
  <w:footnote w:id="292">
    <w:p>
      <w:pPr>
        <w:pStyle w:val="FootnoteText"/>
      </w:pPr>
      <w:r>
        <w:rPr>
          <w:rStyle w:val="FootnoteReference"/>
        </w:rPr>
        <w:footnoteRef/>
      </w:r>
      <w:r>
        <w:t xml:space="preserve"> </w:t>
      </w:r>
      <w:r>
        <w:t xml:space="preserve">Secher 2014, PMID 25202980.</w:t>
      </w:r>
    </w:p>
  </w:footnote>
  <w:footnote w:id="293">
    <w:p>
      <w:pPr>
        <w:pStyle w:val="FootnoteText"/>
      </w:pPr>
      <w:r>
        <w:rPr>
          <w:rStyle w:val="FootnoteReference"/>
        </w:rPr>
        <w:footnoteRef/>
      </w:r>
      <w:r>
        <w:t xml:space="preserve"> </w:t>
      </w:r>
      <w:r>
        <w:t xml:space="preserve">Knudsen 2019, PMID 31031702.</w:t>
      </w:r>
    </w:p>
  </w:footnote>
  <w:footnote w:id="295">
    <w:p>
      <w:pPr>
        <w:pStyle w:val="FootnoteText"/>
      </w:pPr>
      <w:r>
        <w:rPr>
          <w:rStyle w:val="FootnoteReference"/>
        </w:rPr>
        <w:footnoteRef/>
      </w:r>
      <w:r>
        <w:t xml:space="preserve"> </w:t>
      </w:r>
      <w:r>
        <w:t xml:space="preserve">Garber 2009, PMID 18819705.</w:t>
      </w:r>
    </w:p>
  </w:footnote>
  <w:footnote w:id="296">
    <w:p>
      <w:pPr>
        <w:pStyle w:val="FootnoteText"/>
      </w:pPr>
      <w:r>
        <w:rPr>
          <w:rStyle w:val="FootnoteReference"/>
        </w:rPr>
        <w:footnoteRef/>
      </w:r>
      <w:r>
        <w:t xml:space="preserve"> </w:t>
      </w:r>
      <w:r>
        <w:t xml:space="preserve">Pratley 2010, PMID 20417856.</w:t>
      </w:r>
    </w:p>
  </w:footnote>
  <w:footnote w:id="298">
    <w:p>
      <w:pPr>
        <w:pStyle w:val="FootnoteText"/>
      </w:pPr>
      <w:r>
        <w:rPr>
          <w:rStyle w:val="FootnoteReference"/>
        </w:rPr>
        <w:footnoteRef/>
      </w:r>
      <w:r>
        <w:t xml:space="preserve"> </w:t>
      </w:r>
      <w:r>
        <w:t xml:space="preserve">Buse 2009, PMID 19515413.</w:t>
      </w:r>
    </w:p>
  </w:footnote>
  <w:footnote w:id="299">
    <w:p>
      <w:pPr>
        <w:pStyle w:val="FootnoteText"/>
      </w:pPr>
      <w:r>
        <w:rPr>
          <w:rStyle w:val="FootnoteReference"/>
        </w:rPr>
        <w:footnoteRef/>
      </w:r>
      <w:r>
        <w:t xml:space="preserve"> </w:t>
      </w:r>
      <w:r>
        <w:t xml:space="preserve">Dungan 2014, PMID 25018121.</w:t>
      </w:r>
    </w:p>
  </w:footnote>
  <w:footnote w:id="300">
    <w:p>
      <w:pPr>
        <w:pStyle w:val="FootnoteText"/>
      </w:pPr>
      <w:r>
        <w:rPr>
          <w:rStyle w:val="FootnoteReference"/>
        </w:rPr>
        <w:footnoteRef/>
      </w:r>
      <w:r>
        <w:t xml:space="preserve"> </w:t>
      </w:r>
      <w:r>
        <w:t xml:space="preserve">Rubino 2022, PMID 35015037.</w:t>
      </w:r>
    </w:p>
  </w:footnote>
  <w:footnote w:id="301">
    <w:p>
      <w:pPr>
        <w:pStyle w:val="FootnoteText"/>
      </w:pPr>
      <w:r>
        <w:rPr>
          <w:rStyle w:val="FootnoteReference"/>
        </w:rPr>
        <w:footnoteRef/>
      </w:r>
      <w:r>
        <w:t xml:space="preserve"> </w:t>
      </w:r>
      <w:r>
        <w:t xml:space="preserve">Pratley 2019, PMID 31186120.</w:t>
      </w:r>
    </w:p>
  </w:footnote>
  <w:footnote w:id="303">
    <w:p>
      <w:pPr>
        <w:pStyle w:val="FootnoteText"/>
      </w:pPr>
      <w:r>
        <w:rPr>
          <w:rStyle w:val="FootnoteReference"/>
        </w:rPr>
        <w:footnoteRef/>
      </w:r>
      <w:r>
        <w:t xml:space="preserve"> </w:t>
      </w:r>
      <w:r>
        <w:t xml:space="preserve">Marso 2016, PMID 27295427.</w:t>
      </w:r>
    </w:p>
  </w:footnote>
  <w:footnote w:id="304">
    <w:p>
      <w:pPr>
        <w:pStyle w:val="FootnoteText"/>
      </w:pPr>
      <w:r>
        <w:rPr>
          <w:rStyle w:val="FootnoteReference"/>
        </w:rPr>
        <w:footnoteRef/>
      </w:r>
      <w:r>
        <w:t xml:space="preserve"> </w:t>
      </w:r>
      <w:r>
        <w:t xml:space="preserve">Mann 2017, PMID 28854085.</w:t>
      </w:r>
    </w:p>
  </w:footnote>
  <w:footnote w:id="305">
    <w:p>
      <w:pPr>
        <w:pStyle w:val="FootnoteText"/>
      </w:pPr>
      <w:r>
        <w:rPr>
          <w:rStyle w:val="FootnoteReference"/>
        </w:rPr>
        <w:footnoteRef/>
      </w:r>
      <w:r>
        <w:t xml:space="preserve"> </w:t>
      </w:r>
      <w:r>
        <w:t xml:space="preserve">Margulies 2016, PMID 27483064.</w:t>
      </w:r>
    </w:p>
  </w:footnote>
  <w:footnote w:id="307">
    <w:p>
      <w:pPr>
        <w:pStyle w:val="FootnoteText"/>
      </w:pPr>
      <w:r>
        <w:rPr>
          <w:rStyle w:val="FootnoteReference"/>
        </w:rPr>
        <w:footnoteRef/>
      </w:r>
      <w:r>
        <w:t xml:space="preserve"> </w:t>
      </w:r>
      <w:r>
        <w:t xml:space="preserve">Pi-Sunyer 2015, PMID 26132939.</w:t>
      </w:r>
    </w:p>
  </w:footnote>
  <w:footnote w:id="308">
    <w:p>
      <w:pPr>
        <w:pStyle w:val="FootnoteText"/>
      </w:pPr>
      <w:r>
        <w:rPr>
          <w:rStyle w:val="FootnoteReference"/>
        </w:rPr>
        <w:footnoteRef/>
      </w:r>
      <w:r>
        <w:t xml:space="preserve"> </w:t>
      </w:r>
      <w:r>
        <w:t xml:space="preserve">le Roux 2017, PMID 28237263.</w:t>
      </w:r>
    </w:p>
  </w:footnote>
  <w:footnote w:id="309">
    <w:p>
      <w:pPr>
        <w:pStyle w:val="FootnoteText"/>
      </w:pPr>
      <w:r>
        <w:rPr>
          <w:rStyle w:val="FootnoteReference"/>
        </w:rPr>
        <w:footnoteRef/>
      </w:r>
      <w:r>
        <w:t xml:space="preserve"> </w:t>
      </w:r>
      <w:r>
        <w:t xml:space="preserve">Davies 2015, PMID 26284720.</w:t>
      </w:r>
    </w:p>
  </w:footnote>
  <w:footnote w:id="310">
    <w:p>
      <w:pPr>
        <w:pStyle w:val="FootnoteText"/>
      </w:pPr>
      <w:r>
        <w:rPr>
          <w:rStyle w:val="FootnoteReference"/>
        </w:rPr>
        <w:footnoteRef/>
      </w:r>
      <w:r>
        <w:t xml:space="preserve"> </w:t>
      </w:r>
      <w:r>
        <w:t xml:space="preserve">Wadden 2013, PMID 23812094.</w:t>
      </w:r>
    </w:p>
  </w:footnote>
  <w:footnote w:id="312">
    <w:p>
      <w:pPr>
        <w:pStyle w:val="FootnoteText"/>
      </w:pPr>
      <w:r>
        <w:rPr>
          <w:rStyle w:val="FootnoteReference"/>
        </w:rPr>
        <w:footnoteRef/>
      </w:r>
      <w:r>
        <w:t xml:space="preserve"> </w:t>
      </w:r>
      <w:r>
        <w:t xml:space="preserve">Kelly 2020, PMID 32233338.</w:t>
      </w:r>
    </w:p>
  </w:footnote>
  <w:footnote w:id="313">
    <w:p>
      <w:pPr>
        <w:pStyle w:val="FootnoteText"/>
      </w:pPr>
      <w:r>
        <w:rPr>
          <w:rStyle w:val="FootnoteReference"/>
        </w:rPr>
        <w:footnoteRef/>
      </w:r>
      <w:r>
        <w:t xml:space="preserve"> </w:t>
      </w:r>
      <w:r>
        <w:t xml:space="preserve">Fox 2025, PMID 39258838.</w:t>
      </w:r>
    </w:p>
  </w:footnote>
  <w:footnote w:id="314">
    <w:p>
      <w:pPr>
        <w:pStyle w:val="FootnoteText"/>
      </w:pPr>
      <w:r>
        <w:rPr>
          <w:rStyle w:val="FootnoteReference"/>
        </w:rPr>
        <w:footnoteRef/>
      </w:r>
      <w:r>
        <w:t xml:space="preserve"> </w:t>
      </w:r>
      <w:r>
        <w:t xml:space="preserve">NCT06903923.</w:t>
      </w:r>
    </w:p>
  </w:footnote>
  <w:footnote w:id="316">
    <w:p>
      <w:pPr>
        <w:pStyle w:val="FootnoteText"/>
      </w:pPr>
      <w:r>
        <w:rPr>
          <w:rStyle w:val="FootnoteReference"/>
        </w:rPr>
        <w:footnoteRef/>
      </w:r>
      <w:r>
        <w:t xml:space="preserve"> </w:t>
      </w:r>
      <w:r>
        <w:t xml:space="preserve">Armstrong 2016, PMID 26608256.</w:t>
      </w:r>
    </w:p>
  </w:footnote>
  <w:footnote w:id="317">
    <w:p>
      <w:pPr>
        <w:pStyle w:val="FootnoteText"/>
      </w:pPr>
      <w:r>
        <w:rPr>
          <w:rStyle w:val="FootnoteReference"/>
        </w:rPr>
        <w:footnoteRef/>
      </w:r>
      <w:r>
        <w:t xml:space="preserve"> </w:t>
      </w:r>
      <w:r>
        <w:t xml:space="preserve">Edison 2026, PMID 41326666.</w:t>
      </w:r>
    </w:p>
  </w:footnote>
  <w:footnote w:id="318">
    <w:p>
      <w:pPr>
        <w:pStyle w:val="FootnoteText"/>
      </w:pPr>
      <w:r>
        <w:rPr>
          <w:rStyle w:val="FootnoteReference"/>
        </w:rPr>
        <w:footnoteRef/>
      </w:r>
      <w:r>
        <w:t xml:space="preserve"> </w:t>
      </w:r>
      <w:r>
        <w:t xml:space="preserve">Lähteenvuo 2025, PMID 39535805.</w:t>
      </w:r>
    </w:p>
  </w:footnote>
  <w:footnote w:id="321">
    <w:p>
      <w:pPr>
        <w:pStyle w:val="FootnoteText"/>
      </w:pPr>
      <w:r>
        <w:rPr>
          <w:rStyle w:val="FootnoteReference"/>
        </w:rPr>
        <w:footnoteRef/>
      </w:r>
      <w:r>
        <w:t xml:space="preserve"> </w:t>
      </w:r>
      <w:r>
        <w:t xml:space="preserve">Secher 2014, PMID 25202980.</w:t>
      </w:r>
    </w:p>
  </w:footnote>
  <w:footnote w:id="322">
    <w:p>
      <w:pPr>
        <w:pStyle w:val="FootnoteText"/>
      </w:pPr>
      <w:r>
        <w:rPr>
          <w:rStyle w:val="FootnoteReference"/>
        </w:rPr>
        <w:footnoteRef/>
      </w:r>
      <w:r>
        <w:t xml:space="preserve"> </w:t>
      </w:r>
      <w:r>
        <w:t xml:space="preserve">Bjerre Knudsen 2010, PMID 20203154.</w:t>
      </w:r>
    </w:p>
  </w:footnote>
  <w:footnote w:id="324">
    <w:p>
      <w:pPr>
        <w:pStyle w:val="FootnoteText"/>
      </w:pPr>
      <w:r>
        <w:rPr>
          <w:rStyle w:val="FootnoteReference"/>
        </w:rPr>
        <w:footnoteRef/>
      </w:r>
      <w:r>
        <w:t xml:space="preserve"> </w:t>
      </w:r>
      <w:r>
        <w:t xml:space="preserve">Marso 2016, PMID 27295427.</w:t>
      </w:r>
    </w:p>
  </w:footnote>
  <w:footnote w:id="325">
    <w:p>
      <w:pPr>
        <w:pStyle w:val="FootnoteText"/>
      </w:pPr>
      <w:r>
        <w:rPr>
          <w:rStyle w:val="FootnoteReference"/>
        </w:rPr>
        <w:footnoteRef/>
      </w:r>
      <w:r>
        <w:t xml:space="preserve"> </w:t>
      </w:r>
      <w:r>
        <w:t xml:space="preserve">Davies 2015, PMID 26284720.</w:t>
      </w:r>
    </w:p>
  </w:footnote>
  <w:footnote w:id="326">
    <w:p>
      <w:pPr>
        <w:pStyle w:val="FootnoteText"/>
      </w:pPr>
      <w:r>
        <w:rPr>
          <w:rStyle w:val="FootnoteReference"/>
        </w:rPr>
        <w:footnoteRef/>
      </w:r>
      <w:r>
        <w:t xml:space="preserve"> </w:t>
      </w:r>
      <w:r>
        <w:t xml:space="preserve">He 2022, PMID 35344001.</w:t>
      </w:r>
    </w:p>
  </w:footnote>
  <w:footnote w:id="327">
    <w:p>
      <w:pPr>
        <w:pStyle w:val="FootnoteText"/>
      </w:pPr>
      <w:r>
        <w:rPr>
          <w:rStyle w:val="FootnoteReference"/>
        </w:rPr>
        <w:footnoteRef/>
      </w:r>
      <w:r>
        <w:t xml:space="preserve"> </w:t>
      </w:r>
      <w:r>
        <w:t xml:space="preserve">Marso 2016, PMID 27295427.</w:t>
      </w:r>
    </w:p>
  </w:footnote>
  <w:footnote w:id="328">
    <w:p>
      <w:pPr>
        <w:pStyle w:val="FootnoteText"/>
      </w:pPr>
      <w:r>
        <w:rPr>
          <w:rStyle w:val="FootnoteReference"/>
        </w:rPr>
        <w:footnoteRef/>
      </w:r>
      <w:r>
        <w:t xml:space="preserve"> </w:t>
      </w:r>
      <w:r>
        <w:t xml:space="preserve">Alves 2012, PMID 23010561.</w:t>
      </w:r>
    </w:p>
  </w:footnote>
  <w:footnote w:id="329">
    <w:p>
      <w:pPr>
        <w:pStyle w:val="FootnoteText"/>
      </w:pPr>
      <w:r>
        <w:rPr>
          <w:rStyle w:val="FootnoteReference"/>
        </w:rPr>
        <w:footnoteRef/>
      </w:r>
      <w:r>
        <w:t xml:space="preserve"> </w:t>
      </w:r>
      <w:r>
        <w:t xml:space="preserve">Bezin 2023, PMID 36356111.</w:t>
      </w:r>
    </w:p>
  </w:footnote>
  <w:footnote w:id="330">
    <w:p>
      <w:pPr>
        <w:pStyle w:val="FootnoteText"/>
      </w:pPr>
      <w:r>
        <w:rPr>
          <w:rStyle w:val="FootnoteReference"/>
        </w:rPr>
        <w:footnoteRef/>
      </w:r>
      <w:r>
        <w:t xml:space="preserve"> </w:t>
      </w:r>
      <w:r>
        <w:t xml:space="preserve">Silverii 2025, PMID 40437949.</w:t>
      </w:r>
    </w:p>
  </w:footnote>
  <w:footnote w:id="331">
    <w:p>
      <w:pPr>
        <w:pStyle w:val="FootnoteText"/>
      </w:pPr>
      <w:r>
        <w:rPr>
          <w:rStyle w:val="FootnoteReference"/>
        </w:rPr>
        <w:footnoteRef/>
      </w:r>
      <w:r>
        <w:t xml:space="preserve"> </w:t>
      </w:r>
      <w:r>
        <w:t xml:space="preserve">Ueda 2024, PMID 39226030.</w:t>
      </w:r>
    </w:p>
  </w:footnote>
  <w:footnote w:id="332">
    <w:p>
      <w:pPr>
        <w:pStyle w:val="FootnoteText"/>
      </w:pPr>
      <w:r>
        <w:rPr>
          <w:rStyle w:val="FootnoteReference"/>
        </w:rPr>
        <w:footnoteRef/>
      </w:r>
      <w:r>
        <w:t xml:space="preserve"> </w:t>
      </w:r>
      <w:r>
        <w:t xml:space="preserve">Choudhury 2026, PMID 41862354.</w:t>
      </w:r>
    </w:p>
  </w:footnote>
  <w:footnote w:id="335">
    <w:p>
      <w:pPr>
        <w:pStyle w:val="FootnoteText"/>
      </w:pPr>
      <w:r>
        <w:rPr>
          <w:rStyle w:val="FootnoteReference"/>
        </w:rPr>
        <w:footnoteRef/>
      </w:r>
      <w:r>
        <w:t xml:space="preserve"> </w:t>
      </w:r>
      <w:r>
        <w:t xml:space="preserve">NCT06742710.</w:t>
      </w:r>
    </w:p>
  </w:footnote>
  <w:footnote w:id="336">
    <w:p>
      <w:pPr>
        <w:pStyle w:val="FootnoteText"/>
      </w:pPr>
      <w:r>
        <w:rPr>
          <w:rStyle w:val="FootnoteReference"/>
        </w:rPr>
        <w:footnoteRef/>
      </w:r>
      <w:r>
        <w:t xml:space="preserve"> </w:t>
      </w:r>
      <w:r>
        <w:t xml:space="preserve">NCT06361238.</w:t>
      </w:r>
    </w:p>
  </w:footnote>
  <w:footnote w:id="337">
    <w:p>
      <w:pPr>
        <w:pStyle w:val="FootnoteText"/>
      </w:pPr>
      <w:r>
        <w:rPr>
          <w:rStyle w:val="FootnoteReference"/>
        </w:rPr>
        <w:footnoteRef/>
      </w:r>
      <w:r>
        <w:t xml:space="preserve"> </w:t>
      </w:r>
      <w:r>
        <w:t xml:space="preserve">NCT07029009.</w:t>
      </w:r>
    </w:p>
  </w:footnote>
  <w:footnote w:id="338">
    <w:p>
      <w:pPr>
        <w:pStyle w:val="FootnoteText"/>
      </w:pPr>
      <w:r>
        <w:rPr>
          <w:rStyle w:val="FootnoteReference"/>
        </w:rPr>
        <w:footnoteRef/>
      </w:r>
      <w:r>
        <w:t xml:space="preserve"> </w:t>
      </w:r>
      <w:r>
        <w:t xml:space="preserve">NCT05390892.</w:t>
      </w:r>
    </w:p>
  </w:footnote>
  <w:footnote w:id="339">
    <w:p>
      <w:pPr>
        <w:pStyle w:val="FootnoteText"/>
      </w:pPr>
      <w:r>
        <w:rPr>
          <w:rStyle w:val="FootnoteReference"/>
        </w:rPr>
        <w:footnoteRef/>
      </w:r>
      <w:r>
        <w:t xml:space="preserve"> </w:t>
      </w:r>
      <w:r>
        <w:t xml:space="preserve">NCT04775082.</w:t>
      </w:r>
    </w:p>
  </w:footnote>
  <w:footnote w:id="343">
    <w:p>
      <w:pPr>
        <w:pStyle w:val="FootnoteText"/>
      </w:pPr>
      <w:r>
        <w:rPr>
          <w:rStyle w:val="FootnoteReference"/>
        </w:rPr>
        <w:footnoteRef/>
      </w:r>
      <w:r>
        <w:t xml:space="preserve"> </w:t>
      </w:r>
      <w:r>
        <w:t xml:space="preserve">Glaesner 2010, PMID 20503261.</w:t>
      </w:r>
    </w:p>
  </w:footnote>
  <w:footnote w:id="345">
    <w:p>
      <w:pPr>
        <w:pStyle w:val="FootnoteText"/>
      </w:pPr>
      <w:r>
        <w:rPr>
          <w:rStyle w:val="FootnoteReference"/>
        </w:rPr>
        <w:footnoteRef/>
      </w:r>
      <w:r>
        <w:t xml:space="preserve"> </w:t>
      </w:r>
      <w:r>
        <w:t xml:space="preserve">Glaesner 2010, PMID 20503261.</w:t>
      </w:r>
    </w:p>
  </w:footnote>
  <w:footnote w:id="346">
    <w:p>
      <w:pPr>
        <w:pStyle w:val="FootnoteText"/>
      </w:pPr>
      <w:r>
        <w:rPr>
          <w:rStyle w:val="FootnoteReference"/>
        </w:rPr>
        <w:footnoteRef/>
      </w:r>
      <w:r>
        <w:t xml:space="preserve"> </w:t>
      </w:r>
      <w:r>
        <w:t xml:space="preserve">Milicevic 2016, PMID 26847401.</w:t>
      </w:r>
    </w:p>
  </w:footnote>
  <w:footnote w:id="348">
    <w:p>
      <w:pPr>
        <w:pStyle w:val="FootnoteText"/>
      </w:pPr>
      <w:r>
        <w:rPr>
          <w:rStyle w:val="FootnoteReference"/>
        </w:rPr>
        <w:footnoteRef/>
      </w:r>
      <w:r>
        <w:t xml:space="preserve"> </w:t>
      </w:r>
      <w:r>
        <w:t xml:space="preserve">Giorgino 2015, PMID 26089386; Blonde 2015, PMID 26009229.</w:t>
      </w:r>
    </w:p>
  </w:footnote>
  <w:footnote w:id="349">
    <w:p>
      <w:pPr>
        <w:pStyle w:val="FootnoteText"/>
      </w:pPr>
      <w:r>
        <w:rPr>
          <w:rStyle w:val="FootnoteReference"/>
        </w:rPr>
        <w:footnoteRef/>
      </w:r>
      <w:r>
        <w:t xml:space="preserve"> </w:t>
      </w:r>
      <w:r>
        <w:t xml:space="preserve">Tuttle 2018, PMID 29910024.</w:t>
      </w:r>
    </w:p>
  </w:footnote>
  <w:footnote w:id="350">
    <w:p>
      <w:pPr>
        <w:pStyle w:val="FootnoteText"/>
      </w:pPr>
      <w:r>
        <w:rPr>
          <w:rStyle w:val="FootnoteReference"/>
        </w:rPr>
        <w:footnoteRef/>
      </w:r>
      <w:r>
        <w:t xml:space="preserve"> </w:t>
      </w:r>
      <w:r>
        <w:t xml:space="preserve">Dungan 2016, PMID 26799540.</w:t>
      </w:r>
    </w:p>
  </w:footnote>
  <w:footnote w:id="351">
    <w:p>
      <w:pPr>
        <w:pStyle w:val="FootnoteText"/>
      </w:pPr>
      <w:r>
        <w:rPr>
          <w:rStyle w:val="FootnoteReference"/>
        </w:rPr>
        <w:footnoteRef/>
      </w:r>
      <w:r>
        <w:t xml:space="preserve"> </w:t>
      </w:r>
      <w:r>
        <w:t xml:space="preserve">Frias 2021, PMID 33397768.</w:t>
      </w:r>
    </w:p>
  </w:footnote>
  <w:footnote w:id="353">
    <w:p>
      <w:pPr>
        <w:pStyle w:val="FootnoteText"/>
      </w:pPr>
      <w:r>
        <w:rPr>
          <w:rStyle w:val="FootnoteReference"/>
        </w:rPr>
        <w:footnoteRef/>
      </w:r>
      <w:r>
        <w:t xml:space="preserve"> </w:t>
      </w:r>
      <w:r>
        <w:t xml:space="preserve">Wysham 2014, PMID 24879836.</w:t>
      </w:r>
    </w:p>
  </w:footnote>
  <w:footnote w:id="354">
    <w:p>
      <w:pPr>
        <w:pStyle w:val="FootnoteText"/>
      </w:pPr>
      <w:r>
        <w:rPr>
          <w:rStyle w:val="FootnoteReference"/>
        </w:rPr>
        <w:footnoteRef/>
      </w:r>
      <w:r>
        <w:t xml:space="preserve"> </w:t>
      </w:r>
      <w:r>
        <w:t xml:space="preserve">Dungan 2014, PMID 25018121.</w:t>
      </w:r>
    </w:p>
  </w:footnote>
  <w:footnote w:id="355">
    <w:p>
      <w:pPr>
        <w:pStyle w:val="FootnoteText"/>
      </w:pPr>
      <w:r>
        <w:rPr>
          <w:rStyle w:val="FootnoteReference"/>
        </w:rPr>
        <w:footnoteRef/>
      </w:r>
      <w:r>
        <w:t xml:space="preserve"> </w:t>
      </w:r>
      <w:r>
        <w:t xml:space="preserve">Pratley 2018, PMID 29397376.</w:t>
      </w:r>
    </w:p>
  </w:footnote>
  <w:footnote w:id="357">
    <w:p>
      <w:pPr>
        <w:pStyle w:val="FootnoteText"/>
      </w:pPr>
      <w:r>
        <w:rPr>
          <w:rStyle w:val="FootnoteReference"/>
        </w:rPr>
        <w:footnoteRef/>
      </w:r>
      <w:r>
        <w:t xml:space="preserve"> </w:t>
      </w:r>
      <w:r>
        <w:t xml:space="preserve">Gerstein 2019, PMID 31189511.</w:t>
      </w:r>
    </w:p>
  </w:footnote>
  <w:footnote w:id="358">
    <w:p>
      <w:pPr>
        <w:pStyle w:val="FootnoteText"/>
      </w:pPr>
      <w:r>
        <w:rPr>
          <w:rStyle w:val="FootnoteReference"/>
        </w:rPr>
        <w:footnoteRef/>
      </w:r>
      <w:r>
        <w:t xml:space="preserve"> </w:t>
      </w:r>
      <w:r>
        <w:t xml:space="preserve">Gerstein 2019, PMID 31189509.</w:t>
      </w:r>
    </w:p>
  </w:footnote>
  <w:footnote w:id="359">
    <w:p>
      <w:pPr>
        <w:pStyle w:val="FootnoteText"/>
      </w:pPr>
      <w:r>
        <w:rPr>
          <w:rStyle w:val="FootnoteReference"/>
        </w:rPr>
        <w:footnoteRef/>
      </w:r>
      <w:r>
        <w:t xml:space="preserve"> </w:t>
      </w:r>
      <w:r>
        <w:t xml:space="preserve">Cukierman-Yaffe 2020, PMID 32562683.</w:t>
      </w:r>
    </w:p>
  </w:footnote>
  <w:footnote w:id="360">
    <w:p>
      <w:pPr>
        <w:pStyle w:val="FootnoteText"/>
      </w:pPr>
      <w:r>
        <w:rPr>
          <w:rStyle w:val="FootnoteReference"/>
        </w:rPr>
        <w:footnoteRef/>
      </w:r>
      <w:r>
        <w:t xml:space="preserve"> </w:t>
      </w:r>
      <w:r>
        <w:t xml:space="preserve">Kristensen 2019, PMID 31422062.</w:t>
      </w:r>
    </w:p>
  </w:footnote>
  <w:footnote w:id="362">
    <w:p>
      <w:pPr>
        <w:pStyle w:val="FootnoteText"/>
      </w:pPr>
      <w:r>
        <w:rPr>
          <w:rStyle w:val="FootnoteReference"/>
        </w:rPr>
        <w:footnoteRef/>
      </w:r>
      <w:r>
        <w:t xml:space="preserve"> </w:t>
      </w:r>
      <w:r>
        <w:t xml:space="preserve">Raubenheimer 2022, PMID 34984808.</w:t>
      </w:r>
    </w:p>
  </w:footnote>
  <w:footnote w:id="363">
    <w:p>
      <w:pPr>
        <w:pStyle w:val="FootnoteText"/>
      </w:pPr>
      <w:r>
        <w:rPr>
          <w:rStyle w:val="FootnoteReference"/>
        </w:rPr>
        <w:footnoteRef/>
      </w:r>
      <w:r>
        <w:t xml:space="preserve"> </w:t>
      </w:r>
      <w:r>
        <w:t xml:space="preserve">PMID 34563178.</w:t>
      </w:r>
    </w:p>
  </w:footnote>
  <w:footnote w:id="364">
    <w:p>
      <w:pPr>
        <w:pStyle w:val="FootnoteText"/>
      </w:pPr>
      <w:r>
        <w:rPr>
          <w:rStyle w:val="FootnoteReference"/>
        </w:rPr>
        <w:footnoteRef/>
      </w:r>
      <w:r>
        <w:t xml:space="preserve"> </w:t>
      </w:r>
      <w:r>
        <w:t xml:space="preserve">Branch 2022, PMID 36073143.</w:t>
      </w:r>
    </w:p>
  </w:footnote>
  <w:footnote w:id="365">
    <w:p>
      <w:pPr>
        <w:pStyle w:val="FootnoteText"/>
      </w:pPr>
      <w:r>
        <w:rPr>
          <w:rStyle w:val="FootnoteReference"/>
        </w:rPr>
        <w:footnoteRef/>
      </w:r>
      <w:r>
        <w:t xml:space="preserve"> </w:t>
      </w:r>
      <w:r>
        <w:t xml:space="preserve">Raubenheimer 2022, PMID 34984808.</w:t>
      </w:r>
    </w:p>
  </w:footnote>
  <w:footnote w:id="367">
    <w:p>
      <w:pPr>
        <w:pStyle w:val="FootnoteText"/>
      </w:pPr>
      <w:r>
        <w:rPr>
          <w:rStyle w:val="FootnoteReference"/>
        </w:rPr>
        <w:footnoteRef/>
      </w:r>
      <w:r>
        <w:t xml:space="preserve"> </w:t>
      </w:r>
      <w:r>
        <w:t xml:space="preserve">Nicholls 2025, PMID 41406444.</w:t>
      </w:r>
    </w:p>
  </w:footnote>
  <w:footnote w:id="368">
    <w:p>
      <w:pPr>
        <w:pStyle w:val="FootnoteText"/>
      </w:pPr>
      <w:r>
        <w:rPr>
          <w:rStyle w:val="FootnoteReference"/>
        </w:rPr>
        <w:footnoteRef/>
      </w:r>
      <w:r>
        <w:t xml:space="preserve"> </w:t>
      </w:r>
      <w:r>
        <w:t xml:space="preserve">Nissen 2026, PMID 41903177.</w:t>
      </w:r>
    </w:p>
  </w:footnote>
  <w:footnote w:id="370">
    <w:p>
      <w:pPr>
        <w:pStyle w:val="FootnoteText"/>
      </w:pPr>
      <w:r>
        <w:rPr>
          <w:rStyle w:val="FootnoteReference"/>
        </w:rPr>
        <w:footnoteRef/>
      </w:r>
      <w:r>
        <w:t xml:space="preserve"> </w:t>
      </w:r>
      <w:r>
        <w:t xml:space="preserve">Matfin 2015, PMID 25901022.</w:t>
      </w:r>
    </w:p>
  </w:footnote>
  <w:footnote w:id="371">
    <w:p>
      <w:pPr>
        <w:pStyle w:val="FootnoteText"/>
      </w:pPr>
      <w:r>
        <w:rPr>
          <w:rStyle w:val="FootnoteReference"/>
        </w:rPr>
        <w:footnoteRef/>
      </w:r>
      <w:r>
        <w:t xml:space="preserve"> </w:t>
      </w:r>
      <w:r>
        <w:t xml:space="preserve">Matza 2020, PMID 31646727.</w:t>
      </w:r>
    </w:p>
  </w:footnote>
  <w:footnote w:id="373">
    <w:p>
      <w:pPr>
        <w:pStyle w:val="FootnoteText"/>
      </w:pPr>
      <w:r>
        <w:rPr>
          <w:rStyle w:val="FootnoteReference"/>
        </w:rPr>
        <w:footnoteRef/>
      </w:r>
      <w:r>
        <w:t xml:space="preserve"> </w:t>
      </w:r>
      <w:r>
        <w:t xml:space="preserve">Arslanian 2022, PMID 35658022.</w:t>
      </w:r>
    </w:p>
  </w:footnote>
  <w:footnote w:id="375">
    <w:p>
      <w:pPr>
        <w:pStyle w:val="FootnoteText"/>
      </w:pPr>
      <w:r>
        <w:rPr>
          <w:rStyle w:val="FootnoteReference"/>
        </w:rPr>
        <w:footnoteRef/>
      </w:r>
      <w:r>
        <w:t xml:space="preserve"> </w:t>
      </w:r>
      <w:r>
        <w:t xml:space="preserve">Lüthi 2024, PMID 38371479.</w:t>
      </w:r>
    </w:p>
  </w:footnote>
  <w:footnote w:id="376">
    <w:p>
      <w:pPr>
        <w:pStyle w:val="FootnoteText"/>
      </w:pPr>
      <w:r>
        <w:rPr>
          <w:rStyle w:val="FootnoteReference"/>
        </w:rPr>
        <w:footnoteRef/>
      </w:r>
      <w:r>
        <w:t xml:space="preserve"> </w:t>
      </w:r>
      <w:r>
        <w:t xml:space="preserve">Probst 2023, PMID 37991022.</w:t>
      </w:r>
    </w:p>
  </w:footnote>
  <w:footnote w:id="377">
    <w:p>
      <w:pPr>
        <w:pStyle w:val="FootnoteText"/>
      </w:pPr>
      <w:r>
        <w:rPr>
          <w:rStyle w:val="FootnoteReference"/>
        </w:rPr>
        <w:footnoteRef/>
      </w:r>
      <w:r>
        <w:t xml:space="preserve"> </w:t>
      </w:r>
      <w:r>
        <w:t xml:space="preserve">Winzeler 2021, PMID 34473645.</w:t>
      </w:r>
    </w:p>
  </w:footnote>
  <w:footnote w:id="380">
    <w:p>
      <w:pPr>
        <w:pStyle w:val="FootnoteText"/>
      </w:pPr>
      <w:r>
        <w:rPr>
          <w:rStyle w:val="FootnoteReference"/>
        </w:rPr>
        <w:footnoteRef/>
      </w:r>
      <w:r>
        <w:t xml:space="preserve"> </w:t>
      </w:r>
      <w:r>
        <w:t xml:space="preserve">Glaesner 2010, PMID 20503261.</w:t>
      </w:r>
    </w:p>
  </w:footnote>
  <w:footnote w:id="381">
    <w:p>
      <w:pPr>
        <w:pStyle w:val="FootnoteText"/>
      </w:pPr>
      <w:r>
        <w:rPr>
          <w:rStyle w:val="FootnoteReference"/>
        </w:rPr>
        <w:footnoteRef/>
      </w:r>
      <w:r>
        <w:t xml:space="preserve"> </w:t>
      </w:r>
      <w:r>
        <w:t xml:space="preserve">Bjerre Knudsen 2010, PMID 20203154.</w:t>
      </w:r>
    </w:p>
  </w:footnote>
  <w:footnote w:id="383">
    <w:p>
      <w:pPr>
        <w:pStyle w:val="FootnoteText"/>
      </w:pPr>
      <w:r>
        <w:rPr>
          <w:rStyle w:val="FootnoteReference"/>
        </w:rPr>
        <w:footnoteRef/>
      </w:r>
      <w:r>
        <w:t xml:space="preserve"> </w:t>
      </w:r>
      <w:r>
        <w:t xml:space="preserve">Gerstein 2019, PMID 31189511.</w:t>
      </w:r>
    </w:p>
  </w:footnote>
  <w:footnote w:id="384">
    <w:p>
      <w:pPr>
        <w:pStyle w:val="FootnoteText"/>
      </w:pPr>
      <w:r>
        <w:rPr>
          <w:rStyle w:val="FootnoteReference"/>
        </w:rPr>
        <w:footnoteRef/>
      </w:r>
      <w:r>
        <w:t xml:space="preserve"> </w:t>
      </w:r>
      <w:r>
        <w:t xml:space="preserve">Frias 2021, PMID 33397768.</w:t>
      </w:r>
    </w:p>
  </w:footnote>
  <w:footnote w:id="385">
    <w:p>
      <w:pPr>
        <w:pStyle w:val="FootnoteText"/>
      </w:pPr>
      <w:r>
        <w:rPr>
          <w:rStyle w:val="FootnoteReference"/>
        </w:rPr>
        <w:footnoteRef/>
      </w:r>
      <w:r>
        <w:t xml:space="preserve"> </w:t>
      </w:r>
      <w:r>
        <w:t xml:space="preserve">Giorgino 2015, PMID 26089386.</w:t>
      </w:r>
    </w:p>
  </w:footnote>
  <w:footnote w:id="386">
    <w:p>
      <w:pPr>
        <w:pStyle w:val="FootnoteText"/>
      </w:pPr>
      <w:r>
        <w:rPr>
          <w:rStyle w:val="FootnoteReference"/>
        </w:rPr>
        <w:footnoteRef/>
      </w:r>
      <w:r>
        <w:t xml:space="preserve"> </w:t>
      </w:r>
      <w:r>
        <w:t xml:space="preserve">Giorgino 2015, PMID 26089386.</w:t>
      </w:r>
    </w:p>
  </w:footnote>
  <w:footnote w:id="387">
    <w:p>
      <w:pPr>
        <w:pStyle w:val="FootnoteText"/>
      </w:pPr>
      <w:r>
        <w:rPr>
          <w:rStyle w:val="FootnoteReference"/>
        </w:rPr>
        <w:footnoteRef/>
      </w:r>
      <w:r>
        <w:t xml:space="preserve"> </w:t>
      </w:r>
      <w:r>
        <w:t xml:space="preserve">Milicevic 2016, PMID 26847401.</w:t>
      </w:r>
    </w:p>
  </w:footnote>
  <w:footnote w:id="388">
    <w:p>
      <w:pPr>
        <w:pStyle w:val="FootnoteText"/>
      </w:pPr>
      <w:r>
        <w:rPr>
          <w:rStyle w:val="FootnoteReference"/>
        </w:rPr>
        <w:footnoteRef/>
      </w:r>
      <w:r>
        <w:t xml:space="preserve"> </w:t>
      </w:r>
      <w:r>
        <w:t xml:space="preserve">He 2022, PMID 35344001.</w:t>
      </w:r>
    </w:p>
  </w:footnote>
  <w:footnote w:id="389">
    <w:p>
      <w:pPr>
        <w:pStyle w:val="FootnoteText"/>
      </w:pPr>
      <w:r>
        <w:rPr>
          <w:rStyle w:val="FootnoteReference"/>
        </w:rPr>
        <w:footnoteRef/>
      </w:r>
      <w:r>
        <w:t xml:space="preserve"> </w:t>
      </w:r>
      <w:r>
        <w:t xml:space="preserve">Kristensen 2019, PMID 31422062.</w:t>
      </w:r>
    </w:p>
  </w:footnote>
  <w:footnote w:id="390">
    <w:p>
      <w:pPr>
        <w:pStyle w:val="FootnoteText"/>
      </w:pPr>
      <w:r>
        <w:rPr>
          <w:rStyle w:val="FootnoteReference"/>
        </w:rPr>
        <w:footnoteRef/>
      </w:r>
      <w:r>
        <w:t xml:space="preserve"> </w:t>
      </w:r>
      <w:r>
        <w:t xml:space="preserve">Silverii 2025, PMID 40437949.</w:t>
      </w:r>
    </w:p>
  </w:footnote>
  <w:footnote w:id="391">
    <w:p>
      <w:pPr>
        <w:pStyle w:val="FootnoteText"/>
      </w:pPr>
      <w:r>
        <w:rPr>
          <w:rStyle w:val="FootnoteReference"/>
        </w:rPr>
        <w:footnoteRef/>
      </w:r>
      <w:r>
        <w:t xml:space="preserve"> </w:t>
      </w:r>
      <w:r>
        <w:t xml:space="preserve">NCT07276763.</w:t>
      </w:r>
    </w:p>
  </w:footnote>
  <w:footnote w:id="394">
    <w:p>
      <w:pPr>
        <w:pStyle w:val="FootnoteText"/>
      </w:pPr>
      <w:r>
        <w:rPr>
          <w:rStyle w:val="FootnoteReference"/>
        </w:rPr>
        <w:footnoteRef/>
      </w:r>
      <w:r>
        <w:t xml:space="preserve"> </w:t>
      </w:r>
      <w:r>
        <w:t xml:space="preserve">NCT06739122.</w:t>
      </w:r>
    </w:p>
  </w:footnote>
  <w:footnote w:id="395">
    <w:p>
      <w:pPr>
        <w:pStyle w:val="FootnoteText"/>
      </w:pPr>
      <w:r>
        <w:rPr>
          <w:rStyle w:val="FootnoteReference"/>
        </w:rPr>
        <w:footnoteRef/>
      </w:r>
      <w:r>
        <w:t xml:space="preserve"> </w:t>
      </w:r>
      <w:r>
        <w:t xml:space="preserve">NCT07668336.</w:t>
      </w:r>
    </w:p>
  </w:footnote>
  <w:footnote w:id="396">
    <w:p>
      <w:pPr>
        <w:pStyle w:val="FootnoteText"/>
      </w:pPr>
      <w:r>
        <w:rPr>
          <w:rStyle w:val="FootnoteReference"/>
        </w:rPr>
        <w:footnoteRef/>
      </w:r>
      <w:r>
        <w:t xml:space="preserve"> </w:t>
      </w:r>
      <w:r>
        <w:t xml:space="preserve">NCT07282041.</w:t>
      </w:r>
    </w:p>
  </w:footnote>
  <w:footnote w:id="397">
    <w:p>
      <w:pPr>
        <w:pStyle w:val="FootnoteText"/>
      </w:pPr>
      <w:r>
        <w:rPr>
          <w:rStyle w:val="FootnoteReference"/>
        </w:rPr>
        <w:footnoteRef/>
      </w:r>
      <w:r>
        <w:t xml:space="preserve"> </w:t>
      </w:r>
      <w:r>
        <w:t xml:space="preserve">NCT06324461.</w:t>
      </w:r>
    </w:p>
  </w:footnote>
  <w:footnote w:id="398">
    <w:p>
      <w:pPr>
        <w:pStyle w:val="FootnoteText"/>
      </w:pPr>
      <w:r>
        <w:rPr>
          <w:rStyle w:val="FootnoteReference"/>
        </w:rPr>
        <w:footnoteRef/>
      </w:r>
      <w:r>
        <w:t xml:space="preserve"> </w:t>
      </w:r>
      <w:r>
        <w:t xml:space="preserve">NCT04731272.</w:t>
      </w:r>
    </w:p>
  </w:footnote>
  <w:footnote w:id="399">
    <w:p>
      <w:pPr>
        <w:pStyle w:val="FootnoteText"/>
      </w:pPr>
      <w:r>
        <w:rPr>
          <w:rStyle w:val="FootnoteReference"/>
        </w:rPr>
        <w:footnoteRef/>
      </w:r>
      <w:r>
        <w:t xml:space="preserve"> </w:t>
      </w:r>
      <w:r>
        <w:t xml:space="preserve">NCT06257966.</w:t>
      </w:r>
    </w:p>
  </w:footnote>
  <w:footnote w:id="403">
    <w:p>
      <w:pPr>
        <w:pStyle w:val="FootnoteText"/>
      </w:pPr>
      <w:r>
        <w:rPr>
          <w:rStyle w:val="FootnoteReference"/>
        </w:rPr>
        <w:footnoteRef/>
      </w:r>
      <w:r>
        <w:t xml:space="preserve"> </w:t>
      </w:r>
      <w:r>
        <w:t xml:space="preserve">Lau 2015, PMID 26308095.</w:t>
      </w:r>
    </w:p>
  </w:footnote>
  <w:footnote w:id="405">
    <w:p>
      <w:pPr>
        <w:pStyle w:val="FootnoteText"/>
      </w:pPr>
      <w:r>
        <w:rPr>
          <w:rStyle w:val="FootnoteReference"/>
        </w:rPr>
        <w:footnoteRef/>
      </w:r>
      <w:r>
        <w:t xml:space="preserve"> </w:t>
      </w:r>
      <w:r>
        <w:t xml:space="preserve">Lau 2015, PMID 26308095.</w:t>
      </w:r>
    </w:p>
  </w:footnote>
  <w:footnote w:id="406">
    <w:p>
      <w:pPr>
        <w:pStyle w:val="FootnoteText"/>
      </w:pPr>
      <w:r>
        <w:rPr>
          <w:rStyle w:val="FootnoteReference"/>
        </w:rPr>
        <w:footnoteRef/>
      </w:r>
      <w:r>
        <w:t xml:space="preserve"> </w:t>
      </w:r>
      <w:r>
        <w:t xml:space="preserve">Buckley 2018, PMID 30429357.</w:t>
      </w:r>
    </w:p>
  </w:footnote>
  <w:footnote w:id="408">
    <w:p>
      <w:pPr>
        <w:pStyle w:val="FootnoteText"/>
      </w:pPr>
      <w:r>
        <w:rPr>
          <w:rStyle w:val="FootnoteReference"/>
        </w:rPr>
        <w:footnoteRef/>
      </w:r>
      <w:r>
        <w:t xml:space="preserve"> </w:t>
      </w:r>
      <w:r>
        <w:t xml:space="preserve">Sorli 2017, PMID 28110911.</w:t>
      </w:r>
    </w:p>
  </w:footnote>
  <w:footnote w:id="409">
    <w:p>
      <w:pPr>
        <w:pStyle w:val="FootnoteText"/>
      </w:pPr>
      <w:r>
        <w:rPr>
          <w:rStyle w:val="FootnoteReference"/>
        </w:rPr>
        <w:footnoteRef/>
      </w:r>
      <w:r>
        <w:t xml:space="preserve"> </w:t>
      </w:r>
      <w:r>
        <w:t xml:space="preserve">Frías 2021, PMID 34293304.</w:t>
      </w:r>
    </w:p>
  </w:footnote>
  <w:footnote w:id="410">
    <w:p>
      <w:pPr>
        <w:pStyle w:val="FootnoteText"/>
      </w:pPr>
      <w:r>
        <w:rPr>
          <w:rStyle w:val="FootnoteReference"/>
        </w:rPr>
        <w:footnoteRef/>
      </w:r>
      <w:r>
        <w:t xml:space="preserve"> </w:t>
      </w:r>
      <w:r>
        <w:t xml:space="preserve">Marso 2016, PMID 27633186.</w:t>
      </w:r>
    </w:p>
  </w:footnote>
  <w:footnote w:id="412">
    <w:p>
      <w:pPr>
        <w:pStyle w:val="FootnoteText"/>
      </w:pPr>
      <w:r>
        <w:rPr>
          <w:rStyle w:val="FootnoteReference"/>
        </w:rPr>
        <w:footnoteRef/>
      </w:r>
      <w:r>
        <w:t xml:space="preserve"> </w:t>
      </w:r>
      <w:r>
        <w:t xml:space="preserve">Rubino 2022, PMID 35015037.</w:t>
      </w:r>
    </w:p>
  </w:footnote>
  <w:footnote w:id="413">
    <w:p>
      <w:pPr>
        <w:pStyle w:val="FootnoteText"/>
      </w:pPr>
      <w:r>
        <w:rPr>
          <w:rStyle w:val="FootnoteReference"/>
        </w:rPr>
        <w:footnoteRef/>
      </w:r>
      <w:r>
        <w:t xml:space="preserve"> </w:t>
      </w:r>
      <w:r>
        <w:t xml:space="preserve">Capehorn 2020, PMID 31539622.</w:t>
      </w:r>
    </w:p>
  </w:footnote>
  <w:footnote w:id="414">
    <w:p>
      <w:pPr>
        <w:pStyle w:val="FootnoteText"/>
      </w:pPr>
      <w:r>
        <w:rPr>
          <w:rStyle w:val="FootnoteReference"/>
        </w:rPr>
        <w:footnoteRef/>
      </w:r>
      <w:r>
        <w:t xml:space="preserve"> </w:t>
      </w:r>
      <w:r>
        <w:t xml:space="preserve">Ahmann 2018, PMID 29246950.</w:t>
      </w:r>
    </w:p>
  </w:footnote>
  <w:footnote w:id="415">
    <w:p>
      <w:pPr>
        <w:pStyle w:val="FootnoteText"/>
      </w:pPr>
      <w:r>
        <w:rPr>
          <w:rStyle w:val="FootnoteReference"/>
        </w:rPr>
        <w:footnoteRef/>
      </w:r>
      <w:r>
        <w:t xml:space="preserve"> </w:t>
      </w:r>
      <w:r>
        <w:t xml:space="preserve">Pratley 2019, PMID 31186120.</w:t>
      </w:r>
    </w:p>
  </w:footnote>
  <w:footnote w:id="416">
    <w:p>
      <w:pPr>
        <w:pStyle w:val="FootnoteText"/>
      </w:pPr>
      <w:r>
        <w:rPr>
          <w:rStyle w:val="FootnoteReference"/>
        </w:rPr>
        <w:footnoteRef/>
      </w:r>
      <w:r>
        <w:t xml:space="preserve"> </w:t>
      </w:r>
      <w:r>
        <w:t xml:space="preserve">Aronne 2025, PMID 40353578.</w:t>
      </w:r>
    </w:p>
  </w:footnote>
  <w:footnote w:id="418">
    <w:p>
      <w:pPr>
        <w:pStyle w:val="FootnoteText"/>
      </w:pPr>
      <w:r>
        <w:rPr>
          <w:rStyle w:val="FootnoteReference"/>
        </w:rPr>
        <w:footnoteRef/>
      </w:r>
      <w:r>
        <w:t xml:space="preserve"> </w:t>
      </w:r>
      <w:r>
        <w:t xml:space="preserve">Aroda 2023, PMID 37385279.</w:t>
      </w:r>
    </w:p>
  </w:footnote>
  <w:footnote w:id="419">
    <w:p>
      <w:pPr>
        <w:pStyle w:val="FootnoteText"/>
      </w:pPr>
      <w:r>
        <w:rPr>
          <w:rStyle w:val="FootnoteReference"/>
        </w:rPr>
        <w:footnoteRef/>
      </w:r>
      <w:r>
        <w:t xml:space="preserve"> </w:t>
      </w:r>
      <w:r>
        <w:t xml:space="preserve">Husain 2019, PMID 31185157.</w:t>
      </w:r>
    </w:p>
  </w:footnote>
  <w:footnote w:id="420">
    <w:p>
      <w:pPr>
        <w:pStyle w:val="FootnoteText"/>
      </w:pPr>
      <w:r>
        <w:rPr>
          <w:rStyle w:val="FootnoteReference"/>
        </w:rPr>
        <w:footnoteRef/>
      </w:r>
      <w:r>
        <w:t xml:space="preserve"> </w:t>
      </w:r>
      <w:r>
        <w:t xml:space="preserve">McGuire 2025, PMID 40162642.</w:t>
      </w:r>
    </w:p>
  </w:footnote>
  <w:footnote w:id="422">
    <w:p>
      <w:pPr>
        <w:pStyle w:val="FootnoteText"/>
      </w:pPr>
      <w:r>
        <w:rPr>
          <w:rStyle w:val="FootnoteReference"/>
        </w:rPr>
        <w:footnoteRef/>
      </w:r>
      <w:r>
        <w:t xml:space="preserve"> </w:t>
      </w:r>
      <w:r>
        <w:t xml:space="preserve">Wilding 2021, PMID 33567185.</w:t>
      </w:r>
    </w:p>
  </w:footnote>
  <w:footnote w:id="423">
    <w:p>
      <w:pPr>
        <w:pStyle w:val="FootnoteText"/>
      </w:pPr>
      <w:r>
        <w:rPr>
          <w:rStyle w:val="FootnoteReference"/>
        </w:rPr>
        <w:footnoteRef/>
      </w:r>
      <w:r>
        <w:t xml:space="preserve"> </w:t>
      </w:r>
      <w:r>
        <w:t xml:space="preserve">Garvey 2022, PMID 36216945.</w:t>
      </w:r>
    </w:p>
  </w:footnote>
  <w:footnote w:id="424">
    <w:p>
      <w:pPr>
        <w:pStyle w:val="FootnoteText"/>
      </w:pPr>
      <w:r>
        <w:rPr>
          <w:rStyle w:val="FootnoteReference"/>
        </w:rPr>
        <w:footnoteRef/>
      </w:r>
      <w:r>
        <w:t xml:space="preserve"> </w:t>
      </w:r>
      <w:r>
        <w:t xml:space="preserve">Rubino 2021, PMID 33755728.</w:t>
      </w:r>
    </w:p>
  </w:footnote>
  <w:footnote w:id="425">
    <w:p>
      <w:pPr>
        <w:pStyle w:val="FootnoteText"/>
      </w:pPr>
      <w:r>
        <w:rPr>
          <w:rStyle w:val="FootnoteReference"/>
        </w:rPr>
        <w:footnoteRef/>
      </w:r>
      <w:r>
        <w:t xml:space="preserve"> </w:t>
      </w:r>
      <w:r>
        <w:t xml:space="preserve">Wilding 2022, PMID 35441470.</w:t>
      </w:r>
    </w:p>
  </w:footnote>
  <w:footnote w:id="426">
    <w:p>
      <w:pPr>
        <w:pStyle w:val="FootnoteText"/>
      </w:pPr>
      <w:r>
        <w:rPr>
          <w:rStyle w:val="FootnoteReference"/>
        </w:rPr>
        <w:footnoteRef/>
      </w:r>
      <w:r>
        <w:t xml:space="preserve"> </w:t>
      </w:r>
      <w:r>
        <w:t xml:space="preserve">Wharton 2025, PMID 40961952.</w:t>
      </w:r>
    </w:p>
  </w:footnote>
  <w:footnote w:id="428">
    <w:p>
      <w:pPr>
        <w:pStyle w:val="FootnoteText"/>
      </w:pPr>
      <w:r>
        <w:rPr>
          <w:rStyle w:val="FootnoteReference"/>
        </w:rPr>
        <w:footnoteRef/>
      </w:r>
      <w:r>
        <w:t xml:space="preserve"> </w:t>
      </w:r>
      <w:r>
        <w:t xml:space="preserve">Knop 2023, PMID 37385278; Wharton 2025, PMID 40934115.</w:t>
      </w:r>
    </w:p>
  </w:footnote>
  <w:footnote w:id="430">
    <w:p>
      <w:pPr>
        <w:pStyle w:val="FootnoteText"/>
      </w:pPr>
      <w:r>
        <w:rPr>
          <w:rStyle w:val="FootnoteReference"/>
        </w:rPr>
        <w:footnoteRef/>
      </w:r>
      <w:r>
        <w:t xml:space="preserve"> </w:t>
      </w:r>
      <w:r>
        <w:t xml:space="preserve">Weghuber 2022, PMID 36322838.</w:t>
      </w:r>
    </w:p>
  </w:footnote>
  <w:footnote w:id="431">
    <w:p>
      <w:pPr>
        <w:pStyle w:val="FootnoteText"/>
      </w:pPr>
      <w:r>
        <w:rPr>
          <w:rStyle w:val="FootnoteReference"/>
        </w:rPr>
        <w:footnoteRef/>
      </w:r>
      <w:r>
        <w:t xml:space="preserve"> </w:t>
      </w:r>
      <w:r>
        <w:t xml:space="preserve">NCT05726227.</w:t>
      </w:r>
    </w:p>
  </w:footnote>
  <w:footnote w:id="433">
    <w:p>
      <w:pPr>
        <w:pStyle w:val="FootnoteText"/>
      </w:pPr>
      <w:r>
        <w:rPr>
          <w:rStyle w:val="FootnoteReference"/>
        </w:rPr>
        <w:footnoteRef/>
      </w:r>
      <w:r>
        <w:t xml:space="preserve"> </w:t>
      </w:r>
      <w:r>
        <w:t xml:space="preserve">Lincoff 2023, PMID 37952131.</w:t>
      </w:r>
    </w:p>
  </w:footnote>
  <w:footnote w:id="435">
    <w:p>
      <w:pPr>
        <w:pStyle w:val="FootnoteText"/>
      </w:pPr>
      <w:r>
        <w:rPr>
          <w:rStyle w:val="FootnoteReference"/>
        </w:rPr>
        <w:footnoteRef/>
      </w:r>
      <w:r>
        <w:t xml:space="preserve"> </w:t>
      </w:r>
      <w:r>
        <w:t xml:space="preserve">Perkovic 2024, PMID 38785209.</w:t>
      </w:r>
    </w:p>
  </w:footnote>
  <w:footnote w:id="437">
    <w:p>
      <w:pPr>
        <w:pStyle w:val="FootnoteText"/>
      </w:pPr>
      <w:r>
        <w:rPr>
          <w:rStyle w:val="FootnoteReference"/>
        </w:rPr>
        <w:footnoteRef/>
      </w:r>
      <w:r>
        <w:t xml:space="preserve"> </w:t>
      </w:r>
      <w:r>
        <w:t xml:space="preserve">Sanyal 2025, PMID 40305708.</w:t>
      </w:r>
    </w:p>
  </w:footnote>
  <w:footnote w:id="438">
    <w:p>
      <w:pPr>
        <w:pStyle w:val="FootnoteText"/>
      </w:pPr>
      <w:r>
        <w:rPr>
          <w:rStyle w:val="FootnoteReference"/>
        </w:rPr>
        <w:footnoteRef/>
      </w:r>
      <w:r>
        <w:t xml:space="preserve"> </w:t>
      </w:r>
      <w:r>
        <w:t xml:space="preserve">NCT04822181.</w:t>
      </w:r>
    </w:p>
  </w:footnote>
  <w:footnote w:id="439">
    <w:p>
      <w:pPr>
        <w:pStyle w:val="FootnoteText"/>
      </w:pPr>
      <w:r>
        <w:rPr>
          <w:rStyle w:val="FootnoteReference"/>
        </w:rPr>
        <w:footnoteRef/>
      </w:r>
      <w:r>
        <w:t xml:space="preserve"> </w:t>
      </w:r>
      <w:r>
        <w:t xml:space="preserve">Kosiborod 2023, PMID 37622681.</w:t>
      </w:r>
    </w:p>
  </w:footnote>
  <w:footnote w:id="440">
    <w:p>
      <w:pPr>
        <w:pStyle w:val="FootnoteText"/>
      </w:pPr>
      <w:r>
        <w:rPr>
          <w:rStyle w:val="FootnoteReference"/>
        </w:rPr>
        <w:footnoteRef/>
      </w:r>
      <w:r>
        <w:t xml:space="preserve"> </w:t>
      </w:r>
      <w:r>
        <w:t xml:space="preserve">Bonaca 2025, PMID 40169145.</w:t>
      </w:r>
    </w:p>
  </w:footnote>
  <w:footnote w:id="441">
    <w:p>
      <w:pPr>
        <w:pStyle w:val="FootnoteText"/>
      </w:pPr>
      <w:r>
        <w:rPr>
          <w:rStyle w:val="FootnoteReference"/>
        </w:rPr>
        <w:footnoteRef/>
      </w:r>
      <w:r>
        <w:t xml:space="preserve"> </w:t>
      </w:r>
      <w:r>
        <w:t xml:space="preserve">Bliddal 2024, PMID 39476339.</w:t>
      </w:r>
    </w:p>
  </w:footnote>
  <w:footnote w:id="443">
    <w:p>
      <w:pPr>
        <w:pStyle w:val="FootnoteText"/>
      </w:pPr>
      <w:r>
        <w:rPr>
          <w:rStyle w:val="FootnoteReference"/>
        </w:rPr>
        <w:footnoteRef/>
      </w:r>
      <w:r>
        <w:t xml:space="preserve"> </w:t>
      </w:r>
      <w:r>
        <w:t xml:space="preserve">Cummings 2026, PMID 41865758.</w:t>
      </w:r>
    </w:p>
  </w:footnote>
  <w:footnote w:id="444">
    <w:p>
      <w:pPr>
        <w:pStyle w:val="FootnoteText"/>
      </w:pPr>
      <w:r>
        <w:rPr>
          <w:rStyle w:val="FootnoteReference"/>
        </w:rPr>
        <w:footnoteRef/>
      </w:r>
      <w:r>
        <w:t xml:space="preserve"> </w:t>
      </w:r>
      <w:r>
        <w:t xml:space="preserve">Schneider 2026, PMID 41865757.</w:t>
      </w:r>
    </w:p>
  </w:footnote>
  <w:footnote w:id="445">
    <w:p>
      <w:pPr>
        <w:pStyle w:val="FootnoteText"/>
      </w:pPr>
      <w:r>
        <w:rPr>
          <w:rStyle w:val="FootnoteReference"/>
        </w:rPr>
        <w:footnoteRef/>
      </w:r>
      <w:r>
        <w:t xml:space="preserve"> </w:t>
      </w:r>
      <w:r>
        <w:t xml:space="preserve">Hendershot 2025, PMID 39937469.</w:t>
      </w:r>
    </w:p>
  </w:footnote>
  <w:footnote w:id="446">
    <w:p>
      <w:pPr>
        <w:pStyle w:val="FootnoteText"/>
      </w:pPr>
      <w:r>
        <w:rPr>
          <w:rStyle w:val="FootnoteReference"/>
        </w:rPr>
        <w:footnoteRef/>
      </w:r>
      <w:r>
        <w:t xml:space="preserve"> </w:t>
      </w:r>
      <w:r>
        <w:t xml:space="preserve">Lähteenvuo 2025, PMID 39535805.</w:t>
      </w:r>
    </w:p>
  </w:footnote>
  <w:footnote w:id="449">
    <w:p>
      <w:pPr>
        <w:pStyle w:val="FootnoteText"/>
      </w:pPr>
      <w:r>
        <w:rPr>
          <w:rStyle w:val="FootnoteReference"/>
        </w:rPr>
        <w:footnoteRef/>
      </w:r>
      <w:r>
        <w:t xml:space="preserve"> </w:t>
      </w:r>
      <w:r>
        <w:t xml:space="preserve">Lau 2015, PMID 26308095.</w:t>
      </w:r>
    </w:p>
  </w:footnote>
  <w:footnote w:id="450">
    <w:p>
      <w:pPr>
        <w:pStyle w:val="FootnoteText"/>
      </w:pPr>
      <w:r>
        <w:rPr>
          <w:rStyle w:val="FootnoteReference"/>
        </w:rPr>
        <w:footnoteRef/>
      </w:r>
      <w:r>
        <w:t xml:space="preserve"> </w:t>
      </w:r>
      <w:r>
        <w:t xml:space="preserve">Buckley 2018, PMID 30429357.</w:t>
      </w:r>
    </w:p>
  </w:footnote>
  <w:footnote w:id="451">
    <w:p>
      <w:pPr>
        <w:pStyle w:val="FootnoteText"/>
      </w:pPr>
      <w:r>
        <w:rPr>
          <w:rStyle w:val="FootnoteReference"/>
        </w:rPr>
        <w:footnoteRef/>
      </w:r>
      <w:r>
        <w:t xml:space="preserve"> </w:t>
      </w:r>
      <w:r>
        <w:t xml:space="preserve">Bjerre Knudsen 2010, PMID 20203154.</w:t>
      </w:r>
    </w:p>
  </w:footnote>
  <w:footnote w:id="453">
    <w:p>
      <w:pPr>
        <w:pStyle w:val="FootnoteText"/>
      </w:pPr>
      <w:r>
        <w:rPr>
          <w:rStyle w:val="FootnoteReference"/>
        </w:rPr>
        <w:footnoteRef/>
      </w:r>
      <w:r>
        <w:t xml:space="preserve"> </w:t>
      </w:r>
      <w:r>
        <w:t xml:space="preserve">Wilding 2021, PMID 33567185.</w:t>
      </w:r>
    </w:p>
  </w:footnote>
  <w:footnote w:id="454">
    <w:p>
      <w:pPr>
        <w:pStyle w:val="FootnoteText"/>
      </w:pPr>
      <w:r>
        <w:rPr>
          <w:rStyle w:val="FootnoteReference"/>
        </w:rPr>
        <w:footnoteRef/>
      </w:r>
      <w:r>
        <w:t xml:space="preserve"> </w:t>
      </w:r>
      <w:r>
        <w:t xml:space="preserve">He 2022, PMID 35344001.</w:t>
      </w:r>
    </w:p>
  </w:footnote>
  <w:footnote w:id="455">
    <w:p>
      <w:pPr>
        <w:pStyle w:val="FootnoteText"/>
      </w:pPr>
      <w:r>
        <w:rPr>
          <w:rStyle w:val="FootnoteReference"/>
        </w:rPr>
        <w:footnoteRef/>
      </w:r>
      <w:r>
        <w:t xml:space="preserve"> </w:t>
      </w:r>
      <w:r>
        <w:t xml:space="preserve">Weghuber 2022, PMID 36322838.</w:t>
      </w:r>
    </w:p>
  </w:footnote>
  <w:footnote w:id="456">
    <w:p>
      <w:pPr>
        <w:pStyle w:val="FootnoteText"/>
      </w:pPr>
      <w:r>
        <w:rPr>
          <w:rStyle w:val="FootnoteReference"/>
        </w:rPr>
        <w:footnoteRef/>
      </w:r>
      <w:r>
        <w:t xml:space="preserve"> </w:t>
      </w:r>
      <w:r>
        <w:t xml:space="preserve">Marso 2016, PMID 27633186.</w:t>
      </w:r>
    </w:p>
  </w:footnote>
  <w:footnote w:id="457">
    <w:p>
      <w:pPr>
        <w:pStyle w:val="FootnoteText"/>
      </w:pPr>
      <w:r>
        <w:rPr>
          <w:rStyle w:val="FootnoteReference"/>
        </w:rPr>
        <w:footnoteRef/>
      </w:r>
      <w:r>
        <w:t xml:space="preserve"> </w:t>
      </w:r>
      <w:r>
        <w:t xml:space="preserve">NCT03811561.</w:t>
      </w:r>
    </w:p>
  </w:footnote>
  <w:footnote w:id="458">
    <w:p>
      <w:pPr>
        <w:pStyle w:val="FootnoteText"/>
      </w:pPr>
      <w:r>
        <w:rPr>
          <w:rStyle w:val="FootnoteReference"/>
        </w:rPr>
        <w:footnoteRef/>
      </w:r>
      <w:r>
        <w:t xml:space="preserve"> </w:t>
      </w:r>
      <w:r>
        <w:t xml:space="preserve">Hathaway 2024, PMID 38958939.</w:t>
      </w:r>
    </w:p>
  </w:footnote>
  <w:footnote w:id="459">
    <w:p>
      <w:pPr>
        <w:pStyle w:val="FootnoteText"/>
      </w:pPr>
      <w:r>
        <w:rPr>
          <w:rStyle w:val="FootnoteReference"/>
        </w:rPr>
        <w:footnoteRef/>
      </w:r>
      <w:r>
        <w:t xml:space="preserve"> </w:t>
      </w:r>
      <w:r>
        <w:t xml:space="preserve">Simonsen 2025, PMID 40098249.</w:t>
      </w:r>
    </w:p>
  </w:footnote>
  <w:footnote w:id="460">
    <w:p>
      <w:pPr>
        <w:pStyle w:val="FootnoteText"/>
      </w:pPr>
      <w:r>
        <w:rPr>
          <w:rStyle w:val="FootnoteReference"/>
        </w:rPr>
        <w:footnoteRef/>
      </w:r>
      <w:r>
        <w:t xml:space="preserve"> </w:t>
      </w:r>
      <w:r>
        <w:t xml:space="preserve">Liu 2026, PMID 41475544.</w:t>
      </w:r>
    </w:p>
  </w:footnote>
  <w:footnote w:id="461">
    <w:p>
      <w:pPr>
        <w:pStyle w:val="FootnoteText"/>
      </w:pPr>
      <w:r>
        <w:rPr>
          <w:rStyle w:val="FootnoteReference"/>
        </w:rPr>
        <w:footnoteRef/>
      </w:r>
      <w:r>
        <w:t xml:space="preserve"> </w:t>
      </w:r>
      <w:r>
        <w:t xml:space="preserve">Sodhi 2023, PMID 37796527.</w:t>
      </w:r>
    </w:p>
  </w:footnote>
  <w:footnote w:id="462">
    <w:p>
      <w:pPr>
        <w:pStyle w:val="FootnoteText"/>
      </w:pPr>
      <w:r>
        <w:rPr>
          <w:rStyle w:val="FootnoteReference"/>
        </w:rPr>
        <w:footnoteRef/>
      </w:r>
      <w:r>
        <w:t xml:space="preserve"> </w:t>
      </w:r>
      <w:r>
        <w:t xml:space="preserve">Bezin 2023, PMID 36356111; Silverii 2025, PMID 40437949.</w:t>
      </w:r>
    </w:p>
  </w:footnote>
  <w:footnote w:id="463">
    <w:p>
      <w:pPr>
        <w:pStyle w:val="FootnoteText"/>
      </w:pPr>
      <w:r>
        <w:rPr>
          <w:rStyle w:val="FootnoteReference"/>
        </w:rPr>
        <w:footnoteRef/>
      </w:r>
      <w:r>
        <w:t xml:space="preserve"> </w:t>
      </w:r>
      <w:r>
        <w:t xml:space="preserve">Wang 2024, PMID 38182782.</w:t>
      </w:r>
    </w:p>
  </w:footnote>
  <w:footnote w:id="465">
    <w:p>
      <w:pPr>
        <w:pStyle w:val="FootnoteText"/>
      </w:pPr>
      <w:r>
        <w:rPr>
          <w:rStyle w:val="FootnoteReference"/>
        </w:rPr>
        <w:footnoteRef/>
      </w:r>
      <w:r>
        <w:t xml:space="preserve"> </w:t>
      </w:r>
      <w:r>
        <w:t xml:space="preserve">Lambson 2023, PMID 37392810.</w:t>
      </w:r>
    </w:p>
  </w:footnote>
  <w:footnote w:id="466">
    <w:p>
      <w:pPr>
        <w:pStyle w:val="FootnoteText"/>
      </w:pPr>
      <w:r>
        <w:rPr>
          <w:rStyle w:val="FootnoteReference"/>
        </w:rPr>
        <w:footnoteRef/>
      </w:r>
      <w:r>
        <w:t xml:space="preserve"> </w:t>
      </w:r>
      <w:r>
        <w:t xml:space="preserve">McCall 2026, PMID 40285721.</w:t>
      </w:r>
    </w:p>
  </w:footnote>
  <w:footnote w:id="467">
    <w:p>
      <w:pPr>
        <w:pStyle w:val="FootnoteText"/>
      </w:pPr>
      <w:r>
        <w:rPr>
          <w:rStyle w:val="FootnoteReference"/>
        </w:rPr>
        <w:footnoteRef/>
      </w:r>
      <w:r>
        <w:t xml:space="preserve"> </w:t>
      </w:r>
      <w:r>
        <w:t xml:space="preserve">Ashraf 2024, PMID 39509151.</w:t>
      </w:r>
    </w:p>
  </w:footnote>
  <w:footnote w:id="470">
    <w:p>
      <w:pPr>
        <w:pStyle w:val="FootnoteText"/>
      </w:pPr>
      <w:r>
        <w:rPr>
          <w:rStyle w:val="FootnoteReference"/>
        </w:rPr>
        <w:footnoteRef/>
      </w:r>
      <w:r>
        <w:t xml:space="preserve"> </w:t>
      </w:r>
      <w:r>
        <w:t xml:space="preserve">NCT03811561.</w:t>
      </w:r>
    </w:p>
  </w:footnote>
  <w:footnote w:id="471">
    <w:p>
      <w:pPr>
        <w:pStyle w:val="FootnoteText"/>
      </w:pPr>
      <w:r>
        <w:rPr>
          <w:rStyle w:val="FootnoteReference"/>
        </w:rPr>
        <w:footnoteRef/>
      </w:r>
      <w:r>
        <w:t xml:space="preserve"> </w:t>
      </w:r>
      <w:r>
        <w:t xml:space="preserve">NCT04822181.</w:t>
      </w:r>
    </w:p>
  </w:footnote>
  <w:footnote w:id="472">
    <w:p>
      <w:pPr>
        <w:pStyle w:val="FootnoteText"/>
      </w:pPr>
      <w:r>
        <w:rPr>
          <w:rStyle w:val="FootnoteReference"/>
        </w:rPr>
        <w:footnoteRef/>
      </w:r>
      <w:r>
        <w:t xml:space="preserve"> </w:t>
      </w:r>
      <w:r>
        <w:t xml:space="preserve">NCT05726227.</w:t>
      </w:r>
    </w:p>
  </w:footnote>
  <w:footnote w:id="473">
    <w:p>
      <w:pPr>
        <w:pStyle w:val="FootnoteText"/>
      </w:pPr>
      <w:r>
        <w:rPr>
          <w:rStyle w:val="FootnoteReference"/>
        </w:rPr>
        <w:footnoteRef/>
      </w:r>
      <w:r>
        <w:t xml:space="preserve"> </w:t>
      </w:r>
      <w:r>
        <w:t xml:space="preserve">NCT07770841.</w:t>
      </w:r>
    </w:p>
  </w:footnote>
  <w:footnote w:id="474">
    <w:p>
      <w:pPr>
        <w:pStyle w:val="FootnoteText"/>
      </w:pPr>
      <w:r>
        <w:rPr>
          <w:rStyle w:val="FootnoteReference"/>
        </w:rPr>
        <w:footnoteRef/>
      </w:r>
      <w:r>
        <w:t xml:space="preserve"> </w:t>
      </w:r>
      <w:r>
        <w:t xml:space="preserve">NCT05669755.</w:t>
      </w:r>
    </w:p>
  </w:footnote>
  <w:footnote w:id="479">
    <w:p>
      <w:pPr>
        <w:pStyle w:val="FootnoteText"/>
      </w:pPr>
      <w:r>
        <w:rPr>
          <w:rStyle w:val="FootnoteReference"/>
        </w:rPr>
        <w:footnoteRef/>
      </w:r>
      <w:r>
        <w:t xml:space="preserve"> </w:t>
      </w:r>
      <w:r>
        <w:t xml:space="preserve">Willard 2020, PMID 32730231.</w:t>
      </w:r>
    </w:p>
  </w:footnote>
  <w:footnote w:id="480">
    <w:p>
      <w:pPr>
        <w:pStyle w:val="FootnoteText"/>
      </w:pPr>
      <w:r>
        <w:rPr>
          <w:rStyle w:val="FootnoteReference"/>
        </w:rPr>
        <w:footnoteRef/>
      </w:r>
      <w:r>
        <w:t xml:space="preserve"> </w:t>
      </w:r>
      <w:r>
        <w:t xml:space="preserve">Samms 2021, PMID 34003802.</w:t>
      </w:r>
    </w:p>
  </w:footnote>
  <w:footnote w:id="481">
    <w:p>
      <w:pPr>
        <w:pStyle w:val="FootnoteText"/>
      </w:pPr>
      <w:r>
        <w:rPr>
          <w:rStyle w:val="FootnoteReference"/>
        </w:rPr>
        <w:footnoteRef/>
      </w:r>
      <w:r>
        <w:t xml:space="preserve"> </w:t>
      </w:r>
      <w:r>
        <w:t xml:space="preserve">Heise 2023, PMID 36857477.</w:t>
      </w:r>
    </w:p>
  </w:footnote>
  <w:footnote w:id="483">
    <w:p>
      <w:pPr>
        <w:pStyle w:val="FootnoteText"/>
      </w:pPr>
      <w:r>
        <w:rPr>
          <w:rStyle w:val="FootnoteReference"/>
        </w:rPr>
        <w:footnoteRef/>
      </w:r>
      <w:r>
        <w:t xml:space="preserve"> </w:t>
      </w:r>
      <w:r>
        <w:t xml:space="preserve">Coskun 2018, PMID 30473097.</w:t>
      </w:r>
    </w:p>
  </w:footnote>
  <w:footnote w:id="484">
    <w:p>
      <w:pPr>
        <w:pStyle w:val="FootnoteText"/>
      </w:pPr>
      <w:r>
        <w:rPr>
          <w:rStyle w:val="FootnoteReference"/>
        </w:rPr>
        <w:footnoteRef/>
      </w:r>
      <w:r>
        <w:t xml:space="preserve"> </w:t>
      </w:r>
      <w:r>
        <w:t xml:space="preserve">Frias 2018, PMID 30293770.</w:t>
      </w:r>
    </w:p>
  </w:footnote>
  <w:footnote w:id="486">
    <w:p>
      <w:pPr>
        <w:pStyle w:val="FootnoteText"/>
      </w:pPr>
      <w:r>
        <w:rPr>
          <w:rStyle w:val="FootnoteReference"/>
        </w:rPr>
        <w:footnoteRef/>
      </w:r>
      <w:r>
        <w:t xml:space="preserve"> </w:t>
      </w:r>
      <w:r>
        <w:t xml:space="preserve">Frías 2021, PMID 34170647.</w:t>
      </w:r>
    </w:p>
  </w:footnote>
  <w:footnote w:id="487">
    <w:p>
      <w:pPr>
        <w:pStyle w:val="FootnoteText"/>
      </w:pPr>
      <w:r>
        <w:rPr>
          <w:rStyle w:val="FootnoteReference"/>
        </w:rPr>
        <w:footnoteRef/>
      </w:r>
      <w:r>
        <w:t xml:space="preserve"> </w:t>
      </w:r>
      <w:r>
        <w:t xml:space="preserve">Ludvik 2021, PMID 34370970.</w:t>
      </w:r>
    </w:p>
  </w:footnote>
  <w:footnote w:id="488">
    <w:p>
      <w:pPr>
        <w:pStyle w:val="FootnoteText"/>
      </w:pPr>
      <w:r>
        <w:rPr>
          <w:rStyle w:val="FootnoteReference"/>
        </w:rPr>
        <w:footnoteRef/>
      </w:r>
      <w:r>
        <w:t xml:space="preserve"> </w:t>
      </w:r>
      <w:r>
        <w:t xml:space="preserve">Hannon 2025, PMID 40975112.</w:t>
      </w:r>
    </w:p>
  </w:footnote>
  <w:footnote w:id="489">
    <w:p>
      <w:pPr>
        <w:pStyle w:val="FootnoteText"/>
      </w:pPr>
      <w:r>
        <w:rPr>
          <w:rStyle w:val="FootnoteReference"/>
        </w:rPr>
        <w:footnoteRef/>
      </w:r>
      <w:r>
        <w:t xml:space="preserve"> </w:t>
      </w:r>
      <w:r>
        <w:t xml:space="preserve">Snaith 2026, PMID 41264593.</w:t>
      </w:r>
    </w:p>
  </w:footnote>
  <w:footnote w:id="490">
    <w:p>
      <w:pPr>
        <w:pStyle w:val="FootnoteText"/>
      </w:pPr>
      <w:r>
        <w:rPr>
          <w:rStyle w:val="FootnoteReference"/>
        </w:rPr>
        <w:footnoteRef/>
      </w:r>
      <w:r>
        <w:t xml:space="preserve"> </w:t>
      </w:r>
      <w:r>
        <w:t xml:space="preserve">Sattar 2022, PMID 35210595.</w:t>
      </w:r>
    </w:p>
  </w:footnote>
  <w:footnote w:id="492">
    <w:p>
      <w:pPr>
        <w:pStyle w:val="FootnoteText"/>
      </w:pPr>
      <w:r>
        <w:rPr>
          <w:rStyle w:val="FootnoteReference"/>
        </w:rPr>
        <w:footnoteRef/>
      </w:r>
      <w:r>
        <w:t xml:space="preserve"> </w:t>
      </w:r>
      <w:r>
        <w:t xml:space="preserve">Nicholls 2025, PMID 41406444.</w:t>
      </w:r>
    </w:p>
  </w:footnote>
  <w:footnote w:id="493">
    <w:p>
      <w:pPr>
        <w:pStyle w:val="FootnoteText"/>
      </w:pPr>
      <w:r>
        <w:rPr>
          <w:rStyle w:val="FootnoteReference"/>
        </w:rPr>
        <w:footnoteRef/>
      </w:r>
      <w:r>
        <w:t xml:space="preserve"> </w:t>
      </w:r>
      <w:r>
        <w:t xml:space="preserve">Nissen 2026, PMID 41903177.</w:t>
      </w:r>
    </w:p>
  </w:footnote>
  <w:footnote w:id="494">
    <w:p>
      <w:pPr>
        <w:pStyle w:val="FootnoteText"/>
      </w:pPr>
      <w:r>
        <w:rPr>
          <w:rStyle w:val="FootnoteReference"/>
        </w:rPr>
        <w:footnoteRef/>
      </w:r>
      <w:r>
        <w:t xml:space="preserve"> </w:t>
      </w:r>
      <w:r>
        <w:t xml:space="preserve">Sattar 2026, PMID 41940793.</w:t>
      </w:r>
    </w:p>
  </w:footnote>
  <w:footnote w:id="496">
    <w:p>
      <w:pPr>
        <w:pStyle w:val="FootnoteText"/>
      </w:pPr>
      <w:r>
        <w:rPr>
          <w:rStyle w:val="FootnoteReference"/>
        </w:rPr>
        <w:footnoteRef/>
      </w:r>
      <w:r>
        <w:t xml:space="preserve"> </w:t>
      </w:r>
      <w:r>
        <w:t xml:space="preserve">Jastreboff 2022, PMID 35658024.</w:t>
      </w:r>
    </w:p>
  </w:footnote>
  <w:footnote w:id="497">
    <w:p>
      <w:pPr>
        <w:pStyle w:val="FootnoteText"/>
      </w:pPr>
      <w:r>
        <w:rPr>
          <w:rStyle w:val="FootnoteReference"/>
        </w:rPr>
        <w:footnoteRef/>
      </w:r>
      <w:r>
        <w:t xml:space="preserve"> </w:t>
      </w:r>
      <w:r>
        <w:t xml:space="preserve">Garvey 2023, PMID 37385275.</w:t>
      </w:r>
    </w:p>
  </w:footnote>
  <w:footnote w:id="498">
    <w:p>
      <w:pPr>
        <w:pStyle w:val="FootnoteText"/>
      </w:pPr>
      <w:r>
        <w:rPr>
          <w:rStyle w:val="FootnoteReference"/>
        </w:rPr>
        <w:footnoteRef/>
      </w:r>
      <w:r>
        <w:t xml:space="preserve"> </w:t>
      </w:r>
      <w:r>
        <w:t xml:space="preserve">Aronne 2024, PMID 38078870.</w:t>
      </w:r>
    </w:p>
  </w:footnote>
  <w:footnote w:id="499">
    <w:p>
      <w:pPr>
        <w:pStyle w:val="FootnoteText"/>
      </w:pPr>
      <w:r>
        <w:rPr>
          <w:rStyle w:val="FootnoteReference"/>
        </w:rPr>
        <w:footnoteRef/>
      </w:r>
      <w:r>
        <w:t xml:space="preserve"> </w:t>
      </w:r>
      <w:r>
        <w:t xml:space="preserve">Horn 2026, PMID 42119587.</w:t>
      </w:r>
    </w:p>
  </w:footnote>
  <w:footnote w:id="500">
    <w:p>
      <w:pPr>
        <w:pStyle w:val="FootnoteText"/>
      </w:pPr>
      <w:r>
        <w:rPr>
          <w:rStyle w:val="FootnoteReference"/>
        </w:rPr>
        <w:footnoteRef/>
      </w:r>
      <w:r>
        <w:t xml:space="preserve"> </w:t>
      </w:r>
      <w:r>
        <w:t xml:space="preserve">Jastreboff 2025, PMID 39536238.</w:t>
      </w:r>
    </w:p>
  </w:footnote>
  <w:footnote w:id="502">
    <w:p>
      <w:pPr>
        <w:pStyle w:val="FootnoteText"/>
      </w:pPr>
      <w:r>
        <w:rPr>
          <w:rStyle w:val="FootnoteReference"/>
        </w:rPr>
        <w:footnoteRef/>
      </w:r>
      <w:r>
        <w:t xml:space="preserve"> </w:t>
      </w:r>
      <w:r>
        <w:t xml:space="preserve">Aronne 2025, PMID 40353578.</w:t>
      </w:r>
    </w:p>
  </w:footnote>
  <w:footnote w:id="503">
    <w:p>
      <w:pPr>
        <w:pStyle w:val="FootnoteText"/>
      </w:pPr>
      <w:r>
        <w:rPr>
          <w:rStyle w:val="FootnoteReference"/>
        </w:rPr>
        <w:footnoteRef/>
      </w:r>
      <w:r>
        <w:t xml:space="preserve"> </w:t>
      </w:r>
      <w:r>
        <w:t xml:space="preserve">Aronne 2026, PMID 41865857.</w:t>
      </w:r>
    </w:p>
  </w:footnote>
  <w:footnote w:id="505">
    <w:p>
      <w:pPr>
        <w:pStyle w:val="FootnoteText"/>
      </w:pPr>
      <w:r>
        <w:rPr>
          <w:rStyle w:val="FootnoteReference"/>
        </w:rPr>
        <w:footnoteRef/>
      </w:r>
      <w:r>
        <w:t xml:space="preserve"> </w:t>
      </w:r>
      <w:r>
        <w:t xml:space="preserve">Packer 2025, PMID 39555826.</w:t>
      </w:r>
    </w:p>
  </w:footnote>
  <w:footnote w:id="506">
    <w:p>
      <w:pPr>
        <w:pStyle w:val="FootnoteText"/>
      </w:pPr>
      <w:r>
        <w:rPr>
          <w:rStyle w:val="FootnoteReference"/>
        </w:rPr>
        <w:footnoteRef/>
      </w:r>
      <w:r>
        <w:t xml:space="preserve"> </w:t>
      </w:r>
      <w:r>
        <w:t xml:space="preserve">Kramer 2025, PMID 39566869.</w:t>
      </w:r>
    </w:p>
  </w:footnote>
  <w:footnote w:id="508">
    <w:p>
      <w:pPr>
        <w:pStyle w:val="FootnoteText"/>
      </w:pPr>
      <w:r>
        <w:rPr>
          <w:rStyle w:val="FootnoteReference"/>
        </w:rPr>
        <w:footnoteRef/>
      </w:r>
      <w:r>
        <w:t xml:space="preserve"> </w:t>
      </w:r>
      <w:r>
        <w:t xml:space="preserve">Malhotra 2024, PMID 38912654.</w:t>
      </w:r>
    </w:p>
  </w:footnote>
  <w:footnote w:id="510">
    <w:p>
      <w:pPr>
        <w:pStyle w:val="FootnoteText"/>
      </w:pPr>
      <w:r>
        <w:rPr>
          <w:rStyle w:val="FootnoteReference"/>
        </w:rPr>
        <w:footnoteRef/>
      </w:r>
      <w:r>
        <w:t xml:space="preserve"> </w:t>
      </w:r>
      <w:r>
        <w:t xml:space="preserve">Loomba 2024, PMID 38856224.</w:t>
      </w:r>
    </w:p>
  </w:footnote>
  <w:footnote w:id="512">
    <w:p>
      <w:pPr>
        <w:pStyle w:val="FootnoteText"/>
      </w:pPr>
      <w:r>
        <w:rPr>
          <w:rStyle w:val="FootnoteReference"/>
        </w:rPr>
        <w:footnoteRef/>
      </w:r>
      <w:r>
        <w:t xml:space="preserve"> </w:t>
      </w:r>
      <w:r>
        <w:t xml:space="preserve">Lebwohl 2026, PMID 42139049.</w:t>
      </w:r>
    </w:p>
  </w:footnote>
  <w:footnote w:id="513">
    <w:p>
      <w:pPr>
        <w:pStyle w:val="FootnoteText"/>
      </w:pPr>
      <w:r>
        <w:rPr>
          <w:rStyle w:val="FootnoteReference"/>
        </w:rPr>
        <w:footnoteRef/>
      </w:r>
      <w:r>
        <w:t xml:space="preserve"> </w:t>
      </w:r>
      <w:r>
        <w:t xml:space="preserve">Look 2025, PMID 39996356.</w:t>
      </w:r>
    </w:p>
  </w:footnote>
  <w:footnote w:id="516">
    <w:p>
      <w:pPr>
        <w:pStyle w:val="FootnoteText"/>
      </w:pPr>
      <w:r>
        <w:rPr>
          <w:rStyle w:val="FootnoteReference"/>
        </w:rPr>
        <w:footnoteRef/>
      </w:r>
      <w:r>
        <w:t xml:space="preserve"> </w:t>
      </w:r>
      <w:r>
        <w:t xml:space="preserve">Coskun 2018, PMID 30473097.</w:t>
      </w:r>
    </w:p>
  </w:footnote>
  <w:footnote w:id="517">
    <w:p>
      <w:pPr>
        <w:pStyle w:val="FootnoteText"/>
      </w:pPr>
      <w:r>
        <w:rPr>
          <w:rStyle w:val="FootnoteReference"/>
        </w:rPr>
        <w:footnoteRef/>
      </w:r>
      <w:r>
        <w:t xml:space="preserve"> </w:t>
      </w:r>
      <w:r>
        <w:t xml:space="preserve">Samms 2021, PMID 34003802.</w:t>
      </w:r>
    </w:p>
  </w:footnote>
  <w:footnote w:id="518">
    <w:p>
      <w:pPr>
        <w:pStyle w:val="FootnoteText"/>
      </w:pPr>
      <w:r>
        <w:rPr>
          <w:rStyle w:val="FootnoteReference"/>
        </w:rPr>
        <w:footnoteRef/>
      </w:r>
      <w:r>
        <w:t xml:space="preserve"> </w:t>
      </w:r>
      <w:r>
        <w:t xml:space="preserve">Martin 2024, PMID 39243911.</w:t>
      </w:r>
    </w:p>
  </w:footnote>
  <w:footnote w:id="520">
    <w:p>
      <w:pPr>
        <w:pStyle w:val="FootnoteText"/>
      </w:pPr>
      <w:r>
        <w:rPr>
          <w:rStyle w:val="FootnoteReference"/>
        </w:rPr>
        <w:footnoteRef/>
      </w:r>
      <w:r>
        <w:t xml:space="preserve"> </w:t>
      </w:r>
      <w:r>
        <w:t xml:space="preserve">Ludvik 2021, PMID 34370970.</w:t>
      </w:r>
    </w:p>
  </w:footnote>
  <w:footnote w:id="521">
    <w:p>
      <w:pPr>
        <w:pStyle w:val="FootnoteText"/>
      </w:pPr>
      <w:r>
        <w:rPr>
          <w:rStyle w:val="FootnoteReference"/>
        </w:rPr>
        <w:footnoteRef/>
      </w:r>
      <w:r>
        <w:t xml:space="preserve"> </w:t>
      </w:r>
      <w:r>
        <w:t xml:space="preserve">Zeng 2023, PMID 37908750.</w:t>
      </w:r>
    </w:p>
  </w:footnote>
  <w:footnote w:id="522">
    <w:p>
      <w:pPr>
        <w:pStyle w:val="FootnoteText"/>
      </w:pPr>
      <w:r>
        <w:rPr>
          <w:rStyle w:val="FootnoteReference"/>
        </w:rPr>
        <w:footnoteRef/>
      </w:r>
      <w:r>
        <w:t xml:space="preserve"> </w:t>
      </w:r>
      <w:r>
        <w:t xml:space="preserve">Del Prato 2021, PMID 34672967.</w:t>
      </w:r>
    </w:p>
  </w:footnote>
  <w:footnote w:id="523">
    <w:p>
      <w:pPr>
        <w:pStyle w:val="FootnoteText"/>
      </w:pPr>
      <w:r>
        <w:rPr>
          <w:rStyle w:val="FootnoteReference"/>
        </w:rPr>
        <w:footnoteRef/>
      </w:r>
      <w:r>
        <w:t xml:space="preserve"> </w:t>
      </w:r>
      <w:r>
        <w:t xml:space="preserve">Wadden 2026, PMID 41537305.</w:t>
      </w:r>
    </w:p>
  </w:footnote>
  <w:footnote w:id="524">
    <w:p>
      <w:pPr>
        <w:pStyle w:val="FootnoteText"/>
      </w:pPr>
      <w:r>
        <w:rPr>
          <w:rStyle w:val="FootnoteReference"/>
        </w:rPr>
        <w:footnoteRef/>
      </w:r>
      <w:r>
        <w:t xml:space="preserve"> </w:t>
      </w:r>
      <w:r>
        <w:t xml:space="preserve">Look 2025, PMID 39996356.</w:t>
      </w:r>
    </w:p>
  </w:footnote>
  <w:footnote w:id="525">
    <w:p>
      <w:pPr>
        <w:pStyle w:val="FootnoteText"/>
      </w:pPr>
      <w:r>
        <w:rPr>
          <w:rStyle w:val="FootnoteReference"/>
        </w:rPr>
        <w:footnoteRef/>
      </w:r>
      <w:r>
        <w:t xml:space="preserve"> </w:t>
      </w:r>
      <w:r>
        <w:t xml:space="preserve">Caruso 2024, PMID 39141075.</w:t>
      </w:r>
    </w:p>
  </w:footnote>
  <w:footnote w:id="526">
    <w:p>
      <w:pPr>
        <w:pStyle w:val="FootnoteText"/>
      </w:pPr>
      <w:r>
        <w:rPr>
          <w:rStyle w:val="FootnoteReference"/>
        </w:rPr>
        <w:footnoteRef/>
      </w:r>
      <w:r>
        <w:t xml:space="preserve"> </w:t>
      </w:r>
      <w:r>
        <w:t xml:space="preserve">Crisafulli 2026, PMID 41183330.</w:t>
      </w:r>
    </w:p>
  </w:footnote>
  <w:footnote w:id="527">
    <w:p>
      <w:pPr>
        <w:pStyle w:val="FootnoteText"/>
      </w:pPr>
      <w:r>
        <w:rPr>
          <w:rStyle w:val="FootnoteReference"/>
        </w:rPr>
        <w:footnoteRef/>
      </w:r>
      <w:r>
        <w:t xml:space="preserve"> </w:t>
      </w:r>
      <w:r>
        <w:t xml:space="preserve">Belcourt 2026, PMID 41689811.</w:t>
      </w:r>
    </w:p>
  </w:footnote>
  <w:footnote w:id="530">
    <w:p>
      <w:pPr>
        <w:pStyle w:val="FootnoteText"/>
      </w:pPr>
      <w:r>
        <w:rPr>
          <w:rStyle w:val="FootnoteReference"/>
        </w:rPr>
        <w:footnoteRef/>
      </w:r>
      <w:r>
        <w:t xml:space="preserve"> </w:t>
      </w:r>
      <w:r>
        <w:t xml:space="preserve">NCT05556512.</w:t>
      </w:r>
    </w:p>
  </w:footnote>
  <w:footnote w:id="531">
    <w:p>
      <w:pPr>
        <w:pStyle w:val="FootnoteText"/>
      </w:pPr>
      <w:r>
        <w:rPr>
          <w:rStyle w:val="FootnoteReference"/>
        </w:rPr>
        <w:footnoteRef/>
      </w:r>
      <w:r>
        <w:t xml:space="preserve"> </w:t>
      </w:r>
      <w:r>
        <w:t xml:space="preserve">Lam 2025, PMID 40545827.</w:t>
      </w:r>
    </w:p>
  </w:footnote>
  <w:footnote w:id="532">
    <w:p>
      <w:pPr>
        <w:pStyle w:val="FootnoteText"/>
      </w:pPr>
      <w:r>
        <w:rPr>
          <w:rStyle w:val="FootnoteReference"/>
        </w:rPr>
        <w:footnoteRef/>
      </w:r>
      <w:r>
        <w:t xml:space="preserve"> </w:t>
      </w:r>
      <w:r>
        <w:t xml:space="preserve">NCT07165028.</w:t>
      </w:r>
    </w:p>
  </w:footnote>
  <w:footnote w:id="533">
    <w:p>
      <w:pPr>
        <w:pStyle w:val="FootnoteText"/>
      </w:pPr>
      <w:r>
        <w:rPr>
          <w:rStyle w:val="FootnoteReference"/>
        </w:rPr>
        <w:footnoteRef/>
      </w:r>
      <w:r>
        <w:t xml:space="preserve"> </w:t>
      </w:r>
      <w:r>
        <w:t xml:space="preserve">NCT06914895, NCT06962280.</w:t>
      </w:r>
    </w:p>
  </w:footnote>
  <w:footnote w:id="534">
    <w:p>
      <w:pPr>
        <w:pStyle w:val="FootnoteText"/>
      </w:pPr>
      <w:r>
        <w:rPr>
          <w:rStyle w:val="FootnoteReference"/>
        </w:rPr>
        <w:footnoteRef/>
      </w:r>
      <w:r>
        <w:t xml:space="preserve"> </w:t>
      </w:r>
      <w:r>
        <w:t xml:space="preserve">NCT07817875.</w:t>
      </w:r>
    </w:p>
  </w:footnote>
  <w:footnote w:id="539">
    <w:p>
      <w:pPr>
        <w:pStyle w:val="FootnoteText"/>
      </w:pPr>
      <w:r>
        <w:rPr>
          <w:rStyle w:val="FootnoteReference"/>
        </w:rPr>
        <w:footnoteRef/>
      </w:r>
      <w:r>
        <w:t xml:space="preserve"> </w:t>
      </w:r>
      <w:r>
        <w:t xml:space="preserve">Coskun 2022, PMID 35985340.</w:t>
      </w:r>
    </w:p>
  </w:footnote>
  <w:footnote w:id="540">
    <w:p>
      <w:pPr>
        <w:pStyle w:val="FootnoteText"/>
      </w:pPr>
      <w:r>
        <w:rPr>
          <w:rStyle w:val="FootnoteReference"/>
        </w:rPr>
        <w:footnoteRef/>
      </w:r>
      <w:r>
        <w:t xml:space="preserve"> </w:t>
      </w:r>
      <w:r>
        <w:t xml:space="preserve">NCT06313528.</w:t>
      </w:r>
    </w:p>
  </w:footnote>
  <w:footnote w:id="541">
    <w:p>
      <w:pPr>
        <w:pStyle w:val="FootnoteText"/>
      </w:pPr>
      <w:r>
        <w:rPr>
          <w:rStyle w:val="FootnoteReference"/>
        </w:rPr>
        <w:footnoteRef/>
      </w:r>
      <w:r>
        <w:t xml:space="preserve"> </w:t>
      </w:r>
      <w:r>
        <w:t xml:space="preserve">Kanu 2025, PMID 40916752.</w:t>
      </w:r>
    </w:p>
  </w:footnote>
  <w:footnote w:id="543">
    <w:p>
      <w:pPr>
        <w:pStyle w:val="FootnoteText"/>
      </w:pPr>
      <w:r>
        <w:rPr>
          <w:rStyle w:val="FootnoteReference"/>
        </w:rPr>
        <w:footnoteRef/>
      </w:r>
      <w:r>
        <w:t xml:space="preserve"> </w:t>
      </w:r>
      <w:r>
        <w:t xml:space="preserve">Coskun 2022, PMID 35985340.</w:t>
      </w:r>
    </w:p>
  </w:footnote>
  <w:footnote w:id="544">
    <w:p>
      <w:pPr>
        <w:pStyle w:val="FootnoteText"/>
      </w:pPr>
      <w:r>
        <w:rPr>
          <w:rStyle w:val="FootnoteReference"/>
        </w:rPr>
        <w:footnoteRef/>
      </w:r>
      <w:r>
        <w:t xml:space="preserve"> </w:t>
      </w:r>
      <w:r>
        <w:t xml:space="preserve">Urva 2022, PMID 36354040.</w:t>
      </w:r>
    </w:p>
  </w:footnote>
  <w:footnote w:id="546">
    <w:p>
      <w:pPr>
        <w:pStyle w:val="FootnoteText"/>
      </w:pPr>
      <w:r>
        <w:rPr>
          <w:rStyle w:val="FootnoteReference"/>
        </w:rPr>
        <w:footnoteRef/>
      </w:r>
      <w:r>
        <w:t xml:space="preserve"> </w:t>
      </w:r>
      <w:r>
        <w:t xml:space="preserve">Jastreboff 2023, PMID 37366315.</w:t>
      </w:r>
    </w:p>
  </w:footnote>
  <w:footnote w:id="547">
    <w:p>
      <w:pPr>
        <w:pStyle w:val="FootnoteText"/>
      </w:pPr>
      <w:r>
        <w:rPr>
          <w:rStyle w:val="FootnoteReference"/>
        </w:rPr>
        <w:footnoteRef/>
      </w:r>
      <w:r>
        <w:t xml:space="preserve"> </w:t>
      </w:r>
      <w:r>
        <w:t xml:space="preserve">Rosenstock 2023, PMID 37385280.</w:t>
      </w:r>
    </w:p>
  </w:footnote>
  <w:footnote w:id="548">
    <w:p>
      <w:pPr>
        <w:pStyle w:val="FootnoteText"/>
      </w:pPr>
      <w:r>
        <w:rPr>
          <w:rStyle w:val="FootnoteReference"/>
        </w:rPr>
        <w:footnoteRef/>
      </w:r>
      <w:r>
        <w:t xml:space="preserve"> </w:t>
      </w:r>
      <w:r>
        <w:t xml:space="preserve">Coskun 2025, PMID 40609566.</w:t>
      </w:r>
    </w:p>
  </w:footnote>
  <w:footnote w:id="549">
    <w:p>
      <w:pPr>
        <w:pStyle w:val="FootnoteText"/>
      </w:pPr>
      <w:r>
        <w:rPr>
          <w:rStyle w:val="FootnoteReference"/>
        </w:rPr>
        <w:footnoteRef/>
      </w:r>
      <w:r>
        <w:t xml:space="preserve"> </w:t>
      </w:r>
      <w:r>
        <w:t xml:space="preserve">Sanyal 2024, PMID 38858523.</w:t>
      </w:r>
    </w:p>
  </w:footnote>
  <w:footnote w:id="550">
    <w:p>
      <w:pPr>
        <w:pStyle w:val="FootnoteText"/>
      </w:pPr>
      <w:r>
        <w:rPr>
          <w:rStyle w:val="FootnoteReference"/>
        </w:rPr>
        <w:footnoteRef/>
      </w:r>
      <w:r>
        <w:t xml:space="preserve"> </w:t>
      </w:r>
      <w:r>
        <w:t xml:space="preserve">Ruotolo 2026, PMID 42608321.</w:t>
      </w:r>
    </w:p>
  </w:footnote>
  <w:footnote w:id="552">
    <w:p>
      <w:pPr>
        <w:pStyle w:val="FootnoteText"/>
      </w:pPr>
      <w:r>
        <w:rPr>
          <w:rStyle w:val="FootnoteReference"/>
        </w:rPr>
        <w:footnoteRef/>
      </w:r>
      <w:r>
        <w:t xml:space="preserve"> </w:t>
      </w:r>
      <w:r>
        <w:t xml:space="preserve">Giblin 2026, PMID 41090431.</w:t>
      </w:r>
    </w:p>
  </w:footnote>
  <w:footnote w:id="553">
    <w:p>
      <w:pPr>
        <w:pStyle w:val="FootnoteText"/>
      </w:pPr>
      <w:r>
        <w:rPr>
          <w:rStyle w:val="FootnoteReference"/>
        </w:rPr>
        <w:footnoteRef/>
      </w:r>
      <w:r>
        <w:t xml:space="preserve"> </w:t>
      </w:r>
      <w:r>
        <w:t xml:space="preserve">Jastreboff 2026, PMID 42814954.</w:t>
      </w:r>
    </w:p>
  </w:footnote>
  <w:footnote w:id="554">
    <w:p>
      <w:pPr>
        <w:pStyle w:val="FootnoteText"/>
      </w:pPr>
      <w:r>
        <w:rPr>
          <w:rStyle w:val="FootnoteReference"/>
        </w:rPr>
        <w:footnoteRef/>
      </w:r>
      <w:r>
        <w:t xml:space="preserve"> </w:t>
      </w:r>
      <w:r>
        <w:t xml:space="preserve">Bellido 2026, PMID 42810372.</w:t>
      </w:r>
    </w:p>
  </w:footnote>
  <w:footnote w:id="555">
    <w:p>
      <w:pPr>
        <w:pStyle w:val="FootnoteText"/>
      </w:pPr>
      <w:r>
        <w:rPr>
          <w:rStyle w:val="FootnoteReference"/>
        </w:rPr>
        <w:footnoteRef/>
      </w:r>
      <w:r>
        <w:t xml:space="preserve"> </w:t>
      </w:r>
      <w:r>
        <w:t xml:space="preserve">Bajaj 2026, PMID 42250575.</w:t>
      </w:r>
    </w:p>
  </w:footnote>
  <w:footnote w:id="558">
    <w:p>
      <w:pPr>
        <w:pStyle w:val="FootnoteText"/>
      </w:pPr>
      <w:r>
        <w:rPr>
          <w:rStyle w:val="FootnoteReference"/>
        </w:rPr>
        <w:footnoteRef/>
      </w:r>
      <w:r>
        <w:t xml:space="preserve"> </w:t>
      </w:r>
      <w:r>
        <w:t xml:space="preserve">Coskun 2022, PMID 35985340.</w:t>
      </w:r>
    </w:p>
  </w:footnote>
  <w:footnote w:id="559">
    <w:p>
      <w:pPr>
        <w:pStyle w:val="FootnoteText"/>
      </w:pPr>
      <w:r>
        <w:rPr>
          <w:rStyle w:val="FootnoteReference"/>
        </w:rPr>
        <w:footnoteRef/>
      </w:r>
      <w:r>
        <w:t xml:space="preserve"> </w:t>
      </w:r>
      <w:r>
        <w:t xml:space="preserve">Marathe 2025, PMID 40094000.</w:t>
      </w:r>
    </w:p>
  </w:footnote>
  <w:footnote w:id="560">
    <w:p>
      <w:pPr>
        <w:pStyle w:val="FootnoteText"/>
      </w:pPr>
      <w:r>
        <w:rPr>
          <w:rStyle w:val="FootnoteReference"/>
        </w:rPr>
        <w:footnoteRef/>
      </w:r>
      <w:r>
        <w:t xml:space="preserve"> </w:t>
      </w:r>
      <w:r>
        <w:t xml:space="preserve">Carneiro 2026, PMID 42745421.</w:t>
      </w:r>
    </w:p>
  </w:footnote>
  <w:footnote w:id="562">
    <w:p>
      <w:pPr>
        <w:pStyle w:val="FootnoteText"/>
      </w:pPr>
      <w:r>
        <w:rPr>
          <w:rStyle w:val="FootnoteReference"/>
        </w:rPr>
        <w:footnoteRef/>
      </w:r>
      <w:r>
        <w:t xml:space="preserve"> </w:t>
      </w:r>
      <w:r>
        <w:t xml:space="preserve">Bellido 2026, PMID 42810372.</w:t>
      </w:r>
    </w:p>
  </w:footnote>
  <w:footnote w:id="563">
    <w:p>
      <w:pPr>
        <w:pStyle w:val="FootnoteText"/>
      </w:pPr>
      <w:r>
        <w:rPr>
          <w:rStyle w:val="FootnoteReference"/>
        </w:rPr>
        <w:footnoteRef/>
      </w:r>
      <w:r>
        <w:t xml:space="preserve"> </w:t>
      </w:r>
      <w:r>
        <w:t xml:space="preserve">Jastreboff 2023, PMID 37366315.</w:t>
      </w:r>
    </w:p>
  </w:footnote>
  <w:footnote w:id="564">
    <w:p>
      <w:pPr>
        <w:pStyle w:val="FootnoteText"/>
      </w:pPr>
      <w:r>
        <w:rPr>
          <w:rStyle w:val="FootnoteReference"/>
        </w:rPr>
        <w:footnoteRef/>
      </w:r>
      <w:r>
        <w:t xml:space="preserve"> </w:t>
      </w:r>
      <w:r>
        <w:t xml:space="preserve">Rubin 2026, PMID 42853576.</w:t>
      </w:r>
    </w:p>
  </w:footnote>
  <w:footnote w:id="566">
    <w:p>
      <w:pPr>
        <w:pStyle w:val="FootnoteText"/>
      </w:pPr>
      <w:r>
        <w:rPr>
          <w:rStyle w:val="FootnoteReference"/>
        </w:rPr>
        <w:footnoteRef/>
      </w:r>
      <w:r>
        <w:t xml:space="preserve"> </w:t>
      </w:r>
      <w:r>
        <w:t xml:space="preserve">NCT07629401.</w:t>
      </w:r>
    </w:p>
  </w:footnote>
  <w:footnote w:id="568">
    <w:p>
      <w:pPr>
        <w:pStyle w:val="FootnoteText"/>
      </w:pPr>
      <w:r>
        <w:rPr>
          <w:rStyle w:val="FootnoteReference"/>
        </w:rPr>
        <w:footnoteRef/>
      </w:r>
      <w:r>
        <w:t xml:space="preserve"> </w:t>
      </w:r>
      <w:r>
        <w:t xml:space="preserve">NCT06383390.</w:t>
      </w:r>
    </w:p>
  </w:footnote>
  <w:footnote w:id="569">
    <w:p>
      <w:pPr>
        <w:pStyle w:val="FootnoteText"/>
      </w:pPr>
      <w:r>
        <w:rPr>
          <w:rStyle w:val="FootnoteReference"/>
        </w:rPr>
        <w:footnoteRef/>
      </w:r>
      <w:r>
        <w:t xml:space="preserve"> </w:t>
      </w:r>
      <w:r>
        <w:t xml:space="preserve">NCT06662383.</w:t>
      </w:r>
    </w:p>
  </w:footnote>
  <w:footnote w:id="570">
    <w:p>
      <w:pPr>
        <w:pStyle w:val="FootnoteText"/>
      </w:pPr>
      <w:r>
        <w:rPr>
          <w:rStyle w:val="FootnoteReference"/>
        </w:rPr>
        <w:footnoteRef/>
      </w:r>
      <w:r>
        <w:t xml:space="preserve"> </w:t>
      </w:r>
      <w:r>
        <w:t xml:space="preserve">NCT06260722.</w:t>
      </w:r>
    </w:p>
  </w:footnote>
  <w:footnote w:id="571">
    <w:p>
      <w:pPr>
        <w:pStyle w:val="FootnoteText"/>
      </w:pPr>
      <w:r>
        <w:rPr>
          <w:rStyle w:val="FootnoteReference"/>
        </w:rPr>
        <w:footnoteRef/>
      </w:r>
      <w:r>
        <w:t xml:space="preserve"> </w:t>
      </w:r>
      <w:r>
        <w:t xml:space="preserve">NCT06859268.</w:t>
      </w:r>
    </w:p>
  </w:footnote>
  <w:footnote w:id="572">
    <w:p>
      <w:pPr>
        <w:pStyle w:val="FootnoteText"/>
      </w:pPr>
      <w:r>
        <w:rPr>
          <w:rStyle w:val="FootnoteReference"/>
        </w:rPr>
        <w:footnoteRef/>
      </w:r>
      <w:r>
        <w:t xml:space="preserve"> </w:t>
      </w:r>
      <w:r>
        <w:t xml:space="preserve">NCT06297603.</w:t>
      </w:r>
    </w:p>
  </w:footnote>
  <w:footnote w:id="573">
    <w:p>
      <w:pPr>
        <w:pStyle w:val="FootnoteText"/>
      </w:pPr>
      <w:r>
        <w:rPr>
          <w:rStyle w:val="FootnoteReference"/>
        </w:rPr>
        <w:footnoteRef/>
      </w:r>
      <w:r>
        <w:t xml:space="preserve"> </w:t>
      </w:r>
      <w:r>
        <w:t xml:space="preserve">NCT07035093.</w:t>
      </w:r>
    </w:p>
  </w:footnote>
  <w:footnote w:id="574">
    <w:p>
      <w:pPr>
        <w:pStyle w:val="FootnoteText"/>
      </w:pPr>
      <w:r>
        <w:rPr>
          <w:rStyle w:val="FootnoteReference"/>
        </w:rPr>
        <w:footnoteRef/>
      </w:r>
      <w:r>
        <w:t xml:space="preserve"> </w:t>
      </w:r>
      <w:r>
        <w:t xml:space="preserve">NCT07165028.</w:t>
      </w:r>
    </w:p>
  </w:footnote>
  <w:footnote w:id="579">
    <w:p>
      <w:pPr>
        <w:pStyle w:val="FootnoteText"/>
      </w:pPr>
      <w:r>
        <w:rPr>
          <w:rStyle w:val="FootnoteReference"/>
        </w:rPr>
        <w:footnoteRef/>
      </w:r>
      <w:r>
        <w:t xml:space="preserve"> </w:t>
      </w:r>
      <w:r>
        <w:t xml:space="preserve">Thomas 2024, PMID 38560764.</w:t>
      </w:r>
    </w:p>
  </w:footnote>
  <w:footnote w:id="580">
    <w:p>
      <w:pPr>
        <w:pStyle w:val="FootnoteText"/>
      </w:pPr>
      <w:r>
        <w:rPr>
          <w:rStyle w:val="FootnoteReference"/>
        </w:rPr>
        <w:footnoteRef/>
      </w:r>
      <w:r>
        <w:t xml:space="preserve"> </w:t>
      </w:r>
      <w:r>
        <w:t xml:space="preserve">Zimmermann 2026, PMID 41638399.</w:t>
      </w:r>
    </w:p>
  </w:footnote>
  <w:footnote w:id="581">
    <w:p>
      <w:pPr>
        <w:pStyle w:val="FootnoteText"/>
      </w:pPr>
      <w:r>
        <w:rPr>
          <w:rStyle w:val="FootnoteReference"/>
        </w:rPr>
        <w:footnoteRef/>
      </w:r>
      <w:r>
        <w:t xml:space="preserve"> </w:t>
      </w:r>
      <w:r>
        <w:t xml:space="preserve">NCT06745284.</w:t>
      </w:r>
    </w:p>
  </w:footnote>
  <w:footnote w:id="583">
    <w:p>
      <w:pPr>
        <w:pStyle w:val="FootnoteText"/>
      </w:pPr>
      <w:r>
        <w:rPr>
          <w:rStyle w:val="FootnoteReference"/>
        </w:rPr>
        <w:footnoteRef/>
      </w:r>
      <w:r>
        <w:t xml:space="preserve"> </w:t>
      </w:r>
      <w:r>
        <w:t xml:space="preserve">le Roux 2024, PMID 38330987.</w:t>
      </w:r>
    </w:p>
  </w:footnote>
  <w:footnote w:id="584">
    <w:p>
      <w:pPr>
        <w:pStyle w:val="FootnoteText"/>
      </w:pPr>
      <w:r>
        <w:rPr>
          <w:rStyle w:val="FootnoteReference"/>
        </w:rPr>
        <w:footnoteRef/>
      </w:r>
      <w:r>
        <w:t xml:space="preserve"> </w:t>
      </w:r>
      <w:r>
        <w:t xml:space="preserve">le Roux 2026, PMID 42253238.</w:t>
      </w:r>
    </w:p>
  </w:footnote>
  <w:footnote w:id="585">
    <w:p>
      <w:pPr>
        <w:pStyle w:val="FootnoteText"/>
      </w:pPr>
      <w:r>
        <w:rPr>
          <w:rStyle w:val="FootnoteReference"/>
        </w:rPr>
        <w:footnoteRef/>
      </w:r>
      <w:r>
        <w:t xml:space="preserve"> </w:t>
      </w:r>
      <w:r>
        <w:t xml:space="preserve">Wharton 2026, PMID 42820639.</w:t>
      </w:r>
    </w:p>
  </w:footnote>
  <w:footnote w:id="586">
    <w:p>
      <w:pPr>
        <w:pStyle w:val="FootnoteText"/>
      </w:pPr>
      <w:r>
        <w:rPr>
          <w:rStyle w:val="FootnoteReference"/>
        </w:rPr>
        <w:footnoteRef/>
      </w:r>
      <w:r>
        <w:t xml:space="preserve"> </w:t>
      </w:r>
      <w:r>
        <w:t xml:space="preserve">Blüher 2024, PMID 38095657.</w:t>
      </w:r>
    </w:p>
  </w:footnote>
  <w:footnote w:id="588">
    <w:p>
      <w:pPr>
        <w:pStyle w:val="FootnoteText"/>
      </w:pPr>
      <w:r>
        <w:rPr>
          <w:rStyle w:val="FootnoteReference"/>
        </w:rPr>
        <w:footnoteRef/>
      </w:r>
      <w:r>
        <w:t xml:space="preserve"> </w:t>
      </w:r>
      <w:r>
        <w:t xml:space="preserve">Sanyal 2024, PMID 38847460.</w:t>
      </w:r>
    </w:p>
  </w:footnote>
  <w:footnote w:id="589">
    <w:p>
      <w:pPr>
        <w:pStyle w:val="FootnoteText"/>
      </w:pPr>
      <w:r>
        <w:rPr>
          <w:rStyle w:val="FootnoteReference"/>
        </w:rPr>
        <w:footnoteRef/>
      </w:r>
      <w:r>
        <w:t xml:space="preserve"> </w:t>
      </w:r>
      <w:r>
        <w:t xml:space="preserve">Kaplan 2026, PMID 42252333.</w:t>
      </w:r>
    </w:p>
  </w:footnote>
  <w:footnote w:id="590">
    <w:p>
      <w:pPr>
        <w:pStyle w:val="FootnoteText"/>
      </w:pPr>
      <w:r>
        <w:rPr>
          <w:rStyle w:val="FootnoteReference"/>
        </w:rPr>
        <w:footnoteRef/>
      </w:r>
      <w:r>
        <w:t xml:space="preserve"> </w:t>
      </w:r>
      <w:r>
        <w:t xml:space="preserve">Lawitz 2024, PMID 38857788.</w:t>
      </w:r>
    </w:p>
  </w:footnote>
  <w:footnote w:id="593">
    <w:p>
      <w:pPr>
        <w:pStyle w:val="FootnoteText"/>
      </w:pPr>
      <w:r>
        <w:rPr>
          <w:rStyle w:val="FootnoteReference"/>
        </w:rPr>
        <w:footnoteRef/>
      </w:r>
      <w:r>
        <w:t xml:space="preserve"> </w:t>
      </w:r>
      <w:r>
        <w:t xml:space="preserve">Thomas 2024, PMID 38560764.</w:t>
      </w:r>
    </w:p>
  </w:footnote>
  <w:footnote w:id="594">
    <w:p>
      <w:pPr>
        <w:pStyle w:val="FootnoteText"/>
      </w:pPr>
      <w:r>
        <w:rPr>
          <w:rStyle w:val="FootnoteReference"/>
        </w:rPr>
        <w:footnoteRef/>
      </w:r>
      <w:r>
        <w:t xml:space="preserve"> </w:t>
      </w:r>
      <w:r>
        <w:t xml:space="preserve">Zimmermann 2026, PMID 41638399.</w:t>
      </w:r>
    </w:p>
  </w:footnote>
  <w:footnote w:id="596">
    <w:p>
      <w:pPr>
        <w:pStyle w:val="FootnoteText"/>
      </w:pPr>
      <w:r>
        <w:rPr>
          <w:rStyle w:val="FootnoteReference"/>
        </w:rPr>
        <w:footnoteRef/>
      </w:r>
      <w:r>
        <w:t xml:space="preserve"> </w:t>
      </w:r>
      <w:r>
        <w:t xml:space="preserve">Sanyal 2024, PMID 38847460.</w:t>
      </w:r>
    </w:p>
  </w:footnote>
  <w:footnote w:id="597">
    <w:p>
      <w:pPr>
        <w:pStyle w:val="FootnoteText"/>
      </w:pPr>
      <w:r>
        <w:rPr>
          <w:rStyle w:val="FootnoteReference"/>
        </w:rPr>
        <w:footnoteRef/>
      </w:r>
      <w:r>
        <w:t xml:space="preserve"> </w:t>
      </w:r>
      <w:r>
        <w:t xml:space="preserve">le Roux 2026, PMID 42253238.</w:t>
      </w:r>
    </w:p>
  </w:footnote>
  <w:footnote w:id="598">
    <w:p>
      <w:pPr>
        <w:pStyle w:val="FootnoteText"/>
      </w:pPr>
      <w:r>
        <w:rPr>
          <w:rStyle w:val="FootnoteReference"/>
        </w:rPr>
        <w:footnoteRef/>
      </w:r>
      <w:r>
        <w:t xml:space="preserve"> </w:t>
      </w:r>
      <w:r>
        <w:t xml:space="preserve">NCT06200467.</w:t>
      </w:r>
    </w:p>
  </w:footnote>
  <w:footnote w:id="601">
    <w:p>
      <w:pPr>
        <w:pStyle w:val="FootnoteText"/>
      </w:pPr>
      <w:r>
        <w:rPr>
          <w:rStyle w:val="FootnoteReference"/>
        </w:rPr>
        <w:footnoteRef/>
      </w:r>
      <w:r>
        <w:t xml:space="preserve"> </w:t>
      </w:r>
      <w:r>
        <w:t xml:space="preserve">NCT06077864.</w:t>
      </w:r>
    </w:p>
  </w:footnote>
  <w:footnote w:id="602">
    <w:p>
      <w:pPr>
        <w:pStyle w:val="FootnoteText"/>
      </w:pPr>
      <w:r>
        <w:rPr>
          <w:rStyle w:val="FootnoteReference"/>
        </w:rPr>
        <w:footnoteRef/>
      </w:r>
      <w:r>
        <w:t xml:space="preserve"> </w:t>
      </w:r>
      <w:r>
        <w:t xml:space="preserve">PMID 39453356.</w:t>
      </w:r>
    </w:p>
  </w:footnote>
  <w:footnote w:id="603">
    <w:p>
      <w:pPr>
        <w:pStyle w:val="FootnoteText"/>
      </w:pPr>
      <w:r>
        <w:rPr>
          <w:rStyle w:val="FootnoteReference"/>
        </w:rPr>
        <w:footnoteRef/>
      </w:r>
      <w:r>
        <w:t xml:space="preserve"> </w:t>
      </w:r>
      <w:r>
        <w:t xml:space="preserve">NCT06632444.</w:t>
      </w:r>
    </w:p>
  </w:footnote>
  <w:footnote w:id="604">
    <w:p>
      <w:pPr>
        <w:pStyle w:val="FootnoteText"/>
      </w:pPr>
      <w:r>
        <w:rPr>
          <w:rStyle w:val="FootnoteReference"/>
        </w:rPr>
        <w:footnoteRef/>
      </w:r>
      <w:r>
        <w:t xml:space="preserve"> </w:t>
      </w:r>
      <w:r>
        <w:t xml:space="preserve">NCT06632457.</w:t>
      </w:r>
    </w:p>
  </w:footnote>
  <w:footnote w:id="605">
    <w:p>
      <w:pPr>
        <w:pStyle w:val="FootnoteText"/>
      </w:pPr>
      <w:r>
        <w:rPr>
          <w:rStyle w:val="FootnoteReference"/>
        </w:rPr>
        <w:footnoteRef/>
      </w:r>
      <w:r>
        <w:t xml:space="preserve"> </w:t>
      </w:r>
      <w:r>
        <w:t xml:space="preserve">NCT07754461.</w:t>
      </w:r>
    </w:p>
  </w:footnote>
  <w:footnote w:id="606">
    <w:p>
      <w:pPr>
        <w:pStyle w:val="FootnoteText"/>
      </w:pPr>
      <w:r>
        <w:rPr>
          <w:rStyle w:val="FootnoteReference"/>
        </w:rPr>
        <w:footnoteRef/>
      </w:r>
      <w:r>
        <w:t xml:space="preserve"> </w:t>
      </w:r>
      <w:r>
        <w:t xml:space="preserve">NCT07850050.</w:t>
      </w:r>
    </w:p>
  </w:footnote>
  <w:footnote w:id="607">
    <w:p>
      <w:pPr>
        <w:pStyle w:val="FootnoteText"/>
      </w:pPr>
      <w:r>
        <w:rPr>
          <w:rStyle w:val="FootnoteReference"/>
        </w:rPr>
        <w:footnoteRef/>
      </w:r>
      <w:r>
        <w:t xml:space="preserve"> </w:t>
      </w:r>
      <w:r>
        <w:t xml:space="preserve">NCT07850063.</w:t>
      </w:r>
    </w:p>
  </w:footnote>
  <w:footnote w:id="608">
    <w:p>
      <w:pPr>
        <w:pStyle w:val="FootnoteText"/>
      </w:pPr>
      <w:r>
        <w:rPr>
          <w:rStyle w:val="FootnoteReference"/>
        </w:rPr>
        <w:footnoteRef/>
      </w:r>
      <w:r>
        <w:t xml:space="preserve"> </w:t>
      </w:r>
      <w:r>
        <w:t xml:space="preserve">NCT07855900.</w:t>
      </w:r>
    </w:p>
  </w:footnote>
  <w:footnote w:id="609">
    <w:p>
      <w:pPr>
        <w:pStyle w:val="FootnoteText"/>
      </w:pPr>
      <w:r>
        <w:rPr>
          <w:rStyle w:val="FootnoteReference"/>
        </w:rPr>
        <w:footnoteRef/>
      </w:r>
      <w:r>
        <w:t xml:space="preserve"> </w:t>
      </w:r>
      <w:r>
        <w:t xml:space="preserve">NCT06214741.</w:t>
      </w:r>
    </w:p>
  </w:footnote>
  <w:footnote w:id="610">
    <w:p>
      <w:pPr>
        <w:pStyle w:val="FootnoteText"/>
      </w:pPr>
      <w:r>
        <w:rPr>
          <w:rStyle w:val="FootnoteReference"/>
        </w:rPr>
        <w:footnoteRef/>
      </w:r>
      <w:r>
        <w:t xml:space="preserve"> </w:t>
      </w:r>
      <w:r>
        <w:t xml:space="preserve">NCT06176365.</w:t>
      </w:r>
    </w:p>
  </w:footnote>
  <w:footnote w:id="616">
    <w:p>
      <w:pPr>
        <w:pStyle w:val="FootnoteText"/>
      </w:pPr>
      <w:r>
        <w:rPr>
          <w:rStyle w:val="FootnoteReference"/>
        </w:rPr>
        <w:footnoteRef/>
      </w:r>
      <w:r>
        <w:t xml:space="preserve"> </w:t>
      </w:r>
      <w:r>
        <w:t xml:space="preserve">Ji 2025, PMID 40421736.</w:t>
      </w:r>
    </w:p>
  </w:footnote>
  <w:footnote w:id="617">
    <w:p>
      <w:pPr>
        <w:pStyle w:val="FootnoteText"/>
      </w:pPr>
      <w:r>
        <w:rPr>
          <w:rStyle w:val="FootnoteReference"/>
        </w:rPr>
        <w:footnoteRef/>
      </w:r>
      <w:r>
        <w:t xml:space="preserve"> </w:t>
      </w:r>
      <w:r>
        <w:t xml:space="preserve">Gao 2026, PMID 42251595.</w:t>
      </w:r>
    </w:p>
  </w:footnote>
  <w:footnote w:id="619">
    <w:p>
      <w:pPr>
        <w:pStyle w:val="FootnoteText"/>
      </w:pPr>
      <w:r>
        <w:rPr>
          <w:rStyle w:val="FootnoteReference"/>
        </w:rPr>
        <w:footnoteRef/>
      </w:r>
      <w:r>
        <w:t xml:space="preserve"> </w:t>
      </w:r>
      <w:r>
        <w:t xml:space="preserve">Zhu 2026, PMID 41407859.</w:t>
      </w:r>
    </w:p>
  </w:footnote>
  <w:footnote w:id="620">
    <w:p>
      <w:pPr>
        <w:pStyle w:val="FootnoteText"/>
      </w:pPr>
      <w:r>
        <w:rPr>
          <w:rStyle w:val="FootnoteReference"/>
        </w:rPr>
        <w:footnoteRef/>
      </w:r>
      <w:r>
        <w:t xml:space="preserve"> </w:t>
      </w:r>
      <w:r>
        <w:t xml:space="preserve">Guo 2026, PMID 41407860.</w:t>
      </w:r>
    </w:p>
  </w:footnote>
  <w:footnote w:id="621">
    <w:p>
      <w:pPr>
        <w:pStyle w:val="FootnoteText"/>
      </w:pPr>
      <w:r>
        <w:rPr>
          <w:rStyle w:val="FootnoteReference"/>
        </w:rPr>
        <w:footnoteRef/>
      </w:r>
      <w:r>
        <w:t xml:space="preserve"> </w:t>
      </w:r>
      <w:r>
        <w:t xml:space="preserve">NCT06184568.</w:t>
      </w:r>
    </w:p>
  </w:footnote>
  <w:footnote w:id="622">
    <w:p>
      <w:pPr>
        <w:pStyle w:val="FootnoteText"/>
      </w:pPr>
      <w:r>
        <w:rPr>
          <w:rStyle w:val="FootnoteReference"/>
        </w:rPr>
        <w:footnoteRef/>
      </w:r>
      <w:r>
        <w:t xml:space="preserve"> </w:t>
      </w:r>
      <w:r>
        <w:t xml:space="preserve">Luo 2026, PMID 41260459.</w:t>
      </w:r>
    </w:p>
  </w:footnote>
  <w:footnote w:id="624">
    <w:p>
      <w:pPr>
        <w:pStyle w:val="FootnoteText"/>
      </w:pPr>
      <w:r>
        <w:rPr>
          <w:rStyle w:val="FootnoteReference"/>
        </w:rPr>
        <w:footnoteRef/>
      </w:r>
      <w:r>
        <w:t xml:space="preserve"> </w:t>
      </w:r>
      <w:r>
        <w:t xml:space="preserve">Bhattachar 2025, PMID 40832785.</w:t>
      </w:r>
    </w:p>
  </w:footnote>
  <w:footnote w:id="625">
    <w:p>
      <w:pPr>
        <w:pStyle w:val="FootnoteText"/>
      </w:pPr>
      <w:r>
        <w:rPr>
          <w:rStyle w:val="FootnoteReference"/>
        </w:rPr>
        <w:footnoteRef/>
      </w:r>
      <w:r>
        <w:t xml:space="preserve"> </w:t>
      </w:r>
      <w:r>
        <w:t xml:space="preserve">Hsia 2026, PMID 42628555.</w:t>
      </w:r>
    </w:p>
  </w:footnote>
  <w:footnote w:id="627">
    <w:p>
      <w:pPr>
        <w:pStyle w:val="FootnoteText"/>
      </w:pPr>
      <w:r>
        <w:rPr>
          <w:rStyle w:val="FootnoteReference"/>
        </w:rPr>
        <w:footnoteRef/>
      </w:r>
      <w:r>
        <w:t xml:space="preserve"> </w:t>
      </w:r>
      <w:r>
        <w:t xml:space="preserve">Cheng 2025, PMID 41030857.</w:t>
      </w:r>
    </w:p>
  </w:footnote>
  <w:footnote w:id="628">
    <w:p>
      <w:pPr>
        <w:pStyle w:val="FootnoteText"/>
      </w:pPr>
      <w:r>
        <w:rPr>
          <w:rStyle w:val="FootnoteReference"/>
        </w:rPr>
        <w:footnoteRef/>
      </w:r>
      <w:r>
        <w:t xml:space="preserve"> </w:t>
      </w:r>
      <w:r>
        <w:t xml:space="preserve">NCT07255209.</w:t>
      </w:r>
    </w:p>
  </w:footnote>
  <w:footnote w:id="631">
    <w:p>
      <w:pPr>
        <w:pStyle w:val="FootnoteText"/>
      </w:pPr>
      <w:r>
        <w:rPr>
          <w:rStyle w:val="FootnoteReference"/>
        </w:rPr>
        <w:footnoteRef/>
      </w:r>
      <w:r>
        <w:t xml:space="preserve"> </w:t>
      </w:r>
      <w:r>
        <w:t xml:space="preserve">Dong 2025, PMID 40479843.</w:t>
      </w:r>
    </w:p>
  </w:footnote>
  <w:footnote w:id="632">
    <w:p>
      <w:pPr>
        <w:pStyle w:val="FootnoteText"/>
      </w:pPr>
      <w:r>
        <w:rPr>
          <w:rStyle w:val="FootnoteReference"/>
        </w:rPr>
        <w:footnoteRef/>
      </w:r>
      <w:r>
        <w:t xml:space="preserve"> </w:t>
      </w:r>
      <w:r>
        <w:t xml:space="preserve">Gan 2026, PMID 41901218.</w:t>
      </w:r>
    </w:p>
  </w:footnote>
  <w:footnote w:id="633">
    <w:p>
      <w:pPr>
        <w:pStyle w:val="FootnoteText"/>
      </w:pPr>
      <w:r>
        <w:rPr>
          <w:rStyle w:val="FootnoteReference"/>
        </w:rPr>
        <w:footnoteRef/>
      </w:r>
      <w:r>
        <w:t xml:space="preserve"> </w:t>
      </w:r>
      <w:r>
        <w:t xml:space="preserve">NCT07083154.</w:t>
      </w:r>
    </w:p>
  </w:footnote>
  <w:footnote w:id="635">
    <w:p>
      <w:pPr>
        <w:pStyle w:val="FootnoteText"/>
      </w:pPr>
      <w:r>
        <w:rPr>
          <w:rStyle w:val="FootnoteReference"/>
        </w:rPr>
        <w:footnoteRef/>
      </w:r>
      <w:r>
        <w:t xml:space="preserve"> </w:t>
      </w:r>
      <w:r>
        <w:t xml:space="preserve">Zhang 2024, PMID 37943529.</w:t>
      </w:r>
    </w:p>
  </w:footnote>
  <w:footnote w:id="636">
    <w:p>
      <w:pPr>
        <w:pStyle w:val="FootnoteText"/>
      </w:pPr>
      <w:r>
        <w:rPr>
          <w:rStyle w:val="FootnoteReference"/>
        </w:rPr>
        <w:footnoteRef/>
      </w:r>
      <w:r>
        <w:t xml:space="preserve"> </w:t>
      </w:r>
      <w:r>
        <w:t xml:space="preserve">Gao 2026, PMID 42251595.</w:t>
      </w:r>
    </w:p>
  </w:footnote>
  <w:footnote w:id="637">
    <w:p>
      <w:pPr>
        <w:pStyle w:val="FootnoteText"/>
      </w:pPr>
      <w:r>
        <w:rPr>
          <w:rStyle w:val="FootnoteReference"/>
        </w:rPr>
        <w:footnoteRef/>
      </w:r>
      <w:r>
        <w:t xml:space="preserve"> </w:t>
      </w:r>
      <w:r>
        <w:t xml:space="preserve">Zhang 2024, PMID 37943529.</w:t>
      </w:r>
    </w:p>
  </w:footnote>
  <w:footnote w:id="638">
    <w:p>
      <w:pPr>
        <w:pStyle w:val="FootnoteText"/>
      </w:pPr>
      <w:r>
        <w:rPr>
          <w:rStyle w:val="FootnoteReference"/>
        </w:rPr>
        <w:footnoteRef/>
      </w:r>
      <w:r>
        <w:t xml:space="preserve"> </w:t>
      </w:r>
      <w:r>
        <w:t xml:space="preserve">Hsia 2026, PMID 42628555.</w:t>
      </w:r>
    </w:p>
  </w:footnote>
  <w:footnote w:id="640">
    <w:p>
      <w:pPr>
        <w:pStyle w:val="FootnoteText"/>
      </w:pPr>
      <w:r>
        <w:rPr>
          <w:rStyle w:val="FootnoteReference"/>
        </w:rPr>
        <w:footnoteRef/>
      </w:r>
      <w:r>
        <w:t xml:space="preserve"> </w:t>
      </w:r>
      <w:r>
        <w:t xml:space="preserve">Shirley 2025, PMID 41028652.</w:t>
      </w:r>
    </w:p>
  </w:footnote>
  <w:footnote w:id="642">
    <w:p>
      <w:pPr>
        <w:pStyle w:val="FootnoteText"/>
      </w:pPr>
      <w:r>
        <w:rPr>
          <w:rStyle w:val="FootnoteReference"/>
        </w:rPr>
        <w:footnoteRef/>
      </w:r>
      <w:r>
        <w:t xml:space="preserve"> </w:t>
      </w:r>
      <w:r>
        <w:t xml:space="preserve">NCT06884293.</w:t>
      </w:r>
    </w:p>
  </w:footnote>
  <w:footnote w:id="643">
    <w:p>
      <w:pPr>
        <w:pStyle w:val="FootnoteText"/>
      </w:pPr>
      <w:r>
        <w:rPr>
          <w:rStyle w:val="FootnoteReference"/>
        </w:rPr>
        <w:footnoteRef/>
      </w:r>
      <w:r>
        <w:t xml:space="preserve"> </w:t>
      </w:r>
      <w:r>
        <w:t xml:space="preserve">NCT06931028.</w:t>
      </w:r>
    </w:p>
  </w:footnote>
  <w:footnote w:id="644">
    <w:p>
      <w:pPr>
        <w:pStyle w:val="FootnoteText"/>
      </w:pPr>
      <w:r>
        <w:rPr>
          <w:rStyle w:val="FootnoteReference"/>
        </w:rPr>
        <w:footnoteRef/>
      </w:r>
      <w:r>
        <w:t xml:space="preserve"> </w:t>
      </w:r>
      <w:r>
        <w:t xml:space="preserve">NCT07469800.</w:t>
      </w:r>
    </w:p>
  </w:footnote>
  <w:footnote w:id="645">
    <w:p>
      <w:pPr>
        <w:pStyle w:val="FootnoteText"/>
      </w:pPr>
      <w:r>
        <w:rPr>
          <w:rStyle w:val="FootnoteReference"/>
        </w:rPr>
        <w:footnoteRef/>
      </w:r>
      <w:r>
        <w:t xml:space="preserve"> </w:t>
      </w:r>
      <w:r>
        <w:t xml:space="preserve">NCT07255209.</w:t>
      </w:r>
    </w:p>
  </w:footnote>
  <w:footnote w:id="646">
    <w:p>
      <w:pPr>
        <w:pStyle w:val="FootnoteText"/>
      </w:pPr>
      <w:r>
        <w:rPr>
          <w:rStyle w:val="FootnoteReference"/>
        </w:rPr>
        <w:footnoteRef/>
      </w:r>
      <w:r>
        <w:t xml:space="preserve"> </w:t>
      </w:r>
      <w:r>
        <w:t xml:space="preserve">NCT06937749.</w:t>
      </w:r>
    </w:p>
  </w:footnote>
  <w:footnote w:id="647">
    <w:p>
      <w:pPr>
        <w:pStyle w:val="FootnoteText"/>
      </w:pPr>
      <w:r>
        <w:rPr>
          <w:rStyle w:val="FootnoteReference"/>
        </w:rPr>
        <w:footnoteRef/>
      </w:r>
      <w:r>
        <w:t xml:space="preserve"> </w:t>
      </w:r>
      <w:r>
        <w:t xml:space="preserve">NCT06862908.</w:t>
      </w:r>
    </w:p>
  </w:footnote>
  <w:footnote w:id="648">
    <w:p>
      <w:pPr>
        <w:pStyle w:val="FootnoteText"/>
      </w:pPr>
      <w:r>
        <w:rPr>
          <w:rStyle w:val="FootnoteReference"/>
        </w:rPr>
        <w:footnoteRef/>
      </w:r>
      <w:r>
        <w:t xml:space="preserve"> </w:t>
      </w:r>
      <w:r>
        <w:t xml:space="preserve">NCT06143956.</w:t>
      </w:r>
    </w:p>
  </w:footnote>
  <w:footnote w:id="653">
    <w:p>
      <w:pPr>
        <w:pStyle w:val="FootnoteText"/>
      </w:pPr>
      <w:r>
        <w:rPr>
          <w:rStyle w:val="FootnoteReference"/>
        </w:rPr>
        <w:footnoteRef/>
      </w:r>
      <w:r>
        <w:t xml:space="preserve"> </w:t>
      </w:r>
      <w:r>
        <w:t xml:space="preserve">Kruse 2021, PMID 34288673.</w:t>
      </w:r>
    </w:p>
  </w:footnote>
  <w:footnote w:id="654">
    <w:p>
      <w:pPr>
        <w:pStyle w:val="FootnoteText"/>
      </w:pPr>
      <w:r>
        <w:rPr>
          <w:rStyle w:val="FootnoteReference"/>
        </w:rPr>
        <w:footnoteRef/>
      </w:r>
      <w:r>
        <w:t xml:space="preserve"> </w:t>
      </w:r>
      <w:r>
        <w:t xml:space="preserve">Enebo 2021, PMID 33894838.</w:t>
      </w:r>
    </w:p>
  </w:footnote>
  <w:footnote w:id="655">
    <w:p>
      <w:pPr>
        <w:pStyle w:val="FootnoteText"/>
      </w:pPr>
      <w:r>
        <w:rPr>
          <w:rStyle w:val="FootnoteReference"/>
        </w:rPr>
        <w:footnoteRef/>
      </w:r>
      <w:r>
        <w:t xml:space="preserve"> </w:t>
      </w:r>
      <w:r>
        <w:t xml:space="preserve">Carvas 2025, PMID 40609154.</w:t>
      </w:r>
    </w:p>
  </w:footnote>
  <w:footnote w:id="656">
    <w:p>
      <w:pPr>
        <w:pStyle w:val="FootnoteText"/>
      </w:pPr>
      <w:r>
        <w:rPr>
          <w:rStyle w:val="FootnoteReference"/>
        </w:rPr>
        <w:footnoteRef/>
      </w:r>
      <w:r>
        <w:t xml:space="preserve"> </w:t>
      </w:r>
      <w:r>
        <w:t xml:space="preserve">Jacobsen 2025, PMID 40629149.</w:t>
      </w:r>
    </w:p>
  </w:footnote>
  <w:footnote w:id="658">
    <w:p>
      <w:pPr>
        <w:pStyle w:val="FootnoteText"/>
      </w:pPr>
      <w:r>
        <w:rPr>
          <w:rStyle w:val="FootnoteReference"/>
        </w:rPr>
        <w:footnoteRef/>
      </w:r>
      <w:r>
        <w:t xml:space="preserve"> </w:t>
      </w:r>
      <w:r>
        <w:t xml:space="preserve">Lau 2021, PMID 34798060.</w:t>
      </w:r>
    </w:p>
  </w:footnote>
  <w:footnote w:id="659">
    <w:p>
      <w:pPr>
        <w:pStyle w:val="FootnoteText"/>
      </w:pPr>
      <w:r>
        <w:rPr>
          <w:rStyle w:val="FootnoteReference"/>
        </w:rPr>
        <w:footnoteRef/>
      </w:r>
      <w:r>
        <w:t xml:space="preserve"> </w:t>
      </w:r>
      <w:r>
        <w:t xml:space="preserve">NCT07220642.</w:t>
      </w:r>
    </w:p>
  </w:footnote>
  <w:footnote w:id="661">
    <w:p>
      <w:pPr>
        <w:pStyle w:val="FootnoteText"/>
      </w:pPr>
      <w:r>
        <w:rPr>
          <w:rStyle w:val="FootnoteReference"/>
        </w:rPr>
        <w:footnoteRef/>
      </w:r>
      <w:r>
        <w:t xml:space="preserve"> </w:t>
      </w:r>
      <w:r>
        <w:t xml:space="preserve">Enebo 2021, PMID 33894838.</w:t>
      </w:r>
    </w:p>
  </w:footnote>
  <w:footnote w:id="662">
    <w:p>
      <w:pPr>
        <w:pStyle w:val="FootnoteText"/>
      </w:pPr>
      <w:r>
        <w:rPr>
          <w:rStyle w:val="FootnoteReference"/>
        </w:rPr>
        <w:footnoteRef/>
      </w:r>
      <w:r>
        <w:t xml:space="preserve"> </w:t>
      </w:r>
      <w:r>
        <w:t xml:space="preserve">Frias 2023, PMID 37364590.</w:t>
      </w:r>
    </w:p>
  </w:footnote>
  <w:footnote w:id="664">
    <w:p>
      <w:pPr>
        <w:pStyle w:val="FootnoteText"/>
      </w:pPr>
      <w:r>
        <w:rPr>
          <w:rStyle w:val="FootnoteReference"/>
        </w:rPr>
        <w:footnoteRef/>
      </w:r>
      <w:r>
        <w:t xml:space="preserve"> </w:t>
      </w:r>
      <w:r>
        <w:t xml:space="preserve">Garvey 2025, PMID 40544433.</w:t>
      </w:r>
    </w:p>
  </w:footnote>
  <w:footnote w:id="665">
    <w:p>
      <w:pPr>
        <w:pStyle w:val="FootnoteText"/>
      </w:pPr>
      <w:r>
        <w:rPr>
          <w:rStyle w:val="FootnoteReference"/>
        </w:rPr>
        <w:footnoteRef/>
      </w:r>
      <w:r>
        <w:t xml:space="preserve"> </w:t>
      </w:r>
      <w:r>
        <w:t xml:space="preserve">Busetto 2026, PMID 42503495.</w:t>
      </w:r>
    </w:p>
  </w:footnote>
  <w:footnote w:id="666">
    <w:p>
      <w:pPr>
        <w:pStyle w:val="FootnoteText"/>
      </w:pPr>
      <w:r>
        <w:rPr>
          <w:rStyle w:val="FootnoteReference"/>
        </w:rPr>
        <w:footnoteRef/>
      </w:r>
      <w:r>
        <w:t xml:space="preserve"> </w:t>
      </w:r>
      <w:r>
        <w:t xml:space="preserve">Verma 2026, PMID 41328546.</w:t>
      </w:r>
    </w:p>
  </w:footnote>
  <w:footnote w:id="667">
    <w:p>
      <w:pPr>
        <w:pStyle w:val="FootnoteText"/>
      </w:pPr>
      <w:r>
        <w:rPr>
          <w:rStyle w:val="FootnoteReference"/>
        </w:rPr>
        <w:footnoteRef/>
      </w:r>
      <w:r>
        <w:t xml:space="preserve"> </w:t>
      </w:r>
      <w:r>
        <w:t xml:space="preserve">Davies 2025, PMID 40544432.</w:t>
      </w:r>
    </w:p>
  </w:footnote>
  <w:footnote w:id="668">
    <w:p>
      <w:pPr>
        <w:pStyle w:val="FootnoteText"/>
      </w:pPr>
      <w:r>
        <w:rPr>
          <w:rStyle w:val="FootnoteReference"/>
        </w:rPr>
        <w:footnoteRef/>
      </w:r>
      <w:r>
        <w:t xml:space="preserve"> </w:t>
      </w:r>
      <w:r>
        <w:t xml:space="preserve">Yamauchi 2026, PMID 42009015.</w:t>
      </w:r>
    </w:p>
  </w:footnote>
  <w:footnote w:id="669">
    <w:p>
      <w:pPr>
        <w:pStyle w:val="FootnoteText"/>
      </w:pPr>
      <w:r>
        <w:rPr>
          <w:rStyle w:val="FootnoteReference"/>
        </w:rPr>
        <w:footnoteRef/>
      </w:r>
      <w:r>
        <w:t xml:space="preserve"> </w:t>
      </w:r>
      <w:r>
        <w:t xml:space="preserve">Buse 2026, PMID 42251859.</w:t>
      </w:r>
    </w:p>
  </w:footnote>
  <w:footnote w:id="670">
    <w:p>
      <w:pPr>
        <w:pStyle w:val="FootnoteText"/>
      </w:pPr>
      <w:r>
        <w:rPr>
          <w:rStyle w:val="FootnoteReference"/>
        </w:rPr>
        <w:footnoteRef/>
      </w:r>
      <w:r>
        <w:t xml:space="preserve"> </w:t>
      </w:r>
      <w:r>
        <w:t xml:space="preserve">NCT06221969, NCT06534411.</w:t>
      </w:r>
    </w:p>
  </w:footnote>
  <w:footnote w:id="673">
    <w:p>
      <w:pPr>
        <w:pStyle w:val="FootnoteText"/>
      </w:pPr>
      <w:r>
        <w:rPr>
          <w:rStyle w:val="FootnoteReference"/>
        </w:rPr>
        <w:footnoteRef/>
      </w:r>
      <w:r>
        <w:t xml:space="preserve"> </w:t>
      </w:r>
      <w:r>
        <w:t xml:space="preserve">Cao 2025, PMID 40204768.</w:t>
      </w:r>
    </w:p>
  </w:footnote>
  <w:footnote w:id="674">
    <w:p>
      <w:pPr>
        <w:pStyle w:val="FootnoteText"/>
      </w:pPr>
      <w:r>
        <w:rPr>
          <w:rStyle w:val="FootnoteReference"/>
        </w:rPr>
        <w:footnoteRef/>
      </w:r>
      <w:r>
        <w:t xml:space="preserve"> </w:t>
      </w:r>
      <w:r>
        <w:t xml:space="preserve">Carvas 2025, PMID 40609154.</w:t>
      </w:r>
    </w:p>
  </w:footnote>
  <w:footnote w:id="675">
    <w:p>
      <w:pPr>
        <w:pStyle w:val="FootnoteText"/>
      </w:pPr>
      <w:r>
        <w:rPr>
          <w:rStyle w:val="FootnoteReference"/>
        </w:rPr>
        <w:footnoteRef/>
      </w:r>
      <w:r>
        <w:t xml:space="preserve"> </w:t>
      </w:r>
      <w:r>
        <w:t xml:space="preserve">Jacobsen 2025, PMID 40629149.</w:t>
      </w:r>
    </w:p>
  </w:footnote>
  <w:footnote w:id="676">
    <w:p>
      <w:pPr>
        <w:pStyle w:val="FootnoteText"/>
      </w:pPr>
      <w:r>
        <w:rPr>
          <w:rStyle w:val="FootnoteReference"/>
        </w:rPr>
        <w:footnoteRef/>
      </w:r>
      <w:r>
        <w:t xml:space="preserve"> </w:t>
      </w:r>
      <w:r>
        <w:t xml:space="preserve">Petersen 2026, PMID 42744908.</w:t>
      </w:r>
    </w:p>
  </w:footnote>
  <w:footnote w:id="678">
    <w:p>
      <w:pPr>
        <w:pStyle w:val="FootnoteText"/>
      </w:pPr>
      <w:r>
        <w:rPr>
          <w:rStyle w:val="FootnoteReference"/>
        </w:rPr>
        <w:footnoteRef/>
      </w:r>
      <w:r>
        <w:t xml:space="preserve"> </w:t>
      </w:r>
      <w:r>
        <w:t xml:space="preserve">Garvey 2025, PMID 40544433.</w:t>
      </w:r>
    </w:p>
  </w:footnote>
  <w:footnote w:id="679">
    <w:p>
      <w:pPr>
        <w:pStyle w:val="FootnoteText"/>
      </w:pPr>
      <w:r>
        <w:rPr>
          <w:rStyle w:val="FootnoteReference"/>
        </w:rPr>
        <w:footnoteRef/>
      </w:r>
      <w:r>
        <w:t xml:space="preserve"> </w:t>
      </w:r>
      <w:r>
        <w:t xml:space="preserve">Davies 2025, PMID 40544432.</w:t>
      </w:r>
    </w:p>
  </w:footnote>
  <w:footnote w:id="680">
    <w:p>
      <w:pPr>
        <w:pStyle w:val="FootnoteText"/>
      </w:pPr>
      <w:r>
        <w:rPr>
          <w:rStyle w:val="FootnoteReference"/>
        </w:rPr>
        <w:footnoteRef/>
      </w:r>
      <w:r>
        <w:t xml:space="preserve"> </w:t>
      </w:r>
      <w:r>
        <w:t xml:space="preserve">Rosenstock 2026, PMID 42251856.</w:t>
      </w:r>
    </w:p>
  </w:footnote>
  <w:footnote w:id="681">
    <w:p>
      <w:pPr>
        <w:pStyle w:val="FootnoteText"/>
      </w:pPr>
      <w:r>
        <w:rPr>
          <w:rStyle w:val="FootnoteReference"/>
        </w:rPr>
        <w:footnoteRef/>
      </w:r>
      <w:r>
        <w:t xml:space="preserve"> </w:t>
      </w:r>
      <w:r>
        <w:t xml:space="preserve">Gabe 2024, PMID 39279639.</w:t>
      </w:r>
    </w:p>
  </w:footnote>
  <w:footnote w:id="682">
    <w:p>
      <w:pPr>
        <w:pStyle w:val="FootnoteText"/>
      </w:pPr>
      <w:r>
        <w:rPr>
          <w:rStyle w:val="FootnoteReference"/>
        </w:rPr>
        <w:footnoteRef/>
      </w:r>
      <w:r>
        <w:t xml:space="preserve"> </w:t>
      </w:r>
      <w:r>
        <w:t xml:space="preserve">Nielsen 2026, PMID 42228334.</w:t>
      </w:r>
    </w:p>
  </w:footnote>
  <w:footnote w:id="683">
    <w:p>
      <w:pPr>
        <w:pStyle w:val="FootnoteText"/>
      </w:pPr>
      <w:r>
        <w:rPr>
          <w:rStyle w:val="FootnoteReference"/>
        </w:rPr>
        <w:footnoteRef/>
      </w:r>
      <w:r>
        <w:t xml:space="preserve"> </w:t>
      </w:r>
      <w:r>
        <w:t xml:space="preserve">NCT07010432.</w:t>
      </w:r>
    </w:p>
  </w:footnote>
  <w:footnote w:id="684">
    <w:p>
      <w:pPr>
        <w:pStyle w:val="FootnoteText"/>
      </w:pPr>
      <w:r>
        <w:rPr>
          <w:rStyle w:val="FootnoteReference"/>
        </w:rPr>
        <w:footnoteRef/>
      </w:r>
      <w:r>
        <w:t xml:space="preserve"> </w:t>
      </w:r>
      <w:r>
        <w:t xml:space="preserve">NCT07527195.</w:t>
      </w:r>
    </w:p>
  </w:footnote>
  <w:footnote w:id="687">
    <w:p>
      <w:pPr>
        <w:pStyle w:val="FootnoteText"/>
      </w:pPr>
      <w:r>
        <w:rPr>
          <w:rStyle w:val="FootnoteReference"/>
        </w:rPr>
        <w:footnoteRef/>
      </w:r>
      <w:r>
        <w:t xml:space="preserve"> </w:t>
      </w:r>
      <w:r>
        <w:t xml:space="preserve">NCT05669755.</w:t>
      </w:r>
    </w:p>
  </w:footnote>
  <w:footnote w:id="688">
    <w:p>
      <w:pPr>
        <w:pStyle w:val="FootnoteText"/>
      </w:pPr>
      <w:r>
        <w:rPr>
          <w:rStyle w:val="FootnoteReference"/>
        </w:rPr>
        <w:footnoteRef/>
      </w:r>
      <w:r>
        <w:t xml:space="preserve"> </w:t>
      </w:r>
      <w:r>
        <w:t xml:space="preserve">Cavender 2026, PMID 42838477.</w:t>
      </w:r>
    </w:p>
  </w:footnote>
  <w:footnote w:id="689">
    <w:p>
      <w:pPr>
        <w:pStyle w:val="FootnoteText"/>
      </w:pPr>
      <w:r>
        <w:rPr>
          <w:rStyle w:val="FootnoteReference"/>
        </w:rPr>
        <w:footnoteRef/>
      </w:r>
      <w:r>
        <w:t xml:space="preserve"> </w:t>
      </w:r>
      <w:r>
        <w:t xml:space="preserve">NCT06131437, NCT06221969, NCT06534411.</w:t>
      </w:r>
    </w:p>
  </w:footnote>
  <w:footnote w:id="690">
    <w:p>
      <w:pPr>
        <w:pStyle w:val="FootnoteText"/>
      </w:pPr>
      <w:r>
        <w:rPr>
          <w:rStyle w:val="FootnoteReference"/>
        </w:rPr>
        <w:footnoteRef/>
      </w:r>
      <w:r>
        <w:t xml:space="preserve"> </w:t>
      </w:r>
      <w:r>
        <w:t xml:space="preserve">NCT07564414.</w:t>
      </w:r>
    </w:p>
  </w:footnote>
  <w:footnote w:id="691">
    <w:p>
      <w:pPr>
        <w:pStyle w:val="FootnoteText"/>
      </w:pPr>
      <w:r>
        <w:rPr>
          <w:rStyle w:val="FootnoteReference"/>
        </w:rPr>
        <w:footnoteRef/>
      </w:r>
      <w:r>
        <w:t xml:space="preserve"> </w:t>
      </w:r>
      <w:r>
        <w:t xml:space="preserve">NCT06780449.</w:t>
      </w:r>
    </w:p>
  </w:footnote>
  <w:footnote w:id="692">
    <w:p>
      <w:pPr>
        <w:pStyle w:val="FootnoteText"/>
      </w:pPr>
      <w:r>
        <w:rPr>
          <w:rStyle w:val="FootnoteReference"/>
        </w:rPr>
        <w:footnoteRef/>
      </w:r>
      <w:r>
        <w:t xml:space="preserve"> </w:t>
      </w:r>
      <w:r>
        <w:t xml:space="preserve">NCT07253285.</w:t>
      </w:r>
    </w:p>
  </w:footnote>
  <w:footnote w:id="693">
    <w:p>
      <w:pPr>
        <w:pStyle w:val="FootnoteText"/>
      </w:pPr>
      <w:r>
        <w:rPr>
          <w:rStyle w:val="FootnoteReference"/>
        </w:rPr>
        <w:footnoteRef/>
      </w:r>
      <w:r>
        <w:t xml:space="preserve"> </w:t>
      </w:r>
      <w:r>
        <w:t xml:space="preserve">NCT07220642.</w:t>
      </w:r>
    </w:p>
  </w:footnote>
  <w:footnote w:id="694">
    <w:p>
      <w:pPr>
        <w:pStyle w:val="FootnoteText"/>
      </w:pPr>
      <w:r>
        <w:rPr>
          <w:rStyle w:val="FootnoteReference"/>
        </w:rPr>
        <w:footnoteRef/>
      </w:r>
      <w:r>
        <w:t xml:space="preserve"> </w:t>
      </w:r>
      <w:r>
        <w:t xml:space="preserve">NCT07010432.</w:t>
      </w:r>
    </w:p>
  </w:footnote>
  <w:footnote w:id="695">
    <w:p>
      <w:pPr>
        <w:pStyle w:val="FootnoteText"/>
      </w:pPr>
      <w:r>
        <w:rPr>
          <w:rStyle w:val="FootnoteReference"/>
        </w:rPr>
        <w:footnoteRef/>
      </w:r>
      <w:r>
        <w:t xml:space="preserve"> </w:t>
      </w:r>
      <w:r>
        <w:t xml:space="preserve">NCT07527195.</w:t>
      </w:r>
    </w:p>
  </w:footnote>
  <w:footnote w:id="696">
    <w:p>
      <w:pPr>
        <w:pStyle w:val="FootnoteText"/>
      </w:pPr>
      <w:r>
        <w:rPr>
          <w:rStyle w:val="FootnoteReference"/>
        </w:rPr>
        <w:footnoteRef/>
      </w:r>
      <w:r>
        <w:t xml:space="preserve"> </w:t>
      </w:r>
      <w:r>
        <w:t xml:space="preserve">NCT07607587.</w:t>
      </w:r>
    </w:p>
  </w:footnote>
  <w:footnote w:id="701">
    <w:p>
      <w:pPr>
        <w:pStyle w:val="FootnoteText"/>
      </w:pPr>
      <w:r>
        <w:rPr>
          <w:rStyle w:val="FootnoteReference"/>
        </w:rPr>
        <w:footnoteRef/>
      </w:r>
      <w:r>
        <w:t xml:space="preserve"> </w:t>
      </w:r>
      <w:r>
        <w:t xml:space="preserve">Kuhre 2025, PMID 40706446.</w:t>
      </w:r>
    </w:p>
  </w:footnote>
  <w:footnote w:id="703">
    <w:p>
      <w:pPr>
        <w:pStyle w:val="FootnoteText"/>
      </w:pPr>
      <w:r>
        <w:rPr>
          <w:rStyle w:val="FootnoteReference"/>
        </w:rPr>
        <w:footnoteRef/>
      </w:r>
      <w:r>
        <w:t xml:space="preserve"> </w:t>
      </w:r>
      <w:r>
        <w:t xml:space="preserve">Gasiorek 2025, PMID 40550229.</w:t>
      </w:r>
    </w:p>
  </w:footnote>
  <w:footnote w:id="705">
    <w:p>
      <w:pPr>
        <w:pStyle w:val="FootnoteText"/>
      </w:pPr>
      <w:r>
        <w:rPr>
          <w:rStyle w:val="FootnoteReference"/>
        </w:rPr>
        <w:footnoteRef/>
      </w:r>
      <w:r>
        <w:t xml:space="preserve"> </w:t>
      </w:r>
      <w:r>
        <w:t xml:space="preserve">Dahl 2025, PMID 40550231.</w:t>
      </w:r>
    </w:p>
  </w:footnote>
  <w:footnote w:id="707">
    <w:p>
      <w:pPr>
        <w:pStyle w:val="FootnoteText"/>
      </w:pPr>
      <w:r>
        <w:rPr>
          <w:rStyle w:val="FootnoteReference"/>
        </w:rPr>
        <w:footnoteRef/>
      </w:r>
      <w:r>
        <w:t xml:space="preserve"> </w:t>
      </w:r>
      <w:r>
        <w:t xml:space="preserve">Mora 2026, PMID 42532079.</w:t>
      </w:r>
    </w:p>
  </w:footnote>
  <w:footnote w:id="708">
    <w:p>
      <w:pPr>
        <w:pStyle w:val="FootnoteText"/>
      </w:pPr>
      <w:r>
        <w:rPr>
          <w:rStyle w:val="FootnoteReference"/>
        </w:rPr>
        <w:footnoteRef/>
      </w:r>
      <w:r>
        <w:t xml:space="preserve"> </w:t>
      </w:r>
      <w:r>
        <w:t xml:space="preserve">Mora 2026, PMID 42532080.</w:t>
      </w:r>
    </w:p>
  </w:footnote>
  <w:footnote w:id="711">
    <w:p>
      <w:pPr>
        <w:pStyle w:val="FootnoteText"/>
      </w:pPr>
      <w:r>
        <w:rPr>
          <w:rStyle w:val="FootnoteReference"/>
        </w:rPr>
        <w:footnoteRef/>
      </w:r>
      <w:r>
        <w:t xml:space="preserve"> </w:t>
      </w:r>
      <w:r>
        <w:t xml:space="preserve">Kuhre 2025, PMID 40706446.</w:t>
      </w:r>
    </w:p>
  </w:footnote>
  <w:footnote w:id="713">
    <w:p>
      <w:pPr>
        <w:pStyle w:val="FootnoteText"/>
      </w:pPr>
      <w:r>
        <w:rPr>
          <w:rStyle w:val="FootnoteReference"/>
        </w:rPr>
        <w:footnoteRef/>
      </w:r>
      <w:r>
        <w:t xml:space="preserve"> </w:t>
      </w:r>
      <w:r>
        <w:t xml:space="preserve">Gasiorek 2025, PMID 40550229; Dahl 2025, PMID 40550231.</w:t>
      </w:r>
    </w:p>
  </w:footnote>
  <w:footnote w:id="714">
    <w:p>
      <w:pPr>
        <w:pStyle w:val="FootnoteText"/>
      </w:pPr>
      <w:r>
        <w:rPr>
          <w:rStyle w:val="FootnoteReference"/>
        </w:rPr>
        <w:footnoteRef/>
      </w:r>
      <w:r>
        <w:t xml:space="preserve"> </w:t>
      </w:r>
      <w:r>
        <w:t xml:space="preserve">Mora 2026, PMID 42532079; PMID 42532080.</w:t>
      </w:r>
    </w:p>
  </w:footnote>
  <w:footnote w:id="715">
    <w:p>
      <w:pPr>
        <w:pStyle w:val="FootnoteText"/>
      </w:pPr>
      <w:r>
        <w:rPr>
          <w:rStyle w:val="FootnoteReference"/>
        </w:rPr>
        <w:footnoteRef/>
      </w:r>
      <w:r>
        <w:t xml:space="preserve"> </w:t>
      </w:r>
      <w:r>
        <w:t xml:space="preserve">Oldenburg 2026, PMID 42443140.</w:t>
      </w:r>
    </w:p>
  </w:footnote>
  <w:footnote w:id="716">
    <w:p>
      <w:pPr>
        <w:pStyle w:val="FootnoteText"/>
      </w:pPr>
      <w:r>
        <w:rPr>
          <w:rStyle w:val="FootnoteReference"/>
        </w:rPr>
        <w:footnoteRef/>
      </w:r>
      <w:r>
        <w:t xml:space="preserve"> </w:t>
      </w:r>
      <w:r>
        <w:t xml:space="preserve">Rubin 2026, PMID 42853576.</w:t>
      </w:r>
    </w:p>
  </w:footnote>
  <w:footnote w:id="719">
    <w:p>
      <w:pPr>
        <w:pStyle w:val="FootnoteText"/>
      </w:pPr>
      <w:r>
        <w:rPr>
          <w:rStyle w:val="FootnoteReference"/>
        </w:rPr>
        <w:footnoteRef/>
      </w:r>
      <w:r>
        <w:t xml:space="preserve"> </w:t>
      </w:r>
      <w:r>
        <w:t xml:space="preserve">NCT07339423.</w:t>
      </w:r>
    </w:p>
  </w:footnote>
  <w:footnote w:id="720">
    <w:p>
      <w:pPr>
        <w:pStyle w:val="FootnoteText"/>
      </w:pPr>
      <w:r>
        <w:rPr>
          <w:rStyle w:val="FootnoteReference"/>
        </w:rPr>
        <w:footnoteRef/>
      </w:r>
      <w:r>
        <w:t xml:space="preserve"> </w:t>
      </w:r>
      <w:r>
        <w:t xml:space="preserve">NCT07533175.</w:t>
      </w:r>
    </w:p>
  </w:footnote>
  <w:footnote w:id="721">
    <w:p>
      <w:pPr>
        <w:pStyle w:val="FootnoteText"/>
      </w:pPr>
      <w:r>
        <w:rPr>
          <w:rStyle w:val="FootnoteReference"/>
        </w:rPr>
        <w:footnoteRef/>
      </w:r>
      <w:r>
        <w:t xml:space="preserve"> </w:t>
      </w:r>
      <w:r>
        <w:t xml:space="preserve">NCT07571005, NCT07571109.</w:t>
      </w:r>
    </w:p>
  </w:footnote>
  <w:footnote w:id="722">
    <w:p>
      <w:pPr>
        <w:pStyle w:val="FootnoteText"/>
      </w:pPr>
      <w:r>
        <w:rPr>
          <w:rStyle w:val="FootnoteReference"/>
        </w:rPr>
        <w:footnoteRef/>
      </w:r>
      <w:r>
        <w:t xml:space="preserve"> </w:t>
      </w:r>
      <w:r>
        <w:t xml:space="preserve">NCT07509307.</w:t>
      </w:r>
    </w:p>
  </w:footnote>
  <w:footnote w:id="723">
    <w:p>
      <w:pPr>
        <w:pStyle w:val="FootnoteText"/>
      </w:pPr>
      <w:r>
        <w:rPr>
          <w:rStyle w:val="FootnoteReference"/>
        </w:rPr>
        <w:footnoteRef/>
      </w:r>
      <w:r>
        <w:t xml:space="preserve"> </w:t>
      </w:r>
      <w:r>
        <w:t xml:space="preserve">NCT07481630.</w:t>
      </w:r>
    </w:p>
  </w:footnote>
  <w:footnote w:id="724">
    <w:p>
      <w:pPr>
        <w:pStyle w:val="FootnoteText"/>
      </w:pPr>
      <w:r>
        <w:rPr>
          <w:rStyle w:val="FootnoteReference"/>
        </w:rPr>
        <w:footnoteRef/>
      </w:r>
      <w:r>
        <w:t xml:space="preserve"> </w:t>
      </w:r>
      <w:r>
        <w:t xml:space="preserve">NCT07720271.</w:t>
      </w:r>
    </w:p>
  </w:footnote>
  <w:footnote w:id="725">
    <w:p>
      <w:pPr>
        <w:pStyle w:val="FootnoteText"/>
      </w:pPr>
      <w:r>
        <w:rPr>
          <w:rStyle w:val="FootnoteReference"/>
        </w:rPr>
        <w:footnoteRef/>
      </w:r>
      <w:r>
        <w:t xml:space="preserve"> </w:t>
      </w:r>
      <w:r>
        <w:t xml:space="preserve">NCT07503210.</w:t>
      </w:r>
    </w:p>
  </w:footnote>
  <w:footnote w:id="730">
    <w:p>
      <w:pPr>
        <w:pStyle w:val="FootnoteText"/>
      </w:pPr>
      <w:r>
        <w:rPr>
          <w:rStyle w:val="FootnoteReference"/>
        </w:rPr>
        <w:footnoteRef/>
      </w:r>
      <w:r>
        <w:t xml:space="preserve"> </w:t>
      </w:r>
      <w:r>
        <w:t xml:space="preserve">Davies 2026, PMID 41287212.</w:t>
      </w:r>
    </w:p>
  </w:footnote>
  <w:footnote w:id="731">
    <w:p>
      <w:pPr>
        <w:pStyle w:val="FootnoteText"/>
      </w:pPr>
      <w:r>
        <w:rPr>
          <w:rStyle w:val="FootnoteReference"/>
        </w:rPr>
        <w:footnoteRef/>
      </w:r>
      <w:r>
        <w:t xml:space="preserve"> </w:t>
      </w:r>
      <w:r>
        <w:t xml:space="preserve">Véniant 2024, PMID 38316982.</w:t>
      </w:r>
    </w:p>
  </w:footnote>
  <w:footnote w:id="732">
    <w:p>
      <w:pPr>
        <w:pStyle w:val="FootnoteText"/>
      </w:pPr>
      <w:r>
        <w:rPr>
          <w:rStyle w:val="FootnoteReference"/>
        </w:rPr>
        <w:footnoteRef/>
      </w:r>
      <w:r>
        <w:t xml:space="preserve"> </w:t>
      </w:r>
      <w:r>
        <w:t xml:space="preserve">Wu 2026, PMID 41941715.</w:t>
      </w:r>
    </w:p>
  </w:footnote>
  <w:footnote w:id="734">
    <w:p>
      <w:pPr>
        <w:pStyle w:val="FootnoteText"/>
      </w:pPr>
      <w:r>
        <w:rPr>
          <w:rStyle w:val="FootnoteReference"/>
        </w:rPr>
        <w:footnoteRef/>
      </w:r>
      <w:r>
        <w:t xml:space="preserve"> </w:t>
      </w:r>
      <w:r>
        <w:t xml:space="preserve">Véniant 2024, PMID 38316982; NCT04478708.</w:t>
      </w:r>
    </w:p>
  </w:footnote>
  <w:footnote w:id="736">
    <w:p>
      <w:pPr>
        <w:pStyle w:val="FootnoteText"/>
      </w:pPr>
      <w:r>
        <w:rPr>
          <w:rStyle w:val="FootnoteReference"/>
        </w:rPr>
        <w:footnoteRef/>
      </w:r>
      <w:r>
        <w:t xml:space="preserve"> </w:t>
      </w:r>
      <w:r>
        <w:t xml:space="preserve">Jastreboff 2025, PMID 40549887.</w:t>
      </w:r>
    </w:p>
  </w:footnote>
  <w:footnote w:id="739">
    <w:p>
      <w:pPr>
        <w:pStyle w:val="FootnoteText"/>
      </w:pPr>
      <w:r>
        <w:rPr>
          <w:rStyle w:val="FootnoteReference"/>
        </w:rPr>
        <w:footnoteRef/>
      </w:r>
      <w:r>
        <w:t xml:space="preserve"> </w:t>
      </w:r>
      <w:r>
        <w:t xml:space="preserve">Véniant 2024, PMID 38316982; Wu 2026, PMID 41941715.</w:t>
      </w:r>
    </w:p>
  </w:footnote>
  <w:footnote w:id="740">
    <w:p>
      <w:pPr>
        <w:pStyle w:val="FootnoteText"/>
      </w:pPr>
      <w:r>
        <w:rPr>
          <w:rStyle w:val="FootnoteReference"/>
        </w:rPr>
        <w:footnoteRef/>
      </w:r>
      <w:r>
        <w:t xml:space="preserve"> </w:t>
      </w:r>
      <w:r>
        <w:t xml:space="preserve">Davies 2026, PMID 41287212.</w:t>
      </w:r>
    </w:p>
  </w:footnote>
  <w:footnote w:id="742">
    <w:p>
      <w:pPr>
        <w:pStyle w:val="FootnoteText"/>
      </w:pPr>
      <w:r>
        <w:rPr>
          <w:rStyle w:val="FootnoteReference"/>
        </w:rPr>
        <w:footnoteRef/>
      </w:r>
      <w:r>
        <w:t xml:space="preserve"> </w:t>
      </w:r>
      <w:r>
        <w:t xml:space="preserve">Jastreboff 2025, PMID 40549887.</w:t>
      </w:r>
    </w:p>
  </w:footnote>
  <w:footnote w:id="743">
    <w:p>
      <w:pPr>
        <w:pStyle w:val="FootnoteText"/>
      </w:pPr>
      <w:r>
        <w:rPr>
          <w:rStyle w:val="FootnoteReference"/>
        </w:rPr>
        <w:footnoteRef/>
      </w:r>
      <w:r>
        <w:t xml:space="preserve"> </w:t>
      </w:r>
      <w:r>
        <w:t xml:space="preserve">Véniant 2024, PMID 38316982.</w:t>
      </w:r>
    </w:p>
  </w:footnote>
  <w:footnote w:id="744">
    <w:p>
      <w:pPr>
        <w:pStyle w:val="FootnoteText"/>
      </w:pPr>
      <w:r>
        <w:rPr>
          <w:rStyle w:val="FootnoteReference"/>
        </w:rPr>
        <w:footnoteRef/>
      </w:r>
      <w:r>
        <w:t xml:space="preserve"> </w:t>
      </w:r>
      <w:r>
        <w:t xml:space="preserve">Davies 2026, PMID 41287212.</w:t>
      </w:r>
    </w:p>
  </w:footnote>
  <w:footnote w:id="747">
    <w:p>
      <w:pPr>
        <w:pStyle w:val="FootnoteText"/>
      </w:pPr>
      <w:r>
        <w:rPr>
          <w:rStyle w:val="FootnoteReference"/>
        </w:rPr>
        <w:footnoteRef/>
      </w:r>
      <w:r>
        <w:t xml:space="preserve"> </w:t>
      </w:r>
      <w:r>
        <w:t xml:space="preserve">NCT06858839.</w:t>
      </w:r>
    </w:p>
  </w:footnote>
  <w:footnote w:id="748">
    <w:p>
      <w:pPr>
        <w:pStyle w:val="FootnoteText"/>
      </w:pPr>
      <w:r>
        <w:rPr>
          <w:rStyle w:val="FootnoteReference"/>
        </w:rPr>
        <w:footnoteRef/>
      </w:r>
      <w:r>
        <w:t xml:space="preserve"> </w:t>
      </w:r>
      <w:r>
        <w:t xml:space="preserve">NCT06858878.</w:t>
      </w:r>
    </w:p>
  </w:footnote>
  <w:footnote w:id="749">
    <w:p>
      <w:pPr>
        <w:pStyle w:val="FootnoteText"/>
      </w:pPr>
      <w:r>
        <w:rPr>
          <w:rStyle w:val="FootnoteReference"/>
        </w:rPr>
        <w:footnoteRef/>
      </w:r>
      <w:r>
        <w:t xml:space="preserve"> </w:t>
      </w:r>
      <w:r>
        <w:t xml:space="preserve">NCT07037433.</w:t>
      </w:r>
    </w:p>
  </w:footnote>
  <w:footnote w:id="750">
    <w:p>
      <w:pPr>
        <w:pStyle w:val="FootnoteText"/>
      </w:pPr>
      <w:r>
        <w:rPr>
          <w:rStyle w:val="FootnoteReference"/>
        </w:rPr>
        <w:footnoteRef/>
      </w:r>
      <w:r>
        <w:t xml:space="preserve"> </w:t>
      </w:r>
      <w:r>
        <w:t xml:space="preserve">NCT07037459.</w:t>
      </w:r>
    </w:p>
  </w:footnote>
  <w:footnote w:id="751">
    <w:p>
      <w:pPr>
        <w:pStyle w:val="FootnoteText"/>
      </w:pPr>
      <w:r>
        <w:rPr>
          <w:rStyle w:val="FootnoteReference"/>
        </w:rPr>
        <w:footnoteRef/>
      </w:r>
      <w:r>
        <w:t xml:space="preserve"> </w:t>
      </w:r>
      <w:r>
        <w:t xml:space="preserve">NCT07226765, NCT07225686.</w:t>
      </w:r>
    </w:p>
  </w:footnote>
  <w:footnote w:id="752">
    <w:p>
      <w:pPr>
        <w:pStyle w:val="FootnoteText"/>
      </w:pPr>
      <w:r>
        <w:rPr>
          <w:rStyle w:val="FootnoteReference"/>
        </w:rPr>
        <w:footnoteRef/>
      </w:r>
      <w:r>
        <w:t xml:space="preserve"> </w:t>
      </w:r>
      <w:r>
        <w:t xml:space="preserve">NCT07866066.</w:t>
      </w:r>
    </w:p>
  </w:footnote>
  <w:footnote w:id="753">
    <w:p>
      <w:pPr>
        <w:pStyle w:val="FootnoteText"/>
      </w:pPr>
      <w:r>
        <w:rPr>
          <w:rStyle w:val="FootnoteReference"/>
        </w:rPr>
        <w:footnoteRef/>
      </w:r>
      <w:r>
        <w:t xml:space="preserve"> </w:t>
      </w:r>
      <w:r>
        <w:t xml:space="preserve">NCT07575399.</w:t>
      </w:r>
    </w:p>
  </w:footnote>
  <w:footnote w:id="754">
    <w:p>
      <w:pPr>
        <w:pStyle w:val="FootnoteText"/>
      </w:pPr>
      <w:r>
        <w:rPr>
          <w:rStyle w:val="FootnoteReference"/>
        </w:rPr>
        <w:footnoteRef/>
      </w:r>
      <w:r>
        <w:t xml:space="preserve"> </w:t>
      </w:r>
      <w:r>
        <w:t xml:space="preserve">NCT06987695.</w:t>
      </w:r>
    </w:p>
  </w:footnote>
  <w:footnote w:id="755">
    <w:p>
      <w:pPr>
        <w:pStyle w:val="FootnoteText"/>
      </w:pPr>
      <w:r>
        <w:rPr>
          <w:rStyle w:val="FootnoteReference"/>
        </w:rPr>
        <w:footnoteRef/>
      </w:r>
      <w:r>
        <w:t xml:space="preserve"> </w:t>
      </w:r>
      <w:r>
        <w:t xml:space="preserve">NCT07429032.</w:t>
      </w:r>
    </w:p>
  </w:footnote>
  <w:footnote w:id="756">
    <w:p>
      <w:pPr>
        <w:pStyle w:val="FootnoteText"/>
      </w:pPr>
      <w:r>
        <w:rPr>
          <w:rStyle w:val="FootnoteReference"/>
        </w:rPr>
        <w:footnoteRef/>
      </w:r>
      <w:r>
        <w:t xml:space="preserve"> </w:t>
      </w:r>
      <w:r>
        <w:t xml:space="preserve">NCT07229157.</w:t>
      </w:r>
    </w:p>
  </w:footnote>
  <w:footnote w:id="757">
    <w:p>
      <w:pPr>
        <w:pStyle w:val="FootnoteText"/>
      </w:pPr>
      <w:r>
        <w:rPr>
          <w:rStyle w:val="FootnoteReference"/>
        </w:rPr>
        <w:footnoteRef/>
      </w:r>
      <w:r>
        <w:t xml:space="preserve"> </w:t>
      </w:r>
      <w:r>
        <w:t xml:space="preserve">NCT07523711.</w:t>
      </w:r>
    </w:p>
  </w:footnote>
  <w:footnote w:id="762">
    <w:p>
      <w:pPr>
        <w:pStyle w:val="FootnoteText"/>
      </w:pPr>
      <w:r>
        <w:rPr>
          <w:rStyle w:val="FootnoteReference"/>
        </w:rPr>
        <w:footnoteRef/>
      </w:r>
      <w:r>
        <w:t xml:space="preserve"> </w:t>
      </w:r>
      <w:r>
        <w:t xml:space="preserve">Vella 2002, PMID 11975712.</w:t>
      </w:r>
    </w:p>
  </w:footnote>
  <w:footnote w:id="764">
    <w:p>
      <w:pPr>
        <w:pStyle w:val="FootnoteText"/>
      </w:pPr>
      <w:r>
        <w:rPr>
          <w:rStyle w:val="FootnoteReference"/>
        </w:rPr>
        <w:footnoteRef/>
      </w:r>
      <w:r>
        <w:t xml:space="preserve"> </w:t>
      </w:r>
      <w:r>
        <w:t xml:space="preserve">Avgerinos 2021, PMID 33300282.</w:t>
      </w:r>
    </w:p>
  </w:footnote>
  <w:footnote w:id="766">
    <w:p>
      <w:pPr>
        <w:pStyle w:val="FootnoteText"/>
      </w:pPr>
      <w:r>
        <w:rPr>
          <w:rStyle w:val="FootnoteReference"/>
        </w:rPr>
        <w:footnoteRef/>
      </w:r>
      <w:r>
        <w:t xml:space="preserve"> </w:t>
      </w:r>
      <w:r>
        <w:t xml:space="preserve">Hollander 2003, PMID 12610038.</w:t>
      </w:r>
    </w:p>
  </w:footnote>
  <w:footnote w:id="767">
    <w:p>
      <w:pPr>
        <w:pStyle w:val="FootnoteText"/>
      </w:pPr>
      <w:r>
        <w:rPr>
          <w:rStyle w:val="FootnoteReference"/>
        </w:rPr>
        <w:footnoteRef/>
      </w:r>
      <w:r>
        <w:t xml:space="preserve"> </w:t>
      </w:r>
      <w:r>
        <w:t xml:space="preserve">Riddle 2009, PMID 19502544.</w:t>
      </w:r>
    </w:p>
  </w:footnote>
  <w:footnote w:id="768">
    <w:p>
      <w:pPr>
        <w:pStyle w:val="FootnoteText"/>
      </w:pPr>
      <w:r>
        <w:rPr>
          <w:rStyle w:val="FootnoteReference"/>
        </w:rPr>
        <w:footnoteRef/>
      </w:r>
      <w:r>
        <w:t xml:space="preserve"> </w:t>
      </w:r>
      <w:r>
        <w:t xml:space="preserve">Singh-Franco 2011, PMID 21199269.</w:t>
      </w:r>
    </w:p>
  </w:footnote>
  <w:footnote w:id="770">
    <w:p>
      <w:pPr>
        <w:pStyle w:val="FootnoteText"/>
      </w:pPr>
      <w:r>
        <w:rPr>
          <w:rStyle w:val="FootnoteReference"/>
        </w:rPr>
        <w:footnoteRef/>
      </w:r>
      <w:r>
        <w:t xml:space="preserve"> </w:t>
      </w:r>
      <w:r>
        <w:t xml:space="preserve">Aronne 2007, PMID 17504894.</w:t>
      </w:r>
    </w:p>
  </w:footnote>
  <w:footnote w:id="771">
    <w:p>
      <w:pPr>
        <w:pStyle w:val="FootnoteText"/>
      </w:pPr>
      <w:r>
        <w:rPr>
          <w:rStyle w:val="FootnoteReference"/>
        </w:rPr>
        <w:footnoteRef/>
      </w:r>
      <w:r>
        <w:t xml:space="preserve"> </w:t>
      </w:r>
      <w:r>
        <w:t xml:space="preserve">Smith 2008, PMID 18753666.</w:t>
      </w:r>
    </w:p>
  </w:footnote>
  <w:footnote w:id="772">
    <w:p>
      <w:pPr>
        <w:pStyle w:val="FootnoteText"/>
      </w:pPr>
      <w:r>
        <w:rPr>
          <w:rStyle w:val="FootnoteReference"/>
        </w:rPr>
        <w:footnoteRef/>
      </w:r>
      <w:r>
        <w:t xml:space="preserve"> </w:t>
      </w:r>
      <w:r>
        <w:t xml:space="preserve">Ravussin 2009, PMID 19521351.</w:t>
      </w:r>
    </w:p>
  </w:footnote>
  <w:footnote w:id="774">
    <w:p>
      <w:pPr>
        <w:pStyle w:val="FootnoteText"/>
      </w:pPr>
      <w:r>
        <w:rPr>
          <w:rStyle w:val="FootnoteReference"/>
        </w:rPr>
        <w:footnoteRef/>
      </w:r>
      <w:r>
        <w:t xml:space="preserve"> </w:t>
      </w:r>
      <w:r>
        <w:t xml:space="preserve">Haidar 2020, PMID 31974099.</w:t>
      </w:r>
    </w:p>
  </w:footnote>
  <w:footnote w:id="775">
    <w:p>
      <w:pPr>
        <w:pStyle w:val="FootnoteText"/>
      </w:pPr>
      <w:r>
        <w:rPr>
          <w:rStyle w:val="FootnoteReference"/>
        </w:rPr>
        <w:footnoteRef/>
      </w:r>
      <w:r>
        <w:t xml:space="preserve"> </w:t>
      </w:r>
      <w:r>
        <w:t xml:space="preserve">Odabassian 2025, PMID 41174925.</w:t>
      </w:r>
    </w:p>
  </w:footnote>
  <w:footnote w:id="776">
    <w:p>
      <w:pPr>
        <w:pStyle w:val="FootnoteText"/>
      </w:pPr>
      <w:r>
        <w:rPr>
          <w:rStyle w:val="FootnoteReference"/>
        </w:rPr>
        <w:footnoteRef/>
      </w:r>
      <w:r>
        <w:t xml:space="preserve"> </w:t>
      </w:r>
      <w:r>
        <w:t xml:space="preserve">Andersen 2024, PMID 39109464.</w:t>
      </w:r>
    </w:p>
  </w:footnote>
  <w:footnote w:id="779">
    <w:p>
      <w:pPr>
        <w:pStyle w:val="FootnoteText"/>
      </w:pPr>
      <w:r>
        <w:rPr>
          <w:rStyle w:val="FootnoteReference"/>
        </w:rPr>
        <w:footnoteRef/>
      </w:r>
      <w:r>
        <w:t xml:space="preserve"> </w:t>
      </w:r>
      <w:r>
        <w:t xml:space="preserve">descritta come punto di partenza in Ravussin 2009, PMID 19521351.</w:t>
      </w:r>
    </w:p>
  </w:footnote>
  <w:footnote w:id="780">
    <w:p>
      <w:pPr>
        <w:pStyle w:val="FootnoteText"/>
      </w:pPr>
      <w:r>
        <w:rPr>
          <w:rStyle w:val="FootnoteReference"/>
        </w:rPr>
        <w:footnoteRef/>
      </w:r>
      <w:r>
        <w:t xml:space="preserve"> </w:t>
      </w:r>
      <w:r>
        <w:t xml:space="preserve">Ghanizada 2021, PMID 33772845.</w:t>
      </w:r>
    </w:p>
  </w:footnote>
  <w:footnote w:id="782">
    <w:p>
      <w:pPr>
        <w:pStyle w:val="FootnoteText"/>
      </w:pPr>
      <w:r>
        <w:rPr>
          <w:rStyle w:val="FootnoteReference"/>
        </w:rPr>
        <w:footnoteRef/>
      </w:r>
      <w:r>
        <w:t xml:space="preserve"> </w:t>
      </w:r>
      <w:r>
        <w:t xml:space="preserve">Smith 2008, PMID 18753666; Edelman 2006, PMID 17003291.</w:t>
      </w:r>
    </w:p>
  </w:footnote>
  <w:footnote w:id="783">
    <w:p>
      <w:pPr>
        <w:pStyle w:val="FootnoteText"/>
      </w:pPr>
      <w:r>
        <w:rPr>
          <w:rStyle w:val="FootnoteReference"/>
        </w:rPr>
        <w:footnoteRef/>
      </w:r>
      <w:r>
        <w:t xml:space="preserve"> </w:t>
      </w:r>
      <w:r>
        <w:t xml:space="preserve">Edelman 2006, PMID 17003291.</w:t>
      </w:r>
    </w:p>
  </w:footnote>
  <w:footnote w:id="784">
    <w:p>
      <w:pPr>
        <w:pStyle w:val="FootnoteText"/>
      </w:pPr>
      <w:r>
        <w:rPr>
          <w:rStyle w:val="FootnoteReference"/>
        </w:rPr>
        <w:footnoteRef/>
      </w:r>
      <w:r>
        <w:t xml:space="preserve"> </w:t>
      </w:r>
      <w:r>
        <w:t xml:space="preserve">Ghanizada 2021, PMID 33772845.</w:t>
      </w:r>
    </w:p>
  </w:footnote>
  <w:footnote w:id="787">
    <w:p>
      <w:pPr>
        <w:pStyle w:val="FootnoteText"/>
      </w:pPr>
      <w:r>
        <w:rPr>
          <w:rStyle w:val="FootnoteReference"/>
        </w:rPr>
        <w:footnoteRef/>
      </w:r>
      <w:r>
        <w:t xml:space="preserve"> </w:t>
      </w:r>
      <w:r>
        <w:t xml:space="preserve">NCT07340788.</w:t>
      </w:r>
    </w:p>
  </w:footnote>
  <w:footnote w:id="788">
    <w:p>
      <w:pPr>
        <w:pStyle w:val="FootnoteText"/>
      </w:pPr>
      <w:r>
        <w:rPr>
          <w:rStyle w:val="FootnoteReference"/>
        </w:rPr>
        <w:footnoteRef/>
      </w:r>
      <w:r>
        <w:t xml:space="preserve"> </w:t>
      </w:r>
      <w:r>
        <w:t xml:space="preserve">NCT07340775.</w:t>
      </w:r>
    </w:p>
  </w:footnote>
  <w:footnote w:id="789">
    <w:p>
      <w:pPr>
        <w:pStyle w:val="FootnoteText"/>
      </w:pPr>
      <w:r>
        <w:rPr>
          <w:rStyle w:val="FootnoteReference"/>
        </w:rPr>
        <w:footnoteRef/>
      </w:r>
      <w:r>
        <w:t xml:space="preserve"> </w:t>
      </w:r>
      <w:r>
        <w:t xml:space="preserve">NCT07506369.</w:t>
      </w:r>
    </w:p>
  </w:footnote>
  <w:footnote w:id="790">
    <w:p>
      <w:pPr>
        <w:pStyle w:val="FootnoteText"/>
      </w:pPr>
      <w:r>
        <w:rPr>
          <w:rStyle w:val="FootnoteReference"/>
        </w:rPr>
        <w:footnoteRef/>
      </w:r>
      <w:r>
        <w:t xml:space="preserve"> </w:t>
      </w:r>
      <w:r>
        <w:t xml:space="preserve">Odabassian 2025, PMID 41174925.</w:t>
      </w:r>
    </w:p>
  </w:footnote>
  <w:footnote w:id="794">
    <w:p>
      <w:pPr>
        <w:pStyle w:val="FootnoteText"/>
      </w:pPr>
      <w:r>
        <w:rPr>
          <w:rStyle w:val="FootnoteReference"/>
        </w:rPr>
        <w:footnoteRef/>
      </w:r>
      <w:r>
        <w:t xml:space="preserve"> </w:t>
      </w:r>
      <w:r>
        <w:t xml:space="preserve">Markham 2021, PMID 33638809.</w:t>
      </w:r>
    </w:p>
  </w:footnote>
  <w:footnote w:id="797">
    <w:p>
      <w:pPr>
        <w:pStyle w:val="FootnoteText"/>
      </w:pPr>
      <w:r>
        <w:rPr>
          <w:rStyle w:val="FootnoteReference"/>
        </w:rPr>
        <w:footnoteRef/>
      </w:r>
      <w:r>
        <w:t xml:space="preserve"> </w:t>
      </w:r>
      <w:r>
        <w:t xml:space="preserve">Kühnen 2016, PMID 27468060.</w:t>
      </w:r>
    </w:p>
  </w:footnote>
  <w:footnote w:id="798">
    <w:p>
      <w:pPr>
        <w:pStyle w:val="FootnoteText"/>
      </w:pPr>
      <w:r>
        <w:rPr>
          <w:rStyle w:val="FootnoteReference"/>
        </w:rPr>
        <w:footnoteRef/>
      </w:r>
      <w:r>
        <w:t xml:space="preserve"> </w:t>
      </w:r>
      <w:r>
        <w:t xml:space="preserve">Clément 2018, PMID 29736023.</w:t>
      </w:r>
    </w:p>
  </w:footnote>
  <w:footnote w:id="799">
    <w:p>
      <w:pPr>
        <w:pStyle w:val="FootnoteText"/>
      </w:pPr>
      <w:r>
        <w:rPr>
          <w:rStyle w:val="FootnoteReference"/>
        </w:rPr>
        <w:footnoteRef/>
      </w:r>
      <w:r>
        <w:t xml:space="preserve"> </w:t>
      </w:r>
      <w:r>
        <w:t xml:space="preserve">Clément 2020, PMID 33137293.</w:t>
      </w:r>
    </w:p>
  </w:footnote>
  <w:footnote w:id="801">
    <w:p>
      <w:pPr>
        <w:pStyle w:val="FootnoteText"/>
      </w:pPr>
      <w:r>
        <w:rPr>
          <w:rStyle w:val="FootnoteReference"/>
        </w:rPr>
        <w:footnoteRef/>
      </w:r>
      <w:r>
        <w:t xml:space="preserve"> </w:t>
      </w:r>
      <w:r>
        <w:t xml:space="preserve">Haqq 2022, PMID 36356613.</w:t>
      </w:r>
    </w:p>
  </w:footnote>
  <w:footnote w:id="802">
    <w:p>
      <w:pPr>
        <w:pStyle w:val="FootnoteText"/>
      </w:pPr>
      <w:r>
        <w:rPr>
          <w:rStyle w:val="FootnoteReference"/>
        </w:rPr>
        <w:footnoteRef/>
      </w:r>
      <w:r>
        <w:t xml:space="preserve"> </w:t>
      </w:r>
      <w:r>
        <w:t xml:space="preserve">Argente 2026, PMID 41703984.</w:t>
      </w:r>
    </w:p>
  </w:footnote>
  <w:footnote w:id="804">
    <w:p>
      <w:pPr>
        <w:pStyle w:val="FootnoteText"/>
      </w:pPr>
      <w:r>
        <w:rPr>
          <w:rStyle w:val="FootnoteReference"/>
        </w:rPr>
        <w:footnoteRef/>
      </w:r>
      <w:r>
        <w:t xml:space="preserve"> </w:t>
      </w:r>
      <w:r>
        <w:t xml:space="preserve">Argente 2025, PMID 39549719.</w:t>
      </w:r>
    </w:p>
  </w:footnote>
  <w:footnote w:id="806">
    <w:p>
      <w:pPr>
        <w:pStyle w:val="FootnoteText"/>
      </w:pPr>
      <w:r>
        <w:rPr>
          <w:rStyle w:val="FootnoteReference"/>
        </w:rPr>
        <w:footnoteRef/>
      </w:r>
      <w:r>
        <w:t xml:space="preserve"> </w:t>
      </w:r>
      <w:r>
        <w:t xml:space="preserve">Roth 2024, PMID 38697184.</w:t>
      </w:r>
    </w:p>
  </w:footnote>
  <w:footnote w:id="807">
    <w:p>
      <w:pPr>
        <w:pStyle w:val="FootnoteText"/>
      </w:pPr>
      <w:r>
        <w:rPr>
          <w:rStyle w:val="FootnoteReference"/>
        </w:rPr>
        <w:footnoteRef/>
      </w:r>
      <w:r>
        <w:t xml:space="preserve"> </w:t>
      </w:r>
      <w:r>
        <w:t xml:space="preserve">Miller 2026, PMID 42418774.</w:t>
      </w:r>
    </w:p>
  </w:footnote>
  <w:footnote w:id="809">
    <w:p>
      <w:pPr>
        <w:pStyle w:val="FootnoteText"/>
      </w:pPr>
      <w:r>
        <w:rPr>
          <w:rStyle w:val="FootnoteReference"/>
        </w:rPr>
        <w:footnoteRef/>
      </w:r>
      <w:r>
        <w:t xml:space="preserve"> </w:t>
      </w:r>
      <w:r>
        <w:t xml:space="preserve">Collet 2017, PMID 29031731.</w:t>
      </w:r>
    </w:p>
  </w:footnote>
  <w:footnote w:id="810">
    <w:p>
      <w:pPr>
        <w:pStyle w:val="FootnoteText"/>
      </w:pPr>
      <w:r>
        <w:rPr>
          <w:rStyle w:val="FootnoteReference"/>
        </w:rPr>
        <w:footnoteRef/>
      </w:r>
      <w:r>
        <w:t xml:space="preserve"> </w:t>
      </w:r>
      <w:r>
        <w:t xml:space="preserve">NCT05093634.</w:t>
      </w:r>
    </w:p>
  </w:footnote>
  <w:footnote w:id="813">
    <w:p>
      <w:pPr>
        <w:pStyle w:val="FootnoteText"/>
      </w:pPr>
      <w:r>
        <w:rPr>
          <w:rStyle w:val="FootnoteReference"/>
        </w:rPr>
        <w:footnoteRef/>
      </w:r>
      <w:r>
        <w:t xml:space="preserve"> </w:t>
      </w:r>
      <w:r>
        <w:t xml:space="preserve">Collet 2017, PMID 29031731.</w:t>
      </w:r>
    </w:p>
  </w:footnote>
  <w:footnote w:id="815">
    <w:p>
      <w:pPr>
        <w:pStyle w:val="FootnoteText"/>
      </w:pPr>
      <w:r>
        <w:rPr>
          <w:rStyle w:val="FootnoteReference"/>
        </w:rPr>
        <w:footnoteRef/>
      </w:r>
      <w:r>
        <w:t xml:space="preserve"> </w:t>
      </w:r>
      <w:r>
        <w:t xml:space="preserve">Sridharan 2026, PMID 39924461.</w:t>
      </w:r>
    </w:p>
  </w:footnote>
  <w:footnote w:id="816">
    <w:p>
      <w:pPr>
        <w:pStyle w:val="FootnoteText"/>
      </w:pPr>
      <w:r>
        <w:rPr>
          <w:rStyle w:val="FootnoteReference"/>
        </w:rPr>
        <w:footnoteRef/>
      </w:r>
      <w:r>
        <w:t xml:space="preserve"> </w:t>
      </w:r>
      <w:r>
        <w:t xml:space="preserve">Kanti 2021, PMID 34058738.</w:t>
      </w:r>
    </w:p>
  </w:footnote>
  <w:footnote w:id="817">
    <w:p>
      <w:pPr>
        <w:pStyle w:val="FootnoteText"/>
      </w:pPr>
      <w:r>
        <w:rPr>
          <w:rStyle w:val="FootnoteReference"/>
        </w:rPr>
        <w:footnoteRef/>
      </w:r>
      <w:r>
        <w:t xml:space="preserve"> </w:t>
      </w:r>
      <w:r>
        <w:t xml:space="preserve">Sridharan 2026, PMID 39924461.</w:t>
      </w:r>
    </w:p>
  </w:footnote>
  <w:footnote w:id="818">
    <w:p>
      <w:pPr>
        <w:pStyle w:val="FootnoteText"/>
      </w:pPr>
      <w:r>
        <w:rPr>
          <w:rStyle w:val="FootnoteReference"/>
        </w:rPr>
        <w:footnoteRef/>
      </w:r>
      <w:r>
        <w:t xml:space="preserve"> </w:t>
      </w:r>
      <w:r>
        <w:t xml:space="preserve">Miller 2026, PMID 42418774.</w:t>
      </w:r>
    </w:p>
  </w:footnote>
  <w:footnote w:id="819">
    <w:p>
      <w:pPr>
        <w:pStyle w:val="FootnoteText"/>
      </w:pPr>
      <w:r>
        <w:rPr>
          <w:rStyle w:val="FootnoteReference"/>
        </w:rPr>
        <w:footnoteRef/>
      </w:r>
      <w:r>
        <w:t xml:space="preserve"> </w:t>
      </w:r>
      <w:r>
        <w:t xml:space="preserve">Haqq 2022, PMID 36356613.</w:t>
      </w:r>
    </w:p>
  </w:footnote>
  <w:footnote w:id="822">
    <w:p>
      <w:pPr>
        <w:pStyle w:val="FootnoteText"/>
      </w:pPr>
      <w:r>
        <w:rPr>
          <w:rStyle w:val="FootnoteReference"/>
        </w:rPr>
        <w:footnoteRef/>
      </w:r>
      <w:r>
        <w:t xml:space="preserve"> </w:t>
      </w:r>
      <w:r>
        <w:t xml:space="preserve">NCT05774756.</w:t>
      </w:r>
    </w:p>
  </w:footnote>
  <w:footnote w:id="823">
    <w:p>
      <w:pPr>
        <w:pStyle w:val="FootnoteText"/>
      </w:pPr>
      <w:r>
        <w:rPr>
          <w:rStyle w:val="FootnoteReference"/>
        </w:rPr>
        <w:footnoteRef/>
      </w:r>
      <w:r>
        <w:t xml:space="preserve"> </w:t>
      </w:r>
      <w:r>
        <w:t xml:space="preserve">NCT06760546.</w:t>
      </w:r>
    </w:p>
  </w:footnote>
  <w:footnote w:id="824">
    <w:p>
      <w:pPr>
        <w:pStyle w:val="FootnoteText"/>
      </w:pPr>
      <w:r>
        <w:rPr>
          <w:rStyle w:val="FootnoteReference"/>
        </w:rPr>
        <w:footnoteRef/>
      </w:r>
      <w:r>
        <w:t xml:space="preserve"> </w:t>
      </w:r>
      <w:r>
        <w:t xml:space="preserve">NCT06772597.</w:t>
      </w:r>
    </w:p>
  </w:footnote>
  <w:footnote w:id="825">
    <w:p>
      <w:pPr>
        <w:pStyle w:val="FootnoteText"/>
      </w:pPr>
      <w:r>
        <w:rPr>
          <w:rStyle w:val="FootnoteReference"/>
        </w:rPr>
        <w:footnoteRef/>
      </w:r>
      <w:r>
        <w:t xml:space="preserve"> </w:t>
      </w:r>
      <w:r>
        <w:t xml:space="preserve">NCT07674290.</w:t>
      </w:r>
    </w:p>
  </w:footnote>
  <w:footnote w:id="826">
    <w:p>
      <w:pPr>
        <w:pStyle w:val="FootnoteText"/>
      </w:pPr>
      <w:r>
        <w:rPr>
          <w:rStyle w:val="FootnoteReference"/>
        </w:rPr>
        <w:footnoteRef/>
      </w:r>
      <w:r>
        <w:t xml:space="preserve"> </w:t>
      </w:r>
      <w:r>
        <w:t xml:space="preserve">NCT05093634.</w:t>
      </w:r>
    </w:p>
  </w:footnote>
  <w:footnote w:id="827">
    <w:p>
      <w:pPr>
        <w:pStyle w:val="FootnoteText"/>
      </w:pPr>
      <w:r>
        <w:rPr>
          <w:rStyle w:val="FootnoteReference"/>
        </w:rPr>
        <w:footnoteRef/>
      </w:r>
      <w:r>
        <w:t xml:space="preserve"> </w:t>
      </w:r>
      <w:r>
        <w:t xml:space="preserve">NCT04963231.</w:t>
      </w:r>
    </w:p>
  </w:footnote>
  <w:footnote w:id="831">
    <w:p>
      <w:pPr>
        <w:pStyle w:val="FootnoteText"/>
      </w:pPr>
      <w:r>
        <w:rPr>
          <w:rStyle w:val="FootnoteReference"/>
        </w:rPr>
        <w:footnoteRef/>
      </w:r>
      <w:r>
        <w:t xml:space="preserve"> </w:t>
      </w:r>
      <w:r>
        <w:t xml:space="preserve">Cox 2015, PMID 25208511.</w:t>
      </w:r>
    </w:p>
  </w:footnote>
  <w:footnote w:id="833">
    <w:p>
      <w:pPr>
        <w:pStyle w:val="FootnoteText"/>
      </w:pPr>
      <w:r>
        <w:rPr>
          <w:rStyle w:val="FootnoteReference"/>
        </w:rPr>
        <w:footnoteRef/>
      </w:r>
      <w:r>
        <w:t xml:space="preserve"> </w:t>
      </w:r>
      <w:r>
        <w:t xml:space="preserve">Wade 1982, PMID 6751009.</w:t>
      </w:r>
    </w:p>
  </w:footnote>
  <w:footnote w:id="834">
    <w:p>
      <w:pPr>
        <w:pStyle w:val="FootnoteText"/>
      </w:pPr>
      <w:r>
        <w:rPr>
          <w:rStyle w:val="FootnoteReference"/>
        </w:rPr>
        <w:footnoteRef/>
      </w:r>
      <w:r>
        <w:t xml:space="preserve"> </w:t>
      </w:r>
      <w:r>
        <w:t xml:space="preserve">Heffernan 2001, PMID 11673763.</w:t>
      </w:r>
    </w:p>
  </w:footnote>
  <w:footnote w:id="835">
    <w:p>
      <w:pPr>
        <w:pStyle w:val="FootnoteText"/>
      </w:pPr>
      <w:r>
        <w:rPr>
          <w:rStyle w:val="FootnoteReference"/>
        </w:rPr>
        <w:footnoteRef/>
      </w:r>
      <w:r>
        <w:t xml:space="preserve"> </w:t>
      </w:r>
      <w:r>
        <w:t xml:space="preserve">Heffernan 2001, PMID 11713213.</w:t>
      </w:r>
    </w:p>
  </w:footnote>
  <w:footnote w:id="837">
    <w:p>
      <w:pPr>
        <w:pStyle w:val="FootnoteText"/>
      </w:pPr>
      <w:r>
        <w:rPr>
          <w:rStyle w:val="FootnoteReference"/>
        </w:rPr>
        <w:footnoteRef/>
      </w:r>
      <w:r>
        <w:t xml:space="preserve"> </w:t>
      </w:r>
      <w:r>
        <w:t xml:space="preserve">Wilding 2004, PMID 15134286; Halford 2006, PMID 16625817.</w:t>
      </w:r>
    </w:p>
  </w:footnote>
  <w:footnote w:id="839">
    <w:p>
      <w:pPr>
        <w:pStyle w:val="FootnoteText"/>
      </w:pPr>
      <w:r>
        <w:rPr>
          <w:rStyle w:val="FootnoteReference"/>
        </w:rPr>
        <w:footnoteRef/>
      </w:r>
      <w:r>
        <w:t xml:space="preserve"> </w:t>
      </w:r>
      <w:r>
        <w:t xml:space="preserve">Ng 2000, PMID 11146367.</w:t>
      </w:r>
    </w:p>
  </w:footnote>
  <w:footnote w:id="840">
    <w:p>
      <w:pPr>
        <w:pStyle w:val="FootnoteText"/>
      </w:pPr>
      <w:r>
        <w:rPr>
          <w:rStyle w:val="FootnoteReference"/>
        </w:rPr>
        <w:footnoteRef/>
      </w:r>
      <w:r>
        <w:t xml:space="preserve"> </w:t>
      </w:r>
      <w:r>
        <w:t xml:space="preserve">Heffernan 2001, PMID 11673763.</w:t>
      </w:r>
    </w:p>
  </w:footnote>
  <w:footnote w:id="841">
    <w:p>
      <w:pPr>
        <w:pStyle w:val="FootnoteText"/>
      </w:pPr>
      <w:r>
        <w:rPr>
          <w:rStyle w:val="FootnoteReference"/>
        </w:rPr>
        <w:footnoteRef/>
      </w:r>
      <w:r>
        <w:t xml:space="preserve"> </w:t>
      </w:r>
      <w:r>
        <w:t xml:space="preserve">Natera 1994, PMID 7987248.</w:t>
      </w:r>
    </w:p>
  </w:footnote>
  <w:footnote w:id="842">
    <w:p>
      <w:pPr>
        <w:pStyle w:val="FootnoteText"/>
      </w:pPr>
      <w:r>
        <w:rPr>
          <w:rStyle w:val="FootnoteReference"/>
        </w:rPr>
        <w:footnoteRef/>
      </w:r>
      <w:r>
        <w:t xml:space="preserve"> </w:t>
      </w:r>
      <w:r>
        <w:t xml:space="preserve">Kwon 2015, PMID 26275694.</w:t>
      </w:r>
    </w:p>
  </w:footnote>
  <w:footnote w:id="844">
    <w:p>
      <w:pPr>
        <w:pStyle w:val="FootnoteText"/>
      </w:pPr>
      <w:r>
        <w:rPr>
          <w:rStyle w:val="FootnoteReference"/>
        </w:rPr>
        <w:footnoteRef/>
      </w:r>
      <w:r>
        <w:t xml:space="preserve"> </w:t>
      </w:r>
      <w:r>
        <w:t xml:space="preserve">Cox 2015, PMID 25208511.</w:t>
      </w:r>
    </w:p>
  </w:footnote>
  <w:footnote w:id="845">
    <w:p>
      <w:pPr>
        <w:pStyle w:val="FootnoteText"/>
      </w:pPr>
      <w:r>
        <w:rPr>
          <w:rStyle w:val="FootnoteReference"/>
        </w:rPr>
        <w:footnoteRef/>
      </w:r>
      <w:r>
        <w:t xml:space="preserve"> </w:t>
      </w:r>
      <w:r>
        <w:t xml:space="preserve">Vanhee 2014, PMID 24976118.</w:t>
      </w:r>
    </w:p>
  </w:footnote>
  <w:footnote w:id="846">
    <w:p>
      <w:pPr>
        <w:pStyle w:val="FootnoteText"/>
      </w:pPr>
      <w:r>
        <w:rPr>
          <w:rStyle w:val="FootnoteReference"/>
        </w:rPr>
        <w:footnoteRef/>
      </w:r>
      <w:r>
        <w:t xml:space="preserve"> </w:t>
      </w:r>
      <w:r>
        <w:t xml:space="preserve">Mendias 2026, PMID 41966639; Dominikowski 2026, PMID 42395176.</w:t>
      </w:r>
    </w:p>
  </w:footnote>
  <w:footnote w:id="847">
    <w:p>
      <w:pPr>
        <w:pStyle w:val="FootnoteText"/>
      </w:pPr>
      <w:r>
        <w:rPr>
          <w:rStyle w:val="FootnoteReference"/>
        </w:rPr>
        <w:footnoteRef/>
      </w:r>
      <w:r>
        <w:t xml:space="preserve"> </w:t>
      </w:r>
      <w:r>
        <w:t xml:space="preserve">Coutinho 2026, PMID 41880199.</w:t>
      </w:r>
    </w:p>
  </w:footnote>
  <w:footnote w:id="848">
    <w:p>
      <w:pPr>
        <w:pStyle w:val="FootnoteText"/>
      </w:pPr>
      <w:r>
        <w:rPr>
          <w:rStyle w:val="FootnoteReference"/>
        </w:rPr>
        <w:footnoteRef/>
      </w:r>
      <w:r>
        <w:t xml:space="preserve"> </w:t>
      </w:r>
      <w:r>
        <w:t xml:space="preserve">Heffernan 2001, PMID 11673763.</w:t>
      </w:r>
    </w:p>
  </w:footnote>
  <w:footnote w:id="850">
    <w:p>
      <w:pPr>
        <w:pStyle w:val="FootnoteText"/>
      </w:pPr>
      <w:r>
        <w:rPr>
          <w:rStyle w:val="FootnoteReference"/>
        </w:rPr>
        <w:footnoteRef/>
      </w:r>
      <w:r>
        <w:t xml:space="preserve"> </w:t>
      </w:r>
      <w:r>
        <w:t xml:space="preserve">Cox 2015, PMID 25208511.</w:t>
      </w:r>
    </w:p>
  </w:footnote>
  <w:footnote w:id="851">
    <w:p>
      <w:pPr>
        <w:pStyle w:val="FootnoteText"/>
      </w:pPr>
      <w:r>
        <w:rPr>
          <w:rStyle w:val="FootnoteReference"/>
        </w:rPr>
        <w:footnoteRef/>
      </w:r>
      <w:r>
        <w:t xml:space="preserve"> </w:t>
      </w:r>
      <w:r>
        <w:t xml:space="preserve">Orlovius 2013, PMID 24124033.</w:t>
      </w:r>
    </w:p>
  </w:footnote>
  <w:footnote w:id="857">
    <w:p>
      <w:pPr>
        <w:pStyle w:val="FootnoteText"/>
      </w:pPr>
      <w:r>
        <w:rPr>
          <w:rStyle w:val="FootnoteReference"/>
        </w:rPr>
        <w:footnoteRef/>
      </w:r>
      <w:r>
        <w:t xml:space="preserve"> </w:t>
      </w:r>
      <w:r>
        <w:t xml:space="preserve">Rosenstock 2026, PMID 41765029.</w:t>
      </w:r>
    </w:p>
  </w:footnote>
  <w:footnote w:id="859">
    <w:p>
      <w:pPr>
        <w:pStyle w:val="FootnoteText"/>
      </w:pPr>
      <w:r>
        <w:rPr>
          <w:rStyle w:val="FootnoteReference"/>
        </w:rPr>
        <w:footnoteRef/>
      </w:r>
      <w:r>
        <w:t xml:space="preserve"> </w:t>
      </w:r>
      <w:r>
        <w:t xml:space="preserve">Rosenstock 2025, PMID 40808573.</w:t>
      </w:r>
    </w:p>
  </w:footnote>
  <w:footnote w:id="861">
    <w:p>
      <w:pPr>
        <w:pStyle w:val="FootnoteText"/>
      </w:pPr>
      <w:r>
        <w:rPr>
          <w:rStyle w:val="FootnoteReference"/>
        </w:rPr>
        <w:footnoteRef/>
      </w:r>
      <w:r>
        <w:t xml:space="preserve"> </w:t>
      </w:r>
      <w:r>
        <w:t xml:space="preserve">Wharton 2025, PMID 40960239.</w:t>
      </w:r>
    </w:p>
  </w:footnote>
  <w:footnote w:id="862">
    <w:p>
      <w:pPr>
        <w:pStyle w:val="FootnoteText"/>
      </w:pPr>
      <w:r>
        <w:rPr>
          <w:rStyle w:val="FootnoteReference"/>
        </w:rPr>
        <w:footnoteRef/>
      </w:r>
      <w:r>
        <w:t xml:space="preserve"> </w:t>
      </w:r>
      <w:r>
        <w:t xml:space="preserve">Wharton 2023, PMID 37351564.</w:t>
      </w:r>
    </w:p>
  </w:footnote>
  <w:footnote w:id="863">
    <w:p>
      <w:pPr>
        <w:pStyle w:val="FootnoteText"/>
      </w:pPr>
      <w:r>
        <w:rPr>
          <w:rStyle w:val="FootnoteReference"/>
        </w:rPr>
        <w:footnoteRef/>
      </w:r>
      <w:r>
        <w:t xml:space="preserve"> </w:t>
      </w:r>
      <w:r>
        <w:t xml:space="preserve">Horn 2026, PMID 41275875.</w:t>
      </w:r>
    </w:p>
  </w:footnote>
  <w:footnote w:id="864">
    <w:p>
      <w:pPr>
        <w:pStyle w:val="FootnoteText"/>
      </w:pPr>
      <w:r>
        <w:rPr>
          <w:rStyle w:val="FootnoteReference"/>
        </w:rPr>
        <w:footnoteRef/>
      </w:r>
      <w:r>
        <w:t xml:space="preserve"> </w:t>
      </w:r>
      <w:r>
        <w:t xml:space="preserve">Aronne 2026, PMID 42120723.</w:t>
      </w:r>
    </w:p>
  </w:footnote>
  <w:footnote w:id="866">
    <w:p>
      <w:pPr>
        <w:pStyle w:val="FootnoteText"/>
      </w:pPr>
      <w:r>
        <w:rPr>
          <w:rStyle w:val="FootnoteReference"/>
        </w:rPr>
        <w:footnoteRef/>
      </w:r>
      <w:r>
        <w:t xml:space="preserve"> </w:t>
      </w:r>
      <w:r>
        <w:t xml:space="preserve">Rosenstock 2025, PMID 40544435.</w:t>
      </w:r>
    </w:p>
  </w:footnote>
  <w:footnote w:id="867">
    <w:p>
      <w:pPr>
        <w:pStyle w:val="FootnoteText"/>
      </w:pPr>
      <w:r>
        <w:rPr>
          <w:rStyle w:val="FootnoteReference"/>
        </w:rPr>
        <w:footnoteRef/>
      </w:r>
      <w:r>
        <w:t xml:space="preserve"> </w:t>
      </w:r>
      <w:r>
        <w:t xml:space="preserve">Welch 2026, PMID 42259339.</w:t>
      </w:r>
    </w:p>
  </w:footnote>
  <w:footnote w:id="868">
    <w:p>
      <w:pPr>
        <w:pStyle w:val="FootnoteText"/>
      </w:pPr>
      <w:r>
        <w:rPr>
          <w:rStyle w:val="FootnoteReference"/>
        </w:rPr>
        <w:footnoteRef/>
      </w:r>
      <w:r>
        <w:t xml:space="preserve"> </w:t>
      </w:r>
      <w:r>
        <w:t xml:space="preserve">Rosenstock 2026, PMID 41765029.</w:t>
      </w:r>
    </w:p>
  </w:footnote>
  <w:footnote w:id="869">
    <w:p>
      <w:pPr>
        <w:pStyle w:val="FootnoteText"/>
      </w:pPr>
      <w:r>
        <w:rPr>
          <w:rStyle w:val="FootnoteReference"/>
        </w:rPr>
        <w:footnoteRef/>
      </w:r>
      <w:r>
        <w:t xml:space="preserve"> </w:t>
      </w:r>
      <w:r>
        <w:t xml:space="preserve">Klein 2026, PMID 42815506.</w:t>
      </w:r>
    </w:p>
  </w:footnote>
  <w:footnote w:id="872">
    <w:p>
      <w:pPr>
        <w:pStyle w:val="FootnoteText"/>
      </w:pPr>
      <w:r>
        <w:rPr>
          <w:rStyle w:val="FootnoteReference"/>
        </w:rPr>
        <w:footnoteRef/>
      </w:r>
      <w:r>
        <w:t xml:space="preserve"> </w:t>
      </w:r>
      <w:r>
        <w:t xml:space="preserve">NCT05469126, NCT05573230, NCT06370728, NCT06704763.</w:t>
      </w:r>
    </w:p>
  </w:footnote>
  <w:footnote w:id="874">
    <w:p>
      <w:pPr>
        <w:pStyle w:val="FootnoteText"/>
      </w:pPr>
      <w:r>
        <w:rPr>
          <w:rStyle w:val="FootnoteReference"/>
        </w:rPr>
        <w:footnoteRef/>
      </w:r>
      <w:r>
        <w:t xml:space="preserve"> </w:t>
      </w:r>
      <w:r>
        <w:t xml:space="preserve">Klein 2026, PMID 42815506.</w:t>
      </w:r>
    </w:p>
  </w:footnote>
  <w:footnote w:id="875">
    <w:p>
      <w:pPr>
        <w:pStyle w:val="FootnoteText"/>
      </w:pPr>
      <w:r>
        <w:rPr>
          <w:rStyle w:val="FootnoteReference"/>
        </w:rPr>
        <w:footnoteRef/>
      </w:r>
      <w:r>
        <w:t xml:space="preserve"> </w:t>
      </w:r>
      <w:r>
        <w:t xml:space="preserve">Wharton 2025, PMID 40960239.</w:t>
      </w:r>
    </w:p>
  </w:footnote>
  <w:footnote w:id="876">
    <w:p>
      <w:pPr>
        <w:pStyle w:val="FootnoteText"/>
      </w:pPr>
      <w:r>
        <w:rPr>
          <w:rStyle w:val="FootnoteReference"/>
        </w:rPr>
        <w:footnoteRef/>
      </w:r>
      <w:r>
        <w:t xml:space="preserve"> </w:t>
      </w:r>
      <w:r>
        <w:t xml:space="preserve">Rosenstock 2026, PMID 41765029.</w:t>
      </w:r>
    </w:p>
  </w:footnote>
  <w:footnote w:id="877">
    <w:p>
      <w:pPr>
        <w:pStyle w:val="FootnoteText"/>
      </w:pPr>
      <w:r>
        <w:rPr>
          <w:rStyle w:val="FootnoteReference"/>
        </w:rPr>
        <w:footnoteRef/>
      </w:r>
      <w:r>
        <w:t xml:space="preserve"> </w:t>
      </w:r>
      <w:r>
        <w:t xml:space="preserve">Rosenstock 2026, PMID 41765029.</w:t>
      </w:r>
    </w:p>
  </w:footnote>
  <w:footnote w:id="878">
    <w:p>
      <w:pPr>
        <w:pStyle w:val="FootnoteText"/>
      </w:pPr>
      <w:r>
        <w:rPr>
          <w:rStyle w:val="FootnoteReference"/>
        </w:rPr>
        <w:footnoteRef/>
      </w:r>
      <w:r>
        <w:t xml:space="preserve"> </w:t>
      </w:r>
      <w:r>
        <w:t xml:space="preserve">Klein 2026, PMID 42815506.</w:t>
      </w:r>
    </w:p>
  </w:footnote>
  <w:footnote w:id="879">
    <w:p>
      <w:pPr>
        <w:pStyle w:val="FootnoteText"/>
      </w:pPr>
      <w:r>
        <w:rPr>
          <w:rStyle w:val="FootnoteReference"/>
        </w:rPr>
        <w:footnoteRef/>
      </w:r>
      <w:r>
        <w:t xml:space="preserve"> </w:t>
      </w:r>
      <w:r>
        <w:t xml:space="preserve">NCT07241390.</w:t>
      </w:r>
    </w:p>
  </w:footnote>
  <w:footnote w:id="880">
    <w:p>
      <w:pPr>
        <w:pStyle w:val="FootnoteText"/>
      </w:pPr>
      <w:r>
        <w:rPr>
          <w:rStyle w:val="FootnoteReference"/>
        </w:rPr>
        <w:footnoteRef/>
      </w:r>
      <w:r>
        <w:t xml:space="preserve"> </w:t>
      </w:r>
      <w:r>
        <w:t xml:space="preserve">Wharton 2026, PMID 42338042.</w:t>
      </w:r>
    </w:p>
  </w:footnote>
  <w:footnote w:id="883">
    <w:p>
      <w:pPr>
        <w:pStyle w:val="FootnoteText"/>
      </w:pPr>
      <w:r>
        <w:rPr>
          <w:rStyle w:val="FootnoteReference"/>
        </w:rPr>
        <w:footnoteRef/>
      </w:r>
      <w:r>
        <w:t xml:space="preserve"> </w:t>
      </w:r>
      <w:r>
        <w:t xml:space="preserve">NCT07223593.</w:t>
      </w:r>
    </w:p>
  </w:footnote>
  <w:footnote w:id="884">
    <w:p>
      <w:pPr>
        <w:pStyle w:val="FootnoteText"/>
      </w:pPr>
      <w:r>
        <w:rPr>
          <w:rStyle w:val="FootnoteReference"/>
        </w:rPr>
        <w:footnoteRef/>
      </w:r>
      <w:r>
        <w:t xml:space="preserve"> </w:t>
      </w:r>
      <w:r>
        <w:t xml:space="preserve">NCT06948422, NCT06948435, NCT06952530.</w:t>
      </w:r>
    </w:p>
  </w:footnote>
  <w:footnote w:id="885">
    <w:p>
      <w:pPr>
        <w:pStyle w:val="FootnoteText"/>
      </w:pPr>
      <w:r>
        <w:rPr>
          <w:rStyle w:val="FootnoteReference"/>
        </w:rPr>
        <w:footnoteRef/>
      </w:r>
      <w:r>
        <w:t xml:space="preserve"> </w:t>
      </w:r>
      <w:r>
        <w:t xml:space="preserve">NCT07153471.</w:t>
      </w:r>
    </w:p>
  </w:footnote>
  <w:footnote w:id="886">
    <w:p>
      <w:pPr>
        <w:pStyle w:val="FootnoteText"/>
      </w:pPr>
      <w:r>
        <w:rPr>
          <w:rStyle w:val="FootnoteReference"/>
        </w:rPr>
        <w:footnoteRef/>
      </w:r>
      <w:r>
        <w:t xml:space="preserve"> </w:t>
      </w:r>
      <w:r>
        <w:t xml:space="preserve">NCT07202884.</w:t>
      </w:r>
    </w:p>
  </w:footnote>
  <w:footnote w:id="887">
    <w:p>
      <w:pPr>
        <w:pStyle w:val="FootnoteText"/>
      </w:pPr>
      <w:r>
        <w:rPr>
          <w:rStyle w:val="FootnoteReference"/>
        </w:rPr>
        <w:footnoteRef/>
      </w:r>
      <w:r>
        <w:t xml:space="preserve"> </w:t>
      </w:r>
      <w:r>
        <w:t xml:space="preserve">NCT06672939.</w:t>
      </w:r>
    </w:p>
  </w:footnote>
  <w:footnote w:id="888">
    <w:p>
      <w:pPr>
        <w:pStyle w:val="FootnoteText"/>
      </w:pPr>
      <w:r>
        <w:rPr>
          <w:rStyle w:val="FootnoteReference"/>
        </w:rPr>
        <w:footnoteRef/>
      </w:r>
      <w:r>
        <w:t xml:space="preserve"> </w:t>
      </w:r>
      <w:r>
        <w:t xml:space="preserve">NCT07668336.</w:t>
      </w:r>
    </w:p>
  </w:footnote>
  <w:footnote w:id="889">
    <w:p>
      <w:pPr>
        <w:pStyle w:val="FootnoteText"/>
      </w:pPr>
      <w:r>
        <w:rPr>
          <w:rStyle w:val="FootnoteReference"/>
        </w:rPr>
        <w:footnoteRef/>
      </w:r>
      <w:r>
        <w:t xml:space="preserve"> </w:t>
      </w:r>
      <w:r>
        <w:t xml:space="preserve">NCT06649045.</w:t>
      </w:r>
    </w:p>
  </w:footnote>
  <w:footnote w:id="897">
    <w:p>
      <w:pPr>
        <w:pStyle w:val="FootnoteText"/>
      </w:pPr>
      <w:r>
        <w:rPr>
          <w:rStyle w:val="FootnoteReference"/>
        </w:rPr>
        <w:footnoteRef/>
      </w:r>
      <w:r>
        <w:t xml:space="preserve"> </w:t>
      </w:r>
      <w:r>
        <w:t xml:space="preserve">Cox 2017, PMID 28035768.</w:t>
      </w:r>
    </w:p>
  </w:footnote>
  <w:footnote w:id="899">
    <w:p>
      <w:pPr>
        <w:pStyle w:val="FootnoteText"/>
      </w:pPr>
      <w:r>
        <w:rPr>
          <w:rStyle w:val="FootnoteReference"/>
        </w:rPr>
        <w:footnoteRef/>
      </w:r>
      <w:r>
        <w:t xml:space="preserve"> </w:t>
      </w:r>
      <w:r>
        <w:t xml:space="preserve">Hsieh 2017, PMID 27847966.</w:t>
      </w:r>
    </w:p>
  </w:footnote>
  <w:footnote w:id="900">
    <w:p>
      <w:pPr>
        <w:pStyle w:val="FootnoteText"/>
      </w:pPr>
      <w:r>
        <w:rPr>
          <w:rStyle w:val="FootnoteReference"/>
        </w:rPr>
        <w:footnoteRef/>
      </w:r>
      <w:r>
        <w:t xml:space="preserve"> </w:t>
      </w:r>
      <w:r>
        <w:t xml:space="preserve">Zhang 2026, PMID 41606641.</w:t>
      </w:r>
    </w:p>
  </w:footnote>
  <w:footnote w:id="901">
    <w:p>
      <w:pPr>
        <w:pStyle w:val="FootnoteText"/>
      </w:pPr>
      <w:r>
        <w:rPr>
          <w:rStyle w:val="FootnoteReference"/>
        </w:rPr>
        <w:footnoteRef/>
      </w:r>
      <w:r>
        <w:t xml:space="preserve"> </w:t>
      </w:r>
      <w:r>
        <w:t xml:space="preserve">Chang 2011, PMID 21030672.</w:t>
      </w:r>
    </w:p>
  </w:footnote>
  <w:footnote w:id="902">
    <w:p>
      <w:pPr>
        <w:pStyle w:val="FootnoteText"/>
      </w:pPr>
      <w:r>
        <w:rPr>
          <w:rStyle w:val="FootnoteReference"/>
        </w:rPr>
        <w:footnoteRef/>
      </w:r>
      <w:r>
        <w:t xml:space="preserve"> </w:t>
      </w:r>
      <w:r>
        <w:t xml:space="preserve">Chang 2014, PMID 25415472.</w:t>
      </w:r>
    </w:p>
  </w:footnote>
  <w:footnote w:id="903">
    <w:p>
      <w:pPr>
        <w:pStyle w:val="FootnoteText"/>
      </w:pPr>
      <w:r>
        <w:rPr>
          <w:rStyle w:val="FootnoteReference"/>
        </w:rPr>
        <w:footnoteRef/>
      </w:r>
      <w:r>
        <w:t xml:space="preserve"> </w:t>
      </w:r>
      <w:r>
        <w:t xml:space="preserve">Sikiric 2025, PMID 40573323.</w:t>
      </w:r>
    </w:p>
  </w:footnote>
  <w:footnote w:id="904">
    <w:p>
      <w:pPr>
        <w:pStyle w:val="FootnoteText"/>
      </w:pPr>
      <w:r>
        <w:rPr>
          <w:rStyle w:val="FootnoteReference"/>
        </w:rPr>
        <w:footnoteRef/>
      </w:r>
      <w:r>
        <w:t xml:space="preserve"> </w:t>
      </w:r>
      <w:r>
        <w:t xml:space="preserve">Mateescu 2026, PMID 42198317.</w:t>
      </w:r>
    </w:p>
  </w:footnote>
  <w:footnote w:id="906">
    <w:p>
      <w:pPr>
        <w:pStyle w:val="FootnoteText"/>
      </w:pPr>
      <w:r>
        <w:rPr>
          <w:rStyle w:val="FootnoteReference"/>
        </w:rPr>
        <w:footnoteRef/>
      </w:r>
      <w:r>
        <w:t xml:space="preserve"> </w:t>
      </w:r>
      <w:r>
        <w:t xml:space="preserve">Poolton 2026, PMID 42885452.</w:t>
      </w:r>
    </w:p>
  </w:footnote>
  <w:footnote w:id="907">
    <w:p>
      <w:pPr>
        <w:pStyle w:val="FootnoteText"/>
      </w:pPr>
      <w:r>
        <w:rPr>
          <w:rStyle w:val="FootnoteReference"/>
        </w:rPr>
        <w:footnoteRef/>
      </w:r>
      <w:r>
        <w:t xml:space="preserve"> </w:t>
      </w:r>
      <w:r>
        <w:t xml:space="preserve">Lee 2021, PMID 34324435.</w:t>
      </w:r>
    </w:p>
  </w:footnote>
  <w:footnote w:id="908">
    <w:p>
      <w:pPr>
        <w:pStyle w:val="FootnoteText"/>
      </w:pPr>
      <w:r>
        <w:rPr>
          <w:rStyle w:val="FootnoteReference"/>
        </w:rPr>
        <w:footnoteRef/>
      </w:r>
      <w:r>
        <w:t xml:space="preserve"> </w:t>
      </w:r>
      <w:r>
        <w:t xml:space="preserve">Lee 2024, PMID 39325560.</w:t>
      </w:r>
    </w:p>
  </w:footnote>
  <w:footnote w:id="909">
    <w:p>
      <w:pPr>
        <w:pStyle w:val="FootnoteText"/>
      </w:pPr>
      <w:r>
        <w:rPr>
          <w:rStyle w:val="FootnoteReference"/>
        </w:rPr>
        <w:footnoteRef/>
      </w:r>
      <w:r>
        <w:t xml:space="preserve"> </w:t>
      </w:r>
      <w:r>
        <w:t xml:space="preserve">Lee 2025, PMID 40131143.</w:t>
      </w:r>
    </w:p>
  </w:footnote>
  <w:footnote w:id="910">
    <w:p>
      <w:pPr>
        <w:pStyle w:val="FootnoteText"/>
      </w:pPr>
      <w:r>
        <w:rPr>
          <w:rStyle w:val="FootnoteReference"/>
        </w:rPr>
        <w:footnoteRef/>
      </w:r>
      <w:r>
        <w:t xml:space="preserve"> </w:t>
      </w:r>
      <w:r>
        <w:t xml:space="preserve">Poolton 2026, PMID 42885452.</w:t>
      </w:r>
    </w:p>
  </w:footnote>
  <w:footnote w:id="911">
    <w:p>
      <w:pPr>
        <w:pStyle w:val="FootnoteText"/>
      </w:pPr>
      <w:r>
        <w:rPr>
          <w:rStyle w:val="FootnoteReference"/>
        </w:rPr>
        <w:footnoteRef/>
      </w:r>
      <w:r>
        <w:t xml:space="preserve"> </w:t>
      </w:r>
      <w:r>
        <w:t xml:space="preserve">Vasireddi 2025, PMID 40756949.</w:t>
      </w:r>
    </w:p>
  </w:footnote>
  <w:footnote w:id="912">
    <w:p>
      <w:pPr>
        <w:pStyle w:val="FootnoteText"/>
      </w:pPr>
      <w:r>
        <w:rPr>
          <w:rStyle w:val="FootnoteReference"/>
        </w:rPr>
        <w:footnoteRef/>
      </w:r>
      <w:r>
        <w:t xml:space="preserve"> </w:t>
      </w:r>
      <w:r>
        <w:t xml:space="preserve">Tham 2026, PMID 42937313; Tewari 2026, PMID 42578445.</w:t>
      </w:r>
    </w:p>
  </w:footnote>
  <w:footnote w:id="914">
    <w:p>
      <w:pPr>
        <w:pStyle w:val="FootnoteText"/>
      </w:pPr>
      <w:r>
        <w:rPr>
          <w:rStyle w:val="FootnoteReference"/>
        </w:rPr>
        <w:footnoteRef/>
      </w:r>
      <w:r>
        <w:t xml:space="preserve"> </w:t>
      </w:r>
      <w:r>
        <w:t xml:space="preserve">Staresinic 2003, PMID 14554208.</w:t>
      </w:r>
    </w:p>
  </w:footnote>
  <w:footnote w:id="915">
    <w:p>
      <w:pPr>
        <w:pStyle w:val="FootnoteText"/>
      </w:pPr>
      <w:r>
        <w:rPr>
          <w:rStyle w:val="FootnoteReference"/>
        </w:rPr>
        <w:footnoteRef/>
      </w:r>
      <w:r>
        <w:t xml:space="preserve"> </w:t>
      </w:r>
      <w:r>
        <w:t xml:space="preserve">Seiwerth 2021, PMID 34267654.</w:t>
      </w:r>
    </w:p>
  </w:footnote>
  <w:footnote w:id="916">
    <w:p>
      <w:pPr>
        <w:pStyle w:val="FootnoteText"/>
      </w:pPr>
      <w:r>
        <w:rPr>
          <w:rStyle w:val="FootnoteReference"/>
        </w:rPr>
        <w:footnoteRef/>
      </w:r>
      <w:r>
        <w:t xml:space="preserve"> </w:t>
      </w:r>
      <w:r>
        <w:t xml:space="preserve">NCT02637284.</w:t>
      </w:r>
    </w:p>
  </w:footnote>
  <w:footnote w:id="919">
    <w:p>
      <w:pPr>
        <w:pStyle w:val="FootnoteText"/>
      </w:pPr>
      <w:r>
        <w:rPr>
          <w:rStyle w:val="FootnoteReference"/>
        </w:rPr>
        <w:footnoteRef/>
      </w:r>
      <w:r>
        <w:t xml:space="preserve"> </w:t>
      </w:r>
      <w:r>
        <w:t xml:space="preserve">Gwyer 2019, PMID 30915550.</w:t>
      </w:r>
    </w:p>
  </w:footnote>
  <w:footnote w:id="920">
    <w:p>
      <w:pPr>
        <w:pStyle w:val="FootnoteText"/>
      </w:pPr>
      <w:r>
        <w:rPr>
          <w:rStyle w:val="FootnoteReference"/>
        </w:rPr>
        <w:footnoteRef/>
      </w:r>
      <w:r>
        <w:t xml:space="preserve"> </w:t>
      </w:r>
      <w:r>
        <w:t xml:space="preserve">Demirtaş 2026, PMID 42794771.</w:t>
      </w:r>
    </w:p>
  </w:footnote>
  <w:footnote w:id="921">
    <w:p>
      <w:pPr>
        <w:pStyle w:val="FootnoteText"/>
      </w:pPr>
      <w:r>
        <w:rPr>
          <w:rStyle w:val="FootnoteReference"/>
        </w:rPr>
        <w:footnoteRef/>
      </w:r>
      <w:r>
        <w:t xml:space="preserve"> </w:t>
      </w:r>
      <w:r>
        <w:t xml:space="preserve">Whitehouse 2025, PMID 40759852.</w:t>
      </w:r>
    </w:p>
  </w:footnote>
  <w:footnote w:id="924">
    <w:p>
      <w:pPr>
        <w:pStyle w:val="FootnoteText"/>
      </w:pPr>
      <w:r>
        <w:rPr>
          <w:rStyle w:val="FootnoteReference"/>
        </w:rPr>
        <w:footnoteRef/>
      </w:r>
      <w:r>
        <w:t xml:space="preserve"> </w:t>
      </w:r>
      <w:r>
        <w:t xml:space="preserve">He 2022, PMID 36588717.</w:t>
      </w:r>
    </w:p>
  </w:footnote>
  <w:footnote w:id="925">
    <w:p>
      <w:pPr>
        <w:pStyle w:val="FootnoteText"/>
      </w:pPr>
      <w:r>
        <w:rPr>
          <w:rStyle w:val="FootnoteReference"/>
        </w:rPr>
        <w:footnoteRef/>
      </w:r>
      <w:r>
        <w:t xml:space="preserve"> </w:t>
      </w:r>
      <w:r>
        <w:t xml:space="preserve">Xu 2020, PMID 32334036.</w:t>
      </w:r>
    </w:p>
  </w:footnote>
  <w:footnote w:id="928">
    <w:p>
      <w:pPr>
        <w:pStyle w:val="FootnoteText"/>
      </w:pPr>
      <w:r>
        <w:rPr>
          <w:rStyle w:val="FootnoteReference"/>
        </w:rPr>
        <w:footnoteRef/>
      </w:r>
      <w:r>
        <w:t xml:space="preserve"> </w:t>
      </w:r>
      <w:r>
        <w:t xml:space="preserve">Poolton 2026, PMID 42885452.</w:t>
      </w:r>
    </w:p>
  </w:footnote>
  <w:footnote w:id="930">
    <w:p>
      <w:pPr>
        <w:pStyle w:val="FootnoteText"/>
      </w:pPr>
      <w:r>
        <w:rPr>
          <w:rStyle w:val="FootnoteReference"/>
        </w:rPr>
        <w:footnoteRef/>
      </w:r>
      <w:r>
        <w:t xml:space="preserve"> </w:t>
      </w:r>
      <w:r>
        <w:t xml:space="preserve">Hsieh 2017, PMID 27847966.</w:t>
      </w:r>
    </w:p>
  </w:footnote>
  <w:footnote w:id="931">
    <w:p>
      <w:pPr>
        <w:pStyle w:val="FootnoteText"/>
      </w:pPr>
      <w:r>
        <w:rPr>
          <w:rStyle w:val="FootnoteReference"/>
        </w:rPr>
        <w:footnoteRef/>
      </w:r>
      <w:r>
        <w:t xml:space="preserve"> </w:t>
      </w:r>
      <w:r>
        <w:t xml:space="preserve">Moiz 2026, PMID 42757290.</w:t>
      </w:r>
    </w:p>
  </w:footnote>
  <w:footnote w:id="932">
    <w:p>
      <w:pPr>
        <w:pStyle w:val="FootnoteText"/>
      </w:pPr>
      <w:r>
        <w:rPr>
          <w:rStyle w:val="FootnoteReference"/>
        </w:rPr>
        <w:footnoteRef/>
      </w:r>
      <w:r>
        <w:t xml:space="preserve"> </w:t>
      </w:r>
      <w:r>
        <w:t xml:space="preserve">Sikiric 2025, PMID 40573323.</w:t>
      </w:r>
    </w:p>
  </w:footnote>
  <w:footnote w:id="934">
    <w:p>
      <w:pPr>
        <w:pStyle w:val="FootnoteText"/>
      </w:pPr>
      <w:r>
        <w:rPr>
          <w:rStyle w:val="FootnoteReference"/>
        </w:rPr>
        <w:footnoteRef/>
      </w:r>
      <w:r>
        <w:t xml:space="preserve"> </w:t>
      </w:r>
      <w:r>
        <w:t xml:space="preserve">Tham 2026, PMID 42937313; Mendias 2026, PMID 41966639.</w:t>
      </w:r>
    </w:p>
  </w:footnote>
  <w:footnote w:id="935">
    <w:p>
      <w:pPr>
        <w:pStyle w:val="FootnoteText"/>
      </w:pPr>
      <w:r>
        <w:rPr>
          <w:rStyle w:val="FootnoteReference"/>
        </w:rPr>
        <w:footnoteRef/>
      </w:r>
      <w:r>
        <w:t xml:space="preserve"> </w:t>
      </w:r>
      <w:r>
        <w:t xml:space="preserve">Cox 2017, PMID 28035768.</w:t>
      </w:r>
    </w:p>
  </w:footnote>
  <w:footnote w:id="937">
    <w:p>
      <w:pPr>
        <w:pStyle w:val="FootnoteText"/>
      </w:pPr>
      <w:r>
        <w:rPr>
          <w:rStyle w:val="FootnoteReference"/>
        </w:rPr>
        <w:footnoteRef/>
      </w:r>
      <w:r>
        <w:t xml:space="preserve"> </w:t>
      </w:r>
      <w:r>
        <w:t xml:space="preserve">Sikiric 2025, PMID 40573323.</w:t>
      </w:r>
    </w:p>
  </w:footnote>
  <w:footnote w:id="938">
    <w:p>
      <w:pPr>
        <w:pStyle w:val="FootnoteText"/>
      </w:pPr>
      <w:r>
        <w:rPr>
          <w:rStyle w:val="FootnoteReference"/>
        </w:rPr>
        <w:footnoteRef/>
      </w:r>
      <w:r>
        <w:t xml:space="preserve"> </w:t>
      </w:r>
      <w:r>
        <w:t xml:space="preserve">Mendias 2026, PMID 41966639.</w:t>
      </w:r>
    </w:p>
  </w:footnote>
  <w:footnote w:id="941">
    <w:p>
      <w:pPr>
        <w:pStyle w:val="FootnoteText"/>
      </w:pPr>
      <w:r>
        <w:rPr>
          <w:rStyle w:val="FootnoteReference"/>
        </w:rPr>
        <w:footnoteRef/>
      </w:r>
      <w:r>
        <w:t xml:space="preserve"> </w:t>
      </w:r>
      <w:r>
        <w:t xml:space="preserve">Willis 2026, PMID 42752426.</w:t>
      </w:r>
    </w:p>
  </w:footnote>
  <w:footnote w:id="942">
    <w:p>
      <w:pPr>
        <w:pStyle w:val="FootnoteText"/>
      </w:pPr>
      <w:r>
        <w:rPr>
          <w:rStyle w:val="FootnoteReference"/>
        </w:rPr>
        <w:footnoteRef/>
      </w:r>
      <w:r>
        <w:t xml:space="preserve"> </w:t>
      </w:r>
      <w:r>
        <w:t xml:space="preserve">Józwiak 2025, PMID 40005999.</w:t>
      </w:r>
    </w:p>
  </w:footnote>
  <w:footnote w:id="943">
    <w:p>
      <w:pPr>
        <w:pStyle w:val="FootnoteText"/>
      </w:pPr>
      <w:r>
        <w:rPr>
          <w:rStyle w:val="FootnoteReference"/>
        </w:rPr>
        <w:footnoteRef/>
      </w:r>
      <w:r>
        <w:t xml:space="preserve"> </w:t>
      </w:r>
      <w:r>
        <w:t xml:space="preserve">Tian 2023, PMID 37959764.</w:t>
      </w:r>
    </w:p>
  </w:footnote>
  <w:footnote w:id="945">
    <w:p>
      <w:pPr>
        <w:pStyle w:val="FootnoteText"/>
      </w:pPr>
      <w:r>
        <w:rPr>
          <w:rStyle w:val="FootnoteReference"/>
        </w:rPr>
        <w:footnoteRef/>
      </w:r>
      <w:r>
        <w:t xml:space="preserve"> </w:t>
      </w:r>
      <w:r>
        <w:t xml:space="preserve">NCT07437547.</w:t>
      </w:r>
    </w:p>
  </w:footnote>
  <w:footnote w:id="946">
    <w:p>
      <w:pPr>
        <w:pStyle w:val="FootnoteText"/>
      </w:pPr>
      <w:r>
        <w:rPr>
          <w:rStyle w:val="FootnoteReference"/>
        </w:rPr>
        <w:footnoteRef/>
      </w:r>
      <w:r>
        <w:t xml:space="preserve"> </w:t>
      </w:r>
      <w:r>
        <w:t xml:space="preserve">NCT07487363.</w:t>
      </w:r>
    </w:p>
  </w:footnote>
  <w:footnote w:id="947">
    <w:p>
      <w:pPr>
        <w:pStyle w:val="FootnoteText"/>
      </w:pPr>
      <w:r>
        <w:rPr>
          <w:rStyle w:val="FootnoteReference"/>
        </w:rPr>
        <w:footnoteRef/>
      </w:r>
      <w:r>
        <w:t xml:space="preserve"> </w:t>
      </w:r>
      <w:r>
        <w:t xml:space="preserve">NCT07803250.</w:t>
      </w:r>
    </w:p>
  </w:footnote>
  <w:footnote w:id="948">
    <w:p>
      <w:pPr>
        <w:pStyle w:val="FootnoteText"/>
      </w:pPr>
      <w:r>
        <w:rPr>
          <w:rStyle w:val="FootnoteReference"/>
        </w:rPr>
        <w:footnoteRef/>
      </w:r>
      <w:r>
        <w:t xml:space="preserve"> </w:t>
      </w:r>
      <w:r>
        <w:t xml:space="preserve">NCT07752381.</w:t>
      </w:r>
    </w:p>
  </w:footnote>
  <w:footnote w:id="949">
    <w:p>
      <w:pPr>
        <w:pStyle w:val="FootnoteText"/>
      </w:pPr>
      <w:r>
        <w:rPr>
          <w:rStyle w:val="FootnoteReference"/>
        </w:rPr>
        <w:footnoteRef/>
      </w:r>
      <w:r>
        <w:t xml:space="preserve"> </w:t>
      </w:r>
      <w:r>
        <w:t xml:space="preserve">Mateescu 2026, PMID 42198317.</w:t>
      </w:r>
    </w:p>
  </w:footnote>
  <w:footnote w:id="951">
    <w:p>
      <w:pPr>
        <w:pStyle w:val="FootnoteText"/>
      </w:pPr>
      <w:r>
        <w:rPr>
          <w:rStyle w:val="FootnoteReference"/>
        </w:rPr>
        <w:footnoteRef/>
      </w:r>
      <w:r>
        <w:t xml:space="preserve"> </w:t>
      </w:r>
      <w:r>
        <w:t xml:space="preserve">Poolton 2026, PMID 42885452.</w:t>
      </w:r>
    </w:p>
  </w:footnote>
  <w:footnote w:id="952">
    <w:p>
      <w:pPr>
        <w:pStyle w:val="FootnoteText"/>
      </w:pPr>
      <w:r>
        <w:rPr>
          <w:rStyle w:val="FootnoteReference"/>
        </w:rPr>
        <w:footnoteRef/>
      </w:r>
      <w:r>
        <w:t xml:space="preserve"> </w:t>
      </w:r>
      <w:r>
        <w:t xml:space="preserve">NCT07803250.</w:t>
      </w:r>
    </w:p>
  </w:footnote>
  <w:footnote w:id="955">
    <w:p>
      <w:pPr>
        <w:pStyle w:val="FootnoteText"/>
      </w:pPr>
      <w:r>
        <w:rPr>
          <w:rStyle w:val="FootnoteReference"/>
        </w:rPr>
        <w:footnoteRef/>
      </w:r>
      <w:r>
        <w:t xml:space="preserve"> </w:t>
      </w:r>
      <w:r>
        <w:t xml:space="preserve">Esposito 2012, PMID 22962027.</w:t>
      </w:r>
    </w:p>
  </w:footnote>
  <w:footnote w:id="957">
    <w:p>
      <w:pPr>
        <w:pStyle w:val="FootnoteText"/>
      </w:pPr>
      <w:r>
        <w:rPr>
          <w:rStyle w:val="FootnoteReference"/>
        </w:rPr>
        <w:footnoteRef/>
      </w:r>
      <w:r>
        <w:t xml:space="preserve"> </w:t>
      </w:r>
      <w:r>
        <w:t xml:space="preserve">Sosne 2010, PMID 20179146.</w:t>
      </w:r>
    </w:p>
  </w:footnote>
  <w:footnote w:id="958">
    <w:p>
      <w:pPr>
        <w:pStyle w:val="FootnoteText"/>
      </w:pPr>
      <w:r>
        <w:rPr>
          <w:rStyle w:val="FootnoteReference"/>
        </w:rPr>
        <w:footnoteRef/>
      </w:r>
      <w:r>
        <w:t xml:space="preserve"> </w:t>
      </w:r>
      <w:r>
        <w:t xml:space="preserve">Philp 2003, PMID 14500546.</w:t>
      </w:r>
    </w:p>
  </w:footnote>
  <w:footnote w:id="959">
    <w:p>
      <w:pPr>
        <w:pStyle w:val="FootnoteText"/>
      </w:pPr>
      <w:r>
        <w:rPr>
          <w:rStyle w:val="FootnoteReference"/>
        </w:rPr>
        <w:footnoteRef/>
      </w:r>
      <w:r>
        <w:t xml:space="preserve"> </w:t>
      </w:r>
      <w:r>
        <w:t xml:space="preserve">Rahaman 2024, PMID 38382158.</w:t>
      </w:r>
    </w:p>
  </w:footnote>
  <w:footnote w:id="960">
    <w:p>
      <w:pPr>
        <w:pStyle w:val="FootnoteText"/>
      </w:pPr>
      <w:r>
        <w:rPr>
          <w:rStyle w:val="FootnoteReference"/>
        </w:rPr>
        <w:footnoteRef/>
      </w:r>
      <w:r>
        <w:t xml:space="preserve"> </w:t>
      </w:r>
      <w:r>
        <w:t xml:space="preserve">Tham 2026, PMID 42937313.</w:t>
      </w:r>
    </w:p>
  </w:footnote>
  <w:footnote w:id="962">
    <w:p>
      <w:pPr>
        <w:pStyle w:val="FootnoteText"/>
      </w:pPr>
      <w:r>
        <w:rPr>
          <w:rStyle w:val="FootnoteReference"/>
        </w:rPr>
        <w:footnoteRef/>
      </w:r>
      <w:r>
        <w:t xml:space="preserve"> </w:t>
      </w:r>
      <w:r>
        <w:t xml:space="preserve">Sosne 2015, PMID 25826322.</w:t>
      </w:r>
    </w:p>
  </w:footnote>
  <w:footnote w:id="963">
    <w:p>
      <w:pPr>
        <w:pStyle w:val="FootnoteText"/>
      </w:pPr>
      <w:r>
        <w:rPr>
          <w:rStyle w:val="FootnoteReference"/>
        </w:rPr>
        <w:footnoteRef/>
      </w:r>
      <w:r>
        <w:t xml:space="preserve"> </w:t>
      </w:r>
      <w:r>
        <w:t xml:space="preserve">Sosne 2015, PMID 26056426.</w:t>
      </w:r>
    </w:p>
  </w:footnote>
  <w:footnote w:id="964">
    <w:p>
      <w:pPr>
        <w:pStyle w:val="FootnoteText"/>
      </w:pPr>
      <w:r>
        <w:rPr>
          <w:rStyle w:val="FootnoteReference"/>
        </w:rPr>
        <w:footnoteRef/>
      </w:r>
      <w:r>
        <w:t xml:space="preserve"> </w:t>
      </w:r>
      <w:r>
        <w:t xml:space="preserve">NCT02974907; NCT03937882.</w:t>
      </w:r>
    </w:p>
  </w:footnote>
  <w:footnote w:id="965">
    <w:p>
      <w:pPr>
        <w:pStyle w:val="FootnoteText"/>
      </w:pPr>
      <w:r>
        <w:rPr>
          <w:rStyle w:val="FootnoteReference"/>
        </w:rPr>
        <w:footnoteRef/>
      </w:r>
      <w:r>
        <w:t xml:space="preserve"> </w:t>
      </w:r>
      <w:r>
        <w:t xml:space="preserve">Sosne 2022, PMID 36613994.</w:t>
      </w:r>
    </w:p>
  </w:footnote>
  <w:footnote w:id="966">
    <w:p>
      <w:pPr>
        <w:pStyle w:val="FootnoteText"/>
      </w:pPr>
      <w:r>
        <w:rPr>
          <w:rStyle w:val="FootnoteReference"/>
        </w:rPr>
        <w:footnoteRef/>
      </w:r>
      <w:r>
        <w:t xml:space="preserve"> </w:t>
      </w:r>
      <w:r>
        <w:t xml:space="preserve">Kruoch 2025, PMID 41347649.</w:t>
      </w:r>
    </w:p>
  </w:footnote>
  <w:footnote w:id="968">
    <w:p>
      <w:pPr>
        <w:pStyle w:val="FootnoteText"/>
      </w:pPr>
      <w:r>
        <w:rPr>
          <w:rStyle w:val="FootnoteReference"/>
        </w:rPr>
        <w:footnoteRef/>
      </w:r>
      <w:r>
        <w:t xml:space="preserve"> </w:t>
      </w:r>
      <w:r>
        <w:t xml:space="preserve">Zhang 2025, PMID 41229390.</w:t>
      </w:r>
    </w:p>
  </w:footnote>
  <w:footnote w:id="970">
    <w:p>
      <w:pPr>
        <w:pStyle w:val="FootnoteText"/>
      </w:pPr>
      <w:r>
        <w:rPr>
          <w:rStyle w:val="FootnoteReference"/>
        </w:rPr>
        <w:footnoteRef/>
      </w:r>
      <w:r>
        <w:t xml:space="preserve"> </w:t>
      </w:r>
      <w:r>
        <w:t xml:space="preserve">Guarnera 2010, PMID 20536470.</w:t>
      </w:r>
    </w:p>
  </w:footnote>
  <w:footnote w:id="971">
    <w:p>
      <w:pPr>
        <w:pStyle w:val="FootnoteText"/>
      </w:pPr>
      <w:r>
        <w:rPr>
          <w:rStyle w:val="FootnoteReference"/>
        </w:rPr>
        <w:footnoteRef/>
      </w:r>
      <w:r>
        <w:t xml:space="preserve"> </w:t>
      </w:r>
      <w:r>
        <w:t xml:space="preserve">NCT00311766.</w:t>
      </w:r>
    </w:p>
  </w:footnote>
  <w:footnote w:id="973">
    <w:p>
      <w:pPr>
        <w:pStyle w:val="FootnoteText"/>
      </w:pPr>
      <w:r>
        <w:rPr>
          <w:rStyle w:val="FootnoteReference"/>
        </w:rPr>
        <w:footnoteRef/>
      </w:r>
      <w:r>
        <w:t xml:space="preserve"> </w:t>
      </w:r>
      <w:r>
        <w:t xml:space="preserve">NCT07487363.</w:t>
      </w:r>
    </w:p>
  </w:footnote>
  <w:footnote w:id="974">
    <w:p>
      <w:pPr>
        <w:pStyle w:val="FootnoteText"/>
      </w:pPr>
      <w:r>
        <w:rPr>
          <w:rStyle w:val="FootnoteReference"/>
        </w:rPr>
        <w:footnoteRef/>
      </w:r>
      <w:r>
        <w:t xml:space="preserve"> </w:t>
      </w:r>
      <w:r>
        <w:t xml:space="preserve">Lee 2021, PMID 34324435.</w:t>
      </w:r>
    </w:p>
  </w:footnote>
  <w:footnote w:id="977">
    <w:p>
      <w:pPr>
        <w:pStyle w:val="FootnoteText"/>
      </w:pPr>
      <w:r>
        <w:rPr>
          <w:rStyle w:val="FootnoteReference"/>
        </w:rPr>
        <w:footnoteRef/>
      </w:r>
      <w:r>
        <w:t xml:space="preserve"> </w:t>
      </w:r>
      <w:r>
        <w:t xml:space="preserve">Bock-Marquette 2004, PMID 15565145.</w:t>
      </w:r>
    </w:p>
  </w:footnote>
  <w:footnote w:id="978">
    <w:p>
      <w:pPr>
        <w:pStyle w:val="FootnoteText"/>
      </w:pPr>
      <w:r>
        <w:rPr>
          <w:rStyle w:val="FootnoteReference"/>
        </w:rPr>
        <w:footnoteRef/>
      </w:r>
      <w:r>
        <w:t xml:space="preserve"> </w:t>
      </w:r>
      <w:r>
        <w:t xml:space="preserve">Smart 2007, PMID 17108969.</w:t>
      </w:r>
    </w:p>
  </w:footnote>
  <w:footnote w:id="979">
    <w:p>
      <w:pPr>
        <w:pStyle w:val="FootnoteText"/>
      </w:pPr>
      <w:r>
        <w:rPr>
          <w:rStyle w:val="FootnoteReference"/>
        </w:rPr>
        <w:footnoteRef/>
      </w:r>
      <w:r>
        <w:t xml:space="preserve"> </w:t>
      </w:r>
      <w:r>
        <w:t xml:space="preserve">Kispert 2012, PMID 22019445.</w:t>
      </w:r>
    </w:p>
  </w:footnote>
  <w:footnote w:id="980">
    <w:p>
      <w:pPr>
        <w:pStyle w:val="FootnoteText"/>
      </w:pPr>
      <w:r>
        <w:rPr>
          <w:rStyle w:val="FootnoteReference"/>
        </w:rPr>
        <w:footnoteRef/>
      </w:r>
      <w:r>
        <w:t xml:space="preserve"> </w:t>
      </w:r>
      <w:r>
        <w:t xml:space="preserve">Tao 2024, PMID 38757041.</w:t>
      </w:r>
    </w:p>
  </w:footnote>
  <w:footnote w:id="981">
    <w:p>
      <w:pPr>
        <w:pStyle w:val="FootnoteText"/>
      </w:pPr>
      <w:r>
        <w:rPr>
          <w:rStyle w:val="FootnoteReference"/>
        </w:rPr>
        <w:footnoteRef/>
      </w:r>
      <w:r>
        <w:t xml:space="preserve"> </w:t>
      </w:r>
      <w:r>
        <w:t xml:space="preserve">Brady 2014, PMID 25042765.</w:t>
      </w:r>
    </w:p>
  </w:footnote>
  <w:footnote w:id="982">
    <w:p>
      <w:pPr>
        <w:pStyle w:val="FootnoteText"/>
      </w:pPr>
      <w:r>
        <w:rPr>
          <w:rStyle w:val="FootnoteReference"/>
        </w:rPr>
        <w:footnoteRef/>
      </w:r>
      <w:r>
        <w:t xml:space="preserve"> </w:t>
      </w:r>
      <w:r>
        <w:t xml:space="preserve">Tham 2026, PMID 42937313.</w:t>
      </w:r>
    </w:p>
  </w:footnote>
  <w:footnote w:id="983">
    <w:p>
      <w:pPr>
        <w:pStyle w:val="FootnoteText"/>
      </w:pPr>
      <w:r>
        <w:rPr>
          <w:rStyle w:val="FootnoteReference"/>
        </w:rPr>
        <w:footnoteRef/>
      </w:r>
      <w:r>
        <w:t xml:space="preserve"> </w:t>
      </w:r>
      <w:r>
        <w:t xml:space="preserve">Biçer 2026, PMID 42542926.</w:t>
      </w:r>
    </w:p>
  </w:footnote>
  <w:footnote w:id="985">
    <w:p>
      <w:pPr>
        <w:pStyle w:val="FootnoteText"/>
      </w:pPr>
      <w:r>
        <w:rPr>
          <w:rStyle w:val="FootnoteReference"/>
        </w:rPr>
        <w:footnoteRef/>
      </w:r>
      <w:r>
        <w:t xml:space="preserve"> </w:t>
      </w:r>
      <w:r>
        <w:t xml:space="preserve">Ruff 2010, PMID 20536472.</w:t>
      </w:r>
    </w:p>
  </w:footnote>
  <w:footnote w:id="986">
    <w:p>
      <w:pPr>
        <w:pStyle w:val="FootnoteText"/>
      </w:pPr>
      <w:r>
        <w:rPr>
          <w:rStyle w:val="FootnoteReference"/>
        </w:rPr>
        <w:footnoteRef/>
      </w:r>
      <w:r>
        <w:t xml:space="preserve"> </w:t>
      </w:r>
      <w:r>
        <w:t xml:space="preserve">Wang 2021, PMID 34346165.</w:t>
      </w:r>
    </w:p>
  </w:footnote>
  <w:footnote w:id="988">
    <w:p>
      <w:pPr>
        <w:pStyle w:val="FootnoteText"/>
      </w:pPr>
      <w:r>
        <w:rPr>
          <w:rStyle w:val="FootnoteReference"/>
        </w:rPr>
        <w:footnoteRef/>
      </w:r>
      <w:r>
        <w:t xml:space="preserve"> </w:t>
      </w:r>
      <w:r>
        <w:t xml:space="preserve">Wang 2016, PMID 27596300.</w:t>
      </w:r>
    </w:p>
  </w:footnote>
  <w:footnote w:id="989">
    <w:p>
      <w:pPr>
        <w:pStyle w:val="FootnoteText"/>
      </w:pPr>
      <w:r>
        <w:rPr>
          <w:rStyle w:val="FootnoteReference"/>
        </w:rPr>
        <w:footnoteRef/>
      </w:r>
      <w:r>
        <w:t xml:space="preserve"> </w:t>
      </w:r>
      <w:r>
        <w:t xml:space="preserve">Larsson 2007, PMID 17495241.</w:t>
      </w:r>
    </w:p>
  </w:footnote>
  <w:footnote w:id="991">
    <w:p>
      <w:pPr>
        <w:pStyle w:val="FootnoteText"/>
      </w:pPr>
      <w:r>
        <w:rPr>
          <w:rStyle w:val="FootnoteReference"/>
        </w:rPr>
        <w:footnoteRef/>
      </w:r>
      <w:r>
        <w:t xml:space="preserve"> </w:t>
      </w:r>
      <w:r>
        <w:t xml:space="preserve">Delcourt 2023, PMID 36482504.</w:t>
      </w:r>
    </w:p>
  </w:footnote>
  <w:footnote w:id="992">
    <w:p>
      <w:pPr>
        <w:pStyle w:val="FootnoteText"/>
      </w:pPr>
      <w:r>
        <w:rPr>
          <w:rStyle w:val="FootnoteReference"/>
        </w:rPr>
        <w:footnoteRef/>
      </w:r>
      <w:r>
        <w:t xml:space="preserve"> </w:t>
      </w:r>
      <w:r>
        <w:t xml:space="preserve">Ho 2012, PMID 23084823.</w:t>
      </w:r>
    </w:p>
  </w:footnote>
  <w:footnote w:id="995">
    <w:p>
      <w:pPr>
        <w:pStyle w:val="FootnoteText"/>
      </w:pPr>
      <w:r>
        <w:rPr>
          <w:rStyle w:val="FootnoteReference"/>
        </w:rPr>
        <w:footnoteRef/>
      </w:r>
      <w:r>
        <w:t xml:space="preserve"> </w:t>
      </w:r>
      <w:r>
        <w:t xml:space="preserve">Willis 2026, PMID 42752426.</w:t>
      </w:r>
    </w:p>
  </w:footnote>
  <w:footnote w:id="996">
    <w:p>
      <w:pPr>
        <w:pStyle w:val="FootnoteText"/>
      </w:pPr>
      <w:r>
        <w:rPr>
          <w:rStyle w:val="FootnoteReference"/>
        </w:rPr>
        <w:footnoteRef/>
      </w:r>
      <w:r>
        <w:t xml:space="preserve"> </w:t>
      </w:r>
      <w:r>
        <w:t xml:space="preserve">Delcourt 2025, PMID 39314109.</w:t>
      </w:r>
    </w:p>
  </w:footnote>
  <w:footnote w:id="998">
    <w:p>
      <w:pPr>
        <w:pStyle w:val="FootnoteText"/>
      </w:pPr>
      <w:r>
        <w:rPr>
          <w:rStyle w:val="FootnoteReference"/>
        </w:rPr>
        <w:footnoteRef/>
      </w:r>
      <w:r>
        <w:t xml:space="preserve"> </w:t>
      </w:r>
      <w:r>
        <w:t xml:space="preserve">NCT05555589.</w:t>
      </w:r>
    </w:p>
  </w:footnote>
  <w:footnote w:id="999">
    <w:p>
      <w:pPr>
        <w:pStyle w:val="FootnoteText"/>
      </w:pPr>
      <w:r>
        <w:rPr>
          <w:rStyle w:val="FootnoteReference"/>
        </w:rPr>
        <w:footnoteRef/>
      </w:r>
      <w:r>
        <w:t xml:space="preserve"> </w:t>
      </w:r>
      <w:r>
        <w:t xml:space="preserve">NCT07586865.</w:t>
      </w:r>
    </w:p>
  </w:footnote>
  <w:footnote w:id="1000">
    <w:p>
      <w:pPr>
        <w:pStyle w:val="FootnoteText"/>
      </w:pPr>
      <w:r>
        <w:rPr>
          <w:rStyle w:val="FootnoteReference"/>
        </w:rPr>
        <w:footnoteRef/>
      </w:r>
      <w:r>
        <w:t xml:space="preserve"> </w:t>
      </w:r>
      <w:r>
        <w:t xml:space="preserve">NCT05485818; NCT05984134.</w:t>
      </w:r>
    </w:p>
  </w:footnote>
  <w:footnote w:id="1002">
    <w:p>
      <w:pPr>
        <w:pStyle w:val="FootnoteText"/>
      </w:pPr>
      <w:r>
        <w:rPr>
          <w:rStyle w:val="FootnoteReference"/>
        </w:rPr>
        <w:footnoteRef/>
      </w:r>
      <w:r>
        <w:t xml:space="preserve"> </w:t>
      </w:r>
      <w:r>
        <w:t xml:space="preserve">Zhang 2025, PMID 41229390.</w:t>
      </w:r>
    </w:p>
  </w:footnote>
  <w:footnote w:id="1005">
    <w:p>
      <w:pPr>
        <w:pStyle w:val="FootnoteText"/>
      </w:pPr>
      <w:r>
        <w:rPr>
          <w:rStyle w:val="FootnoteReference"/>
        </w:rPr>
        <w:footnoteRef/>
      </w:r>
      <w:r>
        <w:t xml:space="preserve"> </w:t>
      </w:r>
      <w:r>
        <w:t xml:space="preserve">Iino 2005, PMID 15850471.</w:t>
      </w:r>
    </w:p>
  </w:footnote>
  <w:footnote w:id="1006">
    <w:p>
      <w:pPr>
        <w:pStyle w:val="FootnoteText"/>
      </w:pPr>
      <w:r>
        <w:rPr>
          <w:rStyle w:val="FootnoteReference"/>
        </w:rPr>
        <w:footnoteRef/>
      </w:r>
      <w:r>
        <w:t xml:space="preserve"> </w:t>
      </w:r>
      <w:r>
        <w:t xml:space="preserve">Dinetz 2024, PMID 38308608.</w:t>
      </w:r>
    </w:p>
  </w:footnote>
  <w:footnote w:id="1008">
    <w:p>
      <w:pPr>
        <w:pStyle w:val="FootnoteText"/>
      </w:pPr>
      <w:r>
        <w:rPr>
          <w:rStyle w:val="FootnoteReference"/>
        </w:rPr>
        <w:footnoteRef/>
      </w:r>
      <w:r>
        <w:t xml:space="preserve"> </w:t>
      </w:r>
      <w:r>
        <w:t xml:space="preserve">Garaci 2007, PMID 17600290.</w:t>
      </w:r>
    </w:p>
  </w:footnote>
  <w:footnote w:id="1009">
    <w:p>
      <w:pPr>
        <w:pStyle w:val="FootnoteText"/>
      </w:pPr>
      <w:r>
        <w:rPr>
          <w:rStyle w:val="FootnoteReference"/>
        </w:rPr>
        <w:footnoteRef/>
      </w:r>
      <w:r>
        <w:t xml:space="preserve"> </w:t>
      </w:r>
      <w:r>
        <w:t xml:space="preserve">Ancell 2001, PMID 11381492.</w:t>
      </w:r>
    </w:p>
  </w:footnote>
  <w:footnote w:id="1011">
    <w:p>
      <w:pPr>
        <w:pStyle w:val="FootnoteText"/>
      </w:pPr>
      <w:r>
        <w:rPr>
          <w:rStyle w:val="FootnoteReference"/>
        </w:rPr>
        <w:footnoteRef/>
      </w:r>
      <w:r>
        <w:t xml:space="preserve"> </w:t>
      </w:r>
      <w:r>
        <w:t xml:space="preserve">Dinetz 2024, PMID 38308608.</w:t>
      </w:r>
    </w:p>
  </w:footnote>
  <w:footnote w:id="1013">
    <w:p>
      <w:pPr>
        <w:pStyle w:val="FootnoteText"/>
      </w:pPr>
      <w:r>
        <w:rPr>
          <w:rStyle w:val="FootnoteReference"/>
        </w:rPr>
        <w:footnoteRef/>
      </w:r>
      <w:r>
        <w:t xml:space="preserve"> </w:t>
      </w:r>
      <w:r>
        <w:t xml:space="preserve">Chien 1998, PMID 9581695.</w:t>
      </w:r>
    </w:p>
  </w:footnote>
  <w:footnote w:id="1014">
    <w:p>
      <w:pPr>
        <w:pStyle w:val="FootnoteText"/>
      </w:pPr>
      <w:r>
        <w:rPr>
          <w:rStyle w:val="FootnoteReference"/>
        </w:rPr>
        <w:footnoteRef/>
      </w:r>
      <w:r>
        <w:t xml:space="preserve"> </w:t>
      </w:r>
      <w:r>
        <w:t xml:space="preserve">Mutchnick 1999, PMID 10607256.</w:t>
      </w:r>
    </w:p>
  </w:footnote>
  <w:footnote w:id="1015">
    <w:p>
      <w:pPr>
        <w:pStyle w:val="FootnoteText"/>
      </w:pPr>
      <w:r>
        <w:rPr>
          <w:rStyle w:val="FootnoteReference"/>
        </w:rPr>
        <w:footnoteRef/>
      </w:r>
      <w:r>
        <w:t xml:space="preserve"> </w:t>
      </w:r>
      <w:r>
        <w:t xml:space="preserve">Yang 2008, PMID 18078676.</w:t>
      </w:r>
    </w:p>
  </w:footnote>
  <w:footnote w:id="1016">
    <w:p>
      <w:pPr>
        <w:pStyle w:val="FootnoteText"/>
      </w:pPr>
      <w:r>
        <w:rPr>
          <w:rStyle w:val="FootnoteReference"/>
        </w:rPr>
        <w:footnoteRef/>
      </w:r>
      <w:r>
        <w:t xml:space="preserve"> </w:t>
      </w:r>
      <w:r>
        <w:t xml:space="preserve">Wu 2018, PMID 30063860.</w:t>
      </w:r>
    </w:p>
  </w:footnote>
  <w:footnote w:id="1017">
    <w:p>
      <w:pPr>
        <w:pStyle w:val="FootnoteText"/>
      </w:pPr>
      <w:r>
        <w:rPr>
          <w:rStyle w:val="FootnoteReference"/>
        </w:rPr>
        <w:footnoteRef/>
      </w:r>
      <w:r>
        <w:t xml:space="preserve"> </w:t>
      </w:r>
      <w:r>
        <w:t xml:space="preserve">Peng 2020, PMID 33076834.</w:t>
      </w:r>
    </w:p>
  </w:footnote>
  <w:footnote w:id="1018">
    <w:p>
      <w:pPr>
        <w:pStyle w:val="FootnoteText"/>
      </w:pPr>
      <w:r>
        <w:rPr>
          <w:rStyle w:val="FootnoteReference"/>
        </w:rPr>
        <w:footnoteRef/>
      </w:r>
      <w:r>
        <w:t xml:space="preserve"> </w:t>
      </w:r>
      <w:r>
        <w:t xml:space="preserve">Chen 2022, PMID 35616850.</w:t>
      </w:r>
    </w:p>
  </w:footnote>
  <w:footnote w:id="1019">
    <w:p>
      <w:pPr>
        <w:pStyle w:val="FootnoteText"/>
      </w:pPr>
      <w:r>
        <w:rPr>
          <w:rStyle w:val="FootnoteReference"/>
        </w:rPr>
        <w:footnoteRef/>
      </w:r>
      <w:r>
        <w:t xml:space="preserve"> </w:t>
      </w:r>
      <w:r>
        <w:t xml:space="preserve">Sherman 1998, PMID 9537454; Andreone 2004, PMID 14738560.</w:t>
      </w:r>
    </w:p>
  </w:footnote>
  <w:footnote w:id="1021">
    <w:p>
      <w:pPr>
        <w:pStyle w:val="FootnoteText"/>
      </w:pPr>
      <w:r>
        <w:rPr>
          <w:rStyle w:val="FootnoteReference"/>
        </w:rPr>
        <w:footnoteRef/>
      </w:r>
      <w:r>
        <w:t xml:space="preserve"> </w:t>
      </w:r>
      <w:r>
        <w:t xml:space="preserve">Wu 2013, PMID 23327199.</w:t>
      </w:r>
    </w:p>
  </w:footnote>
  <w:footnote w:id="1022">
    <w:p>
      <w:pPr>
        <w:pStyle w:val="FootnoteText"/>
      </w:pPr>
      <w:r>
        <w:rPr>
          <w:rStyle w:val="FootnoteReference"/>
        </w:rPr>
        <w:footnoteRef/>
      </w:r>
      <w:r>
        <w:t xml:space="preserve"> </w:t>
      </w:r>
      <w:r>
        <w:t xml:space="preserve">Wu 2025, PMID 39814420.</w:t>
      </w:r>
    </w:p>
  </w:footnote>
  <w:footnote w:id="1023">
    <w:p>
      <w:pPr>
        <w:pStyle w:val="FootnoteText"/>
      </w:pPr>
      <w:r>
        <w:rPr>
          <w:rStyle w:val="FootnoteReference"/>
        </w:rPr>
        <w:footnoteRef/>
      </w:r>
      <w:r>
        <w:t xml:space="preserve"> </w:t>
      </w:r>
      <w:r>
        <w:t xml:space="preserve">Gu 2025, PMID 40969554.</w:t>
      </w:r>
    </w:p>
  </w:footnote>
  <w:footnote w:id="1024">
    <w:p>
      <w:pPr>
        <w:pStyle w:val="FootnoteText"/>
      </w:pPr>
      <w:r>
        <w:rPr>
          <w:rStyle w:val="FootnoteReference"/>
        </w:rPr>
        <w:footnoteRef/>
      </w:r>
      <w:r>
        <w:t xml:space="preserve"> </w:t>
      </w:r>
      <w:r>
        <w:t xml:space="preserve">Luo 2026, PMID 42205841.</w:t>
      </w:r>
    </w:p>
  </w:footnote>
  <w:footnote w:id="1026">
    <w:p>
      <w:pPr>
        <w:pStyle w:val="FootnoteText"/>
      </w:pPr>
      <w:r>
        <w:rPr>
          <w:rStyle w:val="FootnoteReference"/>
        </w:rPr>
        <w:footnoteRef/>
      </w:r>
      <w:r>
        <w:t xml:space="preserve"> </w:t>
      </w:r>
      <w:r>
        <w:t xml:space="preserve">Liu 2020, PMID 32442287.</w:t>
      </w:r>
    </w:p>
  </w:footnote>
  <w:footnote w:id="1027">
    <w:p>
      <w:pPr>
        <w:pStyle w:val="FootnoteText"/>
      </w:pPr>
      <w:r>
        <w:rPr>
          <w:rStyle w:val="FootnoteReference"/>
        </w:rPr>
        <w:footnoteRef/>
      </w:r>
      <w:r>
        <w:t xml:space="preserve"> </w:t>
      </w:r>
      <w:r>
        <w:t xml:space="preserve">Liu 2021, PMID 34408744.</w:t>
      </w:r>
    </w:p>
  </w:footnote>
  <w:footnote w:id="1028">
    <w:p>
      <w:pPr>
        <w:pStyle w:val="FootnoteText"/>
      </w:pPr>
      <w:r>
        <w:rPr>
          <w:rStyle w:val="FootnoteReference"/>
        </w:rPr>
        <w:footnoteRef/>
      </w:r>
      <w:r>
        <w:t xml:space="preserve"> </w:t>
      </w:r>
      <w:r>
        <w:t xml:space="preserve">Shehadeh 2023, PMID 36056913.</w:t>
      </w:r>
    </w:p>
  </w:footnote>
  <w:footnote w:id="1029">
    <w:p>
      <w:pPr>
        <w:pStyle w:val="FootnoteText"/>
      </w:pPr>
      <w:r>
        <w:rPr>
          <w:rStyle w:val="FootnoteReference"/>
        </w:rPr>
        <w:footnoteRef/>
      </w:r>
      <w:r>
        <w:t xml:space="preserve"> </w:t>
      </w:r>
      <w:r>
        <w:t xml:space="preserve">Shang 2023, PMID 36527881.</w:t>
      </w:r>
    </w:p>
  </w:footnote>
  <w:footnote w:id="1030">
    <w:p>
      <w:pPr>
        <w:pStyle w:val="FootnoteText"/>
      </w:pPr>
      <w:r>
        <w:rPr>
          <w:rStyle w:val="FootnoteReference"/>
        </w:rPr>
        <w:footnoteRef/>
      </w:r>
      <w:r>
        <w:t xml:space="preserve"> </w:t>
      </w:r>
      <w:r>
        <w:t xml:space="preserve">Soeroto 2023, PMID 37845598.</w:t>
      </w:r>
    </w:p>
  </w:footnote>
  <w:footnote w:id="1032">
    <w:p>
      <w:pPr>
        <w:pStyle w:val="FootnoteText"/>
      </w:pPr>
      <w:r>
        <w:rPr>
          <w:rStyle w:val="FootnoteReference"/>
        </w:rPr>
        <w:footnoteRef/>
      </w:r>
      <w:r>
        <w:t xml:space="preserve"> </w:t>
      </w:r>
      <w:r>
        <w:t xml:space="preserve">Maio 2010, PMID 20194853.</w:t>
      </w:r>
    </w:p>
  </w:footnote>
  <w:footnote w:id="1033">
    <w:p>
      <w:pPr>
        <w:pStyle w:val="FootnoteText"/>
      </w:pPr>
      <w:r>
        <w:rPr>
          <w:rStyle w:val="FootnoteReference"/>
        </w:rPr>
        <w:footnoteRef/>
      </w:r>
      <w:r>
        <w:t xml:space="preserve"> </w:t>
      </w:r>
      <w:r>
        <w:t xml:space="preserve">Kim 2026, PMID 42797537.</w:t>
      </w:r>
    </w:p>
  </w:footnote>
  <w:footnote w:id="1034">
    <w:p>
      <w:pPr>
        <w:pStyle w:val="FootnoteText"/>
      </w:pPr>
      <w:r>
        <w:rPr>
          <w:rStyle w:val="FootnoteReference"/>
        </w:rPr>
        <w:footnoteRef/>
      </w:r>
      <w:r>
        <w:t xml:space="preserve"> </w:t>
      </w:r>
      <w:r>
        <w:t xml:space="preserve">Xu 2026, PMID 41749205.</w:t>
      </w:r>
    </w:p>
  </w:footnote>
  <w:footnote w:id="1036">
    <w:p>
      <w:pPr>
        <w:pStyle w:val="FootnoteText"/>
      </w:pPr>
      <w:r>
        <w:rPr>
          <w:rStyle w:val="FootnoteReference"/>
        </w:rPr>
        <w:footnoteRef/>
      </w:r>
      <w:r>
        <w:t xml:space="preserve"> </w:t>
      </w:r>
      <w:r>
        <w:t xml:space="preserve">Gravenstein 1989, PMID 2642497.</w:t>
      </w:r>
    </w:p>
  </w:footnote>
  <w:footnote w:id="1037">
    <w:p>
      <w:pPr>
        <w:pStyle w:val="FootnoteText"/>
      </w:pPr>
      <w:r>
        <w:rPr>
          <w:rStyle w:val="FootnoteReference"/>
        </w:rPr>
        <w:footnoteRef/>
      </w:r>
      <w:r>
        <w:t xml:space="preserve"> </w:t>
      </w:r>
      <w:r>
        <w:t xml:space="preserve">Tuthill 2023, PMID 36881981.</w:t>
      </w:r>
    </w:p>
  </w:footnote>
  <w:footnote w:id="1038">
    <w:p>
      <w:pPr>
        <w:pStyle w:val="FootnoteText"/>
      </w:pPr>
      <w:r>
        <w:rPr>
          <w:rStyle w:val="FootnoteReference"/>
        </w:rPr>
        <w:footnoteRef/>
      </w:r>
      <w:r>
        <w:t xml:space="preserve"> </w:t>
      </w:r>
      <w:r>
        <w:t xml:space="preserve">NCT06821100.</w:t>
      </w:r>
    </w:p>
  </w:footnote>
  <w:footnote w:id="1041">
    <w:p>
      <w:pPr>
        <w:pStyle w:val="FootnoteText"/>
      </w:pPr>
      <w:r>
        <w:rPr>
          <w:rStyle w:val="FootnoteReference"/>
        </w:rPr>
        <w:footnoteRef/>
      </w:r>
      <w:r>
        <w:t xml:space="preserve"> </w:t>
      </w:r>
      <w:r>
        <w:t xml:space="preserve">Garaci 2007, PMID 17600290.</w:t>
      </w:r>
    </w:p>
  </w:footnote>
  <w:footnote w:id="1043">
    <w:p>
      <w:pPr>
        <w:pStyle w:val="FootnoteText"/>
      </w:pPr>
      <w:r>
        <w:rPr>
          <w:rStyle w:val="FootnoteReference"/>
        </w:rPr>
        <w:footnoteRef/>
      </w:r>
      <w:r>
        <w:t xml:space="preserve"> </w:t>
      </w:r>
      <w:r>
        <w:t xml:space="preserve">Ancell 2001, PMID 11381492.</w:t>
      </w:r>
    </w:p>
  </w:footnote>
  <w:footnote w:id="1044">
    <w:p>
      <w:pPr>
        <w:pStyle w:val="FootnoteText"/>
      </w:pPr>
      <w:r>
        <w:rPr>
          <w:rStyle w:val="FootnoteReference"/>
        </w:rPr>
        <w:footnoteRef/>
      </w:r>
      <w:r>
        <w:t xml:space="preserve"> </w:t>
      </w:r>
      <w:r>
        <w:t xml:space="preserve">Wu 2025, PMID 39814420.</w:t>
      </w:r>
    </w:p>
  </w:footnote>
  <w:footnote w:id="1045">
    <w:p>
      <w:pPr>
        <w:pStyle w:val="FootnoteText"/>
      </w:pPr>
      <w:r>
        <w:rPr>
          <w:rStyle w:val="FootnoteReference"/>
        </w:rPr>
        <w:footnoteRef/>
      </w:r>
      <w:r>
        <w:t xml:space="preserve"> </w:t>
      </w:r>
      <w:r>
        <w:t xml:space="preserve">Iino 2005, PMID 15850471.</w:t>
      </w:r>
    </w:p>
  </w:footnote>
  <w:footnote w:id="1047">
    <w:p>
      <w:pPr>
        <w:pStyle w:val="FootnoteText"/>
      </w:pPr>
      <w:r>
        <w:rPr>
          <w:rStyle w:val="FootnoteReference"/>
        </w:rPr>
        <w:footnoteRef/>
      </w:r>
      <w:r>
        <w:t xml:space="preserve"> </w:t>
      </w:r>
      <w:r>
        <w:t xml:space="preserve">Wu 2025, PMID 39814420.</w:t>
      </w:r>
    </w:p>
  </w:footnote>
  <w:footnote w:id="1048">
    <w:p>
      <w:pPr>
        <w:pStyle w:val="FootnoteText"/>
      </w:pPr>
      <w:r>
        <w:rPr>
          <w:rStyle w:val="FootnoteReference"/>
        </w:rPr>
        <w:footnoteRef/>
      </w:r>
      <w:r>
        <w:t xml:space="preserve"> </w:t>
      </w:r>
      <w:r>
        <w:t xml:space="preserve">Liu 2021, PMID 34408744.</w:t>
      </w:r>
    </w:p>
  </w:footnote>
  <w:footnote w:id="1049">
    <w:p>
      <w:pPr>
        <w:pStyle w:val="FootnoteText"/>
      </w:pPr>
      <w:r>
        <w:rPr>
          <w:rStyle w:val="FootnoteReference"/>
        </w:rPr>
        <w:footnoteRef/>
      </w:r>
      <w:r>
        <w:t xml:space="preserve"> </w:t>
      </w:r>
      <w:r>
        <w:t xml:space="preserve">Kim 2026, PMID 42797537.</w:t>
      </w:r>
    </w:p>
  </w:footnote>
  <w:footnote w:id="1052">
    <w:p>
      <w:pPr>
        <w:pStyle w:val="FootnoteText"/>
      </w:pPr>
      <w:r>
        <w:rPr>
          <w:rStyle w:val="FootnoteReference"/>
        </w:rPr>
        <w:footnoteRef/>
      </w:r>
      <w:r>
        <w:t xml:space="preserve"> </w:t>
      </w:r>
      <w:r>
        <w:t xml:space="preserve">Dinetz 2024, PMID 38308608.</w:t>
      </w:r>
    </w:p>
  </w:footnote>
  <w:footnote w:id="1053">
    <w:p>
      <w:pPr>
        <w:pStyle w:val="FootnoteText"/>
      </w:pPr>
      <w:r>
        <w:rPr>
          <w:rStyle w:val="FootnoteReference"/>
        </w:rPr>
        <w:footnoteRef/>
      </w:r>
      <w:r>
        <w:t xml:space="preserve"> </w:t>
      </w:r>
      <w:r>
        <w:t xml:space="preserve">Willis 2026, PMID 42752426.</w:t>
      </w:r>
    </w:p>
  </w:footnote>
  <w:footnote w:id="1055">
    <w:p>
      <w:pPr>
        <w:pStyle w:val="FootnoteText"/>
      </w:pPr>
      <w:r>
        <w:rPr>
          <w:rStyle w:val="FootnoteReference"/>
        </w:rPr>
        <w:footnoteRef/>
      </w:r>
      <w:r>
        <w:t xml:space="preserve"> </w:t>
      </w:r>
      <w:r>
        <w:t xml:space="preserve">NCT05086614.</w:t>
      </w:r>
    </w:p>
  </w:footnote>
  <w:footnote w:id="1056">
    <w:p>
      <w:pPr>
        <w:pStyle w:val="FootnoteText"/>
      </w:pPr>
      <w:r>
        <w:rPr>
          <w:rStyle w:val="FootnoteReference"/>
        </w:rPr>
        <w:footnoteRef/>
      </w:r>
      <w:r>
        <w:t xml:space="preserve"> </w:t>
      </w:r>
      <w:r>
        <w:t xml:space="preserve">NCT07884201.</w:t>
      </w:r>
    </w:p>
  </w:footnote>
  <w:footnote w:id="1057">
    <w:p>
      <w:pPr>
        <w:pStyle w:val="FootnoteText"/>
      </w:pPr>
      <w:r>
        <w:rPr>
          <w:rStyle w:val="FootnoteReference"/>
        </w:rPr>
        <w:footnoteRef/>
      </w:r>
      <w:r>
        <w:t xml:space="preserve"> </w:t>
      </w:r>
      <w:r>
        <w:t xml:space="preserve">NCT07866118.</w:t>
      </w:r>
    </w:p>
  </w:footnote>
  <w:footnote w:id="1058">
    <w:p>
      <w:pPr>
        <w:pStyle w:val="FootnoteText"/>
      </w:pPr>
      <w:r>
        <w:rPr>
          <w:rStyle w:val="FootnoteReference"/>
        </w:rPr>
        <w:footnoteRef/>
      </w:r>
      <w:r>
        <w:t xml:space="preserve"> </w:t>
      </w:r>
      <w:r>
        <w:t xml:space="preserve">NCT06821100.</w:t>
      </w:r>
    </w:p>
  </w:footnote>
  <w:footnote w:id="1060">
    <w:p>
      <w:pPr>
        <w:pStyle w:val="FootnoteText"/>
      </w:pPr>
      <w:r>
        <w:rPr>
          <w:rStyle w:val="FootnoteReference"/>
        </w:rPr>
        <w:footnoteRef/>
      </w:r>
      <w:r>
        <w:t xml:space="preserve"> </w:t>
      </w:r>
      <w:r>
        <w:t xml:space="preserve">Wu 2025, PMID 39814420.</w:t>
      </w:r>
    </w:p>
  </w:footnote>
  <w:footnote w:id="1061">
    <w:p>
      <w:pPr>
        <w:pStyle w:val="FootnoteText"/>
      </w:pPr>
      <w:r>
        <w:rPr>
          <w:rStyle w:val="FootnoteReference"/>
        </w:rPr>
        <w:footnoteRef/>
      </w:r>
      <w:r>
        <w:t xml:space="preserve"> </w:t>
      </w:r>
      <w:r>
        <w:t xml:space="preserve">Ke 2022, PMID 35713670.</w:t>
      </w:r>
    </w:p>
  </w:footnote>
  <w:footnote w:id="1062">
    <w:p>
      <w:pPr>
        <w:pStyle w:val="FootnoteText"/>
      </w:pPr>
      <w:r>
        <w:rPr>
          <w:rStyle w:val="FootnoteReference"/>
        </w:rPr>
        <w:footnoteRef/>
      </w:r>
      <w:r>
        <w:t xml:space="preserve"> </w:t>
      </w:r>
      <w:r>
        <w:t xml:space="preserve">Wu 2018, PMID 30063860.</w:t>
      </w:r>
    </w:p>
  </w:footnote>
  <w:footnote w:id="1065">
    <w:p>
      <w:pPr>
        <w:pStyle w:val="FootnoteText"/>
      </w:pPr>
      <w:r>
        <w:rPr>
          <w:rStyle w:val="FootnoteReference"/>
        </w:rPr>
        <w:footnoteRef/>
      </w:r>
      <w:r>
        <w:t xml:space="preserve"> </w:t>
      </w:r>
      <w:r>
        <w:t xml:space="preserve">Cutuli 2000, PMID 10670585.</w:t>
      </w:r>
    </w:p>
  </w:footnote>
  <w:footnote w:id="1067">
    <w:p>
      <w:pPr>
        <w:pStyle w:val="FootnoteText"/>
      </w:pPr>
      <w:r>
        <w:rPr>
          <w:rStyle w:val="FootnoteReference"/>
        </w:rPr>
        <w:footnoteRef/>
      </w:r>
      <w:r>
        <w:t xml:space="preserve"> </w:t>
      </w:r>
      <w:r>
        <w:t xml:space="preserve">Catania 1998, PMID 9700761.</w:t>
      </w:r>
    </w:p>
  </w:footnote>
  <w:footnote w:id="1068">
    <w:p>
      <w:pPr>
        <w:pStyle w:val="FootnoteText"/>
      </w:pPr>
      <w:r>
        <w:rPr>
          <w:rStyle w:val="FootnoteReference"/>
        </w:rPr>
        <w:footnoteRef/>
      </w:r>
      <w:r>
        <w:t xml:space="preserve"> </w:t>
      </w:r>
      <w:r>
        <w:t xml:space="preserve">Getting 2003, PMID 12750433.</w:t>
      </w:r>
    </w:p>
  </w:footnote>
  <w:footnote w:id="1069">
    <w:p>
      <w:pPr>
        <w:pStyle w:val="FootnoteText"/>
      </w:pPr>
      <w:r>
        <w:rPr>
          <w:rStyle w:val="FootnoteReference"/>
        </w:rPr>
        <w:footnoteRef/>
      </w:r>
      <w:r>
        <w:t xml:space="preserve"> </w:t>
      </w:r>
      <w:r>
        <w:t xml:space="preserve">Dalmasso 2008, PMID 18061177.</w:t>
      </w:r>
    </w:p>
  </w:footnote>
  <w:footnote w:id="1070">
    <w:p>
      <w:pPr>
        <w:pStyle w:val="FootnoteText"/>
      </w:pPr>
      <w:r>
        <w:rPr>
          <w:rStyle w:val="FootnoteReference"/>
        </w:rPr>
        <w:footnoteRef/>
      </w:r>
      <w:r>
        <w:t xml:space="preserve"> </w:t>
      </w:r>
      <w:r>
        <w:t xml:space="preserve">Cutuli 2000, PMID 10670585.</w:t>
      </w:r>
    </w:p>
  </w:footnote>
  <w:footnote w:id="1072">
    <w:p>
      <w:pPr>
        <w:pStyle w:val="FootnoteText"/>
      </w:pPr>
      <w:r>
        <w:rPr>
          <w:rStyle w:val="FootnoteReference"/>
        </w:rPr>
        <w:footnoteRef/>
      </w:r>
      <w:r>
        <w:t xml:space="preserve"> </w:t>
      </w:r>
      <w:r>
        <w:t xml:space="preserve">Catania 1998, PMID 9700761.</w:t>
      </w:r>
    </w:p>
  </w:footnote>
  <w:footnote w:id="1073">
    <w:p>
      <w:pPr>
        <w:pStyle w:val="FootnoteText"/>
      </w:pPr>
      <w:r>
        <w:rPr>
          <w:rStyle w:val="FootnoteReference"/>
        </w:rPr>
        <w:footnoteRef/>
      </w:r>
      <w:r>
        <w:t xml:space="preserve"> </w:t>
      </w:r>
      <w:r>
        <w:t xml:space="preserve">Elliott 2004, PMID 15102092.</w:t>
      </w:r>
    </w:p>
  </w:footnote>
  <w:footnote w:id="1074">
    <w:p>
      <w:pPr>
        <w:pStyle w:val="FootnoteText"/>
      </w:pPr>
      <w:r>
        <w:rPr>
          <w:rStyle w:val="FootnoteReference"/>
        </w:rPr>
        <w:footnoteRef/>
      </w:r>
      <w:r>
        <w:t xml:space="preserve"> </w:t>
      </w:r>
      <w:r>
        <w:t xml:space="preserve">Pawar 2017, PMID 28343991.</w:t>
      </w:r>
    </w:p>
  </w:footnote>
  <w:footnote w:id="1075">
    <w:p>
      <w:pPr>
        <w:pStyle w:val="FootnoteText"/>
      </w:pPr>
      <w:r>
        <w:rPr>
          <w:rStyle w:val="FootnoteReference"/>
        </w:rPr>
        <w:footnoteRef/>
      </w:r>
      <w:r>
        <w:t xml:space="preserve"> </w:t>
      </w:r>
      <w:r>
        <w:t xml:space="preserve">Gatti 2006, PMID 16413580.</w:t>
      </w:r>
    </w:p>
  </w:footnote>
  <w:footnote w:id="1079">
    <w:p>
      <w:pPr>
        <w:pStyle w:val="FootnoteText"/>
      </w:pPr>
      <w:r>
        <w:rPr>
          <w:rStyle w:val="FootnoteReference"/>
        </w:rPr>
        <w:footnoteRef/>
      </w:r>
      <w:r>
        <w:t xml:space="preserve"> </w:t>
      </w:r>
      <w:r>
        <w:t xml:space="preserve">Cutuli 2000, PMID 10670585.</w:t>
      </w:r>
    </w:p>
  </w:footnote>
  <w:footnote w:id="1080">
    <w:p>
      <w:pPr>
        <w:pStyle w:val="FootnoteText"/>
      </w:pPr>
      <w:r>
        <w:rPr>
          <w:rStyle w:val="FootnoteReference"/>
        </w:rPr>
        <w:footnoteRef/>
      </w:r>
      <w:r>
        <w:t xml:space="preserve"> </w:t>
      </w:r>
      <w:r>
        <w:t xml:space="preserve">Coutinho 2026, PMID 41880199.</w:t>
      </w:r>
    </w:p>
  </w:footnote>
  <w:footnote w:id="1085">
    <w:p>
      <w:pPr>
        <w:pStyle w:val="FootnoteText"/>
      </w:pPr>
      <w:r>
        <w:rPr>
          <w:rStyle w:val="FootnoteReference"/>
        </w:rPr>
        <w:footnoteRef/>
      </w:r>
      <w:r>
        <w:t xml:space="preserve"> </w:t>
      </w:r>
      <w:r>
        <w:t xml:space="preserve">Dalmasso 2008, PMID 18061177; Kannengiesser 2008, PMID 18092346.</w:t>
      </w:r>
    </w:p>
  </w:footnote>
  <w:footnote w:id="1088">
    <w:p>
      <w:pPr>
        <w:pStyle w:val="FootnoteText"/>
      </w:pPr>
      <w:r>
        <w:rPr>
          <w:rStyle w:val="FootnoteReference"/>
        </w:rPr>
        <w:footnoteRef/>
      </w:r>
      <w:r>
        <w:t xml:space="preserve"> </w:t>
      </w:r>
      <w:r>
        <w:t xml:space="preserve">Gombart 2005, PMID 15985530.</w:t>
      </w:r>
    </w:p>
  </w:footnote>
  <w:footnote w:id="1090">
    <w:p>
      <w:pPr>
        <w:pStyle w:val="FootnoteText"/>
      </w:pPr>
      <w:r>
        <w:rPr>
          <w:rStyle w:val="FootnoteReference"/>
        </w:rPr>
        <w:footnoteRef/>
      </w:r>
      <w:r>
        <w:t xml:space="preserve"> </w:t>
      </w:r>
      <w:r>
        <w:t xml:space="preserve">Gombart 2005, PMID 15985530.</w:t>
      </w:r>
    </w:p>
  </w:footnote>
  <w:footnote w:id="1091">
    <w:p>
      <w:pPr>
        <w:pStyle w:val="FootnoteText"/>
      </w:pPr>
      <w:r>
        <w:rPr>
          <w:rStyle w:val="FootnoteReference"/>
        </w:rPr>
        <w:footnoteRef/>
      </w:r>
      <w:r>
        <w:t xml:space="preserve"> </w:t>
      </w:r>
      <w:r>
        <w:t xml:space="preserve">Lande 2007, PMID 17873860.</w:t>
      </w:r>
    </w:p>
  </w:footnote>
  <w:footnote w:id="1092">
    <w:p>
      <w:pPr>
        <w:pStyle w:val="FootnoteText"/>
      </w:pPr>
      <w:r>
        <w:rPr>
          <w:rStyle w:val="FootnoteReference"/>
        </w:rPr>
        <w:footnoteRef/>
      </w:r>
      <w:r>
        <w:t xml:space="preserve"> </w:t>
      </w:r>
      <w:r>
        <w:t xml:space="preserve">Lande 2014, PMID 25470744.</w:t>
      </w:r>
    </w:p>
  </w:footnote>
  <w:footnote w:id="1093">
    <w:p>
      <w:pPr>
        <w:pStyle w:val="FootnoteText"/>
      </w:pPr>
      <w:r>
        <w:rPr>
          <w:rStyle w:val="FootnoteReference"/>
        </w:rPr>
        <w:footnoteRef/>
      </w:r>
      <w:r>
        <w:t xml:space="preserve"> </w:t>
      </w:r>
      <w:r>
        <w:t xml:space="preserve">Yamasaki 2007, PMID 17676051.</w:t>
      </w:r>
    </w:p>
  </w:footnote>
  <w:footnote w:id="1095">
    <w:p>
      <w:pPr>
        <w:pStyle w:val="FootnoteText"/>
      </w:pPr>
      <w:r>
        <w:rPr>
          <w:rStyle w:val="FootnoteReference"/>
        </w:rPr>
        <w:footnoteRef/>
      </w:r>
      <w:r>
        <w:t xml:space="preserve"> </w:t>
      </w:r>
      <w:r>
        <w:t xml:space="preserve">Grönberg 2014, PMID 25041740.</w:t>
      </w:r>
    </w:p>
  </w:footnote>
  <w:footnote w:id="1096">
    <w:p>
      <w:pPr>
        <w:pStyle w:val="FootnoteText"/>
      </w:pPr>
      <w:r>
        <w:rPr>
          <w:rStyle w:val="FootnoteReference"/>
        </w:rPr>
        <w:footnoteRef/>
      </w:r>
      <w:r>
        <w:t xml:space="preserve"> </w:t>
      </w:r>
      <w:r>
        <w:t xml:space="preserve">Mahlapuu 2021, PMID 34687253.</w:t>
      </w:r>
    </w:p>
  </w:footnote>
  <w:footnote w:id="1097">
    <w:p>
      <w:pPr>
        <w:pStyle w:val="FootnoteText"/>
      </w:pPr>
      <w:r>
        <w:rPr>
          <w:rStyle w:val="FootnoteReference"/>
        </w:rPr>
        <w:footnoteRef/>
      </w:r>
      <w:r>
        <w:t xml:space="preserve"> </w:t>
      </w:r>
      <w:r>
        <w:t xml:space="preserve">Miranda 2023, PMID 37480520.</w:t>
      </w:r>
    </w:p>
  </w:footnote>
  <w:footnote w:id="1098">
    <w:p>
      <w:pPr>
        <w:pStyle w:val="FootnoteText"/>
      </w:pPr>
      <w:r>
        <w:rPr>
          <w:rStyle w:val="FootnoteReference"/>
        </w:rPr>
        <w:footnoteRef/>
      </w:r>
      <w:r>
        <w:t xml:space="preserve"> </w:t>
      </w:r>
      <w:r>
        <w:t xml:space="preserve">Zhao 2023, PMID 37605995.</w:t>
      </w:r>
    </w:p>
  </w:footnote>
  <w:footnote w:id="1100">
    <w:p>
      <w:pPr>
        <w:pStyle w:val="FootnoteText"/>
      </w:pPr>
      <w:r>
        <w:rPr>
          <w:rStyle w:val="FootnoteReference"/>
        </w:rPr>
        <w:footnoteRef/>
      </w:r>
      <w:r>
        <w:t xml:space="preserve"> </w:t>
      </w:r>
      <w:r>
        <w:t xml:space="preserve">Majewski 2017, PMID 28956425.</w:t>
      </w:r>
    </w:p>
  </w:footnote>
  <w:footnote w:id="1101">
    <w:p>
      <w:pPr>
        <w:pStyle w:val="FootnoteText"/>
      </w:pPr>
      <w:r>
        <w:rPr>
          <w:rStyle w:val="FootnoteReference"/>
        </w:rPr>
        <w:footnoteRef/>
      </w:r>
      <w:r>
        <w:t xml:space="preserve"> </w:t>
      </w:r>
      <w:r>
        <w:t xml:space="preserve">Savonius 2018, PMID 28827496.</w:t>
      </w:r>
    </w:p>
  </w:footnote>
  <w:footnote w:id="1102">
    <w:p>
      <w:pPr>
        <w:pStyle w:val="FootnoteText"/>
      </w:pPr>
      <w:r>
        <w:rPr>
          <w:rStyle w:val="FootnoteReference"/>
        </w:rPr>
        <w:footnoteRef/>
      </w:r>
      <w:r>
        <w:t xml:space="preserve"> </w:t>
      </w:r>
      <w:r>
        <w:t xml:space="preserve">Quraishi 2015, PMID 26086941.</w:t>
      </w:r>
    </w:p>
  </w:footnote>
  <w:footnote w:id="1104">
    <w:p>
      <w:pPr>
        <w:pStyle w:val="FootnoteText"/>
      </w:pPr>
      <w:r>
        <w:rPr>
          <w:rStyle w:val="FootnoteReference"/>
        </w:rPr>
        <w:footnoteRef/>
      </w:r>
      <w:r>
        <w:t xml:space="preserve"> </w:t>
      </w:r>
      <w:r>
        <w:t xml:space="preserve">Mily 2015, PMID 26394045.</w:t>
      </w:r>
    </w:p>
  </w:footnote>
  <w:footnote w:id="1107">
    <w:p>
      <w:pPr>
        <w:pStyle w:val="FootnoteText"/>
      </w:pPr>
      <w:r>
        <w:rPr>
          <w:rStyle w:val="FootnoteReference"/>
        </w:rPr>
        <w:footnoteRef/>
      </w:r>
      <w:r>
        <w:t xml:space="preserve"> </w:t>
      </w:r>
      <w:r>
        <w:t xml:space="preserve">Chen 2018, PMID 29843147.</w:t>
      </w:r>
    </w:p>
  </w:footnote>
  <w:footnote w:id="1108">
    <w:p>
      <w:pPr>
        <w:pStyle w:val="FootnoteText"/>
      </w:pPr>
      <w:r>
        <w:rPr>
          <w:rStyle w:val="FootnoteReference"/>
        </w:rPr>
        <w:footnoteRef/>
      </w:r>
      <w:r>
        <w:t xml:space="preserve"> </w:t>
      </w:r>
      <w:r>
        <w:t xml:space="preserve">Gombart 2005, PMID 15985530.</w:t>
      </w:r>
    </w:p>
  </w:footnote>
  <w:footnote w:id="1110">
    <w:p>
      <w:pPr>
        <w:pStyle w:val="FootnoteText"/>
      </w:pPr>
      <w:r>
        <w:rPr>
          <w:rStyle w:val="FootnoteReference"/>
        </w:rPr>
        <w:footnoteRef/>
      </w:r>
      <w:r>
        <w:t xml:space="preserve"> </w:t>
      </w:r>
      <w:r>
        <w:t xml:space="preserve">Grönberg 2014, PMID 25041740; Mahlapuu 2021, PMID 34687253.</w:t>
      </w:r>
    </w:p>
  </w:footnote>
  <w:footnote w:id="1111">
    <w:p>
      <w:pPr>
        <w:pStyle w:val="FootnoteText"/>
      </w:pPr>
      <w:r>
        <w:rPr>
          <w:rStyle w:val="FootnoteReference"/>
        </w:rPr>
        <w:footnoteRef/>
      </w:r>
      <w:r>
        <w:t xml:space="preserve"> </w:t>
      </w:r>
      <w:r>
        <w:t xml:space="preserve">Dolkar 2018, PMID 29665030.</w:t>
      </w:r>
    </w:p>
  </w:footnote>
  <w:footnote w:id="1113">
    <w:p>
      <w:pPr>
        <w:pStyle w:val="FootnoteText"/>
      </w:pPr>
      <w:r>
        <w:rPr>
          <w:rStyle w:val="FootnoteReference"/>
        </w:rPr>
        <w:footnoteRef/>
      </w:r>
      <w:r>
        <w:t xml:space="preserve"> </w:t>
      </w:r>
      <w:r>
        <w:t xml:space="preserve">Lande 2007, PMID 17873860; Lande 2014, PMID 25470744.</w:t>
      </w:r>
    </w:p>
  </w:footnote>
  <w:footnote w:id="1114">
    <w:p>
      <w:pPr>
        <w:pStyle w:val="FootnoteText"/>
      </w:pPr>
      <w:r>
        <w:rPr>
          <w:rStyle w:val="FootnoteReference"/>
        </w:rPr>
        <w:footnoteRef/>
      </w:r>
      <w:r>
        <w:t xml:space="preserve"> </w:t>
      </w:r>
      <w:r>
        <w:t xml:space="preserve">Yamasaki 2007, PMID 17676051.</w:t>
      </w:r>
    </w:p>
  </w:footnote>
  <w:footnote w:id="1115">
    <w:p>
      <w:pPr>
        <w:pStyle w:val="FootnoteText"/>
      </w:pPr>
      <w:r>
        <w:rPr>
          <w:rStyle w:val="FootnoteReference"/>
        </w:rPr>
        <w:footnoteRef/>
      </w:r>
      <w:r>
        <w:t xml:space="preserve"> </w:t>
      </w:r>
      <w:r>
        <w:t xml:space="preserve">Chen 2018, PMID 29843147.</w:t>
      </w:r>
    </w:p>
  </w:footnote>
  <w:footnote w:id="1120">
    <w:p>
      <w:pPr>
        <w:pStyle w:val="FootnoteText"/>
      </w:pPr>
      <w:r>
        <w:rPr>
          <w:rStyle w:val="FootnoteReference"/>
        </w:rPr>
        <w:footnoteRef/>
      </w:r>
      <w:r>
        <w:t xml:space="preserve"> </w:t>
      </w:r>
      <w:r>
        <w:t xml:space="preserve">Mahlapuu 2021, PMID 34687253.</w:t>
      </w:r>
    </w:p>
  </w:footnote>
  <w:footnote w:id="1123">
    <w:p>
      <w:pPr>
        <w:pStyle w:val="FootnoteText"/>
      </w:pPr>
      <w:r>
        <w:rPr>
          <w:rStyle w:val="FootnoteReference"/>
        </w:rPr>
        <w:footnoteRef/>
      </w:r>
      <w:r>
        <w:t xml:space="preserve"> </w:t>
      </w:r>
      <w:r>
        <w:t xml:space="preserve">Winicki 2022, PMID 36741836.</w:t>
      </w:r>
    </w:p>
  </w:footnote>
  <w:footnote w:id="1124">
    <w:p>
      <w:pPr>
        <w:pStyle w:val="FootnoteText"/>
      </w:pPr>
      <w:r>
        <w:rPr>
          <w:rStyle w:val="FootnoteReference"/>
        </w:rPr>
        <w:footnoteRef/>
      </w:r>
      <w:r>
        <w:t xml:space="preserve"> </w:t>
      </w:r>
      <w:r>
        <w:t xml:space="preserve">Thomas 2017, PMID 28941172.</w:t>
      </w:r>
    </w:p>
  </w:footnote>
  <w:footnote w:id="1126">
    <w:p>
      <w:pPr>
        <w:pStyle w:val="FootnoteText"/>
      </w:pPr>
      <w:r>
        <w:rPr>
          <w:rStyle w:val="FootnoteReference"/>
        </w:rPr>
        <w:footnoteRef/>
      </w:r>
      <w:r>
        <w:t xml:space="preserve"> </w:t>
      </w:r>
      <w:r>
        <w:t xml:space="preserve">Swartjes 2014, PMID 24529189.</w:t>
      </w:r>
    </w:p>
  </w:footnote>
  <w:footnote w:id="1127">
    <w:p>
      <w:pPr>
        <w:pStyle w:val="FootnoteText"/>
      </w:pPr>
      <w:r>
        <w:rPr>
          <w:rStyle w:val="FootnoteReference"/>
        </w:rPr>
        <w:footnoteRef/>
      </w:r>
      <w:r>
        <w:t xml:space="preserve"> </w:t>
      </w:r>
      <w:r>
        <w:t xml:space="preserve">Thomas 2017, PMID 28941172.</w:t>
      </w:r>
    </w:p>
  </w:footnote>
  <w:footnote w:id="1129">
    <w:p>
      <w:pPr>
        <w:pStyle w:val="FootnoteText"/>
      </w:pPr>
      <w:r>
        <w:rPr>
          <w:rStyle w:val="FootnoteReference"/>
        </w:rPr>
        <w:footnoteRef/>
      </w:r>
      <w:r>
        <w:t xml:space="preserve"> </w:t>
      </w:r>
      <w:r>
        <w:t xml:space="preserve">Heij 2012, PMID 23168581.</w:t>
      </w:r>
    </w:p>
  </w:footnote>
  <w:footnote w:id="1130">
    <w:p>
      <w:pPr>
        <w:pStyle w:val="FootnoteText"/>
      </w:pPr>
      <w:r>
        <w:rPr>
          <w:rStyle w:val="FootnoteReference"/>
        </w:rPr>
        <w:footnoteRef/>
      </w:r>
      <w:r>
        <w:t xml:space="preserve"> </w:t>
      </w:r>
      <w:r>
        <w:t xml:space="preserve">Culver 2017, PMID 28475703.</w:t>
      </w:r>
    </w:p>
  </w:footnote>
  <w:footnote w:id="1131">
    <w:p>
      <w:pPr>
        <w:pStyle w:val="FootnoteText"/>
      </w:pPr>
      <w:r>
        <w:rPr>
          <w:rStyle w:val="FootnoteReference"/>
        </w:rPr>
        <w:footnoteRef/>
      </w:r>
      <w:r>
        <w:t xml:space="preserve"> </w:t>
      </w:r>
      <w:r>
        <w:t xml:space="preserve">van Velzen 2014, PMID 24555851.</w:t>
      </w:r>
    </w:p>
  </w:footnote>
  <w:footnote w:id="1133">
    <w:p>
      <w:pPr>
        <w:pStyle w:val="FootnoteText"/>
      </w:pPr>
      <w:r>
        <w:rPr>
          <w:rStyle w:val="FootnoteReference"/>
        </w:rPr>
        <w:footnoteRef/>
      </w:r>
      <w:r>
        <w:t xml:space="preserve"> </w:t>
      </w:r>
      <w:r>
        <w:t xml:space="preserve">Brines 2015, PMID 25387363.</w:t>
      </w:r>
    </w:p>
  </w:footnote>
  <w:footnote w:id="1134">
    <w:p>
      <w:pPr>
        <w:pStyle w:val="FootnoteText"/>
      </w:pPr>
      <w:r>
        <w:rPr>
          <w:rStyle w:val="FootnoteReference"/>
        </w:rPr>
        <w:footnoteRef/>
      </w:r>
      <w:r>
        <w:t xml:space="preserve"> </w:t>
      </w:r>
      <w:r>
        <w:t xml:space="preserve">NCT01933529.</w:t>
      </w:r>
    </w:p>
  </w:footnote>
  <w:footnote w:id="1135">
    <w:p>
      <w:pPr>
        <w:pStyle w:val="FootnoteText"/>
      </w:pPr>
      <w:r>
        <w:rPr>
          <w:rStyle w:val="FootnoteReference"/>
        </w:rPr>
        <w:footnoteRef/>
      </w:r>
      <w:r>
        <w:t xml:space="preserve"> </w:t>
      </w:r>
      <w:r>
        <w:t xml:space="preserve">Lois 2020, PMID 32674280.</w:t>
      </w:r>
    </w:p>
  </w:footnote>
  <w:footnote w:id="1138">
    <w:p>
      <w:pPr>
        <w:pStyle w:val="FootnoteText"/>
      </w:pPr>
      <w:r>
        <w:rPr>
          <w:rStyle w:val="FootnoteReference"/>
        </w:rPr>
        <w:footnoteRef/>
      </w:r>
      <w:r>
        <w:t xml:space="preserve"> </w:t>
      </w:r>
      <w:r>
        <w:t xml:space="preserve">Swartjes 2014, PMID 24529189; Pulman 2013, PMID 23262243.</w:t>
      </w:r>
    </w:p>
  </w:footnote>
  <w:footnote w:id="1139">
    <w:p>
      <w:pPr>
        <w:pStyle w:val="FootnoteText"/>
      </w:pPr>
      <w:r>
        <w:rPr>
          <w:rStyle w:val="FootnoteReference"/>
        </w:rPr>
        <w:footnoteRef/>
      </w:r>
      <w:r>
        <w:t xml:space="preserve"> </w:t>
      </w:r>
      <w:r>
        <w:t xml:space="preserve">van Rijt 2013, PMID 23302512.</w:t>
      </w:r>
    </w:p>
  </w:footnote>
  <w:footnote w:id="1140">
    <w:p>
      <w:pPr>
        <w:pStyle w:val="FootnoteText"/>
      </w:pPr>
      <w:r>
        <w:rPr>
          <w:rStyle w:val="FootnoteReference"/>
        </w:rPr>
        <w:footnoteRef/>
      </w:r>
      <w:r>
        <w:t xml:space="preserve"> </w:t>
      </w:r>
      <w:r>
        <w:t xml:space="preserve">Muller 2016, PMID 26736179.</w:t>
      </w:r>
    </w:p>
  </w:footnote>
  <w:footnote w:id="1141">
    <w:p>
      <w:pPr>
        <w:pStyle w:val="FootnoteText"/>
      </w:pPr>
      <w:r>
        <w:rPr>
          <w:rStyle w:val="FootnoteReference"/>
        </w:rPr>
        <w:footnoteRef/>
      </w:r>
      <w:r>
        <w:t xml:space="preserve"> </w:t>
      </w:r>
      <w:r>
        <w:t xml:space="preserve">Al-Onaizi 2022, PMID 34343617.</w:t>
      </w:r>
    </w:p>
  </w:footnote>
  <w:footnote w:id="1142">
    <w:p>
      <w:pPr>
        <w:pStyle w:val="FootnoteText"/>
      </w:pPr>
      <w:r>
        <w:rPr>
          <w:rStyle w:val="FootnoteReference"/>
        </w:rPr>
        <w:footnoteRef/>
      </w:r>
      <w:r>
        <w:t xml:space="preserve"> </w:t>
      </w:r>
      <w:r>
        <w:t xml:space="preserve">Winicki 2022, PMID 36741836.</w:t>
      </w:r>
    </w:p>
  </w:footnote>
  <w:footnote w:id="1144">
    <w:p>
      <w:pPr>
        <w:pStyle w:val="FootnoteText"/>
      </w:pPr>
      <w:r>
        <w:rPr>
          <w:rStyle w:val="FootnoteReference"/>
        </w:rPr>
        <w:footnoteRef/>
      </w:r>
      <w:r>
        <w:t xml:space="preserve"> </w:t>
      </w:r>
      <w:r>
        <w:t xml:space="preserve">Heij 2012, PMID 23168581; Brines 2015, PMID 25387363.</w:t>
      </w:r>
    </w:p>
  </w:footnote>
  <w:footnote w:id="1145">
    <w:p>
      <w:pPr>
        <w:pStyle w:val="FootnoteText"/>
      </w:pPr>
      <w:r>
        <w:rPr>
          <w:rStyle w:val="FootnoteReference"/>
        </w:rPr>
        <w:footnoteRef/>
      </w:r>
      <w:r>
        <w:t xml:space="preserve"> </w:t>
      </w:r>
      <w:r>
        <w:t xml:space="preserve">Lois 2020, PMID 32674280.</w:t>
      </w:r>
    </w:p>
  </w:footnote>
  <w:footnote w:id="1150">
    <w:p>
      <w:pPr>
        <w:pStyle w:val="FootnoteText"/>
      </w:pPr>
      <w:r>
        <w:rPr>
          <w:rStyle w:val="FootnoteReference"/>
        </w:rPr>
        <w:footnoteRef/>
      </w:r>
      <w:r>
        <w:t xml:space="preserve"> </w:t>
      </w:r>
      <w:r>
        <w:t xml:space="preserve">NCT02039687.</w:t>
      </w:r>
    </w:p>
  </w:footnote>
  <w:footnote w:id="1151">
    <w:p>
      <w:pPr>
        <w:pStyle w:val="FootnoteText"/>
      </w:pPr>
      <w:r>
        <w:rPr>
          <w:rStyle w:val="FootnoteReference"/>
        </w:rPr>
        <w:footnoteRef/>
      </w:r>
      <w:r>
        <w:t xml:space="preserve"> </w:t>
      </w:r>
      <w:r>
        <w:t xml:space="preserve">NCT06626971.</w:t>
      </w:r>
    </w:p>
  </w:footnote>
  <w:footnote w:id="1153">
    <w:p>
      <w:pPr>
        <w:pStyle w:val="FootnoteText"/>
      </w:pPr>
      <w:r>
        <w:rPr>
          <w:rStyle w:val="FootnoteReference"/>
        </w:rPr>
        <w:footnoteRef/>
      </w:r>
      <w:r>
        <w:t xml:space="preserve"> </w:t>
      </w:r>
      <w:r>
        <w:t xml:space="preserve">Culver 2017, PMID 28475703.</w:t>
      </w:r>
    </w:p>
  </w:footnote>
  <w:footnote w:id="1156">
    <w:p>
      <w:pPr>
        <w:pStyle w:val="FootnoteText"/>
      </w:pPr>
      <w:r>
        <w:rPr>
          <w:rStyle w:val="FootnoteReference"/>
        </w:rPr>
        <w:footnoteRef/>
      </w:r>
      <w:r>
        <w:t xml:space="preserve"> </w:t>
      </w:r>
      <w:r>
        <w:t xml:space="preserve">Gopalakrishnan 2012, PMID 22401908.</w:t>
      </w:r>
    </w:p>
  </w:footnote>
  <w:footnote w:id="1158">
    <w:p>
      <w:pPr>
        <w:pStyle w:val="FootnoteText"/>
      </w:pPr>
      <w:r>
        <w:rPr>
          <w:rStyle w:val="FootnoteReference"/>
        </w:rPr>
        <w:footnoteRef/>
      </w:r>
      <w:r>
        <w:t xml:space="preserve"> </w:t>
      </w:r>
      <w:r>
        <w:t xml:space="preserve">Gopalakrishnan 2012, PMID 22401908.</w:t>
      </w:r>
    </w:p>
  </w:footnote>
  <w:footnote w:id="1159">
    <w:p>
      <w:pPr>
        <w:pStyle w:val="FootnoteText"/>
      </w:pPr>
      <w:r>
        <w:rPr>
          <w:rStyle w:val="FootnoteReference"/>
        </w:rPr>
        <w:footnoteRef/>
      </w:r>
      <w:r>
        <w:t xml:space="preserve"> </w:t>
      </w:r>
      <w:r>
        <w:t xml:space="preserve">Slifer 2021, PMID 33881350.</w:t>
      </w:r>
    </w:p>
  </w:footnote>
  <w:footnote w:id="1161">
    <w:p>
      <w:pPr>
        <w:pStyle w:val="FootnoteText"/>
      </w:pPr>
      <w:r>
        <w:rPr>
          <w:rStyle w:val="FootnoteReference"/>
        </w:rPr>
        <w:footnoteRef/>
      </w:r>
      <w:r>
        <w:t xml:space="preserve"> </w:t>
      </w:r>
      <w:r>
        <w:t xml:space="preserve">Hoilat 2022, PMID 34339872.</w:t>
      </w:r>
    </w:p>
  </w:footnote>
  <w:footnote w:id="1162">
    <w:p>
      <w:pPr>
        <w:pStyle w:val="FootnoteText"/>
      </w:pPr>
      <w:r>
        <w:rPr>
          <w:rStyle w:val="FootnoteReference"/>
        </w:rPr>
        <w:footnoteRef/>
      </w:r>
      <w:r>
        <w:t xml:space="preserve"> </w:t>
      </w:r>
      <w:r>
        <w:t xml:space="preserve">Leffler 2012, PMID 22825365; Kelly 2013, PMID 23163616.</w:t>
      </w:r>
    </w:p>
  </w:footnote>
  <w:footnote w:id="1163">
    <w:p>
      <w:pPr>
        <w:pStyle w:val="FootnoteText"/>
      </w:pPr>
      <w:r>
        <w:rPr>
          <w:rStyle w:val="FootnoteReference"/>
        </w:rPr>
        <w:footnoteRef/>
      </w:r>
      <w:r>
        <w:t xml:space="preserve"> </w:t>
      </w:r>
      <w:r>
        <w:t xml:space="preserve">Kelly 2013, PMID 23163616.</w:t>
      </w:r>
    </w:p>
  </w:footnote>
  <w:footnote w:id="1164">
    <w:p>
      <w:pPr>
        <w:pStyle w:val="FootnoteText"/>
      </w:pPr>
      <w:r>
        <w:rPr>
          <w:rStyle w:val="FootnoteReference"/>
        </w:rPr>
        <w:footnoteRef/>
      </w:r>
      <w:r>
        <w:t xml:space="preserve"> </w:t>
      </w:r>
      <w:r>
        <w:t xml:space="preserve">Leffler 2015, PMID 25683116.</w:t>
      </w:r>
    </w:p>
  </w:footnote>
  <w:footnote w:id="1165">
    <w:p>
      <w:pPr>
        <w:pStyle w:val="FootnoteText"/>
      </w:pPr>
      <w:r>
        <w:rPr>
          <w:rStyle w:val="FootnoteReference"/>
        </w:rPr>
        <w:footnoteRef/>
      </w:r>
      <w:r>
        <w:t xml:space="preserve"> </w:t>
      </w:r>
      <w:r>
        <w:t xml:space="preserve">Hoilat 2022, PMID 34339872.</w:t>
      </w:r>
    </w:p>
  </w:footnote>
  <w:footnote w:id="1167">
    <w:p>
      <w:pPr>
        <w:pStyle w:val="FootnoteText"/>
      </w:pPr>
      <w:r>
        <w:rPr>
          <w:rStyle w:val="FootnoteReference"/>
        </w:rPr>
        <w:footnoteRef/>
      </w:r>
      <w:r>
        <w:t xml:space="preserve"> </w:t>
      </w:r>
      <w:r>
        <w:t xml:space="preserve">NCT03569007.</w:t>
      </w:r>
    </w:p>
  </w:footnote>
  <w:footnote w:id="1168">
    <w:p>
      <w:pPr>
        <w:pStyle w:val="FootnoteText"/>
      </w:pPr>
      <w:r>
        <w:rPr>
          <w:rStyle w:val="FootnoteReference"/>
        </w:rPr>
        <w:footnoteRef/>
      </w:r>
      <w:r>
        <w:t xml:space="preserve"> </w:t>
      </w:r>
      <w:r>
        <w:t xml:space="preserve">D’heedene 2024, PMID 38648685.</w:t>
      </w:r>
    </w:p>
  </w:footnote>
  <w:footnote w:id="1169">
    <w:p>
      <w:pPr>
        <w:pStyle w:val="FootnoteText"/>
      </w:pPr>
      <w:r>
        <w:rPr>
          <w:rStyle w:val="FootnoteReference"/>
        </w:rPr>
        <w:footnoteRef/>
      </w:r>
      <w:r>
        <w:t xml:space="preserve"> </w:t>
      </w:r>
      <w:r>
        <w:t xml:space="preserve">Girbal-González 2025, PMID 41010485.</w:t>
      </w:r>
    </w:p>
  </w:footnote>
  <w:footnote w:id="1171">
    <w:p>
      <w:pPr>
        <w:pStyle w:val="FootnoteText"/>
      </w:pPr>
      <w:r>
        <w:rPr>
          <w:rStyle w:val="FootnoteReference"/>
        </w:rPr>
        <w:footnoteRef/>
      </w:r>
      <w:r>
        <w:t xml:space="preserve"> </w:t>
      </w:r>
      <w:r>
        <w:t xml:space="preserve">Yonker 2022, PMID 35211683.</w:t>
      </w:r>
    </w:p>
  </w:footnote>
  <w:footnote w:id="1172">
    <w:p>
      <w:pPr>
        <w:pStyle w:val="FootnoteText"/>
      </w:pPr>
      <w:r>
        <w:rPr>
          <w:rStyle w:val="FootnoteReference"/>
        </w:rPr>
        <w:footnoteRef/>
      </w:r>
      <w:r>
        <w:t xml:space="preserve"> </w:t>
      </w:r>
      <w:r>
        <w:t xml:space="preserve">Yonker 2025, PMID 40737433.</w:t>
      </w:r>
    </w:p>
  </w:footnote>
  <w:footnote w:id="1173">
    <w:p>
      <w:pPr>
        <w:pStyle w:val="FootnoteText"/>
      </w:pPr>
      <w:r>
        <w:rPr>
          <w:rStyle w:val="FootnoteReference"/>
        </w:rPr>
        <w:footnoteRef/>
      </w:r>
      <w:r>
        <w:t xml:space="preserve"> </w:t>
      </w:r>
      <w:r>
        <w:t xml:space="preserve">NCT05022303.</w:t>
      </w:r>
    </w:p>
  </w:footnote>
  <w:footnote w:id="1174">
    <w:p>
      <w:pPr>
        <w:pStyle w:val="FootnoteText"/>
      </w:pPr>
      <w:r>
        <w:rPr>
          <w:rStyle w:val="FootnoteReference"/>
        </w:rPr>
        <w:footnoteRef/>
      </w:r>
      <w:r>
        <w:t xml:space="preserve"> </w:t>
      </w:r>
      <w:r>
        <w:t xml:space="preserve">NCT05747534.</w:t>
      </w:r>
    </w:p>
  </w:footnote>
  <w:footnote w:id="1177">
    <w:p>
      <w:pPr>
        <w:pStyle w:val="FootnoteText"/>
      </w:pPr>
      <w:r>
        <w:rPr>
          <w:rStyle w:val="FootnoteReference"/>
        </w:rPr>
        <w:footnoteRef/>
      </w:r>
      <w:r>
        <w:t xml:space="preserve"> </w:t>
      </w:r>
      <w:r>
        <w:t xml:space="preserve">Tajik 2020, PMID 32332732.</w:t>
      </w:r>
    </w:p>
  </w:footnote>
  <w:footnote w:id="1178">
    <w:p>
      <w:pPr>
        <w:pStyle w:val="FootnoteText"/>
      </w:pPr>
      <w:r>
        <w:rPr>
          <w:rStyle w:val="FootnoteReference"/>
        </w:rPr>
        <w:footnoteRef/>
      </w:r>
      <w:r>
        <w:t xml:space="preserve"> </w:t>
      </w:r>
      <w:r>
        <w:t xml:space="preserve">Slifer 2021, PMID 33881350.</w:t>
      </w:r>
    </w:p>
  </w:footnote>
  <w:footnote w:id="1179">
    <w:p>
      <w:pPr>
        <w:pStyle w:val="FootnoteText"/>
      </w:pPr>
      <w:r>
        <w:rPr>
          <w:rStyle w:val="FootnoteReference"/>
        </w:rPr>
        <w:footnoteRef/>
      </w:r>
      <w:r>
        <w:t xml:space="preserve"> </w:t>
      </w:r>
      <w:r>
        <w:t xml:space="preserve">Karahan 2024, PMID 38441784; Caliskan 2021, PMID 34791921.</w:t>
      </w:r>
    </w:p>
  </w:footnote>
  <w:footnote w:id="1181">
    <w:p>
      <w:pPr>
        <w:pStyle w:val="FootnoteText"/>
      </w:pPr>
      <w:r>
        <w:rPr>
          <w:rStyle w:val="FootnoteReference"/>
        </w:rPr>
        <w:footnoteRef/>
      </w:r>
      <w:r>
        <w:t xml:space="preserve"> </w:t>
      </w:r>
      <w:r>
        <w:t xml:space="preserve">Leffler 2012, PMID 22825365.</w:t>
      </w:r>
    </w:p>
  </w:footnote>
  <w:footnote w:id="1182">
    <w:p>
      <w:pPr>
        <w:pStyle w:val="FootnoteText"/>
      </w:pPr>
      <w:r>
        <w:rPr>
          <w:rStyle w:val="FootnoteReference"/>
        </w:rPr>
        <w:footnoteRef/>
      </w:r>
      <w:r>
        <w:t xml:space="preserve"> </w:t>
      </w:r>
      <w:r>
        <w:t xml:space="preserve">Leffler 2015, PMID 25683116.</w:t>
      </w:r>
    </w:p>
  </w:footnote>
  <w:footnote w:id="1183">
    <w:p>
      <w:pPr>
        <w:pStyle w:val="FootnoteText"/>
      </w:pPr>
      <w:r>
        <w:rPr>
          <w:rStyle w:val="FootnoteReference"/>
        </w:rPr>
        <w:footnoteRef/>
      </w:r>
      <w:r>
        <w:t xml:space="preserve"> </w:t>
      </w:r>
      <w:r>
        <w:t xml:space="preserve">Hoilat 2022, PMID 34339872.</w:t>
      </w:r>
    </w:p>
  </w:footnote>
  <w:footnote w:id="1188">
    <w:p>
      <w:pPr>
        <w:pStyle w:val="FootnoteText"/>
      </w:pPr>
      <w:r>
        <w:rPr>
          <w:rStyle w:val="FootnoteReference"/>
        </w:rPr>
        <w:footnoteRef/>
      </w:r>
      <w:r>
        <w:t xml:space="preserve"> </w:t>
      </w:r>
      <w:r>
        <w:t xml:space="preserve">NCT05747534.</w:t>
      </w:r>
    </w:p>
  </w:footnote>
  <w:footnote w:id="1189">
    <w:p>
      <w:pPr>
        <w:pStyle w:val="FootnoteText"/>
      </w:pPr>
      <w:r>
        <w:rPr>
          <w:rStyle w:val="FootnoteReference"/>
        </w:rPr>
        <w:footnoteRef/>
      </w:r>
      <w:r>
        <w:t xml:space="preserve"> </w:t>
      </w:r>
      <w:r>
        <w:t xml:space="preserve">D’heedene 2024, PMID 38648685.</w:t>
      </w:r>
    </w:p>
  </w:footnote>
  <w:footnote w:id="1191">
    <w:p>
      <w:pPr>
        <w:pStyle w:val="FootnoteText"/>
      </w:pPr>
      <w:r>
        <w:rPr>
          <w:rStyle w:val="FootnoteReference"/>
        </w:rPr>
        <w:footnoteRef/>
      </w:r>
      <w:r>
        <w:t xml:space="preserve"> </w:t>
      </w:r>
      <w:r>
        <w:t xml:space="preserve">Leffler 2015, PMID 25683116.</w:t>
      </w:r>
    </w:p>
  </w:footnote>
  <w:footnote w:id="1194">
    <w:p>
      <w:pPr>
        <w:pStyle w:val="FootnoteText"/>
      </w:pPr>
      <w:r>
        <w:rPr>
          <w:rStyle w:val="FootnoteReference"/>
        </w:rPr>
        <w:footnoteRef/>
      </w:r>
      <w:r>
        <w:t xml:space="preserve"> </w:t>
      </w:r>
      <w:r>
        <w:t xml:space="preserve">Morozov 1997, PMID 9637345.</w:t>
      </w:r>
    </w:p>
  </w:footnote>
  <w:footnote w:id="1195">
    <w:p>
      <w:pPr>
        <w:pStyle w:val="FootnoteText"/>
      </w:pPr>
      <w:r>
        <w:rPr>
          <w:rStyle w:val="FootnoteReference"/>
        </w:rPr>
        <w:footnoteRef/>
      </w:r>
      <w:r>
        <w:t xml:space="preserve"> </w:t>
      </w:r>
      <w:r>
        <w:t xml:space="preserve">Linkova 2023, PMID 37686182.</w:t>
      </w:r>
    </w:p>
  </w:footnote>
  <w:footnote w:id="1196">
    <w:p>
      <w:pPr>
        <w:pStyle w:val="FootnoteText"/>
      </w:pPr>
      <w:r>
        <w:rPr>
          <w:rStyle w:val="FootnoteReference"/>
        </w:rPr>
        <w:footnoteRef/>
      </w:r>
      <w:r>
        <w:t xml:space="preserve"> </w:t>
      </w:r>
      <w:r>
        <w:t xml:space="preserve">Anisimov 2000, PMID 11707921.</w:t>
      </w:r>
    </w:p>
  </w:footnote>
  <w:footnote w:id="1198">
    <w:p>
      <w:pPr>
        <w:pStyle w:val="FootnoteText"/>
      </w:pPr>
      <w:r>
        <w:rPr>
          <w:rStyle w:val="FootnoteReference"/>
        </w:rPr>
        <w:footnoteRef/>
      </w:r>
      <w:r>
        <w:t xml:space="preserve"> </w:t>
      </w:r>
      <w:r>
        <w:t xml:space="preserve">Morozov 1997, PMID 9637345.</w:t>
      </w:r>
    </w:p>
  </w:footnote>
  <w:footnote w:id="1199">
    <w:p>
      <w:pPr>
        <w:pStyle w:val="FootnoteText"/>
      </w:pPr>
      <w:r>
        <w:rPr>
          <w:rStyle w:val="FootnoteReference"/>
        </w:rPr>
        <w:footnoteRef/>
      </w:r>
      <w:r>
        <w:t xml:space="preserve"> </w:t>
      </w:r>
      <w:r>
        <w:t xml:space="preserve">Khavinson 2002, PMID 12374906.</w:t>
      </w:r>
    </w:p>
  </w:footnote>
  <w:footnote w:id="1200">
    <w:p>
      <w:pPr>
        <w:pStyle w:val="FootnoteText"/>
      </w:pPr>
      <w:r>
        <w:rPr>
          <w:rStyle w:val="FootnoteReference"/>
        </w:rPr>
        <w:footnoteRef/>
      </w:r>
      <w:r>
        <w:t xml:space="preserve"> </w:t>
      </w:r>
      <w:r>
        <w:t xml:space="preserve">Linkova 2023, PMID 37686182.</w:t>
      </w:r>
    </w:p>
  </w:footnote>
  <w:footnote w:id="1202">
    <w:p>
      <w:pPr>
        <w:pStyle w:val="FootnoteText"/>
      </w:pPr>
      <w:r>
        <w:rPr>
          <w:rStyle w:val="FootnoteReference"/>
        </w:rPr>
        <w:footnoteRef/>
      </w:r>
      <w:r>
        <w:t xml:space="preserve"> </w:t>
      </w:r>
      <w:r>
        <w:t xml:space="preserve">Khavinson 2003, PMID 14523363.</w:t>
      </w:r>
    </w:p>
  </w:footnote>
  <w:footnote w:id="1204">
    <w:p>
      <w:pPr>
        <w:pStyle w:val="FootnoteText"/>
      </w:pPr>
      <w:r>
        <w:rPr>
          <w:rStyle w:val="FootnoteReference"/>
        </w:rPr>
        <w:footnoteRef/>
      </w:r>
      <w:r>
        <w:t xml:space="preserve"> </w:t>
      </w:r>
      <w:r>
        <w:t xml:space="preserve">Kuznik 2022, PMID 36169363.</w:t>
      </w:r>
    </w:p>
  </w:footnote>
  <w:footnote w:id="1205">
    <w:p>
      <w:pPr>
        <w:pStyle w:val="FootnoteText"/>
      </w:pPr>
      <w:r>
        <w:rPr>
          <w:rStyle w:val="FootnoteReference"/>
        </w:rPr>
        <w:footnoteRef/>
      </w:r>
      <w:r>
        <w:t xml:space="preserve"> </w:t>
      </w:r>
      <w:r>
        <w:t xml:space="preserve">Khavinson 2021, PMID 33575961.</w:t>
      </w:r>
    </w:p>
  </w:footnote>
  <w:footnote w:id="1207">
    <w:p>
      <w:pPr>
        <w:pStyle w:val="FootnoteText"/>
      </w:pPr>
      <w:r>
        <w:rPr>
          <w:rStyle w:val="FootnoteReference"/>
        </w:rPr>
        <w:footnoteRef/>
      </w:r>
      <w:r>
        <w:t xml:space="preserve"> </w:t>
      </w:r>
      <w:r>
        <w:t xml:space="preserve">Smirnov 2011, PMID 21957588.</w:t>
      </w:r>
    </w:p>
  </w:footnote>
  <w:footnote w:id="1211">
    <w:p>
      <w:pPr>
        <w:pStyle w:val="FootnoteText"/>
      </w:pPr>
      <w:r>
        <w:rPr>
          <w:rStyle w:val="FootnoteReference"/>
        </w:rPr>
        <w:footnoteRef/>
      </w:r>
      <w:r>
        <w:t xml:space="preserve"> </w:t>
      </w:r>
      <w:r>
        <w:t xml:space="preserve">Anisimov 2000, PMID 11707921.</w:t>
      </w:r>
    </w:p>
  </w:footnote>
  <w:footnote w:id="1212">
    <w:p>
      <w:pPr>
        <w:pStyle w:val="FootnoteText"/>
      </w:pPr>
      <w:r>
        <w:rPr>
          <w:rStyle w:val="FootnoteReference"/>
        </w:rPr>
        <w:footnoteRef/>
      </w:r>
      <w:r>
        <w:t xml:space="preserve"> </w:t>
      </w:r>
      <w:r>
        <w:t xml:space="preserve">Khavinson 2020, PMID 33237528.</w:t>
      </w:r>
    </w:p>
  </w:footnote>
  <w:footnote w:id="1220">
    <w:p>
      <w:pPr>
        <w:pStyle w:val="FootnoteText"/>
      </w:pPr>
      <w:r>
        <w:rPr>
          <w:rStyle w:val="FootnoteReference"/>
        </w:rPr>
        <w:footnoteRef/>
      </w:r>
      <w:r>
        <w:t xml:space="preserve"> </w:t>
      </w:r>
      <w:r>
        <w:t xml:space="preserve">Khavinson 2003, PMID 14523363.</w:t>
      </w:r>
    </w:p>
  </w:footnote>
  <w:footnote w:id="1224">
    <w:p>
      <w:pPr>
        <w:pStyle w:val="FootnoteText"/>
      </w:pPr>
      <w:r>
        <w:rPr>
          <w:rStyle w:val="FootnoteReference"/>
        </w:rPr>
        <w:footnoteRef/>
      </w:r>
      <w:r>
        <w:t xml:space="preserve"> </w:t>
      </w:r>
      <w:r>
        <w:t xml:space="preserve">Kojima 1999, PMID 10604470.</w:t>
      </w:r>
    </w:p>
  </w:footnote>
  <w:footnote w:id="1226">
    <w:p>
      <w:pPr>
        <w:pStyle w:val="FootnoteText"/>
      </w:pPr>
      <w:r>
        <w:rPr>
          <w:rStyle w:val="FootnoteReference"/>
        </w:rPr>
        <w:footnoteRef/>
      </w:r>
      <w:r>
        <w:t xml:space="preserve"> </w:t>
      </w:r>
      <w:r>
        <w:t xml:space="preserve">Liu 2008, PMID 18347346.</w:t>
      </w:r>
    </w:p>
  </w:footnote>
  <w:footnote w:id="1227">
    <w:p>
      <w:pPr>
        <w:pStyle w:val="FootnoteText"/>
      </w:pPr>
      <w:r>
        <w:rPr>
          <w:rStyle w:val="FootnoteReference"/>
        </w:rPr>
        <w:footnoteRef/>
      </w:r>
      <w:r>
        <w:t xml:space="preserve"> </w:t>
      </w:r>
      <w:r>
        <w:t xml:space="preserve">Liu 2007, PMID 17227934.</w:t>
      </w:r>
    </w:p>
  </w:footnote>
  <w:footnote w:id="1229">
    <w:p>
      <w:pPr>
        <w:pStyle w:val="FootnoteText"/>
      </w:pPr>
      <w:r>
        <w:rPr>
          <w:rStyle w:val="FootnoteReference"/>
        </w:rPr>
        <w:footnoteRef/>
      </w:r>
      <w:r>
        <w:t xml:space="preserve"> </w:t>
      </w:r>
      <w:r>
        <w:t xml:space="preserve">Renehan 2004, PMID 15110491.</w:t>
      </w:r>
    </w:p>
  </w:footnote>
  <w:footnote w:id="1230">
    <w:p>
      <w:pPr>
        <w:pStyle w:val="FootnoteText"/>
      </w:pPr>
      <w:r>
        <w:rPr>
          <w:rStyle w:val="FootnoteReference"/>
        </w:rPr>
        <w:footnoteRef/>
      </w:r>
      <w:r>
        <w:t xml:space="preserve"> </w:t>
      </w:r>
      <w:r>
        <w:t xml:space="preserve">Murphy 2020, PMID 32169310; Murphy 2020, PMID 31884074.</w:t>
      </w:r>
    </w:p>
  </w:footnote>
  <w:footnote w:id="1231">
    <w:p>
      <w:pPr>
        <w:pStyle w:val="FootnoteText"/>
      </w:pPr>
      <w:r>
        <w:rPr>
          <w:rStyle w:val="FootnoteReference"/>
        </w:rPr>
        <w:footnoteRef/>
      </w:r>
      <w:r>
        <w:t xml:space="preserve"> </w:t>
      </w:r>
      <w:r>
        <w:t xml:space="preserve">Dal 2018, PMID 29590449.</w:t>
      </w:r>
    </w:p>
  </w:footnote>
  <w:footnote w:id="1232">
    <w:p>
      <w:pPr>
        <w:pStyle w:val="FootnoteText"/>
      </w:pPr>
      <w:r>
        <w:rPr>
          <w:rStyle w:val="FootnoteReference"/>
        </w:rPr>
        <w:footnoteRef/>
      </w:r>
      <w:r>
        <w:t xml:space="preserve"> </w:t>
      </w:r>
      <w:r>
        <w:t xml:space="preserve">Guevara-Aguirre 2011, PMID 21325617.</w:t>
      </w:r>
    </w:p>
  </w:footnote>
  <w:footnote w:id="1233">
    <w:p>
      <w:pPr>
        <w:pStyle w:val="FootnoteText"/>
      </w:pPr>
      <w:r>
        <w:rPr>
          <w:rStyle w:val="FootnoteReference"/>
        </w:rPr>
        <w:footnoteRef/>
      </w:r>
      <w:r>
        <w:t xml:space="preserve"> </w:t>
      </w:r>
      <w:r>
        <w:t xml:space="preserve">Swerdlow 2017, PMID 28187225.</w:t>
      </w:r>
    </w:p>
  </w:footnote>
  <w:footnote w:id="1234">
    <w:p>
      <w:pPr>
        <w:pStyle w:val="FootnoteText"/>
      </w:pPr>
      <w:r>
        <w:rPr>
          <w:rStyle w:val="FootnoteReference"/>
        </w:rPr>
        <w:footnoteRef/>
      </w:r>
      <w:r>
        <w:t xml:space="preserve"> </w:t>
      </w:r>
      <w:r>
        <w:t xml:space="preserve">Child 2015, PMID 25810462.</w:t>
      </w:r>
    </w:p>
  </w:footnote>
  <w:footnote w:id="1238">
    <w:p>
      <w:pPr>
        <w:pStyle w:val="FootnoteText"/>
      </w:pPr>
      <w:r>
        <w:rPr>
          <w:rStyle w:val="FootnoteReference"/>
        </w:rPr>
        <w:footnoteRef/>
      </w:r>
      <w:r>
        <w:t xml:space="preserve"> </w:t>
      </w:r>
      <w:r>
        <w:t xml:space="preserve">Prakash 1999, PMID 18031173.</w:t>
      </w:r>
    </w:p>
  </w:footnote>
  <w:footnote w:id="1240">
    <w:p>
      <w:pPr>
        <w:pStyle w:val="FootnoteText"/>
      </w:pPr>
      <w:r>
        <w:rPr>
          <w:rStyle w:val="FootnoteReference"/>
        </w:rPr>
        <w:footnoteRef/>
      </w:r>
      <w:r>
        <w:t xml:space="preserve"> </w:t>
      </w:r>
      <w:r>
        <w:t xml:space="preserve">Esposito 2003, PMID 14499707.</w:t>
      </w:r>
    </w:p>
  </w:footnote>
  <w:footnote w:id="1242">
    <w:p>
      <w:pPr>
        <w:pStyle w:val="FootnoteText"/>
      </w:pPr>
      <w:r>
        <w:rPr>
          <w:rStyle w:val="FootnoteReference"/>
        </w:rPr>
        <w:footnoteRef/>
      </w:r>
      <w:r>
        <w:t xml:space="preserve"> </w:t>
      </w:r>
      <w:r>
        <w:t xml:space="preserve">Thorner 1996, PMID 8772599.</w:t>
      </w:r>
    </w:p>
  </w:footnote>
  <w:footnote w:id="1243">
    <w:p>
      <w:pPr>
        <w:pStyle w:val="FootnoteText"/>
      </w:pPr>
      <w:r>
        <w:rPr>
          <w:rStyle w:val="FootnoteReference"/>
        </w:rPr>
        <w:footnoteRef/>
      </w:r>
      <w:r>
        <w:t xml:space="preserve"> </w:t>
      </w:r>
      <w:r>
        <w:t xml:space="preserve">Ross 1987, PMID 2879138.</w:t>
      </w:r>
    </w:p>
  </w:footnote>
  <w:footnote w:id="1244">
    <w:p>
      <w:pPr>
        <w:pStyle w:val="FootnoteText"/>
      </w:pPr>
      <w:r>
        <w:rPr>
          <w:rStyle w:val="FootnoteReference"/>
        </w:rPr>
        <w:footnoteRef/>
      </w:r>
      <w:r>
        <w:t xml:space="preserve"> </w:t>
      </w:r>
      <w:r>
        <w:t xml:space="preserve">Neyzi 1993, PMID 8329826.</w:t>
      </w:r>
    </w:p>
  </w:footnote>
  <w:footnote w:id="1245">
    <w:p>
      <w:pPr>
        <w:pStyle w:val="FootnoteText"/>
      </w:pPr>
      <w:r>
        <w:rPr>
          <w:rStyle w:val="FootnoteReference"/>
        </w:rPr>
        <w:footnoteRef/>
      </w:r>
      <w:r>
        <w:t xml:space="preserve"> </w:t>
      </w:r>
      <w:r>
        <w:t xml:space="preserve">Prakash 1999, PMID 18031173.</w:t>
      </w:r>
    </w:p>
  </w:footnote>
  <w:footnote w:id="1246">
    <w:p>
      <w:pPr>
        <w:pStyle w:val="FootnoteText"/>
      </w:pPr>
      <w:r>
        <w:rPr>
          <w:rStyle w:val="FootnoteReference"/>
        </w:rPr>
        <w:footnoteRef/>
      </w:r>
      <w:r>
        <w:t xml:space="preserve"> </w:t>
      </w:r>
      <w:r>
        <w:t xml:space="preserve">Kirk 1994, PMID 7955460.</w:t>
      </w:r>
    </w:p>
  </w:footnote>
  <w:footnote w:id="1248">
    <w:p>
      <w:pPr>
        <w:pStyle w:val="FootnoteText"/>
      </w:pPr>
      <w:r>
        <w:rPr>
          <w:rStyle w:val="FootnoteReference"/>
        </w:rPr>
        <w:footnoteRef/>
      </w:r>
      <w:r>
        <w:t xml:space="preserve"> </w:t>
      </w:r>
      <w:r>
        <w:t xml:space="preserve">Khorram 1997, PMID 9141536.</w:t>
      </w:r>
    </w:p>
  </w:footnote>
  <w:footnote w:id="1249">
    <w:p>
      <w:pPr>
        <w:pStyle w:val="FootnoteText"/>
      </w:pPr>
      <w:r>
        <w:rPr>
          <w:rStyle w:val="FootnoteReference"/>
        </w:rPr>
        <w:footnoteRef/>
      </w:r>
      <w:r>
        <w:t xml:space="preserve"> </w:t>
      </w:r>
      <w:r>
        <w:t xml:space="preserve">Khorram 1997, PMID 9360512.</w:t>
      </w:r>
    </w:p>
  </w:footnote>
  <w:footnote w:id="1250">
    <w:p>
      <w:pPr>
        <w:pStyle w:val="FootnoteText"/>
      </w:pPr>
      <w:r>
        <w:rPr>
          <w:rStyle w:val="FootnoteReference"/>
        </w:rPr>
        <w:footnoteRef/>
      </w:r>
      <w:r>
        <w:t xml:space="preserve"> </w:t>
      </w:r>
      <w:r>
        <w:t xml:space="preserve">Vittone 1997, PMID 9005976.</w:t>
      </w:r>
    </w:p>
  </w:footnote>
  <w:footnote w:id="1251">
    <w:p>
      <w:pPr>
        <w:pStyle w:val="FootnoteText"/>
      </w:pPr>
      <w:r>
        <w:rPr>
          <w:rStyle w:val="FootnoteReference"/>
        </w:rPr>
        <w:footnoteRef/>
      </w:r>
      <w:r>
        <w:t xml:space="preserve"> </w:t>
      </w:r>
      <w:r>
        <w:t xml:space="preserve">NCT00807365, NCT01410799.</w:t>
      </w:r>
    </w:p>
  </w:footnote>
  <w:footnote w:id="1253">
    <w:p>
      <w:pPr>
        <w:pStyle w:val="FootnoteText"/>
      </w:pPr>
      <w:r>
        <w:rPr>
          <w:rStyle w:val="FootnoteReference"/>
        </w:rPr>
        <w:footnoteRef/>
      </w:r>
      <w:r>
        <w:t xml:space="preserve"> </w:t>
      </w:r>
      <w:r>
        <w:t xml:space="preserve">Prakash 1999, PMID 18031173.</w:t>
      </w:r>
    </w:p>
  </w:footnote>
  <w:footnote w:id="1254">
    <w:p>
      <w:pPr>
        <w:pStyle w:val="FootnoteText"/>
      </w:pPr>
      <w:r>
        <w:rPr>
          <w:rStyle w:val="FootnoteReference"/>
        </w:rPr>
        <w:footnoteRef/>
      </w:r>
      <w:r>
        <w:t xml:space="preserve"> </w:t>
      </w:r>
      <w:r>
        <w:t xml:space="preserve">Garcia 2013, PMID 23559086.</w:t>
      </w:r>
    </w:p>
  </w:footnote>
  <w:footnote w:id="1256">
    <w:p>
      <w:pPr>
        <w:pStyle w:val="FootnoteText"/>
      </w:pPr>
      <w:r>
        <w:rPr>
          <w:rStyle w:val="FootnoteReference"/>
        </w:rPr>
        <w:footnoteRef/>
      </w:r>
      <w:r>
        <w:t xml:space="preserve"> </w:t>
      </w:r>
      <w:r>
        <w:t xml:space="preserve">Sigalos 2017, PMID 28830317.</w:t>
      </w:r>
    </w:p>
  </w:footnote>
  <w:footnote w:id="1259">
    <w:p>
      <w:pPr>
        <w:pStyle w:val="FootnoteText"/>
      </w:pPr>
      <w:r>
        <w:rPr>
          <w:rStyle w:val="FootnoteReference"/>
        </w:rPr>
        <w:footnoteRef/>
      </w:r>
      <w:r>
        <w:t xml:space="preserve"> </w:t>
      </w:r>
      <w:r>
        <w:t xml:space="preserve">Esposito 2003, PMID 14499707.</w:t>
      </w:r>
    </w:p>
  </w:footnote>
  <w:footnote w:id="1260">
    <w:p>
      <w:pPr>
        <w:pStyle w:val="FootnoteText"/>
      </w:pPr>
      <w:r>
        <w:rPr>
          <w:rStyle w:val="FootnoteReference"/>
        </w:rPr>
        <w:footnoteRef/>
      </w:r>
      <w:r>
        <w:t xml:space="preserve"> </w:t>
      </w:r>
      <w:r>
        <w:t xml:space="preserve">Chang 2021, PMID 33842627.</w:t>
      </w:r>
    </w:p>
  </w:footnote>
  <w:footnote w:id="1262">
    <w:p>
      <w:pPr>
        <w:pStyle w:val="FootnoteText"/>
      </w:pPr>
      <w:r>
        <w:rPr>
          <w:rStyle w:val="FootnoteReference"/>
        </w:rPr>
        <w:footnoteRef/>
      </w:r>
      <w:r>
        <w:t xml:space="preserve"> </w:t>
      </w:r>
      <w:r>
        <w:t xml:space="preserve">Prakash 1999, PMID 18031173.</w:t>
      </w:r>
    </w:p>
  </w:footnote>
  <w:footnote w:id="1263">
    <w:p>
      <w:pPr>
        <w:pStyle w:val="FootnoteText"/>
      </w:pPr>
      <w:r>
        <w:rPr>
          <w:rStyle w:val="FootnoteReference"/>
        </w:rPr>
        <w:footnoteRef/>
      </w:r>
      <w:r>
        <w:t xml:space="preserve"> </w:t>
      </w:r>
      <w:r>
        <w:t xml:space="preserve">Ross 1987, PMID 2879138.</w:t>
      </w:r>
    </w:p>
  </w:footnote>
  <w:footnote w:id="1264">
    <w:p>
      <w:pPr>
        <w:pStyle w:val="FootnoteText"/>
      </w:pPr>
      <w:r>
        <w:rPr>
          <w:rStyle w:val="FootnoteReference"/>
        </w:rPr>
        <w:footnoteRef/>
      </w:r>
      <w:r>
        <w:t xml:space="preserve"> </w:t>
      </w:r>
      <w:r>
        <w:t xml:space="preserve">Kirk 1994, PMID 7955460; Khorram 1997, PMID 9141536.</w:t>
      </w:r>
    </w:p>
  </w:footnote>
  <w:footnote w:id="1265">
    <w:p>
      <w:pPr>
        <w:pStyle w:val="FootnoteText"/>
      </w:pPr>
      <w:r>
        <w:rPr>
          <w:rStyle w:val="FootnoteReference"/>
        </w:rPr>
        <w:footnoteRef/>
      </w:r>
      <w:r>
        <w:t xml:space="preserve"> </w:t>
      </w:r>
      <w:r>
        <w:t xml:space="preserve">Perez 2026, PMID 42465868.</w:t>
      </w:r>
    </w:p>
  </w:footnote>
  <w:footnote w:id="1266">
    <w:p>
      <w:pPr>
        <w:pStyle w:val="FootnoteText"/>
      </w:pPr>
      <w:r>
        <w:rPr>
          <w:rStyle w:val="FootnoteReference"/>
        </w:rPr>
        <w:footnoteRef/>
      </w:r>
      <w:r>
        <w:t xml:space="preserve"> </w:t>
      </w:r>
      <w:r>
        <w:t xml:space="preserve">Venhuis 2016, PMID 26456392.</w:t>
      </w:r>
    </w:p>
  </w:footnote>
  <w:footnote w:id="1268">
    <w:p>
      <w:pPr>
        <w:pStyle w:val="FootnoteText"/>
      </w:pPr>
      <w:r>
        <w:rPr>
          <w:rStyle w:val="FootnoteReference"/>
        </w:rPr>
        <w:footnoteRef/>
      </w:r>
      <w:r>
        <w:t xml:space="preserve"> </w:t>
      </w:r>
      <w:r>
        <w:t xml:space="preserve">Garcia 2013, PMID 23559086.</w:t>
      </w:r>
    </w:p>
  </w:footnote>
  <w:footnote w:id="1269">
    <w:p>
      <w:pPr>
        <w:pStyle w:val="FootnoteText"/>
      </w:pPr>
      <w:r>
        <w:rPr>
          <w:rStyle w:val="FootnoteReference"/>
        </w:rPr>
        <w:footnoteRef/>
      </w:r>
      <w:r>
        <w:t xml:space="preserve"> </w:t>
      </w:r>
      <w:r>
        <w:t xml:space="preserve">Willis 2026, PMID 42752426.</w:t>
      </w:r>
    </w:p>
  </w:footnote>
  <w:footnote w:id="1270">
    <w:p>
      <w:pPr>
        <w:pStyle w:val="FootnoteText"/>
      </w:pPr>
      <w:r>
        <w:rPr>
          <w:rStyle w:val="FootnoteReference"/>
        </w:rPr>
        <w:footnoteRef/>
      </w:r>
      <w:r>
        <w:t xml:space="preserve"> </w:t>
      </w:r>
      <w:r>
        <w:t xml:space="preserve">Memdouh 2021, PMID 34665524.</w:t>
      </w:r>
    </w:p>
  </w:footnote>
  <w:footnote w:id="1275">
    <w:p>
      <w:pPr>
        <w:pStyle w:val="FootnoteText"/>
      </w:pPr>
      <w:r>
        <w:rPr>
          <w:rStyle w:val="FootnoteReference"/>
        </w:rPr>
        <w:footnoteRef/>
      </w:r>
      <w:r>
        <w:t xml:space="preserve"> </w:t>
      </w:r>
      <w:r>
        <w:t xml:space="preserve">Falutz 2010, PMID 20101189.</w:t>
      </w:r>
    </w:p>
  </w:footnote>
  <w:footnote w:id="1276">
    <w:p>
      <w:pPr>
        <w:pStyle w:val="FootnoteText"/>
      </w:pPr>
      <w:r>
        <w:rPr>
          <w:rStyle w:val="FootnoteReference"/>
        </w:rPr>
        <w:footnoteRef/>
      </w:r>
      <w:r>
        <w:t xml:space="preserve"> </w:t>
      </w:r>
      <w:r>
        <w:t xml:space="preserve">approvazione FDA riportata in Traynor 2010, PMID 21115997.</w:t>
      </w:r>
    </w:p>
  </w:footnote>
  <w:footnote w:id="1279">
    <w:p>
      <w:pPr>
        <w:pStyle w:val="FootnoteText"/>
      </w:pPr>
      <w:r>
        <w:rPr>
          <w:rStyle w:val="FootnoteReference"/>
        </w:rPr>
        <w:footnoteRef/>
      </w:r>
      <w:r>
        <w:t xml:space="preserve"> </w:t>
      </w:r>
      <w:r>
        <w:t xml:space="preserve">Falutz 2007, PMID 18057338.</w:t>
      </w:r>
    </w:p>
  </w:footnote>
  <w:footnote w:id="1280">
    <w:p>
      <w:pPr>
        <w:pStyle w:val="FootnoteText"/>
      </w:pPr>
      <w:r>
        <w:rPr>
          <w:rStyle w:val="FootnoteReference"/>
        </w:rPr>
        <w:footnoteRef/>
      </w:r>
      <w:r>
        <w:t xml:space="preserve"> </w:t>
      </w:r>
      <w:r>
        <w:t xml:space="preserve">Falutz 2008, PMID 18690162.</w:t>
      </w:r>
    </w:p>
  </w:footnote>
  <w:footnote w:id="1281">
    <w:p>
      <w:pPr>
        <w:pStyle w:val="FootnoteText"/>
      </w:pPr>
      <w:r>
        <w:rPr>
          <w:rStyle w:val="FootnoteReference"/>
        </w:rPr>
        <w:footnoteRef/>
      </w:r>
      <w:r>
        <w:t xml:space="preserve"> </w:t>
      </w:r>
      <w:r>
        <w:t xml:space="preserve">Falutz 2010, PMID 20101189.</w:t>
      </w:r>
    </w:p>
  </w:footnote>
  <w:footnote w:id="1282">
    <w:p>
      <w:pPr>
        <w:pStyle w:val="FootnoteText"/>
      </w:pPr>
      <w:r>
        <w:rPr>
          <w:rStyle w:val="FootnoteReference"/>
        </w:rPr>
        <w:footnoteRef/>
      </w:r>
      <w:r>
        <w:t xml:space="preserve"> </w:t>
      </w:r>
      <w:r>
        <w:t xml:space="preserve">Falutz 2010, PMID 20554713.</w:t>
      </w:r>
    </w:p>
  </w:footnote>
  <w:footnote w:id="1283">
    <w:p>
      <w:pPr>
        <w:pStyle w:val="FootnoteText"/>
      </w:pPr>
      <w:r>
        <w:rPr>
          <w:rStyle w:val="FootnoteReference"/>
        </w:rPr>
        <w:footnoteRef/>
      </w:r>
      <w:r>
        <w:t xml:space="preserve"> </w:t>
      </w:r>
      <w:r>
        <w:t xml:space="preserve">Stanley 2012, PMID 22495074.</w:t>
      </w:r>
    </w:p>
  </w:footnote>
  <w:footnote w:id="1285">
    <w:p>
      <w:pPr>
        <w:pStyle w:val="FootnoteText"/>
      </w:pPr>
      <w:r>
        <w:rPr>
          <w:rStyle w:val="FootnoteReference"/>
        </w:rPr>
        <w:footnoteRef/>
      </w:r>
      <w:r>
        <w:t xml:space="preserve"> </w:t>
      </w:r>
      <w:r>
        <w:t xml:space="preserve">Stanley 2014, PMID 25038357.</w:t>
      </w:r>
    </w:p>
  </w:footnote>
  <w:footnote w:id="1286">
    <w:p>
      <w:pPr>
        <w:pStyle w:val="FootnoteText"/>
      </w:pPr>
      <w:r>
        <w:rPr>
          <w:rStyle w:val="FootnoteReference"/>
        </w:rPr>
        <w:footnoteRef/>
      </w:r>
      <w:r>
        <w:t xml:space="preserve"> </w:t>
      </w:r>
      <w:r>
        <w:t xml:space="preserve">Stanley 2019, PMID 31611038.</w:t>
      </w:r>
    </w:p>
  </w:footnote>
  <w:footnote w:id="1288">
    <w:p>
      <w:pPr>
        <w:pStyle w:val="FootnoteText"/>
      </w:pPr>
      <w:r>
        <w:rPr>
          <w:rStyle w:val="FootnoteReference"/>
        </w:rPr>
        <w:footnoteRef/>
      </w:r>
      <w:r>
        <w:t xml:space="preserve"> </w:t>
      </w:r>
      <w:r>
        <w:t xml:space="preserve">Makimura 2012, PMID 23015655.</w:t>
      </w:r>
    </w:p>
  </w:footnote>
  <w:footnote w:id="1289">
    <w:p>
      <w:pPr>
        <w:pStyle w:val="FootnoteText"/>
      </w:pPr>
      <w:r>
        <w:rPr>
          <w:rStyle w:val="FootnoteReference"/>
        </w:rPr>
        <w:footnoteRef/>
      </w:r>
      <w:r>
        <w:t xml:space="preserve"> </w:t>
      </w:r>
      <w:r>
        <w:t xml:space="preserve">Clemmons 2017, PMID 28617838.</w:t>
      </w:r>
    </w:p>
  </w:footnote>
  <w:footnote w:id="1290">
    <w:p>
      <w:pPr>
        <w:pStyle w:val="FootnoteText"/>
      </w:pPr>
      <w:r>
        <w:rPr>
          <w:rStyle w:val="FootnoteReference"/>
        </w:rPr>
        <w:footnoteRef/>
      </w:r>
      <w:r>
        <w:t xml:space="preserve"> </w:t>
      </w:r>
      <w:r>
        <w:t xml:space="preserve">Baker 2012, PMID 22869065.</w:t>
      </w:r>
    </w:p>
  </w:footnote>
  <w:footnote w:id="1291">
    <w:p>
      <w:pPr>
        <w:pStyle w:val="FootnoteText"/>
      </w:pPr>
      <w:r>
        <w:rPr>
          <w:rStyle w:val="FootnoteReference"/>
        </w:rPr>
        <w:footnoteRef/>
      </w:r>
      <w:r>
        <w:t xml:space="preserve"> </w:t>
      </w:r>
      <w:r>
        <w:t xml:space="preserve">Ellis 2025, PMID 39813152.</w:t>
      </w:r>
    </w:p>
  </w:footnote>
  <w:footnote w:id="1293">
    <w:p>
      <w:pPr>
        <w:pStyle w:val="FootnoteText"/>
      </w:pPr>
      <w:r>
        <w:rPr>
          <w:rStyle w:val="FootnoteReference"/>
        </w:rPr>
        <w:footnoteRef/>
      </w:r>
      <w:r>
        <w:t xml:space="preserve"> </w:t>
      </w:r>
      <w:r>
        <w:t xml:space="preserve">Ditta 2026, PMID 42538058.</w:t>
      </w:r>
    </w:p>
  </w:footnote>
  <w:footnote w:id="1294">
    <w:p>
      <w:pPr>
        <w:pStyle w:val="FootnoteText"/>
      </w:pPr>
      <w:r>
        <w:rPr>
          <w:rStyle w:val="FootnoteReference"/>
        </w:rPr>
        <w:footnoteRef/>
      </w:r>
      <w:r>
        <w:t xml:space="preserve"> </w:t>
      </w:r>
      <w:r>
        <w:t xml:space="preserve">Badran 2026, PMID 41545261.</w:t>
      </w:r>
    </w:p>
  </w:footnote>
  <w:footnote w:id="1297">
    <w:p>
      <w:pPr>
        <w:pStyle w:val="FootnoteText"/>
      </w:pPr>
      <w:r>
        <w:rPr>
          <w:rStyle w:val="FootnoteReference"/>
        </w:rPr>
        <w:footnoteRef/>
      </w:r>
      <w:r>
        <w:t xml:space="preserve"> </w:t>
      </w:r>
      <w:r>
        <w:t xml:space="preserve">Tuffaha 2016, PMID 27192539.</w:t>
      </w:r>
    </w:p>
  </w:footnote>
  <w:footnote w:id="1298">
    <w:p>
      <w:pPr>
        <w:pStyle w:val="FootnoteText"/>
      </w:pPr>
      <w:r>
        <w:rPr>
          <w:rStyle w:val="FootnoteReference"/>
        </w:rPr>
        <w:footnoteRef/>
      </w:r>
      <w:r>
        <w:t xml:space="preserve"> </w:t>
      </w:r>
      <w:r>
        <w:t xml:space="preserve">NCT03150511.</w:t>
      </w:r>
    </w:p>
  </w:footnote>
  <w:footnote w:id="1299">
    <w:p>
      <w:pPr>
        <w:pStyle w:val="FootnoteText"/>
      </w:pPr>
      <w:r>
        <w:rPr>
          <w:rStyle w:val="FootnoteReference"/>
        </w:rPr>
        <w:footnoteRef/>
      </w:r>
      <w:r>
        <w:t xml:space="preserve"> </w:t>
      </w:r>
      <w:r>
        <w:t xml:space="preserve">Fourman 2020, PMID 32701508.</w:t>
      </w:r>
    </w:p>
  </w:footnote>
  <w:footnote w:id="1301">
    <w:p>
      <w:pPr>
        <w:pStyle w:val="FootnoteText"/>
      </w:pPr>
      <w:r>
        <w:rPr>
          <w:rStyle w:val="FootnoteReference"/>
        </w:rPr>
        <w:footnoteRef/>
      </w:r>
      <w:r>
        <w:t xml:space="preserve"> </w:t>
      </w:r>
      <w:r>
        <w:t xml:space="preserve">Stanley 2019, PMID 31611038.</w:t>
      </w:r>
    </w:p>
  </w:footnote>
  <w:footnote w:id="1302">
    <w:p>
      <w:pPr>
        <w:pStyle w:val="FootnoteText"/>
      </w:pPr>
      <w:r>
        <w:rPr>
          <w:rStyle w:val="FootnoteReference"/>
        </w:rPr>
        <w:footnoteRef/>
      </w:r>
      <w:r>
        <w:t xml:space="preserve"> </w:t>
      </w:r>
      <w:r>
        <w:t xml:space="preserve">Badran 2026, PMID 41545261.</w:t>
      </w:r>
    </w:p>
  </w:footnote>
  <w:footnote w:id="1303">
    <w:p>
      <w:pPr>
        <w:pStyle w:val="FootnoteText"/>
      </w:pPr>
      <w:r>
        <w:rPr>
          <w:rStyle w:val="FootnoteReference"/>
        </w:rPr>
        <w:footnoteRef/>
      </w:r>
      <w:r>
        <w:t xml:space="preserve"> </w:t>
      </w:r>
      <w:r>
        <w:t xml:space="preserve">Stanley 2014, PMID 25038357.</w:t>
      </w:r>
    </w:p>
  </w:footnote>
  <w:footnote w:id="1304">
    <w:p>
      <w:pPr>
        <w:pStyle w:val="FootnoteText"/>
      </w:pPr>
      <w:r>
        <w:rPr>
          <w:rStyle w:val="FootnoteReference"/>
        </w:rPr>
        <w:footnoteRef/>
      </w:r>
      <w:r>
        <w:t xml:space="preserve"> </w:t>
      </w:r>
      <w:r>
        <w:t xml:space="preserve">Stanley 2012, PMID 22495074.</w:t>
      </w:r>
    </w:p>
  </w:footnote>
  <w:footnote w:id="1305">
    <w:p>
      <w:pPr>
        <w:pStyle w:val="FootnoteText"/>
      </w:pPr>
      <w:r>
        <w:rPr>
          <w:rStyle w:val="FootnoteReference"/>
        </w:rPr>
        <w:footnoteRef/>
      </w:r>
      <w:r>
        <w:t xml:space="preserve"> </w:t>
      </w:r>
      <w:r>
        <w:t xml:space="preserve">Falutz 2007, PMID 18057338.</w:t>
      </w:r>
    </w:p>
  </w:footnote>
  <w:footnote w:id="1306">
    <w:p>
      <w:pPr>
        <w:pStyle w:val="FootnoteText"/>
      </w:pPr>
      <w:r>
        <w:rPr>
          <w:rStyle w:val="FootnoteReference"/>
        </w:rPr>
        <w:footnoteRef/>
      </w:r>
      <w:r>
        <w:t xml:space="preserve"> </w:t>
      </w:r>
      <w:r>
        <w:t xml:space="preserve">Falutz 2008, PMID 18690162.</w:t>
      </w:r>
    </w:p>
  </w:footnote>
  <w:footnote w:id="1307">
    <w:p>
      <w:pPr>
        <w:pStyle w:val="FootnoteText"/>
      </w:pPr>
      <w:r>
        <w:rPr>
          <w:rStyle w:val="FootnoteReference"/>
        </w:rPr>
        <w:footnoteRef/>
      </w:r>
      <w:r>
        <w:t xml:space="preserve"> </w:t>
      </w:r>
      <w:r>
        <w:t xml:space="preserve">NCT01579695.</w:t>
      </w:r>
    </w:p>
  </w:footnote>
  <w:footnote w:id="1308">
    <w:p>
      <w:pPr>
        <w:pStyle w:val="FootnoteText"/>
      </w:pPr>
      <w:r>
        <w:rPr>
          <w:rStyle w:val="FootnoteReference"/>
        </w:rPr>
        <w:footnoteRef/>
      </w:r>
      <w:r>
        <w:t xml:space="preserve"> </w:t>
      </w:r>
      <w:r>
        <w:t xml:space="preserve">NCT01591902.</w:t>
      </w:r>
    </w:p>
  </w:footnote>
  <w:footnote w:id="1310">
    <w:p>
      <w:pPr>
        <w:pStyle w:val="FootnoteText"/>
      </w:pPr>
      <w:r>
        <w:rPr>
          <w:rStyle w:val="FootnoteReference"/>
        </w:rPr>
        <w:footnoteRef/>
      </w:r>
      <w:r>
        <w:t xml:space="preserve"> </w:t>
      </w:r>
      <w:r>
        <w:t xml:space="preserve">Memdouh 2021, PMID 34665524.</w:t>
      </w:r>
    </w:p>
  </w:footnote>
  <w:footnote w:id="1315">
    <w:p>
      <w:pPr>
        <w:pStyle w:val="FootnoteText"/>
      </w:pPr>
      <w:r>
        <w:rPr>
          <w:rStyle w:val="FootnoteReference"/>
        </w:rPr>
        <w:footnoteRef/>
      </w:r>
      <w:r>
        <w:t xml:space="preserve"> </w:t>
      </w:r>
      <w:r>
        <w:t xml:space="preserve">Jetté 2005, PMID 15817669.</w:t>
      </w:r>
    </w:p>
  </w:footnote>
  <w:footnote w:id="1317">
    <w:p>
      <w:pPr>
        <w:pStyle w:val="FootnoteText"/>
      </w:pPr>
      <w:r>
        <w:rPr>
          <w:rStyle w:val="FootnoteReference"/>
        </w:rPr>
        <w:footnoteRef/>
      </w:r>
      <w:r>
        <w:t xml:space="preserve"> </w:t>
      </w:r>
      <w:r>
        <w:t xml:space="preserve">Jetté 2005, PMID 15817669.</w:t>
      </w:r>
    </w:p>
  </w:footnote>
  <w:footnote w:id="1319">
    <w:p>
      <w:pPr>
        <w:pStyle w:val="FootnoteText"/>
      </w:pPr>
      <w:r>
        <w:rPr>
          <w:rStyle w:val="FootnoteReference"/>
        </w:rPr>
        <w:footnoteRef/>
      </w:r>
      <w:r>
        <w:t xml:space="preserve"> </w:t>
      </w:r>
      <w:r>
        <w:t xml:space="preserve">Teichman 2006, PMID 16352683.</w:t>
      </w:r>
    </w:p>
  </w:footnote>
  <w:footnote w:id="1320">
    <w:p>
      <w:pPr>
        <w:pStyle w:val="FootnoteText"/>
      </w:pPr>
      <w:r>
        <w:rPr>
          <w:rStyle w:val="FootnoteReference"/>
        </w:rPr>
        <w:footnoteRef/>
      </w:r>
      <w:r>
        <w:t xml:space="preserve"> </w:t>
      </w:r>
      <w:r>
        <w:t xml:space="preserve">Ionescu 2006, PMID 17018654.</w:t>
      </w:r>
    </w:p>
  </w:footnote>
  <w:footnote w:id="1321">
    <w:p>
      <w:pPr>
        <w:pStyle w:val="FootnoteText"/>
      </w:pPr>
      <w:r>
        <w:rPr>
          <w:rStyle w:val="FootnoteReference"/>
        </w:rPr>
        <w:footnoteRef/>
      </w:r>
      <w:r>
        <w:t xml:space="preserve"> </w:t>
      </w:r>
      <w:r>
        <w:t xml:space="preserve">Sackmann-Sala 2009, PMID 19386527.</w:t>
      </w:r>
    </w:p>
  </w:footnote>
  <w:footnote w:id="1322">
    <w:p>
      <w:pPr>
        <w:pStyle w:val="FootnoteText"/>
      </w:pPr>
      <w:r>
        <w:rPr>
          <w:rStyle w:val="FootnoteReference"/>
        </w:rPr>
        <w:footnoteRef/>
      </w:r>
      <w:r>
        <w:t xml:space="preserve"> </w:t>
      </w:r>
      <w:r>
        <w:t xml:space="preserve">NCT00267527.</w:t>
      </w:r>
    </w:p>
  </w:footnote>
  <w:footnote w:id="1325">
    <w:p>
      <w:pPr>
        <w:pStyle w:val="FootnoteText"/>
      </w:pPr>
      <w:r>
        <w:rPr>
          <w:rStyle w:val="FootnoteReference"/>
        </w:rPr>
        <w:footnoteRef/>
      </w:r>
      <w:r>
        <w:t xml:space="preserve"> </w:t>
      </w:r>
      <w:r>
        <w:t xml:space="preserve">Jetté 2005, PMID 15817669.</w:t>
      </w:r>
    </w:p>
  </w:footnote>
  <w:footnote w:id="1326">
    <w:p>
      <w:pPr>
        <w:pStyle w:val="FootnoteText"/>
      </w:pPr>
      <w:r>
        <w:rPr>
          <w:rStyle w:val="FootnoteReference"/>
        </w:rPr>
        <w:footnoteRef/>
      </w:r>
      <w:r>
        <w:t xml:space="preserve"> </w:t>
      </w:r>
      <w:r>
        <w:t xml:space="preserve">Alba 2006, PMID 16822960.</w:t>
      </w:r>
    </w:p>
  </w:footnote>
  <w:footnote w:id="1328">
    <w:p>
      <w:pPr>
        <w:pStyle w:val="FootnoteText"/>
      </w:pPr>
      <w:r>
        <w:rPr>
          <w:rStyle w:val="FootnoteReference"/>
        </w:rPr>
        <w:footnoteRef/>
      </w:r>
      <w:r>
        <w:t xml:space="preserve"> </w:t>
      </w:r>
      <w:r>
        <w:t xml:space="preserve">Teichman 2006, PMID 16352683.</w:t>
      </w:r>
    </w:p>
  </w:footnote>
  <w:footnote w:id="1329">
    <w:p>
      <w:pPr>
        <w:pStyle w:val="FootnoteText"/>
      </w:pPr>
      <w:r>
        <w:rPr>
          <w:rStyle w:val="FootnoteReference"/>
        </w:rPr>
        <w:footnoteRef/>
      </w:r>
      <w:r>
        <w:t xml:space="preserve"> </w:t>
      </w:r>
      <w:r>
        <w:t xml:space="preserve">Henninge 2010, PMID 21204297.</w:t>
      </w:r>
    </w:p>
  </w:footnote>
  <w:footnote w:id="1330">
    <w:p>
      <w:pPr>
        <w:pStyle w:val="FootnoteText"/>
      </w:pPr>
      <w:r>
        <w:rPr>
          <w:rStyle w:val="FootnoteReference"/>
        </w:rPr>
        <w:footnoteRef/>
      </w:r>
      <w:r>
        <w:t xml:space="preserve"> </w:t>
      </w:r>
      <w:r>
        <w:t xml:space="preserve">Gajda 2019, PMID 30136411.</w:t>
      </w:r>
    </w:p>
  </w:footnote>
  <w:footnote w:id="1331">
    <w:p>
      <w:pPr>
        <w:pStyle w:val="FootnoteText"/>
      </w:pPr>
      <w:r>
        <w:rPr>
          <w:rStyle w:val="FootnoteReference"/>
        </w:rPr>
        <w:footnoteRef/>
      </w:r>
      <w:r>
        <w:t xml:space="preserve"> </w:t>
      </w:r>
      <w:r>
        <w:t xml:space="preserve">Van Hout 2016, PMID 26771670.</w:t>
      </w:r>
    </w:p>
  </w:footnote>
  <w:footnote w:id="1333">
    <w:p>
      <w:pPr>
        <w:pStyle w:val="FootnoteText"/>
      </w:pPr>
      <w:r>
        <w:rPr>
          <w:rStyle w:val="FootnoteReference"/>
        </w:rPr>
        <w:footnoteRef/>
      </w:r>
      <w:r>
        <w:t xml:space="preserve"> </w:t>
      </w:r>
      <w:r>
        <w:t xml:space="preserve">Willis 2026, PMID 42752426.</w:t>
      </w:r>
    </w:p>
  </w:footnote>
  <w:footnote w:id="1334">
    <w:p>
      <w:pPr>
        <w:pStyle w:val="FootnoteText"/>
      </w:pPr>
      <w:r>
        <w:rPr>
          <w:rStyle w:val="FootnoteReference"/>
        </w:rPr>
        <w:footnoteRef/>
      </w:r>
      <w:r>
        <w:t xml:space="preserve"> </w:t>
      </w:r>
      <w:r>
        <w:t xml:space="preserve">Memdouh 2021, PMID 34665524.</w:t>
      </w:r>
    </w:p>
  </w:footnote>
  <w:footnote w:id="1335">
    <w:p>
      <w:pPr>
        <w:pStyle w:val="FootnoteText"/>
      </w:pPr>
      <w:r>
        <w:rPr>
          <w:rStyle w:val="FootnoteReference"/>
        </w:rPr>
        <w:footnoteRef/>
      </w:r>
      <w:r>
        <w:t xml:space="preserve"> </w:t>
      </w:r>
      <w:r>
        <w:t xml:space="preserve">Timms 2019, PMID 30938069.</w:t>
      </w:r>
    </w:p>
  </w:footnote>
  <w:footnote w:id="1340">
    <w:p>
      <w:pPr>
        <w:pStyle w:val="FootnoteText"/>
      </w:pPr>
      <w:r>
        <w:rPr>
          <w:rStyle w:val="FootnoteReference"/>
        </w:rPr>
        <w:footnoteRef/>
      </w:r>
      <w:r>
        <w:t xml:space="preserve"> </w:t>
      </w:r>
      <w:r>
        <w:t xml:space="preserve">Raun 1998, PMID 9849822.</w:t>
      </w:r>
    </w:p>
  </w:footnote>
  <w:footnote w:id="1342">
    <w:p>
      <w:pPr>
        <w:pStyle w:val="FootnoteText"/>
      </w:pPr>
      <w:r>
        <w:rPr>
          <w:rStyle w:val="FootnoteReference"/>
        </w:rPr>
        <w:footnoteRef/>
      </w:r>
      <w:r>
        <w:t xml:space="preserve"> </w:t>
      </w:r>
      <w:r>
        <w:t xml:space="preserve">Kojima 1999, PMID 10604470.</w:t>
      </w:r>
    </w:p>
  </w:footnote>
  <w:footnote w:id="1343">
    <w:p>
      <w:pPr>
        <w:pStyle w:val="FootnoteText"/>
      </w:pPr>
      <w:r>
        <w:rPr>
          <w:rStyle w:val="FootnoteReference"/>
        </w:rPr>
        <w:footnoteRef/>
      </w:r>
      <w:r>
        <w:t xml:space="preserve"> </w:t>
      </w:r>
      <w:r>
        <w:t xml:space="preserve">Raun 1998, PMID 9849822.</w:t>
      </w:r>
    </w:p>
  </w:footnote>
  <w:footnote w:id="1345">
    <w:p>
      <w:pPr>
        <w:pStyle w:val="FootnoteText"/>
      </w:pPr>
      <w:r>
        <w:rPr>
          <w:rStyle w:val="FootnoteReference"/>
        </w:rPr>
        <w:footnoteRef/>
      </w:r>
      <w:r>
        <w:t xml:space="preserve"> </w:t>
      </w:r>
      <w:r>
        <w:t xml:space="preserve">NCT07717866.</w:t>
      </w:r>
    </w:p>
  </w:footnote>
  <w:footnote w:id="1346">
    <w:p>
      <w:pPr>
        <w:pStyle w:val="FootnoteText"/>
      </w:pPr>
      <w:r>
        <w:rPr>
          <w:rStyle w:val="FootnoteReference"/>
        </w:rPr>
        <w:footnoteRef/>
      </w:r>
      <w:r>
        <w:t xml:space="preserve"> </w:t>
      </w:r>
      <w:r>
        <w:t xml:space="preserve">Gobburu 1999, PMID 10496658.</w:t>
      </w:r>
    </w:p>
  </w:footnote>
  <w:footnote w:id="1347">
    <w:p>
      <w:pPr>
        <w:pStyle w:val="FootnoteText"/>
      </w:pPr>
      <w:r>
        <w:rPr>
          <w:rStyle w:val="FootnoteReference"/>
        </w:rPr>
        <w:footnoteRef/>
      </w:r>
      <w:r>
        <w:t xml:space="preserve"> </w:t>
      </w:r>
      <w:r>
        <w:t xml:space="preserve">Beck 2014, PMID 25331030.</w:t>
      </w:r>
    </w:p>
  </w:footnote>
  <w:footnote w:id="1348">
    <w:p>
      <w:pPr>
        <w:pStyle w:val="FootnoteText"/>
      </w:pPr>
      <w:r>
        <w:rPr>
          <w:rStyle w:val="FootnoteReference"/>
        </w:rPr>
        <w:footnoteRef/>
      </w:r>
      <w:r>
        <w:t xml:space="preserve"> </w:t>
      </w:r>
      <w:r>
        <w:t xml:space="preserve">NCT01280344.</w:t>
      </w:r>
    </w:p>
  </w:footnote>
  <w:footnote w:id="1350">
    <w:p>
      <w:pPr>
        <w:pStyle w:val="FootnoteText"/>
      </w:pPr>
      <w:r>
        <w:rPr>
          <w:rStyle w:val="FootnoteReference"/>
        </w:rPr>
        <w:footnoteRef/>
      </w:r>
      <w:r>
        <w:t xml:space="preserve"> </w:t>
      </w:r>
      <w:r>
        <w:t xml:space="preserve">Venkova 2009, PMID 19289567.</w:t>
      </w:r>
    </w:p>
  </w:footnote>
  <w:footnote w:id="1351">
    <w:p>
      <w:pPr>
        <w:pStyle w:val="FootnoteText"/>
      </w:pPr>
      <w:r>
        <w:rPr>
          <w:rStyle w:val="FootnoteReference"/>
        </w:rPr>
        <w:footnoteRef/>
      </w:r>
      <w:r>
        <w:t xml:space="preserve"> </w:t>
      </w:r>
      <w:r>
        <w:t xml:space="preserve">Johansen 1999, PMID 10373343.</w:t>
      </w:r>
    </w:p>
  </w:footnote>
  <w:footnote w:id="1352">
    <w:p>
      <w:pPr>
        <w:pStyle w:val="FootnoteText"/>
      </w:pPr>
      <w:r>
        <w:rPr>
          <w:rStyle w:val="FootnoteReference"/>
        </w:rPr>
        <w:footnoteRef/>
      </w:r>
      <w:r>
        <w:t xml:space="preserve"> </w:t>
      </w:r>
      <w:r>
        <w:t xml:space="preserve">Raun 1998, PMID 9849822.</w:t>
      </w:r>
    </w:p>
  </w:footnote>
  <w:footnote w:id="1354">
    <w:p>
      <w:pPr>
        <w:pStyle w:val="FootnoteText"/>
      </w:pPr>
      <w:r>
        <w:rPr>
          <w:rStyle w:val="FootnoteReference"/>
        </w:rPr>
        <w:footnoteRef/>
      </w:r>
      <w:r>
        <w:t xml:space="preserve"> </w:t>
      </w:r>
      <w:r>
        <w:t xml:space="preserve">Beck 2014, PMID 25331030.</w:t>
      </w:r>
    </w:p>
  </w:footnote>
  <w:footnote w:id="1355">
    <w:p>
      <w:pPr>
        <w:pStyle w:val="FootnoteText"/>
      </w:pPr>
      <w:r>
        <w:rPr>
          <w:rStyle w:val="FootnoteReference"/>
        </w:rPr>
        <w:footnoteRef/>
      </w:r>
      <w:r>
        <w:t xml:space="preserve"> </w:t>
      </w:r>
      <w:r>
        <w:t xml:space="preserve">Krug 2018, PMID 29864719; Gajda 2019, PMID 30136411.</w:t>
      </w:r>
    </w:p>
  </w:footnote>
  <w:footnote w:id="1357">
    <w:p>
      <w:pPr>
        <w:pStyle w:val="FootnoteText"/>
      </w:pPr>
      <w:r>
        <w:rPr>
          <w:rStyle w:val="FootnoteReference"/>
        </w:rPr>
        <w:footnoteRef/>
      </w:r>
      <w:r>
        <w:t xml:space="preserve"> </w:t>
      </w:r>
      <w:r>
        <w:t xml:space="preserve">Willis 2026, PMID 42752426.</w:t>
      </w:r>
    </w:p>
  </w:footnote>
  <w:footnote w:id="1358">
    <w:p>
      <w:pPr>
        <w:pStyle w:val="FootnoteText"/>
      </w:pPr>
      <w:r>
        <w:rPr>
          <w:rStyle w:val="FootnoteReference"/>
        </w:rPr>
        <w:footnoteRef/>
      </w:r>
      <w:r>
        <w:t xml:space="preserve"> </w:t>
      </w:r>
      <w:r>
        <w:t xml:space="preserve">Semenistaya 2015, PMID 25869809.</w:t>
      </w:r>
    </w:p>
  </w:footnote>
  <w:footnote w:id="1363">
    <w:p>
      <w:pPr>
        <w:pStyle w:val="FootnoteText"/>
      </w:pPr>
      <w:r>
        <w:rPr>
          <w:rStyle w:val="FootnoteReference"/>
        </w:rPr>
        <w:footnoteRef/>
      </w:r>
      <w:r>
        <w:t xml:space="preserve"> </w:t>
      </w:r>
      <w:r>
        <w:t xml:space="preserve">Doi 2004, PMID 15646370.</w:t>
      </w:r>
    </w:p>
  </w:footnote>
  <w:footnote w:id="1364">
    <w:p>
      <w:pPr>
        <w:pStyle w:val="FootnoteText"/>
      </w:pPr>
      <w:r>
        <w:rPr>
          <w:rStyle w:val="FootnoteReference"/>
        </w:rPr>
        <w:footnoteRef/>
      </w:r>
      <w:r>
        <w:t xml:space="preserve"> </w:t>
      </w:r>
      <w:r>
        <w:t xml:space="preserve">profilo anonimo del principio attivo in Drugs R D 2004, PMID 15230633.</w:t>
      </w:r>
    </w:p>
  </w:footnote>
  <w:footnote w:id="1366">
    <w:p>
      <w:pPr>
        <w:pStyle w:val="FootnoteText"/>
      </w:pPr>
      <w:r>
        <w:rPr>
          <w:rStyle w:val="FootnoteReference"/>
        </w:rPr>
        <w:footnoteRef/>
      </w:r>
      <w:r>
        <w:t xml:space="preserve"> </w:t>
      </w:r>
      <w:r>
        <w:t xml:space="preserve">Kojima 1999, PMID 10604470.</w:t>
      </w:r>
    </w:p>
  </w:footnote>
  <w:footnote w:id="1367">
    <w:p>
      <w:pPr>
        <w:pStyle w:val="FootnoteText"/>
      </w:pPr>
      <w:r>
        <w:rPr>
          <w:rStyle w:val="FootnoteReference"/>
        </w:rPr>
        <w:footnoteRef/>
      </w:r>
      <w:r>
        <w:t xml:space="preserve"> </w:t>
      </w:r>
      <w:r>
        <w:t xml:space="preserve">Doi 2004, PMID 15646370.</w:t>
      </w:r>
    </w:p>
  </w:footnote>
  <w:footnote w:id="1369">
    <w:p>
      <w:pPr>
        <w:pStyle w:val="FootnoteText"/>
      </w:pPr>
      <w:r>
        <w:rPr>
          <w:rStyle w:val="FootnoteReference"/>
        </w:rPr>
        <w:footnoteRef/>
      </w:r>
      <w:r>
        <w:t xml:space="preserve"> </w:t>
      </w:r>
      <w:r>
        <w:t xml:space="preserve">Chihara 2007, PMID 17609397.</w:t>
      </w:r>
    </w:p>
  </w:footnote>
  <w:footnote w:id="1370">
    <w:p>
      <w:pPr>
        <w:pStyle w:val="FootnoteText"/>
      </w:pPr>
      <w:r>
        <w:rPr>
          <w:rStyle w:val="FootnoteReference"/>
        </w:rPr>
        <w:footnoteRef/>
      </w:r>
      <w:r>
        <w:t xml:space="preserve"> </w:t>
      </w:r>
      <w:r>
        <w:t xml:space="preserve">Kinoshita 2013, PMID 23079545.</w:t>
      </w:r>
    </w:p>
  </w:footnote>
  <w:footnote w:id="1371">
    <w:p>
      <w:pPr>
        <w:pStyle w:val="FootnoteText"/>
      </w:pPr>
      <w:r>
        <w:rPr>
          <w:rStyle w:val="FootnoteReference"/>
        </w:rPr>
        <w:footnoteRef/>
      </w:r>
      <w:r>
        <w:t xml:space="preserve"> </w:t>
      </w:r>
      <w:r>
        <w:t xml:space="preserve">Arimura 2016, PMID 27020037.</w:t>
      </w:r>
    </w:p>
  </w:footnote>
  <w:footnote w:id="1372">
    <w:p>
      <w:pPr>
        <w:pStyle w:val="FootnoteText"/>
      </w:pPr>
      <w:r>
        <w:rPr>
          <w:rStyle w:val="FootnoteReference"/>
        </w:rPr>
        <w:footnoteRef/>
      </w:r>
      <w:r>
        <w:t xml:space="preserve"> </w:t>
      </w:r>
      <w:r>
        <w:t xml:space="preserve">Hayakawa 2018, PMID 30324179.</w:t>
      </w:r>
    </w:p>
  </w:footnote>
  <w:footnote w:id="1374">
    <w:p>
      <w:pPr>
        <w:pStyle w:val="FootnoteText"/>
      </w:pPr>
      <w:r>
        <w:rPr>
          <w:rStyle w:val="FootnoteReference"/>
        </w:rPr>
        <w:footnoteRef/>
      </w:r>
      <w:r>
        <w:t xml:space="preserve"> </w:t>
      </w:r>
      <w:r>
        <w:t xml:space="preserve">Mericq 1998, PMID 9661608.</w:t>
      </w:r>
    </w:p>
  </w:footnote>
  <w:footnote w:id="1375">
    <w:p>
      <w:pPr>
        <w:pStyle w:val="FootnoteText"/>
      </w:pPr>
      <w:r>
        <w:rPr>
          <w:rStyle w:val="FootnoteReference"/>
        </w:rPr>
        <w:footnoteRef/>
      </w:r>
      <w:r>
        <w:t xml:space="preserve"> </w:t>
      </w:r>
      <w:r>
        <w:t xml:space="preserve">Pihoker 1997, PMID 9390009.</w:t>
      </w:r>
    </w:p>
  </w:footnote>
  <w:footnote w:id="1376">
    <w:p>
      <w:pPr>
        <w:pStyle w:val="FootnoteText"/>
      </w:pPr>
      <w:r>
        <w:rPr>
          <w:rStyle w:val="FootnoteReference"/>
        </w:rPr>
        <w:footnoteRef/>
      </w:r>
      <w:r>
        <w:t xml:space="preserve"> </w:t>
      </w:r>
      <w:r>
        <w:t xml:space="preserve">Mericq 2003, PMID 14513874.</w:t>
      </w:r>
    </w:p>
  </w:footnote>
  <w:footnote w:id="1377">
    <w:p>
      <w:pPr>
        <w:pStyle w:val="FootnoteText"/>
      </w:pPr>
      <w:r>
        <w:rPr>
          <w:rStyle w:val="FootnoteReference"/>
        </w:rPr>
        <w:footnoteRef/>
      </w:r>
      <w:r>
        <w:t xml:space="preserve"> </w:t>
      </w:r>
      <w:r>
        <w:t xml:space="preserve">profilo anonimo del principio attivo in Drugs R D 2004, PMID 15230633.</w:t>
      </w:r>
    </w:p>
  </w:footnote>
  <w:footnote w:id="1379">
    <w:p>
      <w:pPr>
        <w:pStyle w:val="FootnoteText"/>
      </w:pPr>
      <w:r>
        <w:rPr>
          <w:rStyle w:val="FootnoteReference"/>
        </w:rPr>
        <w:footnoteRef/>
      </w:r>
      <w:r>
        <w:t xml:space="preserve"> </w:t>
      </w:r>
      <w:r>
        <w:t xml:space="preserve">Laferrère 2006, PMID 16861611.</w:t>
      </w:r>
    </w:p>
  </w:footnote>
  <w:footnote w:id="1380">
    <w:p>
      <w:pPr>
        <w:pStyle w:val="FootnoteText"/>
      </w:pPr>
      <w:r>
        <w:rPr>
          <w:rStyle w:val="FootnoteReference"/>
        </w:rPr>
        <w:footnoteRef/>
      </w:r>
      <w:r>
        <w:t xml:space="preserve"> </w:t>
      </w:r>
      <w:r>
        <w:t xml:space="preserve">Van den Berghe 1999, PMID 10199772.</w:t>
      </w:r>
    </w:p>
  </w:footnote>
  <w:footnote w:id="1383">
    <w:p>
      <w:pPr>
        <w:pStyle w:val="FootnoteText"/>
      </w:pPr>
      <w:r>
        <w:rPr>
          <w:rStyle w:val="FootnoteReference"/>
        </w:rPr>
        <w:footnoteRef/>
      </w:r>
      <w:r>
        <w:t xml:space="preserve"> </w:t>
      </w:r>
      <w:r>
        <w:t xml:space="preserve">Doi 2004, PMID 15646370.</w:t>
      </w:r>
    </w:p>
  </w:footnote>
  <w:footnote w:id="1384">
    <w:p>
      <w:pPr>
        <w:pStyle w:val="FootnoteText"/>
      </w:pPr>
      <w:r>
        <w:rPr>
          <w:rStyle w:val="FootnoteReference"/>
        </w:rPr>
        <w:footnoteRef/>
      </w:r>
      <w:r>
        <w:t xml:space="preserve"> </w:t>
      </w:r>
      <w:r>
        <w:t xml:space="preserve">Raun 1998, PMID 9849822.</w:t>
      </w:r>
    </w:p>
  </w:footnote>
  <w:footnote w:id="1386">
    <w:p>
      <w:pPr>
        <w:pStyle w:val="FootnoteText"/>
      </w:pPr>
      <w:r>
        <w:rPr>
          <w:rStyle w:val="FootnoteReference"/>
        </w:rPr>
        <w:footnoteRef/>
      </w:r>
      <w:r>
        <w:t xml:space="preserve"> </w:t>
      </w:r>
      <w:r>
        <w:t xml:space="preserve">Mericq 2003, PMID 14513874; Laferrère 2006, PMID 16861611.</w:t>
      </w:r>
    </w:p>
  </w:footnote>
  <w:footnote w:id="1387">
    <w:p>
      <w:pPr>
        <w:pStyle w:val="FootnoteText"/>
      </w:pPr>
      <w:r>
        <w:rPr>
          <w:rStyle w:val="FootnoteReference"/>
        </w:rPr>
        <w:footnoteRef/>
      </w:r>
      <w:r>
        <w:t xml:space="preserve"> </w:t>
      </w:r>
      <w:r>
        <w:t xml:space="preserve">Arimura 2016, PMID 27020037.</w:t>
      </w:r>
    </w:p>
  </w:footnote>
  <w:footnote w:id="1388">
    <w:p>
      <w:pPr>
        <w:pStyle w:val="FootnoteText"/>
      </w:pPr>
      <w:r>
        <w:rPr>
          <w:rStyle w:val="FootnoteReference"/>
        </w:rPr>
        <w:footnoteRef/>
      </w:r>
      <w:r>
        <w:t xml:space="preserve"> </w:t>
      </w:r>
      <w:r>
        <w:t xml:space="preserve">Sigalos 2018, PMID 28400207.</w:t>
      </w:r>
    </w:p>
  </w:footnote>
  <w:footnote w:id="1389">
    <w:p>
      <w:pPr>
        <w:pStyle w:val="FootnoteText"/>
      </w:pPr>
      <w:r>
        <w:rPr>
          <w:rStyle w:val="FootnoteReference"/>
        </w:rPr>
        <w:footnoteRef/>
      </w:r>
      <w:r>
        <w:t xml:space="preserve"> </w:t>
      </w:r>
      <w:r>
        <w:t xml:space="preserve">Krug 2018, PMID 29864719; Gajda 2019, PMID 30136411.</w:t>
      </w:r>
    </w:p>
  </w:footnote>
  <w:footnote w:id="1391">
    <w:p>
      <w:pPr>
        <w:pStyle w:val="FootnoteText"/>
      </w:pPr>
      <w:r>
        <w:rPr>
          <w:rStyle w:val="FootnoteReference"/>
        </w:rPr>
        <w:footnoteRef/>
      </w:r>
      <w:r>
        <w:t xml:space="preserve"> </w:t>
      </w:r>
      <w:r>
        <w:t xml:space="preserve">Semenistaya 2015, PMID 25869809.</w:t>
      </w:r>
    </w:p>
  </w:footnote>
  <w:footnote w:id="1396">
    <w:p>
      <w:pPr>
        <w:pStyle w:val="FootnoteText"/>
      </w:pPr>
      <w:r>
        <w:rPr>
          <w:rStyle w:val="FootnoteReference"/>
        </w:rPr>
        <w:footnoteRef/>
      </w:r>
      <w:r>
        <w:t xml:space="preserve"> </w:t>
      </w:r>
      <w:r>
        <w:t xml:space="preserve">Bowers 1984, PMID 6714155.</w:t>
      </w:r>
    </w:p>
  </w:footnote>
  <w:footnote w:id="1398">
    <w:p>
      <w:pPr>
        <w:pStyle w:val="FootnoteText"/>
      </w:pPr>
      <w:r>
        <w:rPr>
          <w:rStyle w:val="FootnoteReference"/>
        </w:rPr>
        <w:footnoteRef/>
      </w:r>
      <w:r>
        <w:t xml:space="preserve"> </w:t>
      </w:r>
      <w:r>
        <w:t xml:space="preserve">Bowers 1984, PMID 6714155.</w:t>
      </w:r>
    </w:p>
  </w:footnote>
  <w:footnote w:id="1399">
    <w:p>
      <w:pPr>
        <w:pStyle w:val="FootnoteText"/>
      </w:pPr>
      <w:r>
        <w:rPr>
          <w:rStyle w:val="FootnoteReference"/>
        </w:rPr>
        <w:footnoteRef/>
      </w:r>
      <w:r>
        <w:t xml:space="preserve"> </w:t>
      </w:r>
      <w:r>
        <w:t xml:space="preserve">Kojima 1999, PMID 10604470.</w:t>
      </w:r>
    </w:p>
  </w:footnote>
  <w:footnote w:id="1401">
    <w:p>
      <w:pPr>
        <w:pStyle w:val="FootnoteText"/>
      </w:pPr>
      <w:r>
        <w:rPr>
          <w:rStyle w:val="FootnoteReference"/>
        </w:rPr>
        <w:footnoteRef/>
      </w:r>
      <w:r>
        <w:t xml:space="preserve"> </w:t>
      </w:r>
      <w:r>
        <w:t xml:space="preserve">Popovic 2000, PMID 11030292.</w:t>
      </w:r>
    </w:p>
  </w:footnote>
  <w:footnote w:id="1402">
    <w:p>
      <w:pPr>
        <w:pStyle w:val="FootnoteText"/>
      </w:pPr>
      <w:r>
        <w:rPr>
          <w:rStyle w:val="FootnoteReference"/>
        </w:rPr>
        <w:footnoteRef/>
      </w:r>
      <w:r>
        <w:t xml:space="preserve"> </w:t>
      </w:r>
      <w:r>
        <w:t xml:space="preserve">Petersenn 2002, PMID 11980622.</w:t>
      </w:r>
    </w:p>
  </w:footnote>
  <w:footnote w:id="1403">
    <w:p>
      <w:pPr>
        <w:pStyle w:val="FootnoteText"/>
      </w:pPr>
      <w:r>
        <w:rPr>
          <w:rStyle w:val="FootnoteReference"/>
        </w:rPr>
        <w:footnoteRef/>
      </w:r>
      <w:r>
        <w:t xml:space="preserve"> </w:t>
      </w:r>
      <w:r>
        <w:t xml:space="preserve">Leal-Cerro 1995, PMID 7788011.</w:t>
      </w:r>
    </w:p>
  </w:footnote>
  <w:footnote w:id="1404">
    <w:p>
      <w:pPr>
        <w:pStyle w:val="FootnoteText"/>
      </w:pPr>
      <w:r>
        <w:rPr>
          <w:rStyle w:val="FootnoteReference"/>
        </w:rPr>
        <w:footnoteRef/>
      </w:r>
      <w:r>
        <w:t xml:space="preserve"> </w:t>
      </w:r>
      <w:r>
        <w:t xml:space="preserve">Alaioubi 2010, PMID 19946832.</w:t>
      </w:r>
    </w:p>
  </w:footnote>
  <w:footnote w:id="1406">
    <w:p>
      <w:pPr>
        <w:pStyle w:val="FootnoteText"/>
      </w:pPr>
      <w:r>
        <w:rPr>
          <w:rStyle w:val="FootnoteReference"/>
        </w:rPr>
        <w:footnoteRef/>
      </w:r>
      <w:r>
        <w:t xml:space="preserve"> </w:t>
      </w:r>
      <w:r>
        <w:t xml:space="preserve">Cabrales 2013, PMID 23099431.</w:t>
      </w:r>
    </w:p>
  </w:footnote>
  <w:footnote w:id="1407">
    <w:p>
      <w:pPr>
        <w:pStyle w:val="FootnoteText"/>
      </w:pPr>
      <w:r>
        <w:rPr>
          <w:rStyle w:val="FootnoteReference"/>
        </w:rPr>
        <w:footnoteRef/>
      </w:r>
      <w:r>
        <w:t xml:space="preserve"> </w:t>
      </w:r>
      <w:r>
        <w:t xml:space="preserve">Frieboes 1995, PMID 7617137.</w:t>
      </w:r>
    </w:p>
  </w:footnote>
  <w:footnote w:id="1408">
    <w:p>
      <w:pPr>
        <w:pStyle w:val="FootnoteText"/>
      </w:pPr>
      <w:r>
        <w:rPr>
          <w:rStyle w:val="FootnoteReference"/>
        </w:rPr>
        <w:footnoteRef/>
      </w:r>
      <w:r>
        <w:t xml:space="preserve"> </w:t>
      </w:r>
      <w:r>
        <w:t xml:space="preserve">Micic 1995, PMID 7734029.</w:t>
      </w:r>
    </w:p>
  </w:footnote>
  <w:footnote w:id="1409">
    <w:p>
      <w:pPr>
        <w:pStyle w:val="FootnoteText"/>
      </w:pPr>
      <w:r>
        <w:rPr>
          <w:rStyle w:val="FootnoteReference"/>
        </w:rPr>
        <w:footnoteRef/>
      </w:r>
      <w:r>
        <w:t xml:space="preserve"> </w:t>
      </w:r>
      <w:r>
        <w:t xml:space="preserve">Bellone 1995, PMID 7581965.</w:t>
      </w:r>
    </w:p>
  </w:footnote>
  <w:footnote w:id="1412">
    <w:p>
      <w:pPr>
        <w:pStyle w:val="FootnoteText"/>
      </w:pPr>
      <w:r>
        <w:rPr>
          <w:rStyle w:val="FootnoteReference"/>
        </w:rPr>
        <w:footnoteRef/>
      </w:r>
      <w:r>
        <w:t xml:space="preserve"> </w:t>
      </w:r>
      <w:r>
        <w:t xml:space="preserve">Berlanga-Acosta 2024, PMID 38873418.</w:t>
      </w:r>
    </w:p>
  </w:footnote>
  <w:footnote w:id="1413">
    <w:p>
      <w:pPr>
        <w:pStyle w:val="FootnoteText"/>
      </w:pPr>
      <w:r>
        <w:rPr>
          <w:rStyle w:val="FootnoteReference"/>
        </w:rPr>
        <w:footnoteRef/>
      </w:r>
      <w:r>
        <w:t xml:space="preserve"> </w:t>
      </w:r>
      <w:r>
        <w:t xml:space="preserve">Cibrián 2006, PMID 16417467.</w:t>
      </w:r>
    </w:p>
  </w:footnote>
  <w:footnote w:id="1414">
    <w:p>
      <w:pPr>
        <w:pStyle w:val="FootnoteText"/>
      </w:pPr>
      <w:r>
        <w:rPr>
          <w:rStyle w:val="FootnoteReference"/>
        </w:rPr>
        <w:footnoteRef/>
      </w:r>
      <w:r>
        <w:t xml:space="preserve"> </w:t>
      </w:r>
      <w:r>
        <w:t xml:space="preserve">del Barco 2011, PMID 21697595.</w:t>
      </w:r>
    </w:p>
  </w:footnote>
  <w:footnote w:id="1416">
    <w:p>
      <w:pPr>
        <w:pStyle w:val="FootnoteText"/>
      </w:pPr>
      <w:r>
        <w:rPr>
          <w:rStyle w:val="FootnoteReference"/>
        </w:rPr>
        <w:footnoteRef/>
      </w:r>
      <w:r>
        <w:t xml:space="preserve"> </w:t>
      </w:r>
      <w:r>
        <w:t xml:space="preserve">Petersenn 2002, PMID 11980622.</w:t>
      </w:r>
    </w:p>
  </w:footnote>
  <w:footnote w:id="1417">
    <w:p>
      <w:pPr>
        <w:pStyle w:val="FootnoteText"/>
      </w:pPr>
      <w:r>
        <w:rPr>
          <w:rStyle w:val="FootnoteReference"/>
        </w:rPr>
        <w:footnoteRef/>
      </w:r>
      <w:r>
        <w:t xml:space="preserve"> </w:t>
      </w:r>
      <w:r>
        <w:t xml:space="preserve">Frieboes 1995, PMID 7617137.</w:t>
      </w:r>
    </w:p>
  </w:footnote>
  <w:footnote w:id="1418">
    <w:p>
      <w:pPr>
        <w:pStyle w:val="FootnoteText"/>
      </w:pPr>
      <w:r>
        <w:rPr>
          <w:rStyle w:val="FootnoteReference"/>
        </w:rPr>
        <w:footnoteRef/>
      </w:r>
      <w:r>
        <w:t xml:space="preserve"> </w:t>
      </w:r>
      <w:r>
        <w:t xml:space="preserve">Perez 2026, PMID 42465868.</w:t>
      </w:r>
    </w:p>
  </w:footnote>
  <w:footnote w:id="1419">
    <w:p>
      <w:pPr>
        <w:pStyle w:val="FootnoteText"/>
      </w:pPr>
      <w:r>
        <w:rPr>
          <w:rStyle w:val="FootnoteReference"/>
        </w:rPr>
        <w:footnoteRef/>
      </w:r>
      <w:r>
        <w:t xml:space="preserve"> </w:t>
      </w:r>
      <w:r>
        <w:t xml:space="preserve">Krug 2018, PMID 29864719.</w:t>
      </w:r>
    </w:p>
  </w:footnote>
  <w:footnote w:id="1421">
    <w:p>
      <w:pPr>
        <w:pStyle w:val="FootnoteText"/>
      </w:pPr>
      <w:r>
        <w:rPr>
          <w:rStyle w:val="FootnoteReference"/>
        </w:rPr>
        <w:footnoteRef/>
      </w:r>
      <w:r>
        <w:t xml:space="preserve"> </w:t>
      </w:r>
      <w:r>
        <w:t xml:space="preserve">Semenistaya 2015, PMID 25869809.</w:t>
      </w:r>
    </w:p>
  </w:footnote>
  <w:footnote w:id="1426">
    <w:p>
      <w:pPr>
        <w:pStyle w:val="FootnoteText"/>
      </w:pPr>
      <w:r>
        <w:rPr>
          <w:rStyle w:val="FootnoteReference"/>
        </w:rPr>
        <w:footnoteRef/>
      </w:r>
      <w:r>
        <w:t xml:space="preserve"> </w:t>
      </w:r>
      <w:r>
        <w:t xml:space="preserve">Imbimbo 1994, PMID 7957536.</w:t>
      </w:r>
    </w:p>
  </w:footnote>
  <w:footnote w:id="1427">
    <w:p>
      <w:pPr>
        <w:pStyle w:val="FootnoteText"/>
      </w:pPr>
      <w:r>
        <w:rPr>
          <w:rStyle w:val="FootnoteReference"/>
        </w:rPr>
        <w:footnoteRef/>
      </w:r>
      <w:r>
        <w:t xml:space="preserve"> </w:t>
      </w:r>
      <w:r>
        <w:t xml:space="preserve">Mao 2014, PMID 25278975.</w:t>
      </w:r>
    </w:p>
  </w:footnote>
  <w:footnote w:id="1429">
    <w:p>
      <w:pPr>
        <w:pStyle w:val="FootnoteText"/>
      </w:pPr>
      <w:r>
        <w:rPr>
          <w:rStyle w:val="FootnoteReference"/>
        </w:rPr>
        <w:footnoteRef/>
      </w:r>
      <w:r>
        <w:t xml:space="preserve"> </w:t>
      </w:r>
      <w:r>
        <w:t xml:space="preserve">Loche 1995, PMID 7673411.</w:t>
      </w:r>
    </w:p>
  </w:footnote>
  <w:footnote w:id="1431">
    <w:p>
      <w:pPr>
        <w:pStyle w:val="FootnoteText"/>
      </w:pPr>
      <w:r>
        <w:rPr>
          <w:rStyle w:val="FootnoteReference"/>
        </w:rPr>
        <w:footnoteRef/>
      </w:r>
      <w:r>
        <w:t xml:space="preserve"> </w:t>
      </w:r>
      <w:r>
        <w:t xml:space="preserve">Imbimbo 1994, PMID 7957536.</w:t>
      </w:r>
    </w:p>
  </w:footnote>
  <w:footnote w:id="1432">
    <w:p>
      <w:pPr>
        <w:pStyle w:val="FootnoteText"/>
      </w:pPr>
      <w:r>
        <w:rPr>
          <w:rStyle w:val="FootnoteReference"/>
        </w:rPr>
        <w:footnoteRef/>
      </w:r>
      <w:r>
        <w:t xml:space="preserve"> </w:t>
      </w:r>
      <w:r>
        <w:t xml:space="preserve">Massoud 1996, PMID 8954038.</w:t>
      </w:r>
    </w:p>
  </w:footnote>
  <w:footnote w:id="1433">
    <w:p>
      <w:pPr>
        <w:pStyle w:val="FootnoteText"/>
      </w:pPr>
      <w:r>
        <w:rPr>
          <w:rStyle w:val="FootnoteReference"/>
        </w:rPr>
        <w:footnoteRef/>
      </w:r>
      <w:r>
        <w:t xml:space="preserve"> </w:t>
      </w:r>
      <w:r>
        <w:t xml:space="preserve">Korbonits 1999, PMID 10404825.</w:t>
      </w:r>
    </w:p>
  </w:footnote>
  <w:footnote w:id="1435">
    <w:p>
      <w:pPr>
        <w:pStyle w:val="FootnoteText"/>
      </w:pPr>
      <w:r>
        <w:rPr>
          <w:rStyle w:val="FootnoteReference"/>
        </w:rPr>
        <w:footnoteRef/>
      </w:r>
      <w:r>
        <w:t xml:space="preserve"> </w:t>
      </w:r>
      <w:r>
        <w:t xml:space="preserve">Rahim 1998, PMID 9589671.</w:t>
      </w:r>
    </w:p>
  </w:footnote>
  <w:footnote w:id="1436">
    <w:p>
      <w:pPr>
        <w:pStyle w:val="FootnoteText"/>
      </w:pPr>
      <w:r>
        <w:rPr>
          <w:rStyle w:val="FootnoteReference"/>
        </w:rPr>
        <w:footnoteRef/>
      </w:r>
      <w:r>
        <w:t xml:space="preserve"> </w:t>
      </w:r>
      <w:r>
        <w:t xml:space="preserve">Rahim 1999, PMID 10341859.</w:t>
      </w:r>
    </w:p>
  </w:footnote>
  <w:footnote w:id="1437">
    <w:p>
      <w:pPr>
        <w:pStyle w:val="FootnoteText"/>
      </w:pPr>
      <w:r>
        <w:rPr>
          <w:rStyle w:val="FootnoteReference"/>
        </w:rPr>
        <w:footnoteRef/>
      </w:r>
      <w:r>
        <w:t xml:space="preserve"> </w:t>
      </w:r>
      <w:r>
        <w:t xml:space="preserve">Laron 1995, PMID 8548949.</w:t>
      </w:r>
    </w:p>
  </w:footnote>
  <w:footnote w:id="1438">
    <w:p>
      <w:pPr>
        <w:pStyle w:val="FootnoteText"/>
      </w:pPr>
      <w:r>
        <w:rPr>
          <w:rStyle w:val="FootnoteReference"/>
        </w:rPr>
        <w:footnoteRef/>
      </w:r>
      <w:r>
        <w:t xml:space="preserve"> </w:t>
      </w:r>
      <w:r>
        <w:t xml:space="preserve">Klinger 1996, PMID 8766941.</w:t>
      </w:r>
    </w:p>
  </w:footnote>
  <w:footnote w:id="1440">
    <w:p>
      <w:pPr>
        <w:pStyle w:val="FootnoteText"/>
      </w:pPr>
      <w:r>
        <w:rPr>
          <w:rStyle w:val="FootnoteReference"/>
        </w:rPr>
        <w:footnoteRef/>
      </w:r>
      <w:r>
        <w:t xml:space="preserve"> </w:t>
      </w:r>
      <w:r>
        <w:t xml:space="preserve">Bisi 1999, PMID 10528131.</w:t>
      </w:r>
    </w:p>
  </w:footnote>
  <w:footnote w:id="1441">
    <w:p>
      <w:pPr>
        <w:pStyle w:val="FootnoteText"/>
      </w:pPr>
      <w:r>
        <w:rPr>
          <w:rStyle w:val="FootnoteReference"/>
        </w:rPr>
        <w:footnoteRef/>
      </w:r>
      <w:r>
        <w:t xml:space="preserve"> </w:t>
      </w:r>
      <w:r>
        <w:t xml:space="preserve">Broglio 2001, PMID 11322491.</w:t>
      </w:r>
    </w:p>
  </w:footnote>
  <w:footnote w:id="1442">
    <w:p>
      <w:pPr>
        <w:pStyle w:val="FootnoteText"/>
      </w:pPr>
      <w:r>
        <w:rPr>
          <w:rStyle w:val="FootnoteReference"/>
        </w:rPr>
        <w:footnoteRef/>
      </w:r>
      <w:r>
        <w:t xml:space="preserve"> </w:t>
      </w:r>
      <w:r>
        <w:t xml:space="preserve">Broglio 2002, PMID 12144941.</w:t>
      </w:r>
    </w:p>
  </w:footnote>
  <w:footnote w:id="1445">
    <w:p>
      <w:pPr>
        <w:pStyle w:val="FootnoteText"/>
      </w:pPr>
      <w:r>
        <w:rPr>
          <w:rStyle w:val="FootnoteReference"/>
        </w:rPr>
        <w:footnoteRef/>
      </w:r>
      <w:r>
        <w:t xml:space="preserve"> </w:t>
      </w:r>
      <w:r>
        <w:t xml:space="preserve">Tivesten 2000, PMID 10614623.</w:t>
      </w:r>
    </w:p>
  </w:footnote>
  <w:footnote w:id="1446">
    <w:p>
      <w:pPr>
        <w:pStyle w:val="FootnoteText"/>
      </w:pPr>
      <w:r>
        <w:rPr>
          <w:rStyle w:val="FootnoteReference"/>
        </w:rPr>
        <w:footnoteRef/>
      </w:r>
      <w:r>
        <w:t xml:space="preserve"> </w:t>
      </w:r>
      <w:r>
        <w:t xml:space="preserve">McDonald 2018, PMID 29756411.</w:t>
      </w:r>
    </w:p>
  </w:footnote>
  <w:footnote w:id="1447">
    <w:p>
      <w:pPr>
        <w:pStyle w:val="FootnoteText"/>
      </w:pPr>
      <w:r>
        <w:rPr>
          <w:rStyle w:val="FootnoteReference"/>
        </w:rPr>
        <w:footnoteRef/>
      </w:r>
      <w:r>
        <w:t xml:space="preserve"> </w:t>
      </w:r>
      <w:r>
        <w:t xml:space="preserve">Mao 2014, PMID 25278975.</w:t>
      </w:r>
    </w:p>
  </w:footnote>
  <w:footnote w:id="1449">
    <w:p>
      <w:pPr>
        <w:pStyle w:val="FootnoteText"/>
      </w:pPr>
      <w:r>
        <w:rPr>
          <w:rStyle w:val="FootnoteReference"/>
        </w:rPr>
        <w:footnoteRef/>
      </w:r>
      <w:r>
        <w:t xml:space="preserve"> </w:t>
      </w:r>
      <w:r>
        <w:t xml:space="preserve">Massoud 1996, PMID 8954038; Korbonits 1999, PMID 10404825.</w:t>
      </w:r>
    </w:p>
  </w:footnote>
  <w:footnote w:id="1450">
    <w:p>
      <w:pPr>
        <w:pStyle w:val="FootnoteText"/>
      </w:pPr>
      <w:r>
        <w:rPr>
          <w:rStyle w:val="FootnoteReference"/>
        </w:rPr>
        <w:footnoteRef/>
      </w:r>
      <w:r>
        <w:t xml:space="preserve"> </w:t>
      </w:r>
      <w:r>
        <w:t xml:space="preserve">Korbonits 1999, PMID 10404825.</w:t>
      </w:r>
    </w:p>
  </w:footnote>
  <w:footnote w:id="1451">
    <w:p>
      <w:pPr>
        <w:pStyle w:val="FootnoteText"/>
      </w:pPr>
      <w:r>
        <w:rPr>
          <w:rStyle w:val="FootnoteReference"/>
        </w:rPr>
        <w:footnoteRef/>
      </w:r>
      <w:r>
        <w:t xml:space="preserve"> </w:t>
      </w:r>
      <w:r>
        <w:t xml:space="preserve">Rahim 1998, PMID 9589671; Klinger 1996, PMID 8766941.</w:t>
      </w:r>
    </w:p>
  </w:footnote>
  <w:footnote w:id="1452">
    <w:p>
      <w:pPr>
        <w:pStyle w:val="FootnoteText"/>
      </w:pPr>
      <w:r>
        <w:rPr>
          <w:rStyle w:val="FootnoteReference"/>
        </w:rPr>
        <w:footnoteRef/>
      </w:r>
      <w:r>
        <w:t xml:space="preserve"> </w:t>
      </w:r>
      <w:r>
        <w:t xml:space="preserve">Laron 1995, PMID 8548949.</w:t>
      </w:r>
    </w:p>
  </w:footnote>
  <w:footnote w:id="1454">
    <w:p>
      <w:pPr>
        <w:pStyle w:val="FootnoteText"/>
      </w:pPr>
      <w:r>
        <w:rPr>
          <w:rStyle w:val="FootnoteReference"/>
        </w:rPr>
        <w:footnoteRef/>
      </w:r>
      <w:r>
        <w:t xml:space="preserve"> </w:t>
      </w:r>
      <w:r>
        <w:t xml:space="preserve">Semenistaya 2015, PMID 25869809.</w:t>
      </w:r>
    </w:p>
  </w:footnote>
  <w:footnote w:id="1459">
    <w:p>
      <w:pPr>
        <w:pStyle w:val="FootnoteText"/>
      </w:pPr>
      <w:r>
        <w:rPr>
          <w:rStyle w:val="FootnoteReference"/>
        </w:rPr>
        <w:footnoteRef/>
      </w:r>
      <w:r>
        <w:t xml:space="preserve"> </w:t>
      </w:r>
      <w:r>
        <w:t xml:space="preserve">Piccoli 2007, PMID 17284637.</w:t>
      </w:r>
    </w:p>
  </w:footnote>
  <w:footnote w:id="1462">
    <w:p>
      <w:pPr>
        <w:pStyle w:val="FootnoteText"/>
      </w:pPr>
      <w:r>
        <w:rPr>
          <w:rStyle w:val="FootnoteReference"/>
        </w:rPr>
        <w:footnoteRef/>
      </w:r>
      <w:r>
        <w:t xml:space="preserve"> </w:t>
      </w:r>
      <w:r>
        <w:t xml:space="preserve">Piccoli 2007, PMID 17284637.</w:t>
      </w:r>
    </w:p>
  </w:footnote>
  <w:footnote w:id="1463">
    <w:p>
      <w:pPr>
        <w:pStyle w:val="FootnoteText"/>
      </w:pPr>
      <w:r>
        <w:rPr>
          <w:rStyle w:val="FootnoteReference"/>
        </w:rPr>
        <w:footnoteRef/>
      </w:r>
      <w:r>
        <w:t xml:space="preserve"> </w:t>
      </w:r>
      <w:r>
        <w:t xml:space="preserve">Klaus 2020, PMID 32325373.</w:t>
      </w:r>
    </w:p>
  </w:footnote>
  <w:footnote w:id="1465">
    <w:p>
      <w:pPr>
        <w:pStyle w:val="FootnoteText"/>
      </w:pPr>
      <w:r>
        <w:rPr>
          <w:rStyle w:val="FootnoteReference"/>
        </w:rPr>
        <w:footnoteRef/>
      </w:r>
      <w:r>
        <w:t xml:space="preserve"> </w:t>
      </w:r>
      <w:r>
        <w:t xml:space="preserve">Garcia 2013, PMID 23559086.</w:t>
      </w:r>
    </w:p>
  </w:footnote>
  <w:footnote w:id="1466">
    <w:p>
      <w:pPr>
        <w:pStyle w:val="FootnoteText"/>
      </w:pPr>
      <w:r>
        <w:rPr>
          <w:rStyle w:val="FootnoteReference"/>
        </w:rPr>
        <w:footnoteRef/>
      </w:r>
      <w:r>
        <w:t xml:space="preserve"> </w:t>
      </w:r>
      <w:r>
        <w:t xml:space="preserve">Garcia 2018, PMID 29860473; NCT02558829.</w:t>
      </w:r>
    </w:p>
  </w:footnote>
  <w:footnote w:id="1467">
    <w:p>
      <w:pPr>
        <w:pStyle w:val="FootnoteText"/>
      </w:pPr>
      <w:r>
        <w:rPr>
          <w:rStyle w:val="FootnoteReference"/>
        </w:rPr>
        <w:footnoteRef/>
      </w:r>
      <w:r>
        <w:t xml:space="preserve"> </w:t>
      </w:r>
      <w:r>
        <w:t xml:space="preserve">Garcia 2021, PMID 33320108.</w:t>
      </w:r>
    </w:p>
  </w:footnote>
  <w:footnote w:id="1469">
    <w:p>
      <w:pPr>
        <w:pStyle w:val="FootnoteText"/>
      </w:pPr>
      <w:r>
        <w:rPr>
          <w:rStyle w:val="FootnoteReference"/>
        </w:rPr>
        <w:footnoteRef/>
      </w:r>
      <w:r>
        <w:t xml:space="preserve"> </w:t>
      </w:r>
      <w:r>
        <w:t xml:space="preserve">Yadav 2026, PMID 41793495.</w:t>
      </w:r>
    </w:p>
  </w:footnote>
  <w:footnote w:id="1471">
    <w:p>
      <w:pPr>
        <w:pStyle w:val="FootnoteText"/>
      </w:pPr>
      <w:r>
        <w:rPr>
          <w:rStyle w:val="FootnoteReference"/>
        </w:rPr>
        <w:footnoteRef/>
      </w:r>
      <w:r>
        <w:t xml:space="preserve"> </w:t>
      </w:r>
      <w:r>
        <w:t xml:space="preserve">Csákváry 2021, PMID 34438400.</w:t>
      </w:r>
    </w:p>
  </w:footnote>
  <w:footnote w:id="1472">
    <w:p>
      <w:pPr>
        <w:pStyle w:val="FootnoteText"/>
      </w:pPr>
      <w:r>
        <w:rPr>
          <w:rStyle w:val="FootnoteReference"/>
        </w:rPr>
        <w:footnoteRef/>
      </w:r>
      <w:r>
        <w:t xml:space="preserve"> </w:t>
      </w:r>
      <w:r>
        <w:t xml:space="preserve">NCT04786873.</w:t>
      </w:r>
    </w:p>
  </w:footnote>
  <w:footnote w:id="1473">
    <w:p>
      <w:pPr>
        <w:pStyle w:val="FootnoteText"/>
      </w:pPr>
      <w:r>
        <w:rPr>
          <w:rStyle w:val="FootnoteReference"/>
        </w:rPr>
        <w:footnoteRef/>
      </w:r>
      <w:r>
        <w:t xml:space="preserve"> </w:t>
      </w:r>
      <w:r>
        <w:t xml:space="preserve">Herodes 2023, PMID 36860137.</w:t>
      </w:r>
    </w:p>
  </w:footnote>
  <w:footnote w:id="1476">
    <w:p>
      <w:pPr>
        <w:pStyle w:val="FootnoteText"/>
      </w:pPr>
      <w:r>
        <w:rPr>
          <w:rStyle w:val="FootnoteReference"/>
        </w:rPr>
        <w:footnoteRef/>
      </w:r>
      <w:r>
        <w:t xml:space="preserve"> </w:t>
      </w:r>
      <w:r>
        <w:t xml:space="preserve">Buckinx 2021, PMID 34157194.</w:t>
      </w:r>
    </w:p>
  </w:footnote>
  <w:footnote w:id="1477">
    <w:p>
      <w:pPr>
        <w:pStyle w:val="FootnoteText"/>
      </w:pPr>
      <w:r>
        <w:rPr>
          <w:rStyle w:val="FootnoteReference"/>
        </w:rPr>
        <w:footnoteRef/>
      </w:r>
      <w:r>
        <w:t xml:space="preserve"> </w:t>
      </w:r>
      <w:r>
        <w:t xml:space="preserve">Wang 2025, PMID 40542284.</w:t>
      </w:r>
    </w:p>
  </w:footnote>
  <w:footnote w:id="1479">
    <w:p>
      <w:pPr>
        <w:pStyle w:val="FootnoteText"/>
      </w:pPr>
      <w:r>
        <w:rPr>
          <w:rStyle w:val="FootnoteReference"/>
        </w:rPr>
        <w:footnoteRef/>
      </w:r>
      <w:r>
        <w:t xml:space="preserve"> </w:t>
      </w:r>
      <w:r>
        <w:t xml:space="preserve">Garcia 2018, PMID 29860473.</w:t>
      </w:r>
    </w:p>
  </w:footnote>
  <w:footnote w:id="1480">
    <w:p>
      <w:pPr>
        <w:pStyle w:val="FootnoteText"/>
      </w:pPr>
      <w:r>
        <w:rPr>
          <w:rStyle w:val="FootnoteReference"/>
        </w:rPr>
        <w:footnoteRef/>
      </w:r>
      <w:r>
        <w:t xml:space="preserve"> </w:t>
      </w:r>
      <w:r>
        <w:t xml:space="preserve">Klaus 2020, PMID 32325373.</w:t>
      </w:r>
    </w:p>
  </w:footnote>
  <w:footnote w:id="1481">
    <w:p>
      <w:pPr>
        <w:pStyle w:val="FootnoteText"/>
      </w:pPr>
      <w:r>
        <w:rPr>
          <w:rStyle w:val="FootnoteReference"/>
        </w:rPr>
        <w:footnoteRef/>
      </w:r>
      <w:r>
        <w:t xml:space="preserve"> </w:t>
      </w:r>
      <w:r>
        <w:t xml:space="preserve">Lissy 2021, PMID 32961034.</w:t>
      </w:r>
    </w:p>
  </w:footnote>
  <w:footnote w:id="1482">
    <w:p>
      <w:pPr>
        <w:pStyle w:val="FootnoteText"/>
      </w:pPr>
      <w:r>
        <w:rPr>
          <w:rStyle w:val="FootnoteReference"/>
        </w:rPr>
        <w:footnoteRef/>
      </w:r>
      <w:r>
        <w:t xml:space="preserve"> </w:t>
      </w:r>
      <w:r>
        <w:t xml:space="preserve">Yadav 2026, PMID 41793495.</w:t>
      </w:r>
    </w:p>
  </w:footnote>
  <w:footnote w:id="1484">
    <w:p>
      <w:pPr>
        <w:pStyle w:val="FootnoteText"/>
      </w:pPr>
      <w:r>
        <w:rPr>
          <w:rStyle w:val="FootnoteReference"/>
        </w:rPr>
        <w:footnoteRef/>
      </w:r>
      <w:r>
        <w:t xml:space="preserve"> </w:t>
      </w:r>
      <w:r>
        <w:t xml:space="preserve">Lange 2021, PMID 33458843.</w:t>
      </w:r>
    </w:p>
  </w:footnote>
  <w:footnote w:id="1486">
    <w:p>
      <w:pPr>
        <w:pStyle w:val="FootnoteText"/>
      </w:pPr>
      <w:r>
        <w:rPr>
          <w:rStyle w:val="FootnoteReference"/>
        </w:rPr>
        <w:footnoteRef/>
      </w:r>
      <w:r>
        <w:t xml:space="preserve"> </w:t>
      </w:r>
      <w:r>
        <w:t xml:space="preserve">NCT04786873.</w:t>
      </w:r>
    </w:p>
  </w:footnote>
  <w:footnote w:id="1487">
    <w:p>
      <w:pPr>
        <w:pStyle w:val="FootnoteText"/>
      </w:pPr>
      <w:r>
        <w:rPr>
          <w:rStyle w:val="FootnoteReference"/>
        </w:rPr>
        <w:footnoteRef/>
      </w:r>
      <w:r>
        <w:t xml:space="preserve"> </w:t>
      </w:r>
      <w:r>
        <w:t xml:space="preserve">NCT03844217.</w:t>
      </w:r>
    </w:p>
  </w:footnote>
  <w:footnote w:id="1492">
    <w:p>
      <w:pPr>
        <w:pStyle w:val="FootnoteText"/>
      </w:pPr>
      <w:r>
        <w:rPr>
          <w:rStyle w:val="FootnoteReference"/>
        </w:rPr>
        <w:footnoteRef/>
      </w:r>
      <w:r>
        <w:t xml:space="preserve"> </w:t>
      </w:r>
      <w:r>
        <w:t xml:space="preserve">Saavedra 2026, PMID 42341624.</w:t>
      </w:r>
    </w:p>
  </w:footnote>
  <w:footnote w:id="1494">
    <w:p>
      <w:pPr>
        <w:pStyle w:val="FootnoteText"/>
      </w:pPr>
      <w:r>
        <w:rPr>
          <w:rStyle w:val="FootnoteReference"/>
        </w:rPr>
        <w:footnoteRef/>
      </w:r>
      <w:r>
        <w:t xml:space="preserve"> </w:t>
      </w:r>
      <w:r>
        <w:t xml:space="preserve">Chernausek 2007, PMID 17192294.</w:t>
      </w:r>
    </w:p>
  </w:footnote>
  <w:footnote w:id="1495">
    <w:p>
      <w:pPr>
        <w:pStyle w:val="FootnoteText"/>
      </w:pPr>
      <w:r>
        <w:rPr>
          <w:rStyle w:val="FootnoteReference"/>
        </w:rPr>
        <w:footnoteRef/>
      </w:r>
      <w:r>
        <w:t xml:space="preserve"> </w:t>
      </w:r>
      <w:r>
        <w:t xml:space="preserve">NCT00903110.</w:t>
      </w:r>
    </w:p>
  </w:footnote>
  <w:footnote w:id="1496">
    <w:p>
      <w:pPr>
        <w:pStyle w:val="FootnoteText"/>
      </w:pPr>
      <w:r>
        <w:rPr>
          <w:rStyle w:val="FootnoteReference"/>
        </w:rPr>
        <w:footnoteRef/>
      </w:r>
      <w:r>
        <w:t xml:space="preserve"> </w:t>
      </w:r>
      <w:r>
        <w:t xml:space="preserve">Bang 2021, PMID 33434161.</w:t>
      </w:r>
    </w:p>
  </w:footnote>
  <w:footnote w:id="1497">
    <w:p>
      <w:pPr>
        <w:pStyle w:val="FootnoteText"/>
      </w:pPr>
      <w:r>
        <w:rPr>
          <w:rStyle w:val="FootnoteReference"/>
        </w:rPr>
        <w:footnoteRef/>
      </w:r>
      <w:r>
        <w:t xml:space="preserve"> </w:t>
      </w:r>
      <w:r>
        <w:t xml:space="preserve">Ramon-Krauel 2026, PMID 40626687.</w:t>
      </w:r>
    </w:p>
  </w:footnote>
  <w:footnote w:id="1498">
    <w:p>
      <w:pPr>
        <w:pStyle w:val="FootnoteText"/>
      </w:pPr>
      <w:r>
        <w:rPr>
          <w:rStyle w:val="FootnoteReference"/>
        </w:rPr>
        <w:footnoteRef/>
      </w:r>
      <w:r>
        <w:t xml:space="preserve"> </w:t>
      </w:r>
      <w:r>
        <w:t xml:space="preserve">Bang 2023, PMID 37579214.</w:t>
      </w:r>
    </w:p>
  </w:footnote>
  <w:footnote w:id="1500">
    <w:p>
      <w:pPr>
        <w:pStyle w:val="FootnoteText"/>
      </w:pPr>
      <w:r>
        <w:rPr>
          <w:rStyle w:val="FootnoteReference"/>
        </w:rPr>
        <w:footnoteRef/>
      </w:r>
      <w:r>
        <w:t xml:space="preserve"> </w:t>
      </w:r>
      <w:r>
        <w:t xml:space="preserve">Sorenson 2008, PMID 19029516.</w:t>
      </w:r>
    </w:p>
  </w:footnote>
  <w:footnote w:id="1501">
    <w:p>
      <w:pPr>
        <w:pStyle w:val="FootnoteText"/>
      </w:pPr>
      <w:r>
        <w:rPr>
          <w:rStyle w:val="FootnoteReference"/>
        </w:rPr>
        <w:footnoteRef/>
      </w:r>
      <w:r>
        <w:t xml:space="preserve"> </w:t>
      </w:r>
      <w:r>
        <w:t xml:space="preserve">Rutter 2020, PMID 32108355.</w:t>
      </w:r>
    </w:p>
  </w:footnote>
  <w:footnote w:id="1502">
    <w:p>
      <w:pPr>
        <w:pStyle w:val="FootnoteText"/>
      </w:pPr>
      <w:r>
        <w:rPr>
          <w:rStyle w:val="FootnoteReference"/>
        </w:rPr>
        <w:footnoteRef/>
      </w:r>
      <w:r>
        <w:t xml:space="preserve"> </w:t>
      </w:r>
      <w:r>
        <w:t xml:space="preserve">Ribeiro 2025, PMID 41174329.</w:t>
      </w:r>
    </w:p>
  </w:footnote>
  <w:footnote w:id="1503">
    <w:p>
      <w:pPr>
        <w:pStyle w:val="FootnoteText"/>
      </w:pPr>
      <w:r>
        <w:rPr>
          <w:rStyle w:val="FootnoteReference"/>
        </w:rPr>
        <w:footnoteRef/>
      </w:r>
      <w:r>
        <w:t xml:space="preserve"> </w:t>
      </w:r>
      <w:r>
        <w:t xml:space="preserve">Ley 2019, PMID 30471715.</w:t>
      </w:r>
    </w:p>
  </w:footnote>
  <w:footnote w:id="1504">
    <w:p>
      <w:pPr>
        <w:pStyle w:val="FootnoteText"/>
      </w:pPr>
      <w:r>
        <w:rPr>
          <w:rStyle w:val="FootnoteReference"/>
        </w:rPr>
        <w:footnoteRef/>
      </w:r>
      <w:r>
        <w:t xml:space="preserve"> </w:t>
      </w:r>
      <w:r>
        <w:t xml:space="preserve">NCT03253263.</w:t>
      </w:r>
    </w:p>
  </w:footnote>
  <w:footnote w:id="1505">
    <w:p>
      <w:pPr>
        <w:pStyle w:val="FootnoteText"/>
      </w:pPr>
      <w:r>
        <w:rPr>
          <w:rStyle w:val="FootnoteReference"/>
        </w:rPr>
        <w:footnoteRef/>
      </w:r>
      <w:r>
        <w:t xml:space="preserve"> </w:t>
      </w:r>
      <w:r>
        <w:t xml:space="preserve">Haines 2021, PMID 34355814.</w:t>
      </w:r>
    </w:p>
  </w:footnote>
  <w:footnote w:id="1506">
    <w:p>
      <w:pPr>
        <w:pStyle w:val="FootnoteText"/>
      </w:pPr>
      <w:r>
        <w:rPr>
          <w:rStyle w:val="FootnoteReference"/>
        </w:rPr>
        <w:footnoteRef/>
      </w:r>
      <w:r>
        <w:t xml:space="preserve"> </w:t>
      </w:r>
      <w:r>
        <w:t xml:space="preserve">Mauras 2000, PMID 10999782.</w:t>
      </w:r>
    </w:p>
  </w:footnote>
  <w:footnote w:id="1507">
    <w:p>
      <w:pPr>
        <w:pStyle w:val="FootnoteText"/>
      </w:pPr>
      <w:r>
        <w:rPr>
          <w:rStyle w:val="FootnoteReference"/>
        </w:rPr>
        <w:footnoteRef/>
      </w:r>
      <w:r>
        <w:t xml:space="preserve"> </w:t>
      </w:r>
      <w:r>
        <w:t xml:space="preserve">Guha 2021, PMID 33249593.</w:t>
      </w:r>
    </w:p>
  </w:footnote>
  <w:footnote w:id="1510">
    <w:p>
      <w:pPr>
        <w:pStyle w:val="FootnoteText"/>
      </w:pPr>
      <w:r>
        <w:rPr>
          <w:rStyle w:val="FootnoteReference"/>
        </w:rPr>
        <w:footnoteRef/>
      </w:r>
      <w:r>
        <w:t xml:space="preserve"> </w:t>
      </w:r>
      <w:r>
        <w:t xml:space="preserve">Guevara-Aguirre 2011, PMID 21325617.</w:t>
      </w:r>
    </w:p>
  </w:footnote>
  <w:footnote w:id="1511">
    <w:p>
      <w:pPr>
        <w:pStyle w:val="FootnoteText"/>
      </w:pPr>
      <w:r>
        <w:rPr>
          <w:rStyle w:val="FootnoteReference"/>
        </w:rPr>
        <w:footnoteRef/>
      </w:r>
      <w:r>
        <w:t xml:space="preserve"> </w:t>
      </w:r>
      <w:r>
        <w:t xml:space="preserve">Guevara-Aguirre 2015, PMID 25316432.</w:t>
      </w:r>
    </w:p>
  </w:footnote>
  <w:footnote w:id="1513">
    <w:p>
      <w:pPr>
        <w:pStyle w:val="FootnoteText"/>
      </w:pPr>
      <w:r>
        <w:rPr>
          <w:rStyle w:val="FootnoteReference"/>
        </w:rPr>
        <w:footnoteRef/>
      </w:r>
      <w:r>
        <w:t xml:space="preserve"> </w:t>
      </w:r>
      <w:r>
        <w:t xml:space="preserve">Chernausek 2007, PMID 17192294; Bang 2023, PMID 37579214.</w:t>
      </w:r>
    </w:p>
  </w:footnote>
  <w:footnote w:id="1514">
    <w:p>
      <w:pPr>
        <w:pStyle w:val="FootnoteText"/>
      </w:pPr>
      <w:r>
        <w:rPr>
          <w:rStyle w:val="FootnoteReference"/>
        </w:rPr>
        <w:footnoteRef/>
      </w:r>
      <w:r>
        <w:t xml:space="preserve"> </w:t>
      </w:r>
      <w:r>
        <w:t xml:space="preserve">Chernausek 2007, PMID 17192294.</w:t>
      </w:r>
    </w:p>
  </w:footnote>
  <w:footnote w:id="1515">
    <w:p>
      <w:pPr>
        <w:pStyle w:val="FootnoteText"/>
      </w:pPr>
      <w:r>
        <w:rPr>
          <w:rStyle w:val="FootnoteReference"/>
        </w:rPr>
        <w:footnoteRef/>
      </w:r>
      <w:r>
        <w:t xml:space="preserve"> </w:t>
      </w:r>
      <w:r>
        <w:t xml:space="preserve">Ley 2019, PMID 30471715.</w:t>
      </w:r>
    </w:p>
  </w:footnote>
  <w:footnote w:id="1516">
    <w:p>
      <w:pPr>
        <w:pStyle w:val="FootnoteText"/>
      </w:pPr>
      <w:r>
        <w:rPr>
          <w:rStyle w:val="FootnoteReference"/>
        </w:rPr>
        <w:footnoteRef/>
      </w:r>
      <w:r>
        <w:t xml:space="preserve"> </w:t>
      </w:r>
      <w:r>
        <w:t xml:space="preserve">Renehan 2004, PMID 15110491.</w:t>
      </w:r>
    </w:p>
  </w:footnote>
  <w:footnote w:id="1517">
    <w:p>
      <w:pPr>
        <w:pStyle w:val="FootnoteText"/>
      </w:pPr>
      <w:r>
        <w:rPr>
          <w:rStyle w:val="FootnoteReference"/>
        </w:rPr>
        <w:footnoteRef/>
      </w:r>
      <w:r>
        <w:t xml:space="preserve"> </w:t>
      </w:r>
      <w:r>
        <w:t xml:space="preserve">Murphy 2020, PMID 32169310.</w:t>
      </w:r>
    </w:p>
  </w:footnote>
  <w:footnote w:id="1518">
    <w:p>
      <w:pPr>
        <w:pStyle w:val="FootnoteText"/>
      </w:pPr>
      <w:r>
        <w:rPr>
          <w:rStyle w:val="FootnoteReference"/>
        </w:rPr>
        <w:footnoteRef/>
      </w:r>
      <w:r>
        <w:t xml:space="preserve"> </w:t>
      </w:r>
      <w:r>
        <w:t xml:space="preserve">Murphy 2020, PMID 31884074.</w:t>
      </w:r>
    </w:p>
  </w:footnote>
  <w:footnote w:id="1519">
    <w:p>
      <w:pPr>
        <w:pStyle w:val="FootnoteText"/>
      </w:pPr>
      <w:r>
        <w:rPr>
          <w:rStyle w:val="FootnoteReference"/>
        </w:rPr>
        <w:footnoteRef/>
      </w:r>
      <w:r>
        <w:t xml:space="preserve"> </w:t>
      </w:r>
      <w:r>
        <w:t xml:space="preserve">Watts 2023, PMID 35726641.</w:t>
      </w:r>
    </w:p>
  </w:footnote>
  <w:footnote w:id="1520">
    <w:p>
      <w:pPr>
        <w:pStyle w:val="FootnoteText"/>
      </w:pPr>
      <w:r>
        <w:rPr>
          <w:rStyle w:val="FootnoteReference"/>
        </w:rPr>
        <w:footnoteRef/>
      </w:r>
      <w:r>
        <w:t xml:space="preserve"> </w:t>
      </w:r>
      <w:r>
        <w:t xml:space="preserve">Murphy 2020, PMID 32169310; Murphy 2020, PMID 31884074.</w:t>
      </w:r>
    </w:p>
  </w:footnote>
  <w:footnote w:id="1521">
    <w:p>
      <w:pPr>
        <w:pStyle w:val="FootnoteText"/>
      </w:pPr>
      <w:r>
        <w:rPr>
          <w:rStyle w:val="FootnoteReference"/>
        </w:rPr>
        <w:footnoteRef/>
      </w:r>
      <w:r>
        <w:t xml:space="preserve"> </w:t>
      </w:r>
      <w:r>
        <w:t xml:space="preserve">Guevara-Aguirre 2011, PMID 21325617.</w:t>
      </w:r>
    </w:p>
  </w:footnote>
  <w:footnote w:id="1522">
    <w:p>
      <w:pPr>
        <w:pStyle w:val="FootnoteText"/>
      </w:pPr>
      <w:r>
        <w:rPr>
          <w:rStyle w:val="FootnoteReference"/>
        </w:rPr>
        <w:footnoteRef/>
      </w:r>
      <w:r>
        <w:t xml:space="preserve"> </w:t>
      </w:r>
      <w:r>
        <w:t xml:space="preserve">NCT00903110.</w:t>
      </w:r>
    </w:p>
  </w:footnote>
  <w:footnote w:id="1524">
    <w:p>
      <w:pPr>
        <w:pStyle w:val="FootnoteText"/>
      </w:pPr>
      <w:r>
        <w:rPr>
          <w:rStyle w:val="FootnoteReference"/>
        </w:rPr>
        <w:footnoteRef/>
      </w:r>
      <w:r>
        <w:t xml:space="preserve"> </w:t>
      </w:r>
      <w:r>
        <w:t xml:space="preserve">Saavedra 2026, PMID 42341624.</w:t>
      </w:r>
    </w:p>
  </w:footnote>
  <w:footnote w:id="1525">
    <w:p>
      <w:pPr>
        <w:pStyle w:val="FootnoteText"/>
      </w:pPr>
      <w:r>
        <w:rPr>
          <w:rStyle w:val="FootnoteReference"/>
        </w:rPr>
        <w:footnoteRef/>
      </w:r>
      <w:r>
        <w:t xml:space="preserve"> </w:t>
      </w:r>
      <w:r>
        <w:t xml:space="preserve">Guha 2013, PMID 23934394.</w:t>
      </w:r>
    </w:p>
  </w:footnote>
  <w:footnote w:id="1527">
    <w:p>
      <w:pPr>
        <w:pStyle w:val="FootnoteText"/>
      </w:pPr>
      <w:r>
        <w:rPr>
          <w:rStyle w:val="FootnoteReference"/>
        </w:rPr>
        <w:footnoteRef/>
      </w:r>
      <w:r>
        <w:t xml:space="preserve"> </w:t>
      </w:r>
      <w:r>
        <w:t xml:space="preserve">NCT00903110.</w:t>
      </w:r>
    </w:p>
  </w:footnote>
  <w:footnote w:id="1531">
    <w:p>
      <w:pPr>
        <w:pStyle w:val="FootnoteText"/>
      </w:pPr>
      <w:r>
        <w:rPr>
          <w:rStyle w:val="FootnoteReference"/>
        </w:rPr>
        <w:footnoteRef/>
      </w:r>
      <w:r>
        <w:t xml:space="preserve"> </w:t>
      </w:r>
      <w:r>
        <w:t xml:space="preserve">Bastian 1993, PMID 7693845; Tomas 1993, PMID 7683875.</w:t>
      </w:r>
    </w:p>
  </w:footnote>
  <w:footnote w:id="1533">
    <w:p>
      <w:pPr>
        <w:pStyle w:val="FootnoteText"/>
      </w:pPr>
      <w:r>
        <w:rPr>
          <w:rStyle w:val="FootnoteReference"/>
        </w:rPr>
        <w:footnoteRef/>
      </w:r>
      <w:r>
        <w:t xml:space="preserve"> </w:t>
      </w:r>
      <w:r>
        <w:t xml:space="preserve">Devi 2001, PMID 11735239.</w:t>
      </w:r>
    </w:p>
  </w:footnote>
  <w:footnote w:id="1534">
    <w:p>
      <w:pPr>
        <w:pStyle w:val="FootnoteText"/>
      </w:pPr>
      <w:r>
        <w:rPr>
          <w:rStyle w:val="FootnoteReference"/>
        </w:rPr>
        <w:footnoteRef/>
      </w:r>
      <w:r>
        <w:t xml:space="preserve"> </w:t>
      </w:r>
      <w:r>
        <w:t xml:space="preserve">Bastian 1993, PMID 7693845.</w:t>
      </w:r>
    </w:p>
  </w:footnote>
  <w:footnote w:id="1535">
    <w:p>
      <w:pPr>
        <w:pStyle w:val="FootnoteText"/>
      </w:pPr>
      <w:r>
        <w:rPr>
          <w:rStyle w:val="FootnoteReference"/>
        </w:rPr>
        <w:footnoteRef/>
      </w:r>
      <w:r>
        <w:t xml:space="preserve"> </w:t>
      </w:r>
      <w:r>
        <w:t xml:space="preserve">Tomas 1993, PMID 7683875.</w:t>
      </w:r>
    </w:p>
  </w:footnote>
  <w:footnote w:id="1537">
    <w:p>
      <w:pPr>
        <w:pStyle w:val="FootnoteText"/>
      </w:pPr>
      <w:r>
        <w:rPr>
          <w:rStyle w:val="FootnoteReference"/>
        </w:rPr>
        <w:footnoteRef/>
      </w:r>
      <w:r>
        <w:t xml:space="preserve"> </w:t>
      </w:r>
      <w:r>
        <w:t xml:space="preserve">Kohler 2010, PMID 20675162.</w:t>
      </w:r>
    </w:p>
  </w:footnote>
  <w:footnote w:id="1538">
    <w:p>
      <w:pPr>
        <w:pStyle w:val="FootnoteText"/>
      </w:pPr>
      <w:r>
        <w:rPr>
          <w:rStyle w:val="FootnoteReference"/>
        </w:rPr>
        <w:footnoteRef/>
      </w:r>
      <w:r>
        <w:t xml:space="preserve"> </w:t>
      </w:r>
      <w:r>
        <w:t xml:space="preserve">Mongongu 2021, PMID 33587816.</w:t>
      </w:r>
    </w:p>
  </w:footnote>
  <w:footnote w:id="1539">
    <w:p>
      <w:pPr>
        <w:pStyle w:val="FootnoteText"/>
      </w:pPr>
      <w:r>
        <w:rPr>
          <w:rStyle w:val="FootnoteReference"/>
        </w:rPr>
        <w:footnoteRef/>
      </w:r>
      <w:r>
        <w:t xml:space="preserve"> </w:t>
      </w:r>
      <w:r>
        <w:t xml:space="preserve">Guha 2013, PMID 23934394.</w:t>
      </w:r>
    </w:p>
  </w:footnote>
  <w:footnote w:id="1541">
    <w:p>
      <w:pPr>
        <w:pStyle w:val="FootnoteText"/>
      </w:pPr>
      <w:r>
        <w:rPr>
          <w:rStyle w:val="FootnoteReference"/>
        </w:rPr>
        <w:footnoteRef/>
      </w:r>
      <w:r>
        <w:t xml:space="preserve"> </w:t>
      </w:r>
      <w:r>
        <w:t xml:space="preserve">Bastian 1993, PMID 7693845.</w:t>
      </w:r>
    </w:p>
  </w:footnote>
  <w:footnote w:id="1542">
    <w:p>
      <w:pPr>
        <w:pStyle w:val="FootnoteText"/>
      </w:pPr>
      <w:r>
        <w:rPr>
          <w:rStyle w:val="FootnoteReference"/>
        </w:rPr>
        <w:footnoteRef/>
      </w:r>
      <w:r>
        <w:t xml:space="preserve"> </w:t>
      </w:r>
      <w:r>
        <w:t xml:space="preserve">Tomas 1993, PMID 7683875.</w:t>
      </w:r>
    </w:p>
  </w:footnote>
  <w:footnote w:id="1543">
    <w:p>
      <w:pPr>
        <w:pStyle w:val="FootnoteText"/>
      </w:pPr>
      <w:r>
        <w:rPr>
          <w:rStyle w:val="FootnoteReference"/>
        </w:rPr>
        <w:footnoteRef/>
      </w:r>
      <w:r>
        <w:t xml:space="preserve"> </w:t>
      </w:r>
      <w:r>
        <w:t xml:space="preserve">Dunaiski 1997, PMID 9488001.</w:t>
      </w:r>
    </w:p>
  </w:footnote>
  <w:footnote w:id="1544">
    <w:p>
      <w:pPr>
        <w:pStyle w:val="FootnoteText"/>
      </w:pPr>
      <w:r>
        <w:rPr>
          <w:rStyle w:val="FootnoteReference"/>
        </w:rPr>
        <w:footnoteRef/>
      </w:r>
      <w:r>
        <w:t xml:space="preserve"> </w:t>
      </w:r>
      <w:r>
        <w:t xml:space="preserve">Conlon 1995, PMID 7561636.</w:t>
      </w:r>
    </w:p>
  </w:footnote>
  <w:footnote w:id="1545">
    <w:p>
      <w:pPr>
        <w:pStyle w:val="FootnoteText"/>
      </w:pPr>
      <w:r>
        <w:rPr>
          <w:rStyle w:val="FootnoteReference"/>
        </w:rPr>
        <w:footnoteRef/>
      </w:r>
      <w:r>
        <w:t xml:space="preserve"> </w:t>
      </w:r>
      <w:r>
        <w:t xml:space="preserve">White 2023, PMID 37114757.</w:t>
      </w:r>
    </w:p>
  </w:footnote>
  <w:footnote w:id="1546">
    <w:p>
      <w:pPr>
        <w:pStyle w:val="FootnoteText"/>
      </w:pPr>
      <w:r>
        <w:rPr>
          <w:rStyle w:val="FootnoteReference"/>
        </w:rPr>
        <w:footnoteRef/>
      </w:r>
      <w:r>
        <w:t xml:space="preserve"> </w:t>
      </w:r>
      <w:r>
        <w:t xml:space="preserve">White 2025, PMID 39679943.</w:t>
      </w:r>
    </w:p>
  </w:footnote>
  <w:footnote w:id="1547">
    <w:p>
      <w:pPr>
        <w:pStyle w:val="FootnoteText"/>
      </w:pPr>
      <w:r>
        <w:rPr>
          <w:rStyle w:val="FootnoteReference"/>
        </w:rPr>
        <w:footnoteRef/>
      </w:r>
      <w:r>
        <w:t xml:space="preserve"> </w:t>
      </w:r>
      <w:r>
        <w:t xml:space="preserve">Engel 2025, PMID 39610283.</w:t>
      </w:r>
    </w:p>
  </w:footnote>
  <w:footnote w:id="1549">
    <w:p>
      <w:pPr>
        <w:pStyle w:val="FootnoteText"/>
      </w:pPr>
      <w:r>
        <w:rPr>
          <w:rStyle w:val="FootnoteReference"/>
        </w:rPr>
        <w:footnoteRef/>
      </w:r>
      <w:r>
        <w:t xml:space="preserve"> </w:t>
      </w:r>
      <w:r>
        <w:t xml:space="preserve">Chernausek 2007, PMID 17192294.</w:t>
      </w:r>
    </w:p>
  </w:footnote>
  <w:footnote w:id="1550">
    <w:p>
      <w:pPr>
        <w:pStyle w:val="FootnoteText"/>
      </w:pPr>
      <w:r>
        <w:rPr>
          <w:rStyle w:val="FootnoteReference"/>
        </w:rPr>
        <w:footnoteRef/>
      </w:r>
      <w:r>
        <w:t xml:space="preserve"> </w:t>
      </w:r>
      <w:r>
        <w:t xml:space="preserve">Dunaiski 1997, PMID 9488001; White 2023, PMID 37114757.</w:t>
      </w:r>
    </w:p>
  </w:footnote>
  <w:footnote w:id="1551">
    <w:p>
      <w:pPr>
        <w:pStyle w:val="FootnoteText"/>
      </w:pPr>
      <w:r>
        <w:rPr>
          <w:rStyle w:val="FootnoteReference"/>
        </w:rPr>
        <w:footnoteRef/>
      </w:r>
      <w:r>
        <w:t xml:space="preserve"> </w:t>
      </w:r>
      <w:r>
        <w:t xml:space="preserve">Conlon 1995, PMID 7561636.</w:t>
      </w:r>
    </w:p>
  </w:footnote>
  <w:footnote w:id="1552">
    <w:p>
      <w:pPr>
        <w:pStyle w:val="FootnoteText"/>
      </w:pPr>
      <w:r>
        <w:rPr>
          <w:rStyle w:val="FootnoteReference"/>
        </w:rPr>
        <w:footnoteRef/>
      </w:r>
      <w:r>
        <w:t xml:space="preserve"> </w:t>
      </w:r>
      <w:r>
        <w:t xml:space="preserve">Renehan 2004, PMID 15110491; Murphy 2020, PMID 32169310; Watts 2023, PMID 35726641.</w:t>
      </w:r>
    </w:p>
  </w:footnote>
  <w:footnote w:id="1553">
    <w:p>
      <w:pPr>
        <w:pStyle w:val="FootnoteText"/>
      </w:pPr>
      <w:r>
        <w:rPr>
          <w:rStyle w:val="FootnoteReference"/>
        </w:rPr>
        <w:footnoteRef/>
      </w:r>
      <w:r>
        <w:t xml:space="preserve"> </w:t>
      </w:r>
      <w:r>
        <w:t xml:space="preserve">Guevara-Aguirre 2011, PMID 21325617.</w:t>
      </w:r>
    </w:p>
  </w:footnote>
  <w:footnote w:id="1554">
    <w:p>
      <w:pPr>
        <w:pStyle w:val="FootnoteText"/>
      </w:pPr>
      <w:r>
        <w:rPr>
          <w:rStyle w:val="FootnoteReference"/>
        </w:rPr>
        <w:footnoteRef/>
      </w:r>
      <w:r>
        <w:t xml:space="preserve"> </w:t>
      </w:r>
      <w:r>
        <w:t xml:space="preserve">Kohler 2010, PMID 20675162; Mongongu 2021, PMID 33587816.</w:t>
      </w:r>
    </w:p>
  </w:footnote>
  <w:footnote w:id="1556">
    <w:p>
      <w:pPr>
        <w:pStyle w:val="FootnoteText"/>
      </w:pPr>
      <w:r>
        <w:rPr>
          <w:rStyle w:val="FootnoteReference"/>
        </w:rPr>
        <w:footnoteRef/>
      </w:r>
      <w:r>
        <w:t xml:space="preserve"> </w:t>
      </w:r>
      <w:r>
        <w:t xml:space="preserve">Mongongu 2021, PMID 33587816.</w:t>
      </w:r>
    </w:p>
  </w:footnote>
  <w:footnote w:id="1561">
    <w:p>
      <w:pPr>
        <w:pStyle w:val="FootnoteText"/>
      </w:pPr>
      <w:r>
        <w:rPr>
          <w:rStyle w:val="FootnoteReference"/>
        </w:rPr>
        <w:footnoteRef/>
      </w:r>
      <w:r>
        <w:t xml:space="preserve"> </w:t>
      </w:r>
      <w:r>
        <w:t xml:space="preserve">Bright 2022, PMID 35354138.</w:t>
      </w:r>
    </w:p>
  </w:footnote>
  <w:footnote w:id="1563">
    <w:p>
      <w:pPr>
        <w:pStyle w:val="FootnoteText"/>
      </w:pPr>
      <w:r>
        <w:rPr>
          <w:rStyle w:val="FootnoteReference"/>
        </w:rPr>
        <w:footnoteRef/>
      </w:r>
      <w:r>
        <w:t xml:space="preserve"> </w:t>
      </w:r>
      <w:r>
        <w:t xml:space="preserve">Chapman 1996, PMID 8954023.</w:t>
      </w:r>
    </w:p>
  </w:footnote>
  <w:footnote w:id="1565">
    <w:p>
      <w:pPr>
        <w:pStyle w:val="FootnoteText"/>
      </w:pPr>
      <w:r>
        <w:rPr>
          <w:rStyle w:val="FootnoteReference"/>
        </w:rPr>
        <w:footnoteRef/>
      </w:r>
      <w:r>
        <w:t xml:space="preserve"> </w:t>
      </w:r>
      <w:r>
        <w:t xml:space="preserve">Nass 2008, PMID 18981485.</w:t>
      </w:r>
    </w:p>
  </w:footnote>
  <w:footnote w:id="1567">
    <w:p>
      <w:pPr>
        <w:pStyle w:val="FootnoteText"/>
      </w:pPr>
      <w:r>
        <w:rPr>
          <w:rStyle w:val="FootnoteReference"/>
        </w:rPr>
        <w:footnoteRef/>
      </w:r>
      <w:r>
        <w:t xml:space="preserve"> </w:t>
      </w:r>
      <w:r>
        <w:t xml:space="preserve">Bach 2004, PMID 15066065.</w:t>
      </w:r>
    </w:p>
  </w:footnote>
  <w:footnote w:id="1568">
    <w:p>
      <w:pPr>
        <w:pStyle w:val="FootnoteText"/>
      </w:pPr>
      <w:r>
        <w:rPr>
          <w:rStyle w:val="FootnoteReference"/>
        </w:rPr>
        <w:footnoteRef/>
      </w:r>
      <w:r>
        <w:t xml:space="preserve"> </w:t>
      </w:r>
      <w:r>
        <w:t xml:space="preserve">Adunsky 2011, PMID 21067829.</w:t>
      </w:r>
    </w:p>
  </w:footnote>
  <w:footnote w:id="1570">
    <w:p>
      <w:pPr>
        <w:pStyle w:val="FootnoteText"/>
      </w:pPr>
      <w:r>
        <w:rPr>
          <w:rStyle w:val="FootnoteReference"/>
        </w:rPr>
        <w:footnoteRef/>
      </w:r>
      <w:r>
        <w:t xml:space="preserve"> </w:t>
      </w:r>
      <w:r>
        <w:t xml:space="preserve">Sevigny 2008, PMID 19015485.</w:t>
      </w:r>
    </w:p>
  </w:footnote>
  <w:footnote w:id="1572">
    <w:p>
      <w:pPr>
        <w:pStyle w:val="FootnoteText"/>
      </w:pPr>
      <w:r>
        <w:rPr>
          <w:rStyle w:val="FootnoteReference"/>
        </w:rPr>
        <w:footnoteRef/>
      </w:r>
      <w:r>
        <w:t xml:space="preserve"> </w:t>
      </w:r>
      <w:r>
        <w:t xml:space="preserve">Svensson 1998, PMID 9467542.</w:t>
      </w:r>
    </w:p>
  </w:footnote>
  <w:footnote w:id="1573">
    <w:p>
      <w:pPr>
        <w:pStyle w:val="FootnoteText"/>
      </w:pPr>
      <w:r>
        <w:rPr>
          <w:rStyle w:val="FootnoteReference"/>
        </w:rPr>
        <w:footnoteRef/>
      </w:r>
      <w:r>
        <w:t xml:space="preserve"> </w:t>
      </w:r>
      <w:r>
        <w:t xml:space="preserve">Murphy 2001, PMID 11238495.</w:t>
      </w:r>
    </w:p>
  </w:footnote>
  <w:footnote w:id="1574">
    <w:p>
      <w:pPr>
        <w:pStyle w:val="FootnoteText"/>
      </w:pPr>
      <w:r>
        <w:rPr>
          <w:rStyle w:val="FootnoteReference"/>
        </w:rPr>
        <w:footnoteRef/>
      </w:r>
      <w:r>
        <w:t xml:space="preserve"> </w:t>
      </w:r>
      <w:r>
        <w:t xml:space="preserve">Copinschi 1997, PMID 9349662.</w:t>
      </w:r>
    </w:p>
  </w:footnote>
  <w:footnote w:id="1575">
    <w:p>
      <w:pPr>
        <w:pStyle w:val="FootnoteText"/>
      </w:pPr>
      <w:r>
        <w:rPr>
          <w:rStyle w:val="FootnoteReference"/>
        </w:rPr>
        <w:footnoteRef/>
      </w:r>
      <w:r>
        <w:t xml:space="preserve"> </w:t>
      </w:r>
      <w:r>
        <w:t xml:space="preserve">Campbell 2018, PMID 28340044.</w:t>
      </w:r>
    </w:p>
  </w:footnote>
  <w:footnote w:id="1576">
    <w:p>
      <w:pPr>
        <w:pStyle w:val="FootnoteText"/>
      </w:pPr>
      <w:r>
        <w:rPr>
          <w:rStyle w:val="FootnoteReference"/>
        </w:rPr>
        <w:footnoteRef/>
      </w:r>
      <w:r>
        <w:t xml:space="preserve"> </w:t>
      </w:r>
      <w:r>
        <w:t xml:space="preserve">Codner 2001, PMID 11452249.</w:t>
      </w:r>
    </w:p>
  </w:footnote>
  <w:footnote w:id="1577">
    <w:p>
      <w:pPr>
        <w:pStyle w:val="FootnoteText"/>
      </w:pPr>
      <w:r>
        <w:rPr>
          <w:rStyle w:val="FootnoteReference"/>
        </w:rPr>
        <w:footnoteRef/>
      </w:r>
      <w:r>
        <w:t xml:space="preserve"> </w:t>
      </w:r>
      <w:r>
        <w:t xml:space="preserve">Bright 2022, PMID 35354138.</w:t>
      </w:r>
    </w:p>
  </w:footnote>
  <w:footnote w:id="1580">
    <w:p>
      <w:pPr>
        <w:pStyle w:val="FootnoteText"/>
      </w:pPr>
      <w:r>
        <w:rPr>
          <w:rStyle w:val="FootnoteReference"/>
        </w:rPr>
        <w:footnoteRef/>
      </w:r>
      <w:r>
        <w:t xml:space="preserve"> </w:t>
      </w:r>
      <w:r>
        <w:t xml:space="preserve">Jeong 2018, PMID 29912176.</w:t>
      </w:r>
    </w:p>
  </w:footnote>
  <w:footnote w:id="1581">
    <w:p>
      <w:pPr>
        <w:pStyle w:val="FootnoteText"/>
      </w:pPr>
      <w:r>
        <w:rPr>
          <w:rStyle w:val="FootnoteReference"/>
        </w:rPr>
        <w:footnoteRef/>
      </w:r>
      <w:r>
        <w:t xml:space="preserve"> </w:t>
      </w:r>
      <w:r>
        <w:t xml:space="preserve">Liu 2021, PMID 34737341.</w:t>
      </w:r>
    </w:p>
  </w:footnote>
  <w:footnote w:id="1583">
    <w:p>
      <w:pPr>
        <w:pStyle w:val="FootnoteText"/>
      </w:pPr>
      <w:r>
        <w:rPr>
          <w:rStyle w:val="FootnoteReference"/>
        </w:rPr>
        <w:footnoteRef/>
      </w:r>
      <w:r>
        <w:t xml:space="preserve"> </w:t>
      </w:r>
      <w:r>
        <w:t xml:space="preserve">Adunsky 2011, PMID 21067829.</w:t>
      </w:r>
    </w:p>
  </w:footnote>
  <w:footnote w:id="1584">
    <w:p>
      <w:pPr>
        <w:pStyle w:val="FootnoteText"/>
      </w:pPr>
      <w:r>
        <w:rPr>
          <w:rStyle w:val="FootnoteReference"/>
        </w:rPr>
        <w:footnoteRef/>
      </w:r>
      <w:r>
        <w:t xml:space="preserve"> </w:t>
      </w:r>
      <w:r>
        <w:t xml:space="preserve">Nass 2008, PMID 18981485; Chapman 1996, PMID 8954023.</w:t>
      </w:r>
    </w:p>
  </w:footnote>
  <w:footnote w:id="1585">
    <w:p>
      <w:pPr>
        <w:pStyle w:val="FootnoteText"/>
      </w:pPr>
      <w:r>
        <w:rPr>
          <w:rStyle w:val="FootnoteReference"/>
        </w:rPr>
        <w:footnoteRef/>
      </w:r>
      <w:r>
        <w:t xml:space="preserve"> </w:t>
      </w:r>
      <w:r>
        <w:t xml:space="preserve">Svensson 1998, PMID 9467542.</w:t>
      </w:r>
    </w:p>
  </w:footnote>
  <w:footnote w:id="1586">
    <w:p>
      <w:pPr>
        <w:pStyle w:val="FootnoteText"/>
      </w:pPr>
      <w:r>
        <w:rPr>
          <w:rStyle w:val="FootnoteReference"/>
        </w:rPr>
        <w:footnoteRef/>
      </w:r>
      <w:r>
        <w:t xml:space="preserve"> </w:t>
      </w:r>
      <w:r>
        <w:t xml:space="preserve">Nass 2008, PMID 18981485.</w:t>
      </w:r>
    </w:p>
  </w:footnote>
  <w:footnote w:id="1587">
    <w:p>
      <w:pPr>
        <w:pStyle w:val="FootnoteText"/>
      </w:pPr>
      <w:r>
        <w:rPr>
          <w:rStyle w:val="FootnoteReference"/>
        </w:rPr>
        <w:footnoteRef/>
      </w:r>
      <w:r>
        <w:t xml:space="preserve"> </w:t>
      </w:r>
      <w:r>
        <w:t xml:space="preserve">Nass 2008, PMID 18981485.</w:t>
      </w:r>
    </w:p>
  </w:footnote>
  <w:footnote w:id="1588">
    <w:p>
      <w:pPr>
        <w:pStyle w:val="FootnoteText"/>
      </w:pPr>
      <w:r>
        <w:rPr>
          <w:rStyle w:val="FootnoteReference"/>
        </w:rPr>
        <w:footnoteRef/>
      </w:r>
      <w:r>
        <w:t xml:space="preserve"> </w:t>
      </w:r>
      <w:r>
        <w:t xml:space="preserve">Cobani 2025, PMID 40675653.</w:t>
      </w:r>
    </w:p>
  </w:footnote>
  <w:footnote w:id="1589">
    <w:p>
      <w:pPr>
        <w:pStyle w:val="FootnoteText"/>
      </w:pPr>
      <w:r>
        <w:rPr>
          <w:rStyle w:val="FootnoteReference"/>
        </w:rPr>
        <w:footnoteRef/>
      </w:r>
      <w:r>
        <w:t xml:space="preserve"> </w:t>
      </w:r>
      <w:r>
        <w:t xml:space="preserve">Chong 2024, PMID 39145153.</w:t>
      </w:r>
    </w:p>
  </w:footnote>
  <w:footnote w:id="1590">
    <w:p>
      <w:pPr>
        <w:pStyle w:val="FootnoteText"/>
      </w:pPr>
      <w:r>
        <w:rPr>
          <w:rStyle w:val="FootnoteReference"/>
        </w:rPr>
        <w:footnoteRef/>
      </w:r>
      <w:r>
        <w:t xml:space="preserve"> </w:t>
      </w:r>
      <w:r>
        <w:t xml:space="preserve">Sigalos 2018, PMID 28400207.</w:t>
      </w:r>
    </w:p>
  </w:footnote>
  <w:footnote w:id="1591">
    <w:p>
      <w:pPr>
        <w:pStyle w:val="FootnoteText"/>
      </w:pPr>
      <w:r>
        <w:rPr>
          <w:rStyle w:val="FootnoteReference"/>
        </w:rPr>
        <w:footnoteRef/>
      </w:r>
      <w:r>
        <w:t xml:space="preserve"> </w:t>
      </w:r>
      <w:r>
        <w:t xml:space="preserve">Van Wagoner 2017, PMID 29183075.</w:t>
      </w:r>
    </w:p>
  </w:footnote>
  <w:footnote w:id="1592">
    <w:p>
      <w:pPr>
        <w:pStyle w:val="FootnoteText"/>
      </w:pPr>
      <w:r>
        <w:rPr>
          <w:rStyle w:val="FootnoteReference"/>
        </w:rPr>
        <w:footnoteRef/>
      </w:r>
      <w:r>
        <w:t xml:space="preserve"> </w:t>
      </w:r>
      <w:r>
        <w:t xml:space="preserve">Barrios 2025, PMID 40551438.</w:t>
      </w:r>
    </w:p>
  </w:footnote>
  <w:footnote w:id="1594">
    <w:p>
      <w:pPr>
        <w:pStyle w:val="FootnoteText"/>
      </w:pPr>
      <w:r>
        <w:rPr>
          <w:rStyle w:val="FootnoteReference"/>
        </w:rPr>
        <w:footnoteRef/>
      </w:r>
      <w:r>
        <w:t xml:space="preserve"> </w:t>
      </w:r>
      <w:r>
        <w:t xml:space="preserve">Viljanto 2023, PMID 36354265.</w:t>
      </w:r>
    </w:p>
  </w:footnote>
  <w:footnote w:id="1596">
    <w:p>
      <w:pPr>
        <w:pStyle w:val="FootnoteText"/>
      </w:pPr>
      <w:r>
        <w:rPr>
          <w:rStyle w:val="FootnoteReference"/>
        </w:rPr>
        <w:footnoteRef/>
      </w:r>
      <w:r>
        <w:t xml:space="preserve"> </w:t>
      </w:r>
      <w:r>
        <w:t xml:space="preserve">NCT04614337.</w:t>
      </w:r>
    </w:p>
  </w:footnote>
  <w:footnote w:id="1597">
    <w:p>
      <w:pPr>
        <w:pStyle w:val="FootnoteText"/>
      </w:pPr>
      <w:r>
        <w:rPr>
          <w:rStyle w:val="FootnoteReference"/>
        </w:rPr>
        <w:footnoteRef/>
      </w:r>
      <w:r>
        <w:t xml:space="preserve"> </w:t>
      </w:r>
      <w:r>
        <w:t xml:space="preserve">NCT06948214.</w:t>
      </w:r>
    </w:p>
  </w:footnote>
  <w:footnote w:id="1598">
    <w:p>
      <w:pPr>
        <w:pStyle w:val="FootnoteText"/>
      </w:pPr>
      <w:r>
        <w:rPr>
          <w:rStyle w:val="FootnoteReference"/>
        </w:rPr>
        <w:footnoteRef/>
      </w:r>
      <w:r>
        <w:t xml:space="preserve"> </w:t>
      </w:r>
      <w:r>
        <w:t xml:space="preserve">NCT07129759.</w:t>
      </w:r>
    </w:p>
  </w:footnote>
  <w:footnote w:id="1599">
    <w:p>
      <w:pPr>
        <w:pStyle w:val="FootnoteText"/>
      </w:pPr>
      <w:r>
        <w:rPr>
          <w:rStyle w:val="FootnoteReference"/>
        </w:rPr>
        <w:footnoteRef/>
      </w:r>
      <w:r>
        <w:t xml:space="preserve"> </w:t>
      </w:r>
      <w:r>
        <w:t xml:space="preserve">NCT07754045.</w:t>
      </w:r>
    </w:p>
  </w:footnote>
  <w:footnote w:id="1610">
    <w:p>
      <w:pPr>
        <w:pStyle w:val="FootnoteText"/>
      </w:pPr>
      <w:r>
        <w:rPr>
          <w:rStyle w:val="FootnoteReference"/>
        </w:rPr>
        <w:footnoteRef/>
      </w:r>
      <w:r>
        <w:t xml:space="preserve"> </w:t>
      </w:r>
      <w:r>
        <w:t xml:space="preserve">Dolotov 2006, PMID 16635254.</w:t>
      </w:r>
    </w:p>
  </w:footnote>
  <w:footnote w:id="1611">
    <w:p>
      <w:pPr>
        <w:pStyle w:val="FootnoteText"/>
      </w:pPr>
      <w:r>
        <w:rPr>
          <w:rStyle w:val="FootnoteReference"/>
        </w:rPr>
        <w:footnoteRef/>
      </w:r>
      <w:r>
        <w:t xml:space="preserve"> </w:t>
      </w:r>
      <w:r>
        <w:t xml:space="preserve">Medvedeva 2014, PMID 24661604.</w:t>
      </w:r>
    </w:p>
  </w:footnote>
  <w:footnote w:id="1613">
    <w:p>
      <w:pPr>
        <w:pStyle w:val="FootnoteText"/>
      </w:pPr>
      <w:r>
        <w:rPr>
          <w:rStyle w:val="FootnoteReference"/>
        </w:rPr>
        <w:footnoteRef/>
      </w:r>
      <w:r>
        <w:t xml:space="preserve"> </w:t>
      </w:r>
      <w:r>
        <w:t xml:space="preserve">Gusev 1997, PMID 11517472.</w:t>
      </w:r>
    </w:p>
  </w:footnote>
  <w:footnote w:id="1614">
    <w:p>
      <w:pPr>
        <w:pStyle w:val="FootnoteText"/>
      </w:pPr>
      <w:r>
        <w:rPr>
          <w:rStyle w:val="FootnoteReference"/>
        </w:rPr>
        <w:footnoteRef/>
      </w:r>
      <w:r>
        <w:t xml:space="preserve"> </w:t>
      </w:r>
      <w:r>
        <w:t xml:space="preserve">Miasoedova 1999, PMID 10358912.</w:t>
      </w:r>
    </w:p>
  </w:footnote>
  <w:footnote w:id="1615">
    <w:p>
      <w:pPr>
        <w:pStyle w:val="FootnoteText"/>
      </w:pPr>
      <w:r>
        <w:rPr>
          <w:rStyle w:val="FootnoteReference"/>
        </w:rPr>
        <w:footnoteRef/>
      </w:r>
      <w:r>
        <w:t xml:space="preserve"> </w:t>
      </w:r>
      <w:r>
        <w:t xml:space="preserve">Gusev 2018, PMID 29798983.</w:t>
      </w:r>
    </w:p>
  </w:footnote>
  <w:footnote w:id="1617">
    <w:p>
      <w:pPr>
        <w:pStyle w:val="FootnoteText"/>
      </w:pPr>
      <w:r>
        <w:rPr>
          <w:rStyle w:val="FootnoteReference"/>
        </w:rPr>
        <w:footnoteRef/>
      </w:r>
      <w:r>
        <w:t xml:space="preserve"> </w:t>
      </w:r>
      <w:r>
        <w:t xml:space="preserve">Serdiuk 2007, PMID 18379501.</w:t>
      </w:r>
    </w:p>
  </w:footnote>
  <w:footnote w:id="1618">
    <w:p>
      <w:pPr>
        <w:pStyle w:val="FootnoteText"/>
      </w:pPr>
      <w:r>
        <w:rPr>
          <w:rStyle w:val="FootnoteReference"/>
        </w:rPr>
        <w:footnoteRef/>
      </w:r>
      <w:r>
        <w:t xml:space="preserve"> </w:t>
      </w:r>
      <w:r>
        <w:t xml:space="preserve">Polunin 2000, PMID 10741256.</w:t>
      </w:r>
    </w:p>
  </w:footnote>
  <w:footnote w:id="1619">
    <w:p>
      <w:pPr>
        <w:pStyle w:val="FootnoteText"/>
      </w:pPr>
      <w:r>
        <w:rPr>
          <w:rStyle w:val="FootnoteReference"/>
        </w:rPr>
        <w:footnoteRef/>
      </w:r>
      <w:r>
        <w:t xml:space="preserve"> </w:t>
      </w:r>
      <w:r>
        <w:t xml:space="preserve">Alekseeva 1999, PMID 10199046.</w:t>
      </w:r>
    </w:p>
  </w:footnote>
  <w:footnote w:id="1620">
    <w:p>
      <w:pPr>
        <w:pStyle w:val="FootnoteText"/>
      </w:pPr>
      <w:r>
        <w:rPr>
          <w:rStyle w:val="FootnoteReference"/>
        </w:rPr>
        <w:footnoteRef/>
      </w:r>
      <w:r>
        <w:t xml:space="preserve"> </w:t>
      </w:r>
      <w:r>
        <w:t xml:space="preserve">Ivanikov 2002, PMID 12459874.</w:t>
      </w:r>
    </w:p>
  </w:footnote>
  <w:footnote w:id="1622">
    <w:p>
      <w:pPr>
        <w:pStyle w:val="FootnoteText"/>
      </w:pPr>
      <w:r>
        <w:rPr>
          <w:rStyle w:val="FootnoteReference"/>
        </w:rPr>
        <w:footnoteRef/>
      </w:r>
      <w:r>
        <w:t xml:space="preserve"> </w:t>
      </w:r>
      <w:r>
        <w:t xml:space="preserve">Asmarin 1997, PMID 9173745.</w:t>
      </w:r>
    </w:p>
  </w:footnote>
  <w:footnote w:id="1625">
    <w:p>
      <w:pPr>
        <w:pStyle w:val="FootnoteText"/>
      </w:pPr>
      <w:r>
        <w:rPr>
          <w:rStyle w:val="FootnoteReference"/>
        </w:rPr>
        <w:footnoteRef/>
      </w:r>
      <w:r>
        <w:t xml:space="preserve"> </w:t>
      </w:r>
      <w:r>
        <w:t xml:space="preserve">Medvedeva 2014, PMID 24661604.</w:t>
      </w:r>
    </w:p>
  </w:footnote>
  <w:footnote w:id="1626">
    <w:p>
      <w:pPr>
        <w:pStyle w:val="FootnoteText"/>
      </w:pPr>
      <w:r>
        <w:rPr>
          <w:rStyle w:val="FootnoteReference"/>
        </w:rPr>
        <w:footnoteRef/>
      </w:r>
      <w:r>
        <w:t xml:space="preserve"> </w:t>
      </w:r>
      <w:r>
        <w:t xml:space="preserve">Levitskaya 2004, PMID 15341218.</w:t>
      </w:r>
    </w:p>
  </w:footnote>
  <w:footnote w:id="1627">
    <w:p>
      <w:pPr>
        <w:pStyle w:val="FootnoteText"/>
      </w:pPr>
      <w:r>
        <w:rPr>
          <w:rStyle w:val="FootnoteReference"/>
        </w:rPr>
        <w:footnoteRef/>
      </w:r>
      <w:r>
        <w:t xml:space="preserve"> </w:t>
      </w:r>
      <w:r>
        <w:t xml:space="preserve">Radchenko 2025, PMID 41479572.</w:t>
      </w:r>
    </w:p>
  </w:footnote>
  <w:footnote w:id="1628">
    <w:p>
      <w:pPr>
        <w:pStyle w:val="FootnoteText"/>
      </w:pPr>
      <w:r>
        <w:rPr>
          <w:rStyle w:val="FootnoteReference"/>
        </w:rPr>
        <w:footnoteRef/>
      </w:r>
      <w:r>
        <w:t xml:space="preserve"> </w:t>
      </w:r>
      <w:r>
        <w:t xml:space="preserve">Tomasello 2025, PMID 40496623.</w:t>
      </w:r>
    </w:p>
  </w:footnote>
  <w:footnote w:id="1630">
    <w:p>
      <w:pPr>
        <w:pStyle w:val="FootnoteText"/>
      </w:pPr>
      <w:r>
        <w:rPr>
          <w:rStyle w:val="FootnoteReference"/>
        </w:rPr>
        <w:footnoteRef/>
      </w:r>
      <w:r>
        <w:t xml:space="preserve"> </w:t>
      </w:r>
      <w:r>
        <w:t xml:space="preserve">Gusev 2005, PMID 15792140.</w:t>
      </w:r>
    </w:p>
  </w:footnote>
  <w:footnote w:id="1631">
    <w:p>
      <w:pPr>
        <w:pStyle w:val="FootnoteText"/>
      </w:pPr>
      <w:r>
        <w:rPr>
          <w:rStyle w:val="FootnoteReference"/>
        </w:rPr>
        <w:footnoteRef/>
      </w:r>
      <w:r>
        <w:t xml:space="preserve"> </w:t>
      </w:r>
      <w:r>
        <w:t xml:space="preserve">Alekseeva 1999, PMID 10199046.</w:t>
      </w:r>
    </w:p>
  </w:footnote>
  <w:footnote w:id="1632">
    <w:p>
      <w:pPr>
        <w:pStyle w:val="FootnoteText"/>
      </w:pPr>
      <w:r>
        <w:rPr>
          <w:rStyle w:val="FootnoteReference"/>
        </w:rPr>
        <w:footnoteRef/>
      </w:r>
      <w:r>
        <w:t xml:space="preserve"> </w:t>
      </w:r>
      <w:r>
        <w:t xml:space="preserve">Vanhee 2020, PMID 31667971.</w:t>
      </w:r>
    </w:p>
  </w:footnote>
  <w:footnote w:id="1639">
    <w:p>
      <w:pPr>
        <w:pStyle w:val="FootnoteText"/>
      </w:pPr>
      <w:r>
        <w:rPr>
          <w:rStyle w:val="FootnoteReference"/>
        </w:rPr>
        <w:footnoteRef/>
      </w:r>
      <w:r>
        <w:t xml:space="preserve"> </w:t>
      </w:r>
      <w:r>
        <w:t xml:space="preserve">Zozulya 2001, PMID 11550013.</w:t>
      </w:r>
    </w:p>
  </w:footnote>
  <w:footnote w:id="1640">
    <w:p>
      <w:pPr>
        <w:pStyle w:val="FootnoteText"/>
      </w:pPr>
      <w:r>
        <w:rPr>
          <w:rStyle w:val="FootnoteReference"/>
        </w:rPr>
        <w:footnoteRef/>
      </w:r>
      <w:r>
        <w:t xml:space="preserve"> </w:t>
      </w:r>
      <w:r>
        <w:t xml:space="preserve">Volkova 2016, PMID 26924987.</w:t>
      </w:r>
    </w:p>
  </w:footnote>
  <w:footnote w:id="1641">
    <w:p>
      <w:pPr>
        <w:pStyle w:val="FootnoteText"/>
      </w:pPr>
      <w:r>
        <w:rPr>
          <w:rStyle w:val="FootnoteReference"/>
        </w:rPr>
        <w:footnoteRef/>
      </w:r>
      <w:r>
        <w:t xml:space="preserve"> </w:t>
      </w:r>
      <w:r>
        <w:t xml:space="preserve">Ershov 2009, PMID 19882898.</w:t>
      </w:r>
    </w:p>
  </w:footnote>
  <w:footnote w:id="1643">
    <w:p>
      <w:pPr>
        <w:pStyle w:val="FootnoteText"/>
      </w:pPr>
      <w:r>
        <w:rPr>
          <w:rStyle w:val="FootnoteReference"/>
        </w:rPr>
        <w:footnoteRef/>
      </w:r>
      <w:r>
        <w:t xml:space="preserve"> </w:t>
      </w:r>
      <w:r>
        <w:t xml:space="preserve">Zozulia 2008, PMID 18454096.</w:t>
      </w:r>
    </w:p>
  </w:footnote>
  <w:footnote w:id="1644">
    <w:p>
      <w:pPr>
        <w:pStyle w:val="FootnoteText"/>
      </w:pPr>
      <w:r>
        <w:rPr>
          <w:rStyle w:val="FootnoteReference"/>
        </w:rPr>
        <w:footnoteRef/>
      </w:r>
      <w:r>
        <w:t xml:space="preserve"> </w:t>
      </w:r>
      <w:r>
        <w:t xml:space="preserve">Medvedev 2014, PMID 25176261.</w:t>
      </w:r>
    </w:p>
  </w:footnote>
  <w:footnote w:id="1645">
    <w:p>
      <w:pPr>
        <w:pStyle w:val="FootnoteText"/>
      </w:pPr>
      <w:r>
        <w:rPr>
          <w:rStyle w:val="FootnoteReference"/>
        </w:rPr>
        <w:footnoteRef/>
      </w:r>
      <w:r>
        <w:t xml:space="preserve"> </w:t>
      </w:r>
      <w:r>
        <w:t xml:space="preserve">Medvedev 2015, PMID 26356395.</w:t>
      </w:r>
    </w:p>
  </w:footnote>
  <w:footnote w:id="1647">
    <w:p>
      <w:pPr>
        <w:pStyle w:val="FootnoteText"/>
      </w:pPr>
      <w:r>
        <w:rPr>
          <w:rStyle w:val="FootnoteReference"/>
        </w:rPr>
        <w:footnoteRef/>
      </w:r>
      <w:r>
        <w:t xml:space="preserve"> </w:t>
      </w:r>
      <w:r>
        <w:t xml:space="preserve">Uchakina 2008, PMID 18577961.</w:t>
      </w:r>
    </w:p>
  </w:footnote>
  <w:footnote w:id="1648">
    <w:p>
      <w:pPr>
        <w:pStyle w:val="FootnoteText"/>
      </w:pPr>
      <w:r>
        <w:rPr>
          <w:rStyle w:val="FootnoteReference"/>
        </w:rPr>
        <w:footnoteRef/>
      </w:r>
      <w:r>
        <w:t xml:space="preserve"> </w:t>
      </w:r>
      <w:r>
        <w:t xml:space="preserve">Panikratova 2020, PMID 32342318.</w:t>
      </w:r>
    </w:p>
  </w:footnote>
  <w:footnote w:id="1651">
    <w:p>
      <w:pPr>
        <w:pStyle w:val="FootnoteText"/>
      </w:pPr>
      <w:r>
        <w:rPr>
          <w:rStyle w:val="FootnoteReference"/>
        </w:rPr>
        <w:footnoteRef/>
      </w:r>
      <w:r>
        <w:t xml:space="preserve"> </w:t>
      </w:r>
      <w:r>
        <w:t xml:space="preserve">Kolik 2019, PMID 31625062.</w:t>
      </w:r>
    </w:p>
  </w:footnote>
  <w:footnote w:id="1652">
    <w:p>
      <w:pPr>
        <w:pStyle w:val="FootnoteText"/>
      </w:pPr>
      <w:r>
        <w:rPr>
          <w:rStyle w:val="FootnoteReference"/>
        </w:rPr>
        <w:footnoteRef/>
      </w:r>
      <w:r>
        <w:t xml:space="preserve"> </w:t>
      </w:r>
      <w:r>
        <w:t xml:space="preserve">Volkova 2016, PMID 26924987.</w:t>
      </w:r>
    </w:p>
  </w:footnote>
  <w:footnote w:id="1653">
    <w:p>
      <w:pPr>
        <w:pStyle w:val="FootnoteText"/>
      </w:pPr>
      <w:r>
        <w:rPr>
          <w:rStyle w:val="FootnoteReference"/>
        </w:rPr>
        <w:footnoteRef/>
      </w:r>
      <w:r>
        <w:t xml:space="preserve"> </w:t>
      </w:r>
      <w:r>
        <w:t xml:space="preserve">Ershov 2009, PMID 19882898.</w:t>
      </w:r>
    </w:p>
  </w:footnote>
  <w:footnote w:id="1655">
    <w:p>
      <w:pPr>
        <w:pStyle w:val="FootnoteText"/>
      </w:pPr>
      <w:r>
        <w:rPr>
          <w:rStyle w:val="FootnoteReference"/>
        </w:rPr>
        <w:footnoteRef/>
      </w:r>
      <w:r>
        <w:t xml:space="preserve"> </w:t>
      </w:r>
      <w:r>
        <w:t xml:space="preserve">Vanhee 2020, PMID 31667971.</w:t>
      </w:r>
    </w:p>
  </w:footnote>
  <w:footnote w:id="1663">
    <w:p>
      <w:pPr>
        <w:pStyle w:val="FootnoteText"/>
      </w:pPr>
      <w:r>
        <w:rPr>
          <w:rStyle w:val="FootnoteReference"/>
        </w:rPr>
        <w:footnoteRef/>
      </w:r>
      <w:r>
        <w:t xml:space="preserve"> </w:t>
      </w:r>
      <w:r>
        <w:t xml:space="preserve">Hong 2009, PMID 19765131.</w:t>
      </w:r>
    </w:p>
  </w:footnote>
  <w:footnote w:id="1664">
    <w:p>
      <w:pPr>
        <w:pStyle w:val="FootnoteText"/>
      </w:pPr>
      <w:r>
        <w:rPr>
          <w:rStyle w:val="FootnoteReference"/>
        </w:rPr>
        <w:footnoteRef/>
      </w:r>
      <w:r>
        <w:t xml:space="preserve"> </w:t>
      </w:r>
      <w:r>
        <w:t xml:space="preserve">NCT00868283.</w:t>
      </w:r>
    </w:p>
  </w:footnote>
  <w:footnote w:id="1665">
    <w:p>
      <w:pPr>
        <w:pStyle w:val="FootnoteText"/>
      </w:pPr>
      <w:r>
        <w:rPr>
          <w:rStyle w:val="FootnoteReference"/>
        </w:rPr>
        <w:footnoteRef/>
      </w:r>
      <w:r>
        <w:t xml:space="preserve"> </w:t>
      </w:r>
      <w:r>
        <w:t xml:space="preserve">Heiss 2012, PMID 22282884.</w:t>
      </w:r>
    </w:p>
  </w:footnote>
  <w:footnote w:id="1666">
    <w:p>
      <w:pPr>
        <w:pStyle w:val="FootnoteText"/>
      </w:pPr>
      <w:r>
        <w:rPr>
          <w:rStyle w:val="FootnoteReference"/>
        </w:rPr>
        <w:footnoteRef/>
      </w:r>
      <w:r>
        <w:t xml:space="preserve"> </w:t>
      </w:r>
      <w:r>
        <w:t xml:space="preserve">Lang 2013, PMID 23009193.</w:t>
      </w:r>
    </w:p>
  </w:footnote>
  <w:footnote w:id="1667">
    <w:p>
      <w:pPr>
        <w:pStyle w:val="FootnoteText"/>
      </w:pPr>
      <w:r>
        <w:rPr>
          <w:rStyle w:val="FootnoteReference"/>
        </w:rPr>
        <w:footnoteRef/>
      </w:r>
      <w:r>
        <w:t xml:space="preserve"> </w:t>
      </w:r>
      <w:r>
        <w:t xml:space="preserve">Khasanova 2023, PMID 36973684.</w:t>
      </w:r>
    </w:p>
  </w:footnote>
  <w:footnote w:id="1668">
    <w:p>
      <w:pPr>
        <w:pStyle w:val="FootnoteText"/>
      </w:pPr>
      <w:r>
        <w:rPr>
          <w:rStyle w:val="FootnoteReference"/>
        </w:rPr>
        <w:footnoteRef/>
      </w:r>
      <w:r>
        <w:t xml:space="preserve"> </w:t>
      </w:r>
      <w:r>
        <w:t xml:space="preserve">Staszewski 2025, PMID 40325343.</w:t>
      </w:r>
    </w:p>
  </w:footnote>
  <w:footnote w:id="1670">
    <w:p>
      <w:pPr>
        <w:pStyle w:val="FootnoteText"/>
      </w:pPr>
      <w:r>
        <w:rPr>
          <w:rStyle w:val="FootnoteReference"/>
        </w:rPr>
        <w:footnoteRef/>
      </w:r>
      <w:r>
        <w:t xml:space="preserve"> </w:t>
      </w:r>
      <w:r>
        <w:t xml:space="preserve">Muresanu 2016, PMID 26564102.</w:t>
      </w:r>
    </w:p>
  </w:footnote>
  <w:footnote w:id="1671">
    <w:p>
      <w:pPr>
        <w:pStyle w:val="FootnoteText"/>
      </w:pPr>
      <w:r>
        <w:rPr>
          <w:rStyle w:val="FootnoteReference"/>
        </w:rPr>
        <w:footnoteRef/>
      </w:r>
      <w:r>
        <w:t xml:space="preserve"> </w:t>
      </w:r>
      <w:r>
        <w:t xml:space="preserve">Guekht 2017, PMID 28707130.</w:t>
      </w:r>
    </w:p>
  </w:footnote>
  <w:footnote w:id="1672">
    <w:p>
      <w:pPr>
        <w:pStyle w:val="FootnoteText"/>
      </w:pPr>
      <w:r>
        <w:rPr>
          <w:rStyle w:val="FootnoteReference"/>
        </w:rPr>
        <w:footnoteRef/>
      </w:r>
      <w:r>
        <w:t xml:space="preserve"> </w:t>
      </w:r>
      <w:r>
        <w:t xml:space="preserve">Stan 2017, PMID 29362596.</w:t>
      </w:r>
    </w:p>
  </w:footnote>
  <w:footnote w:id="1673">
    <w:p>
      <w:pPr>
        <w:pStyle w:val="FootnoteText"/>
      </w:pPr>
      <w:r>
        <w:rPr>
          <w:rStyle w:val="FootnoteReference"/>
        </w:rPr>
        <w:footnoteRef/>
      </w:r>
      <w:r>
        <w:t xml:space="preserve"> </w:t>
      </w:r>
      <w:r>
        <w:t xml:space="preserve">Chang 2016, PMID 26934986.</w:t>
      </w:r>
    </w:p>
  </w:footnote>
  <w:footnote w:id="1674">
    <w:p>
      <w:pPr>
        <w:pStyle w:val="FootnoteText"/>
      </w:pPr>
      <w:r>
        <w:rPr>
          <w:rStyle w:val="FootnoteReference"/>
        </w:rPr>
        <w:footnoteRef/>
      </w:r>
      <w:r>
        <w:t xml:space="preserve"> </w:t>
      </w:r>
      <w:r>
        <w:t xml:space="preserve">Homberg 2025, PMID 39957612.</w:t>
      </w:r>
    </w:p>
  </w:footnote>
  <w:footnote w:id="1675">
    <w:p>
      <w:pPr>
        <w:pStyle w:val="FootnoteText"/>
      </w:pPr>
      <w:r>
        <w:rPr>
          <w:rStyle w:val="FootnoteReference"/>
        </w:rPr>
        <w:footnoteRef/>
      </w:r>
      <w:r>
        <w:t xml:space="preserve"> </w:t>
      </w:r>
      <w:r>
        <w:t xml:space="preserve">Beghi 2021, PMID 34152062.</w:t>
      </w:r>
    </w:p>
  </w:footnote>
  <w:footnote w:id="1677">
    <w:p>
      <w:pPr>
        <w:pStyle w:val="FootnoteText"/>
      </w:pPr>
      <w:r>
        <w:rPr>
          <w:rStyle w:val="FootnoteReference"/>
        </w:rPr>
        <w:footnoteRef/>
      </w:r>
      <w:r>
        <w:t xml:space="preserve"> </w:t>
      </w:r>
      <w:r>
        <w:t xml:space="preserve">Ziganshina 2020, PMID 32662068.</w:t>
      </w:r>
    </w:p>
  </w:footnote>
  <w:footnote w:id="1678">
    <w:p>
      <w:pPr>
        <w:pStyle w:val="FootnoteText"/>
      </w:pPr>
      <w:r>
        <w:rPr>
          <w:rStyle w:val="FootnoteReference"/>
        </w:rPr>
        <w:footnoteRef/>
      </w:r>
      <w:r>
        <w:t xml:space="preserve"> </w:t>
      </w:r>
      <w:r>
        <w:t xml:space="preserve">Ziganshina 2023, PMID 37818733.</w:t>
      </w:r>
    </w:p>
  </w:footnote>
  <w:footnote w:id="1679">
    <w:p>
      <w:pPr>
        <w:pStyle w:val="FootnoteText"/>
      </w:pPr>
      <w:r>
        <w:rPr>
          <w:rStyle w:val="FootnoteReference"/>
        </w:rPr>
        <w:footnoteRef/>
      </w:r>
      <w:r>
        <w:t xml:space="preserve"> </w:t>
      </w:r>
      <w:r>
        <w:t xml:space="preserve">Bornstein 2018, PMID 29248999.</w:t>
      </w:r>
    </w:p>
  </w:footnote>
  <w:footnote w:id="1680">
    <w:p>
      <w:pPr>
        <w:pStyle w:val="FootnoteText"/>
      </w:pPr>
      <w:r>
        <w:rPr>
          <w:rStyle w:val="FootnoteReference"/>
        </w:rPr>
        <w:footnoteRef/>
      </w:r>
      <w:r>
        <w:t xml:space="preserve"> </w:t>
      </w:r>
      <w:r>
        <w:t xml:space="preserve">Strilciuc 2021, PMID 34959697.</w:t>
      </w:r>
    </w:p>
  </w:footnote>
  <w:footnote w:id="1682">
    <w:p>
      <w:pPr>
        <w:pStyle w:val="FootnoteText"/>
      </w:pPr>
      <w:r>
        <w:rPr>
          <w:rStyle w:val="FootnoteReference"/>
        </w:rPr>
        <w:footnoteRef/>
      </w:r>
      <w:r>
        <w:t xml:space="preserve"> </w:t>
      </w:r>
      <w:r>
        <w:t xml:space="preserve">Vosko 2025, PMID 40851188; NCT03480698.</w:t>
      </w:r>
    </w:p>
  </w:footnote>
  <w:footnote w:id="1684">
    <w:p>
      <w:pPr>
        <w:pStyle w:val="FootnoteText"/>
      </w:pPr>
      <w:r>
        <w:rPr>
          <w:rStyle w:val="FootnoteReference"/>
        </w:rPr>
        <w:footnoteRef/>
      </w:r>
      <w:r>
        <w:t xml:space="preserve"> </w:t>
      </w:r>
      <w:r>
        <w:t xml:space="preserve">Bajenaru 2010, PMID 20968198.</w:t>
      </w:r>
    </w:p>
  </w:footnote>
  <w:footnote w:id="1685">
    <w:p>
      <w:pPr>
        <w:pStyle w:val="FootnoteText"/>
      </w:pPr>
      <w:r>
        <w:rPr>
          <w:rStyle w:val="FootnoteReference"/>
        </w:rPr>
        <w:footnoteRef/>
      </w:r>
      <w:r>
        <w:t xml:space="preserve"> </w:t>
      </w:r>
      <w:r>
        <w:t xml:space="preserve">Woo 2020, PMID 33143640; NCT01787123.</w:t>
      </w:r>
    </w:p>
  </w:footnote>
  <w:footnote w:id="1686">
    <w:p>
      <w:pPr>
        <w:pStyle w:val="FootnoteText"/>
      </w:pPr>
      <w:r>
        <w:rPr>
          <w:rStyle w:val="FootnoteReference"/>
        </w:rPr>
        <w:footnoteRef/>
      </w:r>
      <w:r>
        <w:t xml:space="preserve"> </w:t>
      </w:r>
      <w:r>
        <w:t xml:space="preserve">Kobayashi 2025, PMID 41180520.</w:t>
      </w:r>
    </w:p>
  </w:footnote>
  <w:footnote w:id="1688">
    <w:p>
      <w:pPr>
        <w:pStyle w:val="FootnoteText"/>
      </w:pPr>
      <w:r>
        <w:rPr>
          <w:rStyle w:val="FootnoteReference"/>
        </w:rPr>
        <w:footnoteRef/>
      </w:r>
      <w:r>
        <w:t xml:space="preserve"> </w:t>
      </w:r>
      <w:r>
        <w:t xml:space="preserve">Ghaffarpasand 2019, PMID 30643411; Jarosz 2023, PMID 36979317.</w:t>
      </w:r>
    </w:p>
  </w:footnote>
  <w:footnote w:id="1690">
    <w:p>
      <w:pPr>
        <w:pStyle w:val="FootnoteText"/>
      </w:pPr>
      <w:r>
        <w:rPr>
          <w:rStyle w:val="FootnoteReference"/>
        </w:rPr>
        <w:footnoteRef/>
      </w:r>
      <w:r>
        <w:t xml:space="preserve"> </w:t>
      </w:r>
      <w:r>
        <w:t xml:space="preserve">Panisset 2002, PMID 12111446.</w:t>
      </w:r>
    </w:p>
  </w:footnote>
  <w:footnote w:id="1691">
    <w:p>
      <w:pPr>
        <w:pStyle w:val="FootnoteText"/>
      </w:pPr>
      <w:r>
        <w:rPr>
          <w:rStyle w:val="FootnoteReference"/>
        </w:rPr>
        <w:footnoteRef/>
      </w:r>
      <w:r>
        <w:t xml:space="preserve"> </w:t>
      </w:r>
      <w:r>
        <w:t xml:space="preserve">Alvarez 2011, PMID 21679156.</w:t>
      </w:r>
    </w:p>
  </w:footnote>
  <w:footnote w:id="1692">
    <w:p>
      <w:pPr>
        <w:pStyle w:val="FootnoteText"/>
      </w:pPr>
      <w:r>
        <w:rPr>
          <w:rStyle w:val="FootnoteReference"/>
        </w:rPr>
        <w:footnoteRef/>
      </w:r>
      <w:r>
        <w:t xml:space="preserve"> </w:t>
      </w:r>
      <w:r>
        <w:t xml:space="preserve">Gauthier 2015, PMID 25832905.</w:t>
      </w:r>
    </w:p>
  </w:footnote>
  <w:footnote w:id="1693">
    <w:p>
      <w:pPr>
        <w:pStyle w:val="FootnoteText"/>
      </w:pPr>
      <w:r>
        <w:rPr>
          <w:rStyle w:val="FootnoteReference"/>
        </w:rPr>
        <w:footnoteRef/>
      </w:r>
      <w:r>
        <w:t xml:space="preserve"> </w:t>
      </w:r>
      <w:r>
        <w:t xml:space="preserve">Guekht 2011, PMID 20656516.</w:t>
      </w:r>
    </w:p>
  </w:footnote>
  <w:footnote w:id="1694">
    <w:p>
      <w:pPr>
        <w:pStyle w:val="FootnoteText"/>
      </w:pPr>
      <w:r>
        <w:rPr>
          <w:rStyle w:val="FootnoteReference"/>
        </w:rPr>
        <w:footnoteRef/>
      </w:r>
      <w:r>
        <w:t xml:space="preserve"> </w:t>
      </w:r>
      <w:r>
        <w:t xml:space="preserve">Cui 2019, PMID 31710397.</w:t>
      </w:r>
    </w:p>
  </w:footnote>
  <w:footnote w:id="1696">
    <w:p>
      <w:pPr>
        <w:pStyle w:val="FootnoteText"/>
      </w:pPr>
      <w:r>
        <w:rPr>
          <w:rStyle w:val="FootnoteReference"/>
        </w:rPr>
        <w:footnoteRef/>
      </w:r>
      <w:r>
        <w:t xml:space="preserve"> </w:t>
      </w:r>
      <w:r>
        <w:t xml:space="preserve">Funke 1998, PMID 9700674.</w:t>
      </w:r>
    </w:p>
  </w:footnote>
  <w:footnote w:id="1699">
    <w:p>
      <w:pPr>
        <w:pStyle w:val="FootnoteText"/>
      </w:pPr>
      <w:r>
        <w:rPr>
          <w:rStyle w:val="FootnoteReference"/>
        </w:rPr>
        <w:footnoteRef/>
      </w:r>
      <w:r>
        <w:t xml:space="preserve"> </w:t>
      </w:r>
      <w:r>
        <w:t xml:space="preserve">Zhang 2016, PMID 26763925.</w:t>
      </w:r>
    </w:p>
  </w:footnote>
  <w:footnote w:id="1700">
    <w:p>
      <w:pPr>
        <w:pStyle w:val="FootnoteText"/>
      </w:pPr>
      <w:r>
        <w:rPr>
          <w:rStyle w:val="FootnoteReference"/>
        </w:rPr>
        <w:footnoteRef/>
      </w:r>
      <w:r>
        <w:t xml:space="preserve"> </w:t>
      </w:r>
      <w:r>
        <w:t xml:space="preserve">Zhang 2019, PMID 30499355.</w:t>
      </w:r>
    </w:p>
  </w:footnote>
  <w:footnote w:id="1701">
    <w:p>
      <w:pPr>
        <w:pStyle w:val="FootnoteText"/>
      </w:pPr>
      <w:r>
        <w:rPr>
          <w:rStyle w:val="FootnoteReference"/>
        </w:rPr>
        <w:footnoteRef/>
      </w:r>
      <w:r>
        <w:t xml:space="preserve"> </w:t>
      </w:r>
      <w:r>
        <w:t xml:space="preserve">Kastberger 2024, PMID 38062874.</w:t>
      </w:r>
    </w:p>
  </w:footnote>
  <w:footnote w:id="1703">
    <w:p>
      <w:pPr>
        <w:pStyle w:val="FootnoteText"/>
      </w:pPr>
      <w:r>
        <w:rPr>
          <w:rStyle w:val="FootnoteReference"/>
        </w:rPr>
        <w:footnoteRef/>
      </w:r>
      <w:r>
        <w:t xml:space="preserve"> </w:t>
      </w:r>
      <w:r>
        <w:t xml:space="preserve">Panisset 2002, PMID 12111446.</w:t>
      </w:r>
    </w:p>
  </w:footnote>
  <w:footnote w:id="1704">
    <w:p>
      <w:pPr>
        <w:pStyle w:val="FootnoteText"/>
      </w:pPr>
      <w:r>
        <w:rPr>
          <w:rStyle w:val="FootnoteReference"/>
        </w:rPr>
        <w:footnoteRef/>
      </w:r>
      <w:r>
        <w:t xml:space="preserve"> </w:t>
      </w:r>
      <w:r>
        <w:t xml:space="preserve">Strilciuc 2021, PMID 34959697.</w:t>
      </w:r>
    </w:p>
  </w:footnote>
  <w:footnote w:id="1705">
    <w:p>
      <w:pPr>
        <w:pStyle w:val="FootnoteText"/>
      </w:pPr>
      <w:r>
        <w:rPr>
          <w:rStyle w:val="FootnoteReference"/>
        </w:rPr>
        <w:footnoteRef/>
      </w:r>
      <w:r>
        <w:t xml:space="preserve"> </w:t>
      </w:r>
      <w:r>
        <w:t xml:space="preserve">Trimmel 2024, PMID 39055722.</w:t>
      </w:r>
    </w:p>
  </w:footnote>
  <w:footnote w:id="1708">
    <w:p>
      <w:pPr>
        <w:pStyle w:val="FootnoteText"/>
      </w:pPr>
      <w:r>
        <w:rPr>
          <w:rStyle w:val="FootnoteReference"/>
        </w:rPr>
        <w:footnoteRef/>
      </w:r>
      <w:r>
        <w:t xml:space="preserve"> </w:t>
      </w:r>
      <w:r>
        <w:t xml:space="preserve">NCT05755997.</w:t>
      </w:r>
    </w:p>
  </w:footnote>
  <w:footnote w:id="1709">
    <w:p>
      <w:pPr>
        <w:pStyle w:val="FootnoteText"/>
      </w:pPr>
      <w:r>
        <w:rPr>
          <w:rStyle w:val="FootnoteReference"/>
        </w:rPr>
        <w:footnoteRef/>
      </w:r>
      <w:r>
        <w:t xml:space="preserve"> </w:t>
      </w:r>
      <w:r>
        <w:t xml:space="preserve">NCT06897176.</w:t>
      </w:r>
    </w:p>
  </w:footnote>
  <w:footnote w:id="1710">
    <w:p>
      <w:pPr>
        <w:pStyle w:val="FootnoteText"/>
      </w:pPr>
      <w:r>
        <w:rPr>
          <w:rStyle w:val="FootnoteReference"/>
        </w:rPr>
        <w:footnoteRef/>
      </w:r>
      <w:r>
        <w:t xml:space="preserve"> </w:t>
      </w:r>
      <w:r>
        <w:t xml:space="preserve">NCT06339411.</w:t>
      </w:r>
    </w:p>
  </w:footnote>
  <w:footnote w:id="1715">
    <w:p>
      <w:pPr>
        <w:pStyle w:val="FootnoteText"/>
      </w:pPr>
      <w:r>
        <w:rPr>
          <w:rStyle w:val="FootnoteReference"/>
        </w:rPr>
        <w:footnoteRef/>
      </w:r>
      <w:r>
        <w:t xml:space="preserve"> </w:t>
      </w:r>
      <w:r>
        <w:t xml:space="preserve">McCoy 2013, PMID 23055539.</w:t>
      </w:r>
    </w:p>
  </w:footnote>
  <w:footnote w:id="1716">
    <w:p>
      <w:pPr>
        <w:pStyle w:val="FootnoteText"/>
      </w:pPr>
      <w:r>
        <w:rPr>
          <w:rStyle w:val="FootnoteReference"/>
        </w:rPr>
        <w:footnoteRef/>
      </w:r>
      <w:r>
        <w:t xml:space="preserve"> </w:t>
      </w:r>
      <w:r>
        <w:t xml:space="preserve">Benoist 2014, PMID 25187433.</w:t>
      </w:r>
    </w:p>
  </w:footnote>
  <w:footnote w:id="1718">
    <w:p>
      <w:pPr>
        <w:pStyle w:val="FootnoteText"/>
      </w:pPr>
      <w:r>
        <w:rPr>
          <w:rStyle w:val="FootnoteReference"/>
        </w:rPr>
        <w:footnoteRef/>
      </w:r>
      <w:r>
        <w:t xml:space="preserve"> </w:t>
      </w:r>
      <w:r>
        <w:t xml:space="preserve">NCT04488419.</w:t>
      </w:r>
    </w:p>
  </w:footnote>
  <w:footnote w:id="1719">
    <w:p>
      <w:pPr>
        <w:pStyle w:val="FootnoteText"/>
      </w:pPr>
      <w:r>
        <w:rPr>
          <w:rStyle w:val="FootnoteReference"/>
        </w:rPr>
        <w:footnoteRef/>
      </w:r>
      <w:r>
        <w:t xml:space="preserve"> </w:t>
      </w:r>
      <w:r>
        <w:t xml:space="preserve">Porsteinsson 2025, PMID 41393340.</w:t>
      </w:r>
    </w:p>
  </w:footnote>
  <w:footnote w:id="1720">
    <w:p>
      <w:pPr>
        <w:pStyle w:val="FootnoteText"/>
      </w:pPr>
      <w:r>
        <w:rPr>
          <w:rStyle w:val="FootnoteReference"/>
        </w:rPr>
        <w:footnoteRef/>
      </w:r>
      <w:r>
        <w:t xml:space="preserve"> </w:t>
      </w:r>
      <w:r>
        <w:t xml:space="preserve">NCT04831281.</w:t>
      </w:r>
    </w:p>
  </w:footnote>
  <w:footnote w:id="1723">
    <w:p>
      <w:pPr>
        <w:pStyle w:val="FootnoteText"/>
      </w:pPr>
      <w:r>
        <w:rPr>
          <w:rStyle w:val="FootnoteReference"/>
        </w:rPr>
        <w:footnoteRef/>
      </w:r>
      <w:r>
        <w:t xml:space="preserve"> </w:t>
      </w:r>
      <w:r>
        <w:t xml:space="preserve">McCoy 2013, PMID 23055539.</w:t>
      </w:r>
    </w:p>
  </w:footnote>
  <w:footnote w:id="1724">
    <w:p>
      <w:pPr>
        <w:pStyle w:val="FootnoteText"/>
      </w:pPr>
      <w:r>
        <w:rPr>
          <w:rStyle w:val="FootnoteReference"/>
        </w:rPr>
        <w:footnoteRef/>
      </w:r>
      <w:r>
        <w:t xml:space="preserve"> </w:t>
      </w:r>
      <w:r>
        <w:t xml:space="preserve">Sun 2021, PMID 34827486.</w:t>
      </w:r>
    </w:p>
  </w:footnote>
  <w:footnote w:id="1725">
    <w:p>
      <w:pPr>
        <w:pStyle w:val="FootnoteText"/>
      </w:pPr>
      <w:r>
        <w:rPr>
          <w:rStyle w:val="FootnoteReference"/>
        </w:rPr>
        <w:footnoteRef/>
      </w:r>
      <w:r>
        <w:t xml:space="preserve"> </w:t>
      </w:r>
      <w:r>
        <w:t xml:space="preserve">Wells 2024, PMID 38489193.</w:t>
      </w:r>
    </w:p>
  </w:footnote>
  <w:footnote w:id="1726">
    <w:p>
      <w:pPr>
        <w:pStyle w:val="FootnoteText"/>
      </w:pPr>
      <w:r>
        <w:rPr>
          <w:rStyle w:val="FootnoteReference"/>
        </w:rPr>
        <w:footnoteRef/>
      </w:r>
      <w:r>
        <w:t xml:space="preserve"> </w:t>
      </w:r>
      <w:r>
        <w:t xml:space="preserve">Uribe 2015, PMID 25674052.</w:t>
      </w:r>
    </w:p>
  </w:footnote>
  <w:footnote w:id="1727">
    <w:p>
      <w:pPr>
        <w:pStyle w:val="FootnoteText"/>
      </w:pPr>
      <w:r>
        <w:rPr>
          <w:rStyle w:val="FootnoteReference"/>
        </w:rPr>
        <w:footnoteRef/>
      </w:r>
      <w:r>
        <w:t xml:space="preserve"> </w:t>
      </w:r>
      <w:r>
        <w:t xml:space="preserve">Pan 2022, PMID 35410439.</w:t>
      </w:r>
    </w:p>
  </w:footnote>
  <w:footnote w:id="1728">
    <w:p>
      <w:pPr>
        <w:pStyle w:val="FootnoteText"/>
      </w:pPr>
      <w:r>
        <w:rPr>
          <w:rStyle w:val="FootnoteReference"/>
        </w:rPr>
        <w:footnoteRef/>
      </w:r>
      <w:r>
        <w:t xml:space="preserve"> </w:t>
      </w:r>
      <w:r>
        <w:t xml:space="preserve">Ho 2018, PMID 29733881.</w:t>
      </w:r>
    </w:p>
  </w:footnote>
  <w:footnote w:id="1730">
    <w:p>
      <w:pPr>
        <w:pStyle w:val="FootnoteText"/>
      </w:pPr>
      <w:r>
        <w:rPr>
          <w:rStyle w:val="FootnoteReference"/>
        </w:rPr>
        <w:footnoteRef/>
      </w:r>
      <w:r>
        <w:t xml:space="preserve"> </w:t>
      </w:r>
      <w:r>
        <w:t xml:space="preserve">Wright 2015, PMID 25649658.</w:t>
      </w:r>
    </w:p>
  </w:footnote>
  <w:footnote w:id="1737">
    <w:p>
      <w:pPr>
        <w:pStyle w:val="FootnoteText"/>
      </w:pPr>
      <w:r>
        <w:rPr>
          <w:rStyle w:val="FootnoteReference"/>
        </w:rPr>
        <w:footnoteRef/>
      </w:r>
      <w:r>
        <w:t xml:space="preserve"> </w:t>
      </w:r>
      <w:r>
        <w:t xml:space="preserve">Monnier 1977, PMID 862769.</w:t>
      </w:r>
    </w:p>
  </w:footnote>
  <w:footnote w:id="1738">
    <w:p>
      <w:pPr>
        <w:pStyle w:val="FootnoteText"/>
      </w:pPr>
      <w:r>
        <w:rPr>
          <w:rStyle w:val="FootnoteReference"/>
        </w:rPr>
        <w:footnoteRef/>
      </w:r>
      <w:r>
        <w:t xml:space="preserve"> </w:t>
      </w:r>
      <w:r>
        <w:t xml:space="preserve">Kovalzon 2006, PMID 16539679.</w:t>
      </w:r>
    </w:p>
  </w:footnote>
  <w:footnote w:id="1739">
    <w:p>
      <w:pPr>
        <w:pStyle w:val="FootnoteText"/>
      </w:pPr>
      <w:r>
        <w:rPr>
          <w:rStyle w:val="FootnoteReference"/>
        </w:rPr>
        <w:footnoteRef/>
      </w:r>
      <w:r>
        <w:t xml:space="preserve"> </w:t>
      </w:r>
      <w:r>
        <w:t xml:space="preserve">Zlokovic 1988, PMID 3420012.</w:t>
      </w:r>
    </w:p>
  </w:footnote>
  <w:footnote w:id="1741">
    <w:p>
      <w:pPr>
        <w:pStyle w:val="FootnoteText"/>
      </w:pPr>
      <w:r>
        <w:rPr>
          <w:rStyle w:val="FootnoteReference"/>
        </w:rPr>
        <w:footnoteRef/>
      </w:r>
      <w:r>
        <w:t xml:space="preserve"> </w:t>
      </w:r>
      <w:r>
        <w:t xml:space="preserve">Schneider-Helmert 1981, PMID 6895513.</w:t>
      </w:r>
    </w:p>
  </w:footnote>
  <w:footnote w:id="1742">
    <w:p>
      <w:pPr>
        <w:pStyle w:val="FootnoteText"/>
      </w:pPr>
      <w:r>
        <w:rPr>
          <w:rStyle w:val="FootnoteReference"/>
        </w:rPr>
        <w:footnoteRef/>
      </w:r>
      <w:r>
        <w:t xml:space="preserve"> </w:t>
      </w:r>
      <w:r>
        <w:t xml:space="preserve">Schneider-Helmert 1987, PMID 3622582.</w:t>
      </w:r>
    </w:p>
  </w:footnote>
  <w:footnote w:id="1743">
    <w:p>
      <w:pPr>
        <w:pStyle w:val="FootnoteText"/>
      </w:pPr>
      <w:r>
        <w:rPr>
          <w:rStyle w:val="FootnoteReference"/>
        </w:rPr>
        <w:footnoteRef/>
      </w:r>
      <w:r>
        <w:t xml:space="preserve"> </w:t>
      </w:r>
      <w:r>
        <w:t xml:space="preserve">Monti 1987, PMID 3583493.</w:t>
      </w:r>
    </w:p>
  </w:footnote>
  <w:footnote w:id="1744">
    <w:p>
      <w:pPr>
        <w:pStyle w:val="FootnoteText"/>
      </w:pPr>
      <w:r>
        <w:rPr>
          <w:rStyle w:val="FootnoteReference"/>
        </w:rPr>
        <w:footnoteRef/>
      </w:r>
      <w:r>
        <w:t xml:space="preserve"> </w:t>
      </w:r>
      <w:r>
        <w:t xml:space="preserve">Bes 1992, PMID 1299794.</w:t>
      </w:r>
    </w:p>
  </w:footnote>
  <w:footnote w:id="1746">
    <w:p>
      <w:pPr>
        <w:pStyle w:val="FootnoteText"/>
      </w:pPr>
      <w:r>
        <w:rPr>
          <w:rStyle w:val="FootnoteReference"/>
        </w:rPr>
        <w:footnoteRef/>
      </w:r>
      <w:r>
        <w:t xml:space="preserve"> </w:t>
      </w:r>
      <w:r>
        <w:t xml:space="preserve">Dick 1984, PMID 6548969.</w:t>
      </w:r>
    </w:p>
  </w:footnote>
  <w:footnote w:id="1747">
    <w:p>
      <w:pPr>
        <w:pStyle w:val="FootnoteText"/>
      </w:pPr>
      <w:r>
        <w:rPr>
          <w:rStyle w:val="FootnoteReference"/>
        </w:rPr>
        <w:footnoteRef/>
      </w:r>
      <w:r>
        <w:t xml:space="preserve"> </w:t>
      </w:r>
      <w:r>
        <w:t xml:space="preserve">Backmund 1998, PMID 9617990.</w:t>
      </w:r>
    </w:p>
  </w:footnote>
  <w:footnote w:id="1748">
    <w:p>
      <w:pPr>
        <w:pStyle w:val="FootnoteText"/>
      </w:pPr>
      <w:r>
        <w:rPr>
          <w:rStyle w:val="FootnoteReference"/>
        </w:rPr>
        <w:footnoteRef/>
      </w:r>
      <w:r>
        <w:t xml:space="preserve"> </w:t>
      </w:r>
      <w:r>
        <w:t xml:space="preserve">Larbig 1984, PMID 6548970.</w:t>
      </w:r>
    </w:p>
  </w:footnote>
  <w:footnote w:id="1749">
    <w:p>
      <w:pPr>
        <w:pStyle w:val="FootnoteText"/>
      </w:pPr>
      <w:r>
        <w:rPr>
          <w:rStyle w:val="FootnoteReference"/>
        </w:rPr>
        <w:footnoteRef/>
      </w:r>
      <w:r>
        <w:t xml:space="preserve"> </w:t>
      </w:r>
      <w:r>
        <w:t xml:space="preserve">Schneider-Helmert 1984, PMID 6548968.</w:t>
      </w:r>
    </w:p>
  </w:footnote>
  <w:footnote w:id="1750">
    <w:p>
      <w:pPr>
        <w:pStyle w:val="FootnoteText"/>
      </w:pPr>
      <w:r>
        <w:rPr>
          <w:rStyle w:val="FootnoteReference"/>
        </w:rPr>
        <w:footnoteRef/>
      </w:r>
      <w:r>
        <w:t xml:space="preserve"> </w:t>
      </w:r>
      <w:r>
        <w:t xml:space="preserve">Kresiun 2014, PMID 25739189.</w:t>
      </w:r>
    </w:p>
  </w:footnote>
  <w:footnote w:id="1752">
    <w:p>
      <w:pPr>
        <w:pStyle w:val="FootnoteText"/>
      </w:pPr>
      <w:r>
        <w:rPr>
          <w:rStyle w:val="FootnoteReference"/>
        </w:rPr>
        <w:footnoteRef/>
      </w:r>
      <w:r>
        <w:t xml:space="preserve"> </w:t>
      </w:r>
      <w:r>
        <w:t xml:space="preserve">Bjartell 1989, PMID 2554357.</w:t>
      </w:r>
    </w:p>
  </w:footnote>
  <w:footnote w:id="1753">
    <w:p>
      <w:pPr>
        <w:pStyle w:val="FootnoteText"/>
      </w:pPr>
      <w:r>
        <w:rPr>
          <w:rStyle w:val="FootnoteReference"/>
        </w:rPr>
        <w:footnoteRef/>
      </w:r>
      <w:r>
        <w:t xml:space="preserve"> </w:t>
      </w:r>
      <w:r>
        <w:t xml:space="preserve">Späth-Schwalbe 1995, PMID 7777652.</w:t>
      </w:r>
    </w:p>
  </w:footnote>
  <w:footnote w:id="1754">
    <w:p>
      <w:pPr>
        <w:pStyle w:val="FootnoteText"/>
      </w:pPr>
      <w:r>
        <w:rPr>
          <w:rStyle w:val="FootnoteReference"/>
        </w:rPr>
        <w:footnoteRef/>
      </w:r>
      <w:r>
        <w:t xml:space="preserve"> </w:t>
      </w:r>
      <w:r>
        <w:t xml:space="preserve">Giusti 1993, PMID 8475226.</w:t>
      </w:r>
    </w:p>
  </w:footnote>
  <w:footnote w:id="1755">
    <w:p>
      <w:pPr>
        <w:pStyle w:val="FootnoteText"/>
      </w:pPr>
      <w:r>
        <w:rPr>
          <w:rStyle w:val="FootnoteReference"/>
        </w:rPr>
        <w:footnoteRef/>
      </w:r>
      <w:r>
        <w:t xml:space="preserve"> </w:t>
      </w:r>
      <w:r>
        <w:t xml:space="preserve">Pomfrett 2009, PMID 19142086.</w:t>
      </w:r>
    </w:p>
  </w:footnote>
  <w:footnote w:id="1758">
    <w:p>
      <w:pPr>
        <w:pStyle w:val="FootnoteText"/>
      </w:pPr>
      <w:r>
        <w:rPr>
          <w:rStyle w:val="FootnoteReference"/>
        </w:rPr>
        <w:footnoteRef/>
      </w:r>
      <w:r>
        <w:t xml:space="preserve"> </w:t>
      </w:r>
      <w:r>
        <w:t xml:space="preserve">Kovalzon 2006, PMID 16539679.</w:t>
      </w:r>
    </w:p>
  </w:footnote>
  <w:footnote w:id="1759">
    <w:p>
      <w:pPr>
        <w:pStyle w:val="FootnoteText"/>
      </w:pPr>
      <w:r>
        <w:rPr>
          <w:rStyle w:val="FootnoteReference"/>
        </w:rPr>
        <w:footnoteRef/>
      </w:r>
      <w:r>
        <w:t xml:space="preserve"> </w:t>
      </w:r>
      <w:r>
        <w:t xml:space="preserve">Voĭtenkov 2009, PMID 20405733.</w:t>
      </w:r>
    </w:p>
  </w:footnote>
  <w:footnote w:id="1761">
    <w:p>
      <w:pPr>
        <w:pStyle w:val="FootnoteText"/>
      </w:pPr>
      <w:r>
        <w:rPr>
          <w:rStyle w:val="FootnoteReference"/>
        </w:rPr>
        <w:footnoteRef/>
      </w:r>
      <w:r>
        <w:t xml:space="preserve"> </w:t>
      </w:r>
      <w:r>
        <w:t xml:space="preserve">Dick 1984, PMID 6548969.</w:t>
      </w:r>
    </w:p>
  </w:footnote>
  <w:footnote w:id="1762">
    <w:p>
      <w:pPr>
        <w:pStyle w:val="FootnoteText"/>
      </w:pPr>
      <w:r>
        <w:rPr>
          <w:rStyle w:val="FootnoteReference"/>
        </w:rPr>
        <w:footnoteRef/>
      </w:r>
      <w:r>
        <w:t xml:space="preserve"> </w:t>
      </w:r>
      <w:r>
        <w:t xml:space="preserve">Pomfrett 2009, PMID 19142086.</w:t>
      </w:r>
    </w:p>
  </w:footnote>
  <w:footnote w:id="1769">
    <w:p>
      <w:pPr>
        <w:pStyle w:val="FootnoteText"/>
      </w:pPr>
      <w:r>
        <w:rPr>
          <w:rStyle w:val="FootnoteReference"/>
        </w:rPr>
        <w:footnoteRef/>
      </w:r>
      <w:r>
        <w:t xml:space="preserve"> </w:t>
      </w:r>
      <w:r>
        <w:t xml:space="preserve">Khavinson 2003, PMID 12937682.</w:t>
      </w:r>
    </w:p>
  </w:footnote>
  <w:footnote w:id="1770">
    <w:p>
      <w:pPr>
        <w:pStyle w:val="FootnoteText"/>
      </w:pPr>
      <w:r>
        <w:rPr>
          <w:rStyle w:val="FootnoteReference"/>
        </w:rPr>
        <w:footnoteRef/>
      </w:r>
      <w:r>
        <w:t xml:space="preserve"> </w:t>
      </w:r>
      <w:r>
        <w:t xml:space="preserve">Khavinson 2003, PMID 14647006.</w:t>
      </w:r>
    </w:p>
  </w:footnote>
  <w:footnote w:id="1771">
    <w:p>
      <w:pPr>
        <w:pStyle w:val="FootnoteText"/>
      </w:pPr>
      <w:r>
        <w:rPr>
          <w:rStyle w:val="FootnoteReference"/>
        </w:rPr>
        <w:footnoteRef/>
      </w:r>
      <w:r>
        <w:t xml:space="preserve"> </w:t>
      </w:r>
      <w:r>
        <w:t xml:space="preserve">Araj 2025, PMID 40141333.</w:t>
      </w:r>
    </w:p>
  </w:footnote>
  <w:footnote w:id="1773">
    <w:p>
      <w:pPr>
        <w:pStyle w:val="FootnoteText"/>
      </w:pPr>
      <w:r>
        <w:rPr>
          <w:rStyle w:val="FootnoteReference"/>
        </w:rPr>
        <w:footnoteRef/>
      </w:r>
      <w:r>
        <w:t xml:space="preserve"> </w:t>
      </w:r>
      <w:r>
        <w:t xml:space="preserve">Jain 2026, PMID 42884164.</w:t>
      </w:r>
    </w:p>
  </w:footnote>
  <w:footnote w:id="1774">
    <w:p>
      <w:pPr>
        <w:pStyle w:val="FootnoteText"/>
      </w:pPr>
      <w:r>
        <w:rPr>
          <w:rStyle w:val="FootnoteReference"/>
        </w:rPr>
        <w:footnoteRef/>
      </w:r>
      <w:r>
        <w:t xml:space="preserve"> </w:t>
      </w:r>
      <w:r>
        <w:t xml:space="preserve">Khavinson 2002, PMID 12195242.</w:t>
      </w:r>
    </w:p>
  </w:footnote>
  <w:footnote w:id="1776">
    <w:p>
      <w:pPr>
        <w:pStyle w:val="FootnoteText"/>
      </w:pPr>
      <w:r>
        <w:rPr>
          <w:rStyle w:val="FootnoteReference"/>
        </w:rPr>
        <w:footnoteRef/>
      </w:r>
      <w:r>
        <w:t xml:space="preserve"> </w:t>
      </w:r>
      <w:r>
        <w:t xml:space="preserve">Khavinson 2003, PMID 14523363.</w:t>
      </w:r>
    </w:p>
  </w:footnote>
  <w:footnote w:id="1778">
    <w:p>
      <w:pPr>
        <w:pStyle w:val="FootnoteText"/>
      </w:pPr>
      <w:r>
        <w:rPr>
          <w:rStyle w:val="FootnoteReference"/>
        </w:rPr>
        <w:footnoteRef/>
      </w:r>
      <w:r>
        <w:t xml:space="preserve"> </w:t>
      </w:r>
      <w:r>
        <w:t xml:space="preserve">Khavinson 2003, PMID 12937682.</w:t>
      </w:r>
    </w:p>
  </w:footnote>
  <w:footnote w:id="1779">
    <w:p>
      <w:pPr>
        <w:pStyle w:val="FootnoteText"/>
      </w:pPr>
      <w:r>
        <w:rPr>
          <w:rStyle w:val="FootnoteReference"/>
        </w:rPr>
        <w:footnoteRef/>
      </w:r>
      <w:r>
        <w:t xml:space="preserve"> </w:t>
      </w:r>
      <w:r>
        <w:t xml:space="preserve">Khavinson 2004, PMID 15455129.</w:t>
      </w:r>
    </w:p>
  </w:footnote>
  <w:footnote w:id="1780">
    <w:p>
      <w:pPr>
        <w:pStyle w:val="FootnoteText"/>
      </w:pPr>
      <w:r>
        <w:rPr>
          <w:rStyle w:val="FootnoteReference"/>
        </w:rPr>
        <w:footnoteRef/>
      </w:r>
      <w:r>
        <w:t xml:space="preserve"> </w:t>
      </w:r>
      <w:r>
        <w:t xml:space="preserve">Al-Dulaimi 2025, PMID 40908429.</w:t>
      </w:r>
    </w:p>
  </w:footnote>
  <w:footnote w:id="1781">
    <w:p>
      <w:pPr>
        <w:pStyle w:val="FootnoteText"/>
      </w:pPr>
      <w:r>
        <w:rPr>
          <w:rStyle w:val="FootnoteReference"/>
        </w:rPr>
        <w:footnoteRef/>
      </w:r>
      <w:r>
        <w:t xml:space="preserve"> </w:t>
      </w:r>
      <w:r>
        <w:t xml:space="preserve">Khavinson 2019, PMID 31761987.</w:t>
      </w:r>
    </w:p>
  </w:footnote>
  <w:footnote w:id="1784">
    <w:p>
      <w:pPr>
        <w:pStyle w:val="FootnoteText"/>
      </w:pPr>
      <w:r>
        <w:rPr>
          <w:rStyle w:val="FootnoteReference"/>
        </w:rPr>
        <w:footnoteRef/>
      </w:r>
      <w:r>
        <w:t xml:space="preserve"> </w:t>
      </w:r>
      <w:r>
        <w:t xml:space="preserve">Anisimov 2003, PMID 14501183.</w:t>
      </w:r>
    </w:p>
  </w:footnote>
  <w:footnote w:id="1785">
    <w:p>
      <w:pPr>
        <w:pStyle w:val="FootnoteText"/>
      </w:pPr>
      <w:r>
        <w:rPr>
          <w:rStyle w:val="FootnoteReference"/>
        </w:rPr>
        <w:footnoteRef/>
      </w:r>
      <w:r>
        <w:t xml:space="preserve"> </w:t>
      </w:r>
      <w:r>
        <w:t xml:space="preserve">Khavinson 2000, PMID 11087911.</w:t>
      </w:r>
    </w:p>
  </w:footnote>
  <w:footnote w:id="1786">
    <w:p>
      <w:pPr>
        <w:pStyle w:val="FootnoteText"/>
      </w:pPr>
      <w:r>
        <w:rPr>
          <w:rStyle w:val="FootnoteReference"/>
        </w:rPr>
        <w:footnoteRef/>
      </w:r>
      <w:r>
        <w:t xml:space="preserve"> </w:t>
      </w:r>
      <w:r>
        <w:t xml:space="preserve">Khavinson 2003, PMID 12910293.</w:t>
      </w:r>
    </w:p>
  </w:footnote>
  <w:footnote w:id="1787">
    <w:p>
      <w:pPr>
        <w:pStyle w:val="FootnoteText"/>
      </w:pPr>
      <w:r>
        <w:rPr>
          <w:rStyle w:val="FootnoteReference"/>
        </w:rPr>
        <w:footnoteRef/>
      </w:r>
      <w:r>
        <w:t xml:space="preserve"> </w:t>
      </w:r>
      <w:r>
        <w:t xml:space="preserve">Yue 2022, PMID 35413689.</w:t>
      </w:r>
    </w:p>
  </w:footnote>
  <w:footnote w:id="1789">
    <w:p>
      <w:pPr>
        <w:pStyle w:val="FootnoteText"/>
      </w:pPr>
      <w:r>
        <w:rPr>
          <w:rStyle w:val="FootnoteReference"/>
        </w:rPr>
        <w:footnoteRef/>
      </w:r>
      <w:r>
        <w:t xml:space="preserve"> </w:t>
      </w:r>
      <w:r>
        <w:t xml:space="preserve">Al-Dulaimi 2025, PMID 40908429.</w:t>
      </w:r>
    </w:p>
  </w:footnote>
  <w:footnote w:id="1790">
    <w:p>
      <w:pPr>
        <w:pStyle w:val="FootnoteText"/>
      </w:pPr>
      <w:r>
        <w:rPr>
          <w:rStyle w:val="FootnoteReference"/>
        </w:rPr>
        <w:footnoteRef/>
      </w:r>
      <w:r>
        <w:t xml:space="preserve"> </w:t>
      </w:r>
      <w:r>
        <w:t xml:space="preserve">Anisimov 2003, PMID 14501183.</w:t>
      </w:r>
    </w:p>
  </w:footnote>
  <w:footnote w:id="1791">
    <w:p>
      <w:pPr>
        <w:pStyle w:val="FootnoteText"/>
      </w:pPr>
      <w:r>
        <w:rPr>
          <w:rStyle w:val="FootnoteReference"/>
        </w:rPr>
        <w:footnoteRef/>
      </w:r>
      <w:r>
        <w:t xml:space="preserve"> </w:t>
      </w:r>
      <w:r>
        <w:t xml:space="preserve">Jain 2026, PMID 42884164.</w:t>
      </w:r>
    </w:p>
  </w:footnote>
  <w:footnote w:id="1794">
    <w:p>
      <w:pPr>
        <w:pStyle w:val="FootnoteText"/>
      </w:pPr>
      <w:r>
        <w:rPr>
          <w:rStyle w:val="FootnoteReference"/>
        </w:rPr>
        <w:footnoteRef/>
      </w:r>
      <w:r>
        <w:t xml:space="preserve"> </w:t>
      </w:r>
      <w:r>
        <w:t xml:space="preserve">NCT07888595.</w:t>
      </w:r>
    </w:p>
  </w:footnote>
  <w:footnote w:id="1799">
    <w:p>
      <w:pPr>
        <w:pStyle w:val="FootnoteText"/>
      </w:pPr>
      <w:r>
        <w:rPr>
          <w:rStyle w:val="FootnoteReference"/>
        </w:rPr>
        <w:footnoteRef/>
      </w:r>
      <w:r>
        <w:t xml:space="preserve"> </w:t>
      </w:r>
      <w:r>
        <w:t xml:space="preserve">Fedoreyeva 2011, PMID 22117547.</w:t>
      </w:r>
    </w:p>
  </w:footnote>
  <w:footnote w:id="1800">
    <w:p>
      <w:pPr>
        <w:pStyle w:val="FootnoteText"/>
      </w:pPr>
      <w:r>
        <w:rPr>
          <w:rStyle w:val="FootnoteReference"/>
        </w:rPr>
        <w:footnoteRef/>
      </w:r>
      <w:r>
        <w:t xml:space="preserve"> </w:t>
      </w:r>
      <w:r>
        <w:t xml:space="preserve">Khavinson 2011, PMID 21978084.</w:t>
      </w:r>
    </w:p>
  </w:footnote>
  <w:footnote w:id="1801">
    <w:p>
      <w:pPr>
        <w:pStyle w:val="FootnoteText"/>
      </w:pPr>
      <w:r>
        <w:rPr>
          <w:rStyle w:val="FootnoteReference"/>
        </w:rPr>
        <w:footnoteRef/>
      </w:r>
      <w:r>
        <w:t xml:space="preserve"> </w:t>
      </w:r>
      <w:r>
        <w:t xml:space="preserve">Khavinson 2020, PMID 33396470.</w:t>
      </w:r>
    </w:p>
  </w:footnote>
  <w:footnote w:id="1803">
    <w:p>
      <w:pPr>
        <w:pStyle w:val="FootnoteText"/>
      </w:pPr>
      <w:r>
        <w:rPr>
          <w:rStyle w:val="FootnoteReference"/>
        </w:rPr>
        <w:footnoteRef/>
      </w:r>
      <w:r>
        <w:t xml:space="preserve"> </w:t>
      </w:r>
      <w:r>
        <w:t xml:space="preserve">Meshchaninov 2015, PMID 26390612.</w:t>
      </w:r>
    </w:p>
  </w:footnote>
  <w:footnote w:id="1805">
    <w:p>
      <w:pPr>
        <w:pStyle w:val="FootnoteText"/>
      </w:pPr>
      <w:r>
        <w:rPr>
          <w:rStyle w:val="FootnoteReference"/>
        </w:rPr>
        <w:footnoteRef/>
      </w:r>
      <w:r>
        <w:t xml:space="preserve"> </w:t>
      </w:r>
      <w:r>
        <w:t xml:space="preserve">Arutjunyan 2012, PMID 22567179.</w:t>
      </w:r>
    </w:p>
  </w:footnote>
  <w:footnote w:id="1806">
    <w:p>
      <w:pPr>
        <w:pStyle w:val="FootnoteText"/>
      </w:pPr>
      <w:r>
        <w:rPr>
          <w:rStyle w:val="FootnoteReference"/>
        </w:rPr>
        <w:footnoteRef/>
      </w:r>
      <w:r>
        <w:t xml:space="preserve"> </w:t>
      </w:r>
      <w:r>
        <w:t xml:space="preserve">Mendzheritsky 2015, PMID 28509493.</w:t>
      </w:r>
    </w:p>
  </w:footnote>
  <w:footnote w:id="1807">
    <w:p>
      <w:pPr>
        <w:pStyle w:val="FootnoteText"/>
      </w:pPr>
      <w:r>
        <w:rPr>
          <w:rStyle w:val="FootnoteReference"/>
        </w:rPr>
        <w:footnoteRef/>
      </w:r>
      <w:r>
        <w:t xml:space="preserve"> </w:t>
      </w:r>
      <w:r>
        <w:t xml:space="preserve">Khavinson 2011, PMID 21978084.</w:t>
      </w:r>
    </w:p>
  </w:footnote>
  <w:footnote w:id="1809">
    <w:p>
      <w:pPr>
        <w:pStyle w:val="FootnoteText"/>
      </w:pPr>
      <w:r>
        <w:rPr>
          <w:rStyle w:val="FootnoteReference"/>
        </w:rPr>
        <w:footnoteRef/>
      </w:r>
      <w:r>
        <w:t xml:space="preserve"> </w:t>
      </w:r>
      <w:r>
        <w:t xml:space="preserve">Meshchaninov 2015, PMID 26390612.</w:t>
      </w:r>
    </w:p>
  </w:footnote>
  <w:footnote w:id="1816">
    <w:p>
      <w:pPr>
        <w:pStyle w:val="FootnoteText"/>
      </w:pPr>
      <w:r>
        <w:rPr>
          <w:rStyle w:val="FootnoteReference"/>
        </w:rPr>
        <w:footnoteRef/>
      </w:r>
      <w:r>
        <w:t xml:space="preserve"> </w:t>
      </w:r>
      <w:r>
        <w:t xml:space="preserve">Lee 2015, PMID 25738459.</w:t>
      </w:r>
    </w:p>
  </w:footnote>
  <w:footnote w:id="1817">
    <w:p>
      <w:pPr>
        <w:pStyle w:val="FootnoteText"/>
      </w:pPr>
      <w:r>
        <w:rPr>
          <w:rStyle w:val="FootnoteReference"/>
        </w:rPr>
        <w:footnoteRef/>
      </w:r>
      <w:r>
        <w:t xml:space="preserve"> </w:t>
      </w:r>
      <w:r>
        <w:t xml:space="preserve">Kim 2018, PMID 29983246.</w:t>
      </w:r>
    </w:p>
  </w:footnote>
  <w:footnote w:id="1818">
    <w:p>
      <w:pPr>
        <w:pStyle w:val="FootnoteText"/>
      </w:pPr>
      <w:r>
        <w:rPr>
          <w:rStyle w:val="FootnoteReference"/>
        </w:rPr>
        <w:footnoteRef/>
      </w:r>
      <w:r>
        <w:t xml:space="preserve"> </w:t>
      </w:r>
      <w:r>
        <w:t xml:space="preserve">Reynolds 2021, PMID 33473109.</w:t>
      </w:r>
    </w:p>
  </w:footnote>
  <w:footnote w:id="1820">
    <w:p>
      <w:pPr>
        <w:pStyle w:val="FootnoteText"/>
      </w:pPr>
      <w:r>
        <w:rPr>
          <w:rStyle w:val="FootnoteReference"/>
        </w:rPr>
        <w:footnoteRef/>
      </w:r>
      <w:r>
        <w:t xml:space="preserve"> </w:t>
      </w:r>
      <w:r>
        <w:t xml:space="preserve">NCT03998514.</w:t>
      </w:r>
    </w:p>
  </w:footnote>
  <w:footnote w:id="1821">
    <w:p>
      <w:pPr>
        <w:pStyle w:val="FootnoteText"/>
      </w:pPr>
      <w:r>
        <w:rPr>
          <w:rStyle w:val="FootnoteReference"/>
        </w:rPr>
        <w:footnoteRef/>
      </w:r>
      <w:r>
        <w:t xml:space="preserve"> </w:t>
      </w:r>
      <w:r>
        <w:t xml:space="preserve">Du 2018, PMID 29691953; Kirik 2023, PMID 37750635; Qin 2018, PMID 29242099.</w:t>
      </w:r>
    </w:p>
  </w:footnote>
  <w:footnote w:id="1822">
    <w:p>
      <w:pPr>
        <w:pStyle w:val="FootnoteText"/>
      </w:pPr>
      <w:r>
        <w:rPr>
          <w:rStyle w:val="FootnoteReference"/>
        </w:rPr>
        <w:footnoteRef/>
      </w:r>
      <w:r>
        <w:t xml:space="preserve"> </w:t>
      </w:r>
      <w:r>
        <w:t xml:space="preserve">Du 2018, PMID 29691953.</w:t>
      </w:r>
    </w:p>
  </w:footnote>
  <w:footnote w:id="1823">
    <w:p>
      <w:pPr>
        <w:pStyle w:val="FootnoteText"/>
      </w:pPr>
      <w:r>
        <w:rPr>
          <w:rStyle w:val="FootnoteReference"/>
        </w:rPr>
        <w:footnoteRef/>
      </w:r>
      <w:r>
        <w:t xml:space="preserve"> </w:t>
      </w:r>
      <w:r>
        <w:t xml:space="preserve">Ikonomidis 2020, PMID 32052315.</w:t>
      </w:r>
    </w:p>
  </w:footnote>
  <w:footnote w:id="1824">
    <w:p>
      <w:pPr>
        <w:pStyle w:val="FootnoteText"/>
      </w:pPr>
      <w:r>
        <w:rPr>
          <w:rStyle w:val="FootnoteReference"/>
        </w:rPr>
        <w:footnoteRef/>
      </w:r>
      <w:r>
        <w:t xml:space="preserve"> </w:t>
      </w:r>
      <w:r>
        <w:t xml:space="preserve">Cuyàs 2022, PMID 36490309.</w:t>
      </w:r>
    </w:p>
  </w:footnote>
  <w:footnote w:id="1825">
    <w:p>
      <w:pPr>
        <w:pStyle w:val="FootnoteText"/>
      </w:pPr>
      <w:r>
        <w:rPr>
          <w:rStyle w:val="FootnoteReference"/>
        </w:rPr>
        <w:footnoteRef/>
      </w:r>
      <w:r>
        <w:t xml:space="preserve"> </w:t>
      </w:r>
      <w:r>
        <w:t xml:space="preserve">Zempo 2021, PMID 33468709.</w:t>
      </w:r>
    </w:p>
  </w:footnote>
  <w:footnote w:id="1827">
    <w:p>
      <w:pPr>
        <w:pStyle w:val="FootnoteText"/>
      </w:pPr>
      <w:r>
        <w:rPr>
          <w:rStyle w:val="FootnoteReference"/>
        </w:rPr>
        <w:footnoteRef/>
      </w:r>
      <w:r>
        <w:t xml:space="preserve"> </w:t>
      </w:r>
      <w:r>
        <w:t xml:space="preserve">NCT03998514.</w:t>
      </w:r>
    </w:p>
  </w:footnote>
  <w:footnote w:id="1830">
    <w:p>
      <w:pPr>
        <w:pStyle w:val="FootnoteText"/>
      </w:pPr>
      <w:r>
        <w:rPr>
          <w:rStyle w:val="FootnoteReference"/>
        </w:rPr>
        <w:footnoteRef/>
      </w:r>
      <w:r>
        <w:t xml:space="preserve"> </w:t>
      </w:r>
      <w:r>
        <w:t xml:space="preserve">Lee 2015, PMID 25738459.</w:t>
      </w:r>
    </w:p>
  </w:footnote>
  <w:footnote w:id="1831">
    <w:p>
      <w:pPr>
        <w:pStyle w:val="FootnoteText"/>
      </w:pPr>
      <w:r>
        <w:rPr>
          <w:rStyle w:val="FootnoteReference"/>
        </w:rPr>
        <w:footnoteRef/>
      </w:r>
      <w:r>
        <w:t xml:space="preserve"> </w:t>
      </w:r>
      <w:r>
        <w:t xml:space="preserve">Kumagai 2021, PMID 33554779.</w:t>
      </w:r>
    </w:p>
  </w:footnote>
  <w:footnote w:id="1832">
    <w:p>
      <w:pPr>
        <w:pStyle w:val="FootnoteText"/>
      </w:pPr>
      <w:r>
        <w:rPr>
          <w:rStyle w:val="FootnoteReference"/>
        </w:rPr>
        <w:footnoteRef/>
      </w:r>
      <w:r>
        <w:t xml:space="preserve"> </w:t>
      </w:r>
      <w:r>
        <w:t xml:space="preserve">Reynolds 2021, PMID 33473109.</w:t>
      </w:r>
    </w:p>
  </w:footnote>
  <w:footnote w:id="1833">
    <w:p>
      <w:pPr>
        <w:pStyle w:val="FootnoteText"/>
      </w:pPr>
      <w:r>
        <w:rPr>
          <w:rStyle w:val="FootnoteReference"/>
        </w:rPr>
        <w:footnoteRef/>
      </w:r>
      <w:r>
        <w:t xml:space="preserve"> </w:t>
      </w:r>
      <w:r>
        <w:t xml:space="preserve">Kong 2025, PMID 40855115.</w:t>
      </w:r>
    </w:p>
  </w:footnote>
  <w:footnote w:id="1835">
    <w:p>
      <w:pPr>
        <w:pStyle w:val="FootnoteText"/>
      </w:pPr>
      <w:r>
        <w:rPr>
          <w:rStyle w:val="FootnoteReference"/>
        </w:rPr>
        <w:footnoteRef/>
      </w:r>
      <w:r>
        <w:t xml:space="preserve"> </w:t>
      </w:r>
      <w:r>
        <w:t xml:space="preserve">Yin 2024, PMID 39321430.</w:t>
      </w:r>
    </w:p>
  </w:footnote>
  <w:footnote w:id="1836">
    <w:p>
      <w:pPr>
        <w:pStyle w:val="FootnoteText"/>
      </w:pPr>
      <w:r>
        <w:rPr>
          <w:rStyle w:val="FootnoteReference"/>
        </w:rPr>
        <w:footnoteRef/>
      </w:r>
      <w:r>
        <w:t xml:space="preserve"> </w:t>
      </w:r>
      <w:r>
        <w:t xml:space="preserve">Shen 2025, PMID 39581216.</w:t>
      </w:r>
    </w:p>
  </w:footnote>
  <w:footnote w:id="1839">
    <w:p>
      <w:pPr>
        <w:pStyle w:val="FootnoteText"/>
      </w:pPr>
      <w:r>
        <w:rPr>
          <w:rStyle w:val="FootnoteReference"/>
        </w:rPr>
        <w:footnoteRef/>
      </w:r>
      <w:r>
        <w:t xml:space="preserve"> </w:t>
      </w:r>
      <w:r>
        <w:t xml:space="preserve">NCT07678073.</w:t>
      </w:r>
    </w:p>
  </w:footnote>
  <w:footnote w:id="1840">
    <w:p>
      <w:pPr>
        <w:pStyle w:val="FootnoteText"/>
      </w:pPr>
      <w:r>
        <w:rPr>
          <w:rStyle w:val="FootnoteReference"/>
        </w:rPr>
        <w:footnoteRef/>
      </w:r>
      <w:r>
        <w:t xml:space="preserve"> </w:t>
      </w:r>
      <w:r>
        <w:t xml:space="preserve">NCT03878706.</w:t>
      </w:r>
    </w:p>
  </w:footnote>
  <w:footnote w:id="1845">
    <w:p>
      <w:pPr>
        <w:pStyle w:val="FootnoteText"/>
      </w:pPr>
      <w:r>
        <w:rPr>
          <w:rStyle w:val="FootnoteReference"/>
        </w:rPr>
        <w:footnoteRef/>
      </w:r>
      <w:r>
        <w:t xml:space="preserve"> </w:t>
      </w:r>
      <w:r>
        <w:t xml:space="preserve">Hashimoto 2001, PMID 11717357.</w:t>
      </w:r>
    </w:p>
  </w:footnote>
  <w:footnote w:id="1846">
    <w:p>
      <w:pPr>
        <w:pStyle w:val="FootnoteText"/>
      </w:pPr>
      <w:r>
        <w:rPr>
          <w:rStyle w:val="FootnoteReference"/>
        </w:rPr>
        <w:footnoteRef/>
      </w:r>
      <w:r>
        <w:t xml:space="preserve"> </w:t>
      </w:r>
      <w:r>
        <w:t xml:space="preserve">Hashimoto 2009, PMID 19386761.</w:t>
      </w:r>
    </w:p>
  </w:footnote>
  <w:footnote w:id="1847">
    <w:p>
      <w:pPr>
        <w:pStyle w:val="FootnoteText"/>
      </w:pPr>
      <w:r>
        <w:rPr>
          <w:rStyle w:val="FootnoteReference"/>
        </w:rPr>
        <w:footnoteRef/>
      </w:r>
      <w:r>
        <w:t xml:space="preserve"> </w:t>
      </w:r>
      <w:r>
        <w:t xml:space="preserve">Miller 2022, PMID 35499074.</w:t>
      </w:r>
    </w:p>
  </w:footnote>
  <w:footnote w:id="1849">
    <w:p>
      <w:pPr>
        <w:pStyle w:val="FootnoteText"/>
      </w:pPr>
      <w:r>
        <w:rPr>
          <w:rStyle w:val="FootnoteReference"/>
        </w:rPr>
        <w:footnoteRef/>
      </w:r>
      <w:r>
        <w:t xml:space="preserve"> </w:t>
      </w:r>
      <w:r>
        <w:t xml:space="preserve">Lee 2014, PMID 25040290.</w:t>
      </w:r>
    </w:p>
  </w:footnote>
  <w:footnote w:id="1853">
    <w:p>
      <w:pPr>
        <w:pStyle w:val="FootnoteText"/>
      </w:pPr>
      <w:r>
        <w:rPr>
          <w:rStyle w:val="FootnoteReference"/>
        </w:rPr>
        <w:footnoteRef/>
      </w:r>
      <w:r>
        <w:t xml:space="preserve"> </w:t>
      </w:r>
      <w:r>
        <w:t xml:space="preserve">Yen 2020, PMID 32575074.</w:t>
      </w:r>
    </w:p>
  </w:footnote>
  <w:footnote w:id="1854">
    <w:p>
      <w:pPr>
        <w:pStyle w:val="FootnoteText"/>
      </w:pPr>
      <w:r>
        <w:rPr>
          <w:rStyle w:val="FootnoteReference"/>
        </w:rPr>
        <w:footnoteRef/>
      </w:r>
      <w:r>
        <w:t xml:space="preserve"> </w:t>
      </w:r>
      <w:r>
        <w:t xml:space="preserve">Muzumdar 2010, PMID 20651283.</w:t>
      </w:r>
    </w:p>
  </w:footnote>
  <w:footnote w:id="1855">
    <w:p>
      <w:pPr>
        <w:pStyle w:val="FootnoteText"/>
      </w:pPr>
      <w:r>
        <w:rPr>
          <w:rStyle w:val="FootnoteReference"/>
        </w:rPr>
        <w:footnoteRef/>
      </w:r>
      <w:r>
        <w:t xml:space="preserve"> </w:t>
      </w:r>
      <w:r>
        <w:t xml:space="preserve">Qin 2018, PMID 30004252.</w:t>
      </w:r>
    </w:p>
  </w:footnote>
  <w:footnote w:id="1856">
    <w:p>
      <w:pPr>
        <w:pStyle w:val="FootnoteText"/>
      </w:pPr>
      <w:r>
        <w:rPr>
          <w:rStyle w:val="FootnoteReference"/>
        </w:rPr>
        <w:footnoteRef/>
      </w:r>
      <w:r>
        <w:t xml:space="preserve"> </w:t>
      </w:r>
      <w:r>
        <w:t xml:space="preserve">Miller 2024, PMID 38520065.</w:t>
      </w:r>
    </w:p>
  </w:footnote>
  <w:footnote w:id="1857">
    <w:p>
      <w:pPr>
        <w:pStyle w:val="FootnoteText"/>
      </w:pPr>
      <w:r>
        <w:rPr>
          <w:rStyle w:val="FootnoteReference"/>
        </w:rPr>
        <w:footnoteRef/>
      </w:r>
      <w:r>
        <w:t xml:space="preserve"> </w:t>
      </w:r>
      <w:r>
        <w:t xml:space="preserve">Nashine 2017, PMID 28726777.</w:t>
      </w:r>
    </w:p>
  </w:footnote>
  <w:footnote w:id="1859">
    <w:p>
      <w:pPr>
        <w:pStyle w:val="FootnoteText"/>
      </w:pPr>
      <w:r>
        <w:rPr>
          <w:rStyle w:val="FootnoteReference"/>
        </w:rPr>
        <w:footnoteRef/>
      </w:r>
      <w:r>
        <w:t xml:space="preserve"> </w:t>
      </w:r>
      <w:r>
        <w:t xml:space="preserve">Moreno Ayala 2020, PMID 32444831.</w:t>
      </w:r>
    </w:p>
  </w:footnote>
  <w:footnote w:id="1860">
    <w:p>
      <w:pPr>
        <w:pStyle w:val="FootnoteText"/>
      </w:pPr>
      <w:r>
        <w:rPr>
          <w:rStyle w:val="FootnoteReference"/>
        </w:rPr>
        <w:footnoteRef/>
      </w:r>
      <w:r>
        <w:t xml:space="preserve"> </w:t>
      </w:r>
      <w:r>
        <w:t xml:space="preserve">Mendelsohn 2018, PMID 30058454.</w:t>
      </w:r>
    </w:p>
  </w:footnote>
  <w:footnote w:id="1863">
    <w:p>
      <w:pPr>
        <w:pStyle w:val="FootnoteText"/>
      </w:pPr>
      <w:r>
        <w:rPr>
          <w:rStyle w:val="FootnoteReference"/>
        </w:rPr>
        <w:footnoteRef/>
      </w:r>
      <w:r>
        <w:t xml:space="preserve"> </w:t>
      </w:r>
      <w:r>
        <w:t xml:space="preserve">NCT07678073.</w:t>
      </w:r>
    </w:p>
  </w:footnote>
  <w:footnote w:id="1868">
    <w:p>
      <w:pPr>
        <w:pStyle w:val="FootnoteText"/>
      </w:pPr>
      <w:r>
        <w:rPr>
          <w:rStyle w:val="FootnoteReference"/>
        </w:rPr>
        <w:footnoteRef/>
      </w:r>
      <w:r>
        <w:t xml:space="preserve"> </w:t>
      </w:r>
      <w:r>
        <w:t xml:space="preserve">Szeto 2014, PMID 24117165.</w:t>
      </w:r>
    </w:p>
  </w:footnote>
  <w:footnote w:id="1870">
    <w:p>
      <w:pPr>
        <w:pStyle w:val="FootnoteText"/>
      </w:pPr>
      <w:r>
        <w:rPr>
          <w:rStyle w:val="FootnoteReference"/>
        </w:rPr>
        <w:footnoteRef/>
      </w:r>
      <w:r>
        <w:t xml:space="preserve"> </w:t>
      </w:r>
      <w:r>
        <w:t xml:space="preserve">NCT03098797.</w:t>
      </w:r>
    </w:p>
  </w:footnote>
  <w:footnote w:id="1871">
    <w:p>
      <w:pPr>
        <w:pStyle w:val="FootnoteText"/>
      </w:pPr>
      <w:r>
        <w:rPr>
          <w:rStyle w:val="FootnoteReference"/>
        </w:rPr>
        <w:footnoteRef/>
      </w:r>
      <w:r>
        <w:t xml:space="preserve"> </w:t>
      </w:r>
      <w:r>
        <w:t xml:space="preserve">Reid Thompson 2021, PMID 33077895.</w:t>
      </w:r>
    </w:p>
  </w:footnote>
  <w:footnote w:id="1872">
    <w:p>
      <w:pPr>
        <w:pStyle w:val="FootnoteText"/>
      </w:pPr>
      <w:r>
        <w:rPr>
          <w:rStyle w:val="FootnoteReference"/>
        </w:rPr>
        <w:footnoteRef/>
      </w:r>
      <w:r>
        <w:t xml:space="preserve"> </w:t>
      </w:r>
      <w:r>
        <w:t xml:space="preserve">Reid Thompson 2021, PMID 33077895.</w:t>
      </w:r>
    </w:p>
  </w:footnote>
  <w:footnote w:id="1873">
    <w:p>
      <w:pPr>
        <w:pStyle w:val="FootnoteText"/>
      </w:pPr>
      <w:r>
        <w:rPr>
          <w:rStyle w:val="FootnoteReference"/>
        </w:rPr>
        <w:footnoteRef/>
      </w:r>
      <w:r>
        <w:t xml:space="preserve"> </w:t>
      </w:r>
      <w:r>
        <w:t xml:space="preserve">Thompson 2024, PMID 38602181.</w:t>
      </w:r>
    </w:p>
  </w:footnote>
  <w:footnote w:id="1874">
    <w:p>
      <w:pPr>
        <w:pStyle w:val="FootnoteText"/>
      </w:pPr>
      <w:r>
        <w:rPr>
          <w:rStyle w:val="FootnoteReference"/>
        </w:rPr>
        <w:footnoteRef/>
      </w:r>
      <w:r>
        <w:t xml:space="preserve"> </w:t>
      </w:r>
      <w:r>
        <w:t xml:space="preserve">Hornby 2022, PMID 36056411.</w:t>
      </w:r>
    </w:p>
  </w:footnote>
  <w:footnote w:id="1875">
    <w:p>
      <w:pPr>
        <w:pStyle w:val="FootnoteText"/>
      </w:pPr>
      <w:r>
        <w:rPr>
          <w:rStyle w:val="FootnoteReference"/>
        </w:rPr>
        <w:footnoteRef/>
      </w:r>
      <w:r>
        <w:t xml:space="preserve"> </w:t>
      </w:r>
      <w:r>
        <w:t xml:space="preserve">Shirley 2026, PMID 41335372.</w:t>
      </w:r>
    </w:p>
  </w:footnote>
  <w:footnote w:id="1876">
    <w:p>
      <w:pPr>
        <w:pStyle w:val="FootnoteText"/>
      </w:pPr>
      <w:r>
        <w:rPr>
          <w:rStyle w:val="FootnoteReference"/>
        </w:rPr>
        <w:footnoteRef/>
      </w:r>
      <w:r>
        <w:t xml:space="preserve"> </w:t>
      </w:r>
      <w:r>
        <w:t xml:space="preserve">NCT07531251.</w:t>
      </w:r>
    </w:p>
  </w:footnote>
  <w:footnote w:id="1878">
    <w:p>
      <w:pPr>
        <w:pStyle w:val="FootnoteText"/>
      </w:pPr>
      <w:r>
        <w:rPr>
          <w:rStyle w:val="FootnoteReference"/>
        </w:rPr>
        <w:footnoteRef/>
      </w:r>
      <w:r>
        <w:t xml:space="preserve"> </w:t>
      </w:r>
      <w:r>
        <w:t xml:space="preserve">NCT03323749.</w:t>
      </w:r>
    </w:p>
  </w:footnote>
  <w:footnote w:id="1879">
    <w:p>
      <w:pPr>
        <w:pStyle w:val="FootnoteText"/>
      </w:pPr>
      <w:r>
        <w:rPr>
          <w:rStyle w:val="FootnoteReference"/>
        </w:rPr>
        <w:footnoteRef/>
      </w:r>
      <w:r>
        <w:t xml:space="preserve"> </w:t>
      </w:r>
      <w:r>
        <w:t xml:space="preserve">Karaa 2023, PMID 37268435.</w:t>
      </w:r>
    </w:p>
  </w:footnote>
  <w:footnote w:id="1880">
    <w:p>
      <w:pPr>
        <w:pStyle w:val="FootnoteText"/>
      </w:pPr>
      <w:r>
        <w:rPr>
          <w:rStyle w:val="FootnoteReference"/>
        </w:rPr>
        <w:footnoteRef/>
      </w:r>
      <w:r>
        <w:t xml:space="preserve"> </w:t>
      </w:r>
      <w:r>
        <w:t xml:space="preserve">Karaa 2024, PMID 39574155.</w:t>
      </w:r>
    </w:p>
  </w:footnote>
  <w:footnote w:id="1881">
    <w:p>
      <w:pPr>
        <w:pStyle w:val="FootnoteText"/>
      </w:pPr>
      <w:r>
        <w:rPr>
          <w:rStyle w:val="FootnoteReference"/>
        </w:rPr>
        <w:footnoteRef/>
      </w:r>
      <w:r>
        <w:t xml:space="preserve"> </w:t>
      </w:r>
      <w:r>
        <w:t xml:space="preserve">NCT05162768.</w:t>
      </w:r>
    </w:p>
  </w:footnote>
  <w:footnote w:id="1883">
    <w:p>
      <w:pPr>
        <w:pStyle w:val="FootnoteText"/>
      </w:pPr>
      <w:r>
        <w:rPr>
          <w:rStyle w:val="FootnoteReference"/>
        </w:rPr>
        <w:footnoteRef/>
      </w:r>
      <w:r>
        <w:t xml:space="preserve"> </w:t>
      </w:r>
      <w:r>
        <w:t xml:space="preserve">Gibson 2016, PMID 26586786; Butler 2020, PMID 32068002.</w:t>
      </w:r>
    </w:p>
  </w:footnote>
  <w:footnote w:id="1884">
    <w:p>
      <w:pPr>
        <w:pStyle w:val="FootnoteText"/>
      </w:pPr>
      <w:r>
        <w:rPr>
          <w:rStyle w:val="FootnoteReference"/>
        </w:rPr>
        <w:footnoteRef/>
      </w:r>
      <w:r>
        <w:t xml:space="preserve"> </w:t>
      </w:r>
      <w:r>
        <w:t xml:space="preserve">Ehlers 2025, PMID 39605874.</w:t>
      </w:r>
    </w:p>
  </w:footnote>
  <w:footnote w:id="1885">
    <w:p>
      <w:pPr>
        <w:pStyle w:val="FootnoteText"/>
      </w:pPr>
      <w:r>
        <w:rPr>
          <w:rStyle w:val="FootnoteReference"/>
        </w:rPr>
        <w:footnoteRef/>
      </w:r>
      <w:r>
        <w:t xml:space="preserve"> </w:t>
      </w:r>
      <w:r>
        <w:t xml:space="preserve">NCT06373731.</w:t>
      </w:r>
    </w:p>
  </w:footnote>
  <w:footnote w:id="1886">
    <w:p>
      <w:pPr>
        <w:pStyle w:val="FootnoteText"/>
      </w:pPr>
      <w:r>
        <w:rPr>
          <w:rStyle w:val="FootnoteReference"/>
        </w:rPr>
        <w:footnoteRef/>
      </w:r>
      <w:r>
        <w:t xml:space="preserve"> </w:t>
      </w:r>
      <w:r>
        <w:t xml:space="preserve">Roshanravan 2021, PMID 34264994.</w:t>
      </w:r>
    </w:p>
  </w:footnote>
  <w:footnote w:id="1889">
    <w:p>
      <w:pPr>
        <w:pStyle w:val="FootnoteText"/>
      </w:pPr>
      <w:r>
        <w:rPr>
          <w:rStyle w:val="FootnoteReference"/>
        </w:rPr>
        <w:footnoteRef/>
      </w:r>
      <w:r>
        <w:t xml:space="preserve"> </w:t>
      </w:r>
      <w:r>
        <w:t xml:space="preserve">Szeto 2014, PMID 24117165.</w:t>
      </w:r>
    </w:p>
  </w:footnote>
  <w:footnote w:id="1890">
    <w:p>
      <w:pPr>
        <w:pStyle w:val="FootnoteText"/>
      </w:pPr>
      <w:r>
        <w:rPr>
          <w:rStyle w:val="FootnoteReference"/>
        </w:rPr>
        <w:footnoteRef/>
      </w:r>
      <w:r>
        <w:t xml:space="preserve"> </w:t>
      </w:r>
      <w:r>
        <w:t xml:space="preserve">Sabbah 2016, PMID 26839394.</w:t>
      </w:r>
    </w:p>
  </w:footnote>
  <w:footnote w:id="1891">
    <w:p>
      <w:pPr>
        <w:pStyle w:val="FootnoteText"/>
      </w:pPr>
      <w:r>
        <w:rPr>
          <w:rStyle w:val="FootnoteReference"/>
        </w:rPr>
        <w:footnoteRef/>
      </w:r>
      <w:r>
        <w:t xml:space="preserve"> </w:t>
      </w:r>
      <w:r>
        <w:t xml:space="preserve">Schauer 2026, PMID 41596703.</w:t>
      </w:r>
    </w:p>
  </w:footnote>
  <w:footnote w:id="1893">
    <w:p>
      <w:pPr>
        <w:pStyle w:val="FootnoteText"/>
      </w:pPr>
      <w:r>
        <w:rPr>
          <w:rStyle w:val="FootnoteReference"/>
        </w:rPr>
        <w:footnoteRef/>
      </w:r>
      <w:r>
        <w:t xml:space="preserve"> </w:t>
      </w:r>
      <w:r>
        <w:t xml:space="preserve">Karaa 2020, PMID 32096613.</w:t>
      </w:r>
    </w:p>
  </w:footnote>
  <w:footnote w:id="1894">
    <w:p>
      <w:pPr>
        <w:pStyle w:val="FootnoteText"/>
      </w:pPr>
      <w:r>
        <w:rPr>
          <w:rStyle w:val="FootnoteReference"/>
        </w:rPr>
        <w:footnoteRef/>
      </w:r>
      <w:r>
        <w:t xml:space="preserve"> </w:t>
      </w:r>
      <w:r>
        <w:t xml:space="preserve">Ehlers 2025, PMID 39605874.</w:t>
      </w:r>
    </w:p>
  </w:footnote>
  <w:footnote w:id="1895">
    <w:p>
      <w:pPr>
        <w:pStyle w:val="FootnoteText"/>
      </w:pPr>
      <w:r>
        <w:rPr>
          <w:rStyle w:val="FootnoteReference"/>
        </w:rPr>
        <w:footnoteRef/>
      </w:r>
      <w:r>
        <w:t xml:space="preserve"> </w:t>
      </w:r>
      <w:r>
        <w:t xml:space="preserve">Karaa 2023, PMID 37268435.</w:t>
      </w:r>
    </w:p>
  </w:footnote>
  <w:footnote w:id="1896">
    <w:p>
      <w:pPr>
        <w:pStyle w:val="FootnoteText"/>
      </w:pPr>
      <w:r>
        <w:rPr>
          <w:rStyle w:val="FootnoteReference"/>
        </w:rPr>
        <w:footnoteRef/>
      </w:r>
      <w:r>
        <w:t xml:space="preserve"> </w:t>
      </w:r>
      <w:r>
        <w:t xml:space="preserve">Thompson 2024, PMID 38602181.</w:t>
      </w:r>
    </w:p>
  </w:footnote>
  <w:footnote w:id="1898">
    <w:p>
      <w:pPr>
        <w:pStyle w:val="FootnoteText"/>
      </w:pPr>
      <w:r>
        <w:rPr>
          <w:rStyle w:val="FootnoteReference"/>
        </w:rPr>
        <w:footnoteRef/>
      </w:r>
      <w:r>
        <w:t xml:space="preserve"> </w:t>
      </w:r>
      <w:r>
        <w:t xml:space="preserve">NCT04689360.</w:t>
      </w:r>
    </w:p>
  </w:footnote>
  <w:footnote w:id="1900">
    <w:p>
      <w:pPr>
        <w:pStyle w:val="FootnoteText"/>
      </w:pPr>
      <w:r>
        <w:rPr>
          <w:rStyle w:val="FootnoteReference"/>
        </w:rPr>
        <w:footnoteRef/>
      </w:r>
      <w:r>
        <w:t xml:space="preserve"> </w:t>
      </w:r>
      <w:r>
        <w:t xml:space="preserve">NCT06373731.</w:t>
      </w:r>
    </w:p>
  </w:footnote>
  <w:footnote w:id="1901">
    <w:p>
      <w:pPr>
        <w:pStyle w:val="FootnoteText"/>
      </w:pPr>
      <w:r>
        <w:rPr>
          <w:rStyle w:val="FootnoteReference"/>
        </w:rPr>
        <w:footnoteRef/>
      </w:r>
      <w:r>
        <w:t xml:space="preserve"> </w:t>
      </w:r>
      <w:r>
        <w:t xml:space="preserve">NCT07531251.</w:t>
      </w:r>
    </w:p>
  </w:footnote>
  <w:footnote w:id="1902">
    <w:p>
      <w:pPr>
        <w:pStyle w:val="FootnoteText"/>
      </w:pPr>
      <w:r>
        <w:rPr>
          <w:rStyle w:val="FootnoteReference"/>
        </w:rPr>
        <w:footnoteRef/>
      </w:r>
      <w:r>
        <w:t xml:space="preserve"> </w:t>
      </w:r>
      <w:r>
        <w:t xml:space="preserve">NCT05162768.</w:t>
      </w:r>
    </w:p>
  </w:footnote>
  <w:footnote w:id="1903">
    <w:p>
      <w:pPr>
        <w:pStyle w:val="FootnoteText"/>
      </w:pPr>
      <w:r>
        <w:rPr>
          <w:rStyle w:val="FootnoteReference"/>
        </w:rPr>
        <w:footnoteRef/>
      </w:r>
      <w:r>
        <w:t xml:space="preserve"> </w:t>
      </w:r>
      <w:r>
        <w:t xml:space="preserve">NCT07275424.</w:t>
      </w:r>
    </w:p>
  </w:footnote>
  <w:footnote w:id="1908">
    <w:p>
      <w:pPr>
        <w:pStyle w:val="FootnoteText"/>
      </w:pPr>
      <w:r>
        <w:rPr>
          <w:rStyle w:val="FootnoteReference"/>
        </w:rPr>
        <w:footnoteRef/>
      </w:r>
      <w:r>
        <w:t xml:space="preserve"> </w:t>
      </w:r>
      <w:r>
        <w:t xml:space="preserve">Baar 2017, PMID 28340339.</w:t>
      </w:r>
    </w:p>
  </w:footnote>
  <w:footnote w:id="1909">
    <w:p>
      <w:pPr>
        <w:pStyle w:val="FootnoteText"/>
      </w:pPr>
      <w:r>
        <w:rPr>
          <w:rStyle w:val="FootnoteReference"/>
        </w:rPr>
        <w:footnoteRef/>
      </w:r>
      <w:r>
        <w:t xml:space="preserve"> </w:t>
      </w:r>
      <w:r>
        <w:t xml:space="preserve">Bourgeois 2025, PMID 40593617.</w:t>
      </w:r>
    </w:p>
  </w:footnote>
  <w:footnote w:id="1910">
    <w:p>
      <w:pPr>
        <w:pStyle w:val="FootnoteText"/>
      </w:pPr>
      <w:r>
        <w:rPr>
          <w:rStyle w:val="FootnoteReference"/>
        </w:rPr>
        <w:footnoteRef/>
      </w:r>
      <w:r>
        <w:t xml:space="preserve"> </w:t>
      </w:r>
      <w:r>
        <w:t xml:space="preserve">Justice 2019, PMID 30616998.</w:t>
      </w:r>
    </w:p>
  </w:footnote>
  <w:footnote w:id="1911">
    <w:p>
      <w:pPr>
        <w:pStyle w:val="FootnoteText"/>
      </w:pPr>
      <w:r>
        <w:rPr>
          <w:rStyle w:val="FootnoteReference"/>
        </w:rPr>
        <w:footnoteRef/>
      </w:r>
      <w:r>
        <w:t xml:space="preserve"> </w:t>
      </w:r>
      <w:r>
        <w:t xml:space="preserve">Farr 2024, PMID 38956196.</w:t>
      </w:r>
    </w:p>
  </w:footnote>
  <w:footnote w:id="1914">
    <w:p>
      <w:pPr>
        <w:pStyle w:val="FootnoteText"/>
      </w:pPr>
      <w:r>
        <w:rPr>
          <w:rStyle w:val="FootnoteReference"/>
        </w:rPr>
        <w:footnoteRef/>
      </w:r>
      <w:r>
        <w:t xml:space="preserve"> </w:t>
      </w:r>
      <w:r>
        <w:t xml:space="preserve">Huang 2021, PMID 33996787.</w:t>
      </w:r>
    </w:p>
  </w:footnote>
  <w:footnote w:id="1916">
    <w:p>
      <w:pPr>
        <w:pStyle w:val="FootnoteText"/>
      </w:pPr>
      <w:r>
        <w:rPr>
          <w:rStyle w:val="FootnoteReference"/>
        </w:rPr>
        <w:footnoteRef/>
      </w:r>
      <w:r>
        <w:t xml:space="preserve"> </w:t>
      </w:r>
      <w:r>
        <w:t xml:space="preserve">Baar 2017, PMID 28340339.</w:t>
      </w:r>
    </w:p>
  </w:footnote>
  <w:footnote w:id="1917">
    <w:p>
      <w:pPr>
        <w:pStyle w:val="FootnoteText"/>
      </w:pPr>
      <w:r>
        <w:rPr>
          <w:rStyle w:val="FootnoteReference"/>
        </w:rPr>
        <w:footnoteRef/>
      </w:r>
      <w:r>
        <w:t xml:space="preserve"> </w:t>
      </w:r>
      <w:r>
        <w:t xml:space="preserve">Born 2023, PMID 36515093.</w:t>
      </w:r>
    </w:p>
  </w:footnote>
  <w:footnote w:id="1919">
    <w:p>
      <w:pPr>
        <w:pStyle w:val="FootnoteText"/>
      </w:pPr>
      <w:r>
        <w:rPr>
          <w:rStyle w:val="FootnoteReference"/>
        </w:rPr>
        <w:footnoteRef/>
      </w:r>
      <w:r>
        <w:t xml:space="preserve"> </w:t>
      </w:r>
      <w:r>
        <w:t xml:space="preserve">Born 2023, PMID 36515093.</w:t>
      </w:r>
    </w:p>
  </w:footnote>
  <w:footnote w:id="1920">
    <w:p>
      <w:pPr>
        <w:pStyle w:val="FootnoteText"/>
      </w:pPr>
      <w:r>
        <w:rPr>
          <w:rStyle w:val="FootnoteReference"/>
        </w:rPr>
        <w:footnoteRef/>
      </w:r>
      <w:r>
        <w:t xml:space="preserve"> </w:t>
      </w:r>
      <w:r>
        <w:t xml:space="preserve">Bourgeois 2025, PMID 40593617.</w:t>
      </w:r>
    </w:p>
  </w:footnote>
  <w:footnote w:id="1928">
    <w:p>
      <w:pPr>
        <w:pStyle w:val="FootnoteText"/>
      </w:pPr>
      <w:r>
        <w:rPr>
          <w:rStyle w:val="FootnoteReference"/>
        </w:rPr>
        <w:footnoteRef/>
      </w:r>
      <w:r>
        <w:t xml:space="preserve"> </w:t>
      </w:r>
      <w:r>
        <w:t xml:space="preserve">Allen 2011, PMID 21875351.</w:t>
      </w:r>
    </w:p>
  </w:footnote>
  <w:footnote w:id="1929">
    <w:p>
      <w:pPr>
        <w:pStyle w:val="FootnoteText"/>
      </w:pPr>
      <w:r>
        <w:rPr>
          <w:rStyle w:val="FootnoteReference"/>
        </w:rPr>
        <w:footnoteRef/>
      </w:r>
      <w:r>
        <w:t xml:space="preserve"> </w:t>
      </w:r>
      <w:r>
        <w:t xml:space="preserve">Richie 2015, PMID 24791752.</w:t>
      </w:r>
    </w:p>
  </w:footnote>
  <w:footnote w:id="1930">
    <w:p>
      <w:pPr>
        <w:pStyle w:val="FootnoteText"/>
      </w:pPr>
      <w:r>
        <w:rPr>
          <w:rStyle w:val="FootnoteReference"/>
        </w:rPr>
        <w:footnoteRef/>
      </w:r>
      <w:r>
        <w:t xml:space="preserve"> </w:t>
      </w:r>
      <w:r>
        <w:t xml:space="preserve">Sinha 2018, PMID 28853742.</w:t>
      </w:r>
    </w:p>
  </w:footnote>
  <w:footnote w:id="1932">
    <w:p>
      <w:pPr>
        <w:pStyle w:val="FootnoteText"/>
      </w:pPr>
      <w:r>
        <w:rPr>
          <w:rStyle w:val="FootnoteReference"/>
        </w:rPr>
        <w:footnoteRef/>
      </w:r>
      <w:r>
        <w:t xml:space="preserve"> </w:t>
      </w:r>
      <w:r>
        <w:t xml:space="preserve">Leal 2014, PMID 24619793.</w:t>
      </w:r>
    </w:p>
  </w:footnote>
  <w:footnote w:id="1933">
    <w:p>
      <w:pPr>
        <w:pStyle w:val="FootnoteText"/>
      </w:pPr>
      <w:r>
        <w:rPr>
          <w:rStyle w:val="FootnoteReference"/>
        </w:rPr>
        <w:footnoteRef/>
      </w:r>
      <w:r>
        <w:t xml:space="preserve"> </w:t>
      </w:r>
      <w:r>
        <w:t xml:space="preserve">Hauser 2009, PMID 19230029.</w:t>
      </w:r>
    </w:p>
  </w:footnote>
  <w:footnote w:id="1934">
    <w:p>
      <w:pPr>
        <w:pStyle w:val="FootnoteText"/>
      </w:pPr>
      <w:r>
        <w:rPr>
          <w:rStyle w:val="FootnoteReference"/>
        </w:rPr>
        <w:footnoteRef/>
      </w:r>
      <w:r>
        <w:t xml:space="preserve"> </w:t>
      </w:r>
      <w:r>
        <w:t xml:space="preserve">Mischley 2017, PMID 28436395.</w:t>
      </w:r>
    </w:p>
  </w:footnote>
  <w:footnote w:id="1935">
    <w:p>
      <w:pPr>
        <w:pStyle w:val="FootnoteText"/>
      </w:pPr>
      <w:r>
        <w:rPr>
          <w:rStyle w:val="FootnoteReference"/>
        </w:rPr>
        <w:footnoteRef/>
      </w:r>
      <w:r>
        <w:t xml:space="preserve"> </w:t>
      </w:r>
      <w:r>
        <w:t xml:space="preserve">Bozic 2020, PMID 32960827.</w:t>
      </w:r>
    </w:p>
  </w:footnote>
  <w:footnote w:id="1936">
    <w:p>
      <w:pPr>
        <w:pStyle w:val="FootnoteText"/>
      </w:pPr>
      <w:r>
        <w:rPr>
          <w:rStyle w:val="FootnoteReference"/>
        </w:rPr>
        <w:footnoteRef/>
      </w:r>
      <w:r>
        <w:t xml:space="preserve"> </w:t>
      </w:r>
      <w:r>
        <w:t xml:space="preserve">Søndergård 2021, PMID 33740389.</w:t>
      </w:r>
    </w:p>
  </w:footnote>
  <w:footnote w:id="1937">
    <w:p>
      <w:pPr>
        <w:pStyle w:val="FootnoteText"/>
      </w:pPr>
      <w:r>
        <w:rPr>
          <w:rStyle w:val="FootnoteReference"/>
        </w:rPr>
        <w:footnoteRef/>
      </w:r>
      <w:r>
        <w:t xml:space="preserve"> </w:t>
      </w:r>
      <w:r>
        <w:t xml:space="preserve">Honda 2017, PMID 28789631.</w:t>
      </w:r>
    </w:p>
  </w:footnote>
  <w:footnote w:id="1938">
    <w:p>
      <w:pPr>
        <w:pStyle w:val="FootnoteText"/>
      </w:pPr>
      <w:r>
        <w:rPr>
          <w:rStyle w:val="FootnoteReference"/>
        </w:rPr>
        <w:footnoteRef/>
      </w:r>
      <w:r>
        <w:t xml:space="preserve"> </w:t>
      </w:r>
      <w:r>
        <w:t xml:space="preserve">Arrivi 2023, PMID 36083043.</w:t>
      </w:r>
    </w:p>
  </w:footnote>
  <w:footnote w:id="1940">
    <w:p>
      <w:pPr>
        <w:pStyle w:val="FootnoteText"/>
      </w:pPr>
      <w:r>
        <w:rPr>
          <w:rStyle w:val="FootnoteReference"/>
        </w:rPr>
        <w:footnoteRef/>
      </w:r>
      <w:r>
        <w:t xml:space="preserve"> </w:t>
      </w:r>
      <w:r>
        <w:t xml:space="preserve">Arjinpathana 2012, PMID 20524875.</w:t>
      </w:r>
    </w:p>
  </w:footnote>
  <w:footnote w:id="1941">
    <w:p>
      <w:pPr>
        <w:pStyle w:val="FootnoteText"/>
      </w:pPr>
      <w:r>
        <w:rPr>
          <w:rStyle w:val="FootnoteReference"/>
        </w:rPr>
        <w:footnoteRef/>
      </w:r>
      <w:r>
        <w:t xml:space="preserve"> </w:t>
      </w:r>
      <w:r>
        <w:t xml:space="preserve">Dilokthornsakul 2019, PMID 30895708.</w:t>
      </w:r>
    </w:p>
  </w:footnote>
  <w:footnote w:id="1942">
    <w:p>
      <w:pPr>
        <w:pStyle w:val="FootnoteText"/>
      </w:pPr>
      <w:r>
        <w:rPr>
          <w:rStyle w:val="FootnoteReference"/>
        </w:rPr>
        <w:footnoteRef/>
      </w:r>
      <w:r>
        <w:t xml:space="preserve"> </w:t>
      </w:r>
      <w:r>
        <w:t xml:space="preserve">Sarkar 2025, PMID 39444151.</w:t>
      </w:r>
    </w:p>
  </w:footnote>
  <w:footnote w:id="1943">
    <w:p>
      <w:pPr>
        <w:pStyle w:val="FootnoteText"/>
      </w:pPr>
      <w:r>
        <w:rPr>
          <w:rStyle w:val="FootnoteReference"/>
        </w:rPr>
        <w:footnoteRef/>
      </w:r>
      <w:r>
        <w:t xml:space="preserve"> </w:t>
      </w:r>
      <w:r>
        <w:t xml:space="preserve">Sarkar 2025, PMID 39444151.</w:t>
      </w:r>
    </w:p>
  </w:footnote>
  <w:footnote w:id="1944">
    <w:p>
      <w:pPr>
        <w:pStyle w:val="FootnoteText"/>
      </w:pPr>
      <w:r>
        <w:rPr>
          <w:rStyle w:val="FootnoteReference"/>
        </w:rPr>
        <w:footnoteRef/>
      </w:r>
      <w:r>
        <w:t xml:space="preserve"> </w:t>
      </w:r>
      <w:r>
        <w:t xml:space="preserve">Davids 2016, PMID 27499402.</w:t>
      </w:r>
    </w:p>
  </w:footnote>
  <w:footnote w:id="1945">
    <w:p>
      <w:pPr>
        <w:pStyle w:val="FootnoteText"/>
      </w:pPr>
      <w:r>
        <w:rPr>
          <w:rStyle w:val="FootnoteReference"/>
        </w:rPr>
        <w:footnoteRef/>
      </w:r>
      <w:r>
        <w:t xml:space="preserve"> </w:t>
      </w:r>
      <w:r>
        <w:t xml:space="preserve">Dadzie 2016, PMID 27581922.</w:t>
      </w:r>
    </w:p>
  </w:footnote>
  <w:footnote w:id="1949">
    <w:p>
      <w:pPr>
        <w:pStyle w:val="FootnoteText"/>
      </w:pPr>
      <w:r>
        <w:rPr>
          <w:rStyle w:val="FootnoteReference"/>
        </w:rPr>
        <w:footnoteRef/>
      </w:r>
      <w:r>
        <w:t xml:space="preserve"> </w:t>
      </w:r>
      <w:r>
        <w:t xml:space="preserve">Mischley 2017, PMID 28436395.</w:t>
      </w:r>
    </w:p>
  </w:footnote>
  <w:footnote w:id="1950">
    <w:p>
      <w:pPr>
        <w:pStyle w:val="FootnoteText"/>
      </w:pPr>
      <w:r>
        <w:rPr>
          <w:rStyle w:val="FootnoteReference"/>
        </w:rPr>
        <w:footnoteRef/>
      </w:r>
      <w:r>
        <w:t xml:space="preserve"> </w:t>
      </w:r>
      <w:r>
        <w:t xml:space="preserve">Davids 2016, PMID 27499402.</w:t>
      </w:r>
    </w:p>
  </w:footnote>
  <w:footnote w:id="1951">
    <w:p>
      <w:pPr>
        <w:pStyle w:val="FootnoteText"/>
      </w:pPr>
      <w:r>
        <w:rPr>
          <w:rStyle w:val="FootnoteReference"/>
        </w:rPr>
        <w:footnoteRef/>
      </w:r>
      <w:r>
        <w:t xml:space="preserve"> </w:t>
      </w:r>
      <w:r>
        <w:t xml:space="preserve">Leal 2014, PMID 24619793.</w:t>
      </w:r>
    </w:p>
  </w:footnote>
  <w:footnote w:id="1954">
    <w:p>
      <w:pPr>
        <w:pStyle w:val="FootnoteText"/>
      </w:pPr>
      <w:r>
        <w:rPr>
          <w:rStyle w:val="FootnoteReference"/>
        </w:rPr>
        <w:footnoteRef/>
      </w:r>
      <w:r>
        <w:t xml:space="preserve"> </w:t>
      </w:r>
      <w:r>
        <w:t xml:space="preserve">NCT07448415.</w:t>
      </w:r>
    </w:p>
  </w:footnote>
  <w:footnote w:id="1959">
    <w:p>
      <w:pPr>
        <w:pStyle w:val="FootnoteText"/>
      </w:pPr>
      <w:r>
        <w:rPr>
          <w:rStyle w:val="FootnoteReference"/>
        </w:rPr>
        <w:footnoteRef/>
      </w:r>
      <w:r>
        <w:t xml:space="preserve"> </w:t>
      </w:r>
      <w:r>
        <w:t xml:space="preserve">Hadley 2006, PMID 16412534.</w:t>
      </w:r>
    </w:p>
  </w:footnote>
  <w:footnote w:id="1960">
    <w:p>
      <w:pPr>
        <w:pStyle w:val="FootnoteText"/>
      </w:pPr>
      <w:r>
        <w:rPr>
          <w:rStyle w:val="FootnoteReference"/>
        </w:rPr>
        <w:footnoteRef/>
      </w:r>
      <w:r>
        <w:t xml:space="preserve"> </w:t>
      </w:r>
      <w:r>
        <w:t xml:space="preserve">Hadley 2005, PMID 15996790.</w:t>
      </w:r>
    </w:p>
  </w:footnote>
  <w:footnote w:id="1965">
    <w:p>
      <w:pPr>
        <w:pStyle w:val="FootnoteText"/>
      </w:pPr>
      <w:r>
        <w:rPr>
          <w:rStyle w:val="FootnoteReference"/>
        </w:rPr>
        <w:footnoteRef/>
      </w:r>
      <w:r>
        <w:t xml:space="preserve"> </w:t>
      </w:r>
      <w:r>
        <w:t xml:space="preserve">Hadley 2006, PMID 16412534.</w:t>
      </w:r>
    </w:p>
  </w:footnote>
  <w:footnote w:id="1966">
    <w:p>
      <w:pPr>
        <w:pStyle w:val="FootnoteText"/>
      </w:pPr>
      <w:r>
        <w:rPr>
          <w:rStyle w:val="FootnoteReference"/>
        </w:rPr>
        <w:footnoteRef/>
      </w:r>
      <w:r>
        <w:t xml:space="preserve"> </w:t>
      </w:r>
      <w:r>
        <w:t xml:space="preserve">Dhillon 2019, PMID 31429064.</w:t>
      </w:r>
    </w:p>
  </w:footnote>
  <w:footnote w:id="1968">
    <w:p>
      <w:pPr>
        <w:pStyle w:val="FootnoteText"/>
      </w:pPr>
      <w:r>
        <w:rPr>
          <w:rStyle w:val="FootnoteReference"/>
        </w:rPr>
        <w:footnoteRef/>
      </w:r>
      <w:r>
        <w:t xml:space="preserve"> </w:t>
      </w:r>
      <w:r>
        <w:t xml:space="preserve">Hadley 2005, PMID 15996790.</w:t>
      </w:r>
    </w:p>
  </w:footnote>
  <w:footnote w:id="1969">
    <w:p>
      <w:pPr>
        <w:pStyle w:val="FootnoteText"/>
      </w:pPr>
      <w:r>
        <w:rPr>
          <w:rStyle w:val="FootnoteReference"/>
        </w:rPr>
        <w:footnoteRef/>
      </w:r>
      <w:r>
        <w:t xml:space="preserve"> </w:t>
      </w:r>
      <w:r>
        <w:t xml:space="preserve">Pfaus 2022, PMID 33455598.</w:t>
      </w:r>
    </w:p>
  </w:footnote>
  <w:footnote w:id="1970">
    <w:p>
      <w:pPr>
        <w:pStyle w:val="FootnoteText"/>
      </w:pPr>
      <w:r>
        <w:rPr>
          <w:rStyle w:val="FootnoteReference"/>
        </w:rPr>
        <w:footnoteRef/>
      </w:r>
      <w:r>
        <w:t xml:space="preserve"> </w:t>
      </w:r>
      <w:r>
        <w:t xml:space="preserve">Pfaus 2022, PMID 33455598.</w:t>
      </w:r>
    </w:p>
  </w:footnote>
  <w:footnote w:id="1971">
    <w:p>
      <w:pPr>
        <w:pStyle w:val="FootnoteText"/>
      </w:pPr>
      <w:r>
        <w:rPr>
          <w:rStyle w:val="FootnoteReference"/>
        </w:rPr>
        <w:footnoteRef/>
      </w:r>
      <w:r>
        <w:t xml:space="preserve"> </w:t>
      </w:r>
      <w:r>
        <w:t xml:space="preserve">Thurston 2022, PMID 36189794.</w:t>
      </w:r>
    </w:p>
  </w:footnote>
  <w:footnote w:id="1973">
    <w:p>
      <w:pPr>
        <w:pStyle w:val="FootnoteText"/>
      </w:pPr>
      <w:r>
        <w:rPr>
          <w:rStyle w:val="FootnoteReference"/>
        </w:rPr>
        <w:footnoteRef/>
      </w:r>
      <w:r>
        <w:t xml:space="preserve"> </w:t>
      </w:r>
      <w:r>
        <w:t xml:space="preserve">Diamond 2004, PMID 14963471.</w:t>
      </w:r>
    </w:p>
  </w:footnote>
  <w:footnote w:id="1974">
    <w:p>
      <w:pPr>
        <w:pStyle w:val="FootnoteText"/>
      </w:pPr>
      <w:r>
        <w:rPr>
          <w:rStyle w:val="FootnoteReference"/>
        </w:rPr>
        <w:footnoteRef/>
      </w:r>
      <w:r>
        <w:t xml:space="preserve"> </w:t>
      </w:r>
      <w:r>
        <w:t xml:space="preserve">Rosen 2004, PMID 14999221.</w:t>
      </w:r>
    </w:p>
  </w:footnote>
  <w:footnote w:id="1975">
    <w:p>
      <w:pPr>
        <w:pStyle w:val="FootnoteText"/>
      </w:pPr>
      <w:r>
        <w:rPr>
          <w:rStyle w:val="FootnoteReference"/>
        </w:rPr>
        <w:footnoteRef/>
      </w:r>
      <w:r>
        <w:t xml:space="preserve"> </w:t>
      </w:r>
      <w:r>
        <w:t xml:space="preserve">Diamond 2005, PMID 15833522.</w:t>
      </w:r>
    </w:p>
  </w:footnote>
  <w:footnote w:id="1976">
    <w:p>
      <w:pPr>
        <w:pStyle w:val="FootnoteText"/>
      </w:pPr>
      <w:r>
        <w:rPr>
          <w:rStyle w:val="FootnoteReference"/>
        </w:rPr>
        <w:footnoteRef/>
      </w:r>
      <w:r>
        <w:t xml:space="preserve"> </w:t>
      </w:r>
      <w:r>
        <w:t xml:space="preserve">Safarinejad 2008, PMID 18206919.</w:t>
      </w:r>
    </w:p>
  </w:footnote>
  <w:footnote w:id="1977">
    <w:p>
      <w:pPr>
        <w:pStyle w:val="FootnoteText"/>
      </w:pPr>
      <w:r>
        <w:rPr>
          <w:rStyle w:val="FootnoteReference"/>
        </w:rPr>
        <w:footnoteRef/>
      </w:r>
      <w:r>
        <w:t xml:space="preserve"> </w:t>
      </w:r>
      <w:r>
        <w:t xml:space="preserve">Safarinejad 2008, PMID 18179455.</w:t>
      </w:r>
    </w:p>
  </w:footnote>
  <w:footnote w:id="1979">
    <w:p>
      <w:pPr>
        <w:pStyle w:val="FootnoteText"/>
      </w:pPr>
      <w:r>
        <w:rPr>
          <w:rStyle w:val="FootnoteReference"/>
        </w:rPr>
        <w:footnoteRef/>
      </w:r>
      <w:r>
        <w:t xml:space="preserve"> </w:t>
      </w:r>
      <w:r>
        <w:t xml:space="preserve">Diamond 2006, PMID 16839319.</w:t>
      </w:r>
    </w:p>
  </w:footnote>
  <w:footnote w:id="1980">
    <w:p>
      <w:pPr>
        <w:pStyle w:val="FootnoteText"/>
      </w:pPr>
      <w:r>
        <w:rPr>
          <w:rStyle w:val="FootnoteReference"/>
        </w:rPr>
        <w:footnoteRef/>
      </w:r>
      <w:r>
        <w:t xml:space="preserve"> </w:t>
      </w:r>
      <w:r>
        <w:t xml:space="preserve">Clayton 2016, PMID 27181790; NCT01382719.</w:t>
      </w:r>
    </w:p>
  </w:footnote>
  <w:footnote w:id="1981">
    <w:p>
      <w:pPr>
        <w:pStyle w:val="FootnoteText"/>
      </w:pPr>
      <w:r>
        <w:rPr>
          <w:rStyle w:val="FootnoteReference"/>
        </w:rPr>
        <w:footnoteRef/>
      </w:r>
      <w:r>
        <w:t xml:space="preserve"> </w:t>
      </w:r>
      <w:r>
        <w:t xml:space="preserve">Althof 2019, PMID 31277966.</w:t>
      </w:r>
    </w:p>
  </w:footnote>
  <w:footnote w:id="1983">
    <w:p>
      <w:pPr>
        <w:pStyle w:val="FootnoteText"/>
      </w:pPr>
      <w:r>
        <w:rPr>
          <w:rStyle w:val="FootnoteReference"/>
        </w:rPr>
        <w:footnoteRef/>
      </w:r>
      <w:r>
        <w:t xml:space="preserve"> </w:t>
      </w:r>
      <w:r>
        <w:t xml:space="preserve">NCT02333071, NCT02338960.</w:t>
      </w:r>
    </w:p>
  </w:footnote>
  <w:footnote w:id="1984">
    <w:p>
      <w:pPr>
        <w:pStyle w:val="FootnoteText"/>
      </w:pPr>
      <w:r>
        <w:rPr>
          <w:rStyle w:val="FootnoteReference"/>
        </w:rPr>
        <w:footnoteRef/>
      </w:r>
      <w:r>
        <w:t xml:space="preserve"> </w:t>
      </w:r>
      <w:r>
        <w:t xml:space="preserve">Kingsberg 2019, PMID 31599840.</w:t>
      </w:r>
    </w:p>
  </w:footnote>
  <w:footnote w:id="1985">
    <w:p>
      <w:pPr>
        <w:pStyle w:val="FootnoteText"/>
      </w:pPr>
      <w:r>
        <w:rPr>
          <w:rStyle w:val="FootnoteReference"/>
        </w:rPr>
        <w:footnoteRef/>
      </w:r>
      <w:r>
        <w:t xml:space="preserve"> </w:t>
      </w:r>
      <w:r>
        <w:t xml:space="preserve">Koochaki 2021, PMID 33538638.</w:t>
      </w:r>
    </w:p>
  </w:footnote>
  <w:footnote w:id="1987">
    <w:p>
      <w:pPr>
        <w:pStyle w:val="FootnoteText"/>
      </w:pPr>
      <w:r>
        <w:rPr>
          <w:rStyle w:val="FootnoteReference"/>
        </w:rPr>
        <w:footnoteRef/>
      </w:r>
      <w:r>
        <w:t xml:space="preserve"> </w:t>
      </w:r>
      <w:r>
        <w:t xml:space="preserve">Spielmans 2021, PMID 33678061.</w:t>
      </w:r>
    </w:p>
  </w:footnote>
  <w:footnote w:id="1988">
    <w:p>
      <w:pPr>
        <w:pStyle w:val="FootnoteText"/>
      </w:pPr>
      <w:r>
        <w:rPr>
          <w:rStyle w:val="FootnoteReference"/>
        </w:rPr>
        <w:footnoteRef/>
      </w:r>
      <w:r>
        <w:t xml:space="preserve"> </w:t>
      </w:r>
      <w:r>
        <w:t xml:space="preserve">Clayton 2022, PMID 35147466.</w:t>
      </w:r>
    </w:p>
  </w:footnote>
  <w:footnote w:id="1990">
    <w:p>
      <w:pPr>
        <w:pStyle w:val="FootnoteText"/>
      </w:pPr>
      <w:r>
        <w:rPr>
          <w:rStyle w:val="FootnoteReference"/>
        </w:rPr>
        <w:footnoteRef/>
      </w:r>
      <w:r>
        <w:t xml:space="preserve"> </w:t>
      </w:r>
      <w:r>
        <w:t xml:space="preserve">Weinberger 2018, PMID 29995725.</w:t>
      </w:r>
    </w:p>
  </w:footnote>
  <w:footnote w:id="1991">
    <w:p>
      <w:pPr>
        <w:pStyle w:val="FootnoteText"/>
      </w:pPr>
      <w:r>
        <w:rPr>
          <w:rStyle w:val="FootnoteReference"/>
        </w:rPr>
        <w:footnoteRef/>
      </w:r>
      <w:r>
        <w:t xml:space="preserve"> </w:t>
      </w:r>
      <w:r>
        <w:t xml:space="preserve">Toledo 2026, PMID 40543759.</w:t>
      </w:r>
    </w:p>
  </w:footnote>
  <w:footnote w:id="1992">
    <w:p>
      <w:pPr>
        <w:pStyle w:val="FootnoteText"/>
      </w:pPr>
      <w:r>
        <w:rPr>
          <w:rStyle w:val="FootnoteReference"/>
        </w:rPr>
        <w:footnoteRef/>
      </w:r>
      <w:r>
        <w:t xml:space="preserve"> </w:t>
      </w:r>
      <w:r>
        <w:t xml:space="preserve">Ashour 2026, PMID 42254382.</w:t>
      </w:r>
    </w:p>
  </w:footnote>
  <w:footnote w:id="1994">
    <w:p>
      <w:pPr>
        <w:pStyle w:val="FootnoteText"/>
      </w:pPr>
      <w:r>
        <w:rPr>
          <w:rStyle w:val="FootnoteReference"/>
        </w:rPr>
        <w:footnoteRef/>
      </w:r>
      <w:r>
        <w:t xml:space="preserve"> </w:t>
      </w:r>
      <w:r>
        <w:t xml:space="preserve">Clayton 2017, PMID 28189361.</w:t>
      </w:r>
    </w:p>
  </w:footnote>
  <w:footnote w:id="1995">
    <w:p>
      <w:pPr>
        <w:pStyle w:val="FootnoteText"/>
      </w:pPr>
      <w:r>
        <w:rPr>
          <w:rStyle w:val="FootnoteReference"/>
        </w:rPr>
        <w:footnoteRef/>
      </w:r>
      <w:r>
        <w:t xml:space="preserve"> </w:t>
      </w:r>
      <w:r>
        <w:t xml:space="preserve">Spana 2022, PMID 35170192.</w:t>
      </w:r>
    </w:p>
  </w:footnote>
  <w:footnote w:id="1996">
    <w:p>
      <w:pPr>
        <w:pStyle w:val="FootnoteText"/>
      </w:pPr>
      <w:r>
        <w:rPr>
          <w:rStyle w:val="FootnoteReference"/>
        </w:rPr>
        <w:footnoteRef/>
      </w:r>
      <w:r>
        <w:t xml:space="preserve"> </w:t>
      </w:r>
      <w:r>
        <w:t xml:space="preserve">Thurston 2022, PMID 36189794; NCT04179734.</w:t>
      </w:r>
    </w:p>
  </w:footnote>
  <w:footnote w:id="1999">
    <w:p>
      <w:pPr>
        <w:pStyle w:val="FootnoteText"/>
      </w:pPr>
      <w:r>
        <w:rPr>
          <w:rStyle w:val="FootnoteReference"/>
        </w:rPr>
        <w:footnoteRef/>
      </w:r>
      <w:r>
        <w:t xml:space="preserve"> </w:t>
      </w:r>
      <w:r>
        <w:t xml:space="preserve">Pfaus 2022, PMID 33455598.</w:t>
      </w:r>
    </w:p>
  </w:footnote>
  <w:footnote w:id="2000">
    <w:p>
      <w:pPr>
        <w:pStyle w:val="FootnoteText"/>
      </w:pPr>
      <w:r>
        <w:rPr>
          <w:rStyle w:val="FootnoteReference"/>
        </w:rPr>
        <w:footnoteRef/>
      </w:r>
      <w:r>
        <w:t xml:space="preserve"> </w:t>
      </w:r>
      <w:r>
        <w:t xml:space="preserve">Borland 2025, PMID 39793696.</w:t>
      </w:r>
    </w:p>
  </w:footnote>
  <w:footnote w:id="2001">
    <w:p>
      <w:pPr>
        <w:pStyle w:val="FootnoteText"/>
      </w:pPr>
      <w:r>
        <w:rPr>
          <w:rStyle w:val="FootnoteReference"/>
        </w:rPr>
        <w:footnoteRef/>
      </w:r>
      <w:r>
        <w:t xml:space="preserve"> </w:t>
      </w:r>
      <w:r>
        <w:t xml:space="preserve">Suzuki 2024, PMID 39197897.</w:t>
      </w:r>
    </w:p>
  </w:footnote>
  <w:footnote w:id="2003">
    <w:p>
      <w:pPr>
        <w:pStyle w:val="FootnoteText"/>
      </w:pPr>
      <w:r>
        <w:rPr>
          <w:rStyle w:val="FootnoteReference"/>
        </w:rPr>
        <w:footnoteRef/>
      </w:r>
      <w:r>
        <w:t xml:space="preserve"> </w:t>
      </w:r>
      <w:r>
        <w:t xml:space="preserve">Clayton 2022, PMID 35147466.</w:t>
      </w:r>
    </w:p>
  </w:footnote>
  <w:footnote w:id="2004">
    <w:p>
      <w:pPr>
        <w:pStyle w:val="FootnoteText"/>
      </w:pPr>
      <w:r>
        <w:rPr>
          <w:rStyle w:val="FootnoteReference"/>
        </w:rPr>
        <w:footnoteRef/>
      </w:r>
      <w:r>
        <w:t xml:space="preserve"> </w:t>
      </w:r>
      <w:r>
        <w:t xml:space="preserve">NCT03973047.</w:t>
      </w:r>
    </w:p>
  </w:footnote>
  <w:footnote w:id="2005">
    <w:p>
      <w:pPr>
        <w:pStyle w:val="FootnoteText"/>
      </w:pPr>
      <w:r>
        <w:rPr>
          <w:rStyle w:val="FootnoteReference"/>
        </w:rPr>
        <w:footnoteRef/>
      </w:r>
      <w:r>
        <w:t xml:space="preserve"> </w:t>
      </w:r>
      <w:r>
        <w:t xml:space="preserve">White 2017, PMID 27977473.</w:t>
      </w:r>
    </w:p>
  </w:footnote>
  <w:footnote w:id="2006">
    <w:p>
      <w:pPr>
        <w:pStyle w:val="FootnoteText"/>
      </w:pPr>
      <w:r>
        <w:rPr>
          <w:rStyle w:val="FootnoteReference"/>
        </w:rPr>
        <w:footnoteRef/>
      </w:r>
      <w:r>
        <w:t xml:space="preserve"> </w:t>
      </w:r>
      <w:r>
        <w:t xml:space="preserve">Clayton 2022, PMID 35147466.</w:t>
      </w:r>
    </w:p>
  </w:footnote>
  <w:footnote w:id="2007">
    <w:p>
      <w:pPr>
        <w:pStyle w:val="FootnoteText"/>
      </w:pPr>
      <w:r>
        <w:rPr>
          <w:rStyle w:val="FootnoteReference"/>
        </w:rPr>
        <w:footnoteRef/>
      </w:r>
      <w:r>
        <w:t xml:space="preserve"> </w:t>
      </w:r>
      <w:r>
        <w:t xml:space="preserve">Clayton 2022, PMID 35147466.</w:t>
      </w:r>
    </w:p>
  </w:footnote>
  <w:footnote w:id="2009">
    <w:p>
      <w:pPr>
        <w:pStyle w:val="FootnoteText"/>
      </w:pPr>
      <w:r>
        <w:rPr>
          <w:rStyle w:val="FootnoteReference"/>
        </w:rPr>
        <w:footnoteRef/>
      </w:r>
      <w:r>
        <w:t xml:space="preserve"> </w:t>
      </w:r>
      <w:r>
        <w:t xml:space="preserve">NCT06867835.</w:t>
      </w:r>
    </w:p>
  </w:footnote>
  <w:footnote w:id="2011">
    <w:p>
      <w:pPr>
        <w:pStyle w:val="FootnoteText"/>
      </w:pPr>
      <w:r>
        <w:rPr>
          <w:rStyle w:val="FootnoteReference"/>
        </w:rPr>
        <w:footnoteRef/>
      </w:r>
      <w:r>
        <w:t xml:space="preserve"> </w:t>
      </w:r>
      <w:r>
        <w:t xml:space="preserve">Mestria 2021, PMID 33245851.</w:t>
      </w:r>
    </w:p>
  </w:footnote>
  <w:footnote w:id="2014">
    <w:p>
      <w:pPr>
        <w:pStyle w:val="FootnoteText"/>
      </w:pPr>
      <w:r>
        <w:rPr>
          <w:rStyle w:val="FootnoteReference"/>
        </w:rPr>
        <w:footnoteRef/>
      </w:r>
      <w:r>
        <w:t xml:space="preserve"> </w:t>
      </w:r>
      <w:r>
        <w:t xml:space="preserve">NCT04943068.</w:t>
      </w:r>
    </w:p>
  </w:footnote>
  <w:footnote w:id="2016">
    <w:p>
      <w:pPr>
        <w:pStyle w:val="FootnoteText"/>
      </w:pPr>
      <w:r>
        <w:rPr>
          <w:rStyle w:val="FootnoteReference"/>
        </w:rPr>
        <w:footnoteRef/>
      </w:r>
      <w:r>
        <w:t xml:space="preserve"> </w:t>
      </w:r>
      <w:r>
        <w:t xml:space="preserve">NCT06565611.</w:t>
      </w:r>
    </w:p>
  </w:footnote>
  <w:footnote w:id="2017">
    <w:p>
      <w:pPr>
        <w:pStyle w:val="FootnoteText"/>
      </w:pPr>
      <w:r>
        <w:rPr>
          <w:rStyle w:val="FootnoteReference"/>
        </w:rPr>
        <w:footnoteRef/>
      </w:r>
      <w:r>
        <w:t xml:space="preserve"> </w:t>
      </w:r>
      <w:r>
        <w:t xml:space="preserve">NCT05709444.</w:t>
      </w:r>
    </w:p>
  </w:footnote>
  <w:footnote w:id="2018">
    <w:p>
      <w:pPr>
        <w:pStyle w:val="FootnoteText"/>
      </w:pPr>
      <w:r>
        <w:rPr>
          <w:rStyle w:val="FootnoteReference"/>
        </w:rPr>
        <w:footnoteRef/>
      </w:r>
      <w:r>
        <w:t xml:space="preserve"> </w:t>
      </w:r>
      <w:r>
        <w:t xml:space="preserve">NCT06867835.</w:t>
      </w:r>
    </w:p>
  </w:footnote>
  <w:footnote w:id="2022">
    <w:p>
      <w:pPr>
        <w:pStyle w:val="FootnoteText"/>
      </w:pPr>
      <w:r>
        <w:rPr>
          <w:rStyle w:val="FootnoteReference"/>
        </w:rPr>
        <w:footnoteRef/>
      </w:r>
      <w:r>
        <w:t xml:space="preserve"> </w:t>
      </w:r>
      <w:r>
        <w:t xml:space="preserve">Dorr 1996, PMID 8637402.</w:t>
      </w:r>
    </w:p>
  </w:footnote>
  <w:footnote w:id="2023">
    <w:p>
      <w:pPr>
        <w:pStyle w:val="FootnoteText"/>
      </w:pPr>
      <w:r>
        <w:rPr>
          <w:rStyle w:val="FootnoteReference"/>
        </w:rPr>
        <w:footnoteRef/>
      </w:r>
      <w:r>
        <w:t xml:space="preserve"> </w:t>
      </w:r>
      <w:r>
        <w:t xml:space="preserve">Hadley 2006, PMID 16412534.</w:t>
      </w:r>
    </w:p>
  </w:footnote>
  <w:footnote w:id="2025">
    <w:p>
      <w:pPr>
        <w:pStyle w:val="FootnoteText"/>
      </w:pPr>
      <w:r>
        <w:rPr>
          <w:rStyle w:val="FootnoteReference"/>
        </w:rPr>
        <w:footnoteRef/>
      </w:r>
      <w:r>
        <w:t xml:space="preserve"> </w:t>
      </w:r>
      <w:r>
        <w:t xml:space="preserve">Langan 2011, PMID 21547334.</w:t>
      </w:r>
    </w:p>
  </w:footnote>
  <w:footnote w:id="2027">
    <w:p>
      <w:pPr>
        <w:pStyle w:val="FootnoteText"/>
      </w:pPr>
      <w:r>
        <w:rPr>
          <w:rStyle w:val="FootnoteReference"/>
        </w:rPr>
        <w:footnoteRef/>
      </w:r>
      <w:r>
        <w:t xml:space="preserve"> </w:t>
      </w:r>
      <w:r>
        <w:t xml:space="preserve">Dorr 1996, PMID 8637402.</w:t>
      </w:r>
    </w:p>
  </w:footnote>
  <w:footnote w:id="2028">
    <w:p>
      <w:pPr>
        <w:pStyle w:val="FootnoteText"/>
      </w:pPr>
      <w:r>
        <w:rPr>
          <w:rStyle w:val="FootnoteReference"/>
        </w:rPr>
        <w:footnoteRef/>
      </w:r>
      <w:r>
        <w:t xml:space="preserve"> </w:t>
      </w:r>
      <w:r>
        <w:t xml:space="preserve">Wessells 1998, PMID 9679884; Wessells 2000, PMID 11018622.</w:t>
      </w:r>
    </w:p>
  </w:footnote>
  <w:footnote w:id="2029">
    <w:p>
      <w:pPr>
        <w:pStyle w:val="FootnoteText"/>
      </w:pPr>
      <w:r>
        <w:rPr>
          <w:rStyle w:val="FootnoteReference"/>
        </w:rPr>
        <w:footnoteRef/>
      </w:r>
      <w:r>
        <w:t xml:space="preserve"> </w:t>
      </w:r>
      <w:r>
        <w:t xml:space="preserve">Wessells 2000, PMID 11035391.</w:t>
      </w:r>
    </w:p>
  </w:footnote>
  <w:footnote w:id="2031">
    <w:p>
      <w:pPr>
        <w:pStyle w:val="FootnoteText"/>
      </w:pPr>
      <w:r>
        <w:rPr>
          <w:rStyle w:val="FootnoteReference"/>
        </w:rPr>
        <w:footnoteRef/>
      </w:r>
      <w:r>
        <w:t xml:space="preserve"> </w:t>
      </w:r>
      <w:r>
        <w:t xml:space="preserve">Dorr 2000, PMID 11045725.</w:t>
      </w:r>
    </w:p>
  </w:footnote>
  <w:footnote w:id="2032">
    <w:p>
      <w:pPr>
        <w:pStyle w:val="FootnoteText"/>
      </w:pPr>
      <w:r>
        <w:rPr>
          <w:rStyle w:val="FootnoteReference"/>
        </w:rPr>
        <w:footnoteRef/>
      </w:r>
      <w:r>
        <w:t xml:space="preserve"> </w:t>
      </w:r>
      <w:r>
        <w:t xml:space="preserve">Dorr 2004, PMID 15262693.</w:t>
      </w:r>
    </w:p>
  </w:footnote>
  <w:footnote w:id="2034">
    <w:p>
      <w:pPr>
        <w:pStyle w:val="FootnoteText"/>
      </w:pPr>
      <w:r>
        <w:rPr>
          <w:rStyle w:val="FootnoteReference"/>
        </w:rPr>
        <w:footnoteRef/>
      </w:r>
      <w:r>
        <w:t xml:space="preserve"> </w:t>
      </w:r>
      <w:r>
        <w:t xml:space="preserve">Evans-Brown 2009, PMID 19224885.</w:t>
      </w:r>
    </w:p>
  </w:footnote>
  <w:footnote w:id="2035">
    <w:p>
      <w:pPr>
        <w:pStyle w:val="FootnoteText"/>
      </w:pPr>
      <w:r>
        <w:rPr>
          <w:rStyle w:val="FootnoteReference"/>
        </w:rPr>
        <w:footnoteRef/>
      </w:r>
      <w:r>
        <w:t xml:space="preserve"> </w:t>
      </w:r>
      <w:r>
        <w:t xml:space="preserve">Brennan 2017, PMID 26806443.</w:t>
      </w:r>
    </w:p>
  </w:footnote>
  <w:footnote w:id="2036">
    <w:p>
      <w:pPr>
        <w:pStyle w:val="FootnoteText"/>
      </w:pPr>
      <w:r>
        <w:rPr>
          <w:rStyle w:val="FootnoteReference"/>
        </w:rPr>
        <w:footnoteRef/>
      </w:r>
      <w:r>
        <w:t xml:space="preserve"> </w:t>
      </w:r>
      <w:r>
        <w:t xml:space="preserve">Gilhooley 2021, PMID 34464955.</w:t>
      </w:r>
    </w:p>
  </w:footnote>
  <w:footnote w:id="2037">
    <w:p>
      <w:pPr>
        <w:pStyle w:val="FootnoteText"/>
      </w:pPr>
      <w:r>
        <w:rPr>
          <w:rStyle w:val="FootnoteReference"/>
        </w:rPr>
        <w:footnoteRef/>
      </w:r>
      <w:r>
        <w:t xml:space="preserve"> </w:t>
      </w:r>
      <w:r>
        <w:t xml:space="preserve">Callaghan 2018, PMID 30142729.</w:t>
      </w:r>
    </w:p>
  </w:footnote>
  <w:footnote w:id="2038">
    <w:p>
      <w:pPr>
        <w:pStyle w:val="FootnoteText"/>
      </w:pPr>
      <w:r>
        <w:rPr>
          <w:rStyle w:val="FootnoteReference"/>
        </w:rPr>
        <w:footnoteRef/>
      </w:r>
      <w:r>
        <w:t xml:space="preserve"> </w:t>
      </w:r>
      <w:r>
        <w:t xml:space="preserve">Orr 2025, PMID 38808957; Herlihy 2025, PMID 39148422; Sidhu 2026, PMID 41559011.</w:t>
      </w:r>
    </w:p>
  </w:footnote>
  <w:footnote w:id="2041">
    <w:p>
      <w:pPr>
        <w:pStyle w:val="FootnoteText"/>
      </w:pPr>
      <w:r>
        <w:rPr>
          <w:rStyle w:val="FootnoteReference"/>
        </w:rPr>
        <w:footnoteRef/>
      </w:r>
      <w:r>
        <w:t xml:space="preserve"> </w:t>
      </w:r>
      <w:r>
        <w:t xml:space="preserve">Strader 2007, PMID 17567964.</w:t>
      </w:r>
    </w:p>
  </w:footnote>
  <w:footnote w:id="2042">
    <w:p>
      <w:pPr>
        <w:pStyle w:val="FootnoteText"/>
      </w:pPr>
      <w:r>
        <w:rPr>
          <w:rStyle w:val="FootnoteReference"/>
        </w:rPr>
        <w:footnoteRef/>
      </w:r>
      <w:r>
        <w:t xml:space="preserve"> </w:t>
      </w:r>
      <w:r>
        <w:t xml:space="preserve">Jain 2018, PMID 29812984.</w:t>
      </w:r>
    </w:p>
  </w:footnote>
  <w:footnote w:id="2043">
    <w:p>
      <w:pPr>
        <w:pStyle w:val="FootnoteText"/>
      </w:pPr>
      <w:r>
        <w:rPr>
          <w:rStyle w:val="FootnoteReference"/>
        </w:rPr>
        <w:footnoteRef/>
      </w:r>
      <w:r>
        <w:t xml:space="preserve"> </w:t>
      </w:r>
      <w:r>
        <w:t xml:space="preserve">Minakova 2019, PMID 30629642.</w:t>
      </w:r>
    </w:p>
  </w:footnote>
  <w:footnote w:id="2045">
    <w:p>
      <w:pPr>
        <w:pStyle w:val="FootnoteText"/>
      </w:pPr>
      <w:r>
        <w:rPr>
          <w:rStyle w:val="FootnoteReference"/>
        </w:rPr>
        <w:footnoteRef/>
      </w:r>
      <w:r>
        <w:t xml:space="preserve"> </w:t>
      </w:r>
      <w:r>
        <w:t xml:space="preserve">Dorr 1996, PMID 8637402; Wessells 2000, PMID 11035391.</w:t>
      </w:r>
    </w:p>
  </w:footnote>
  <w:footnote w:id="2046">
    <w:p>
      <w:pPr>
        <w:pStyle w:val="FootnoteText"/>
      </w:pPr>
      <w:r>
        <w:rPr>
          <w:rStyle w:val="FootnoteReference"/>
        </w:rPr>
        <w:footnoteRef/>
      </w:r>
      <w:r>
        <w:t xml:space="preserve"> </w:t>
      </w:r>
      <w:r>
        <w:t xml:space="preserve">Paurobally 2013, PMID 22182016.</w:t>
      </w:r>
    </w:p>
  </w:footnote>
  <w:footnote w:id="2047">
    <w:p>
      <w:pPr>
        <w:pStyle w:val="FootnoteText"/>
      </w:pPr>
      <w:r>
        <w:rPr>
          <w:rStyle w:val="FootnoteReference"/>
        </w:rPr>
        <w:footnoteRef/>
      </w:r>
      <w:r>
        <w:t xml:space="preserve"> </w:t>
      </w:r>
      <w:r>
        <w:t xml:space="preserve">Bonchev 2026, PMID 41752902.</w:t>
      </w:r>
    </w:p>
  </w:footnote>
  <w:footnote w:id="2048">
    <w:p>
      <w:pPr>
        <w:pStyle w:val="FootnoteText"/>
      </w:pPr>
      <w:r>
        <w:rPr>
          <w:rStyle w:val="FootnoteReference"/>
        </w:rPr>
        <w:footnoteRef/>
      </w:r>
      <w:r>
        <w:t xml:space="preserve"> </w:t>
      </w:r>
      <w:r>
        <w:t xml:space="preserve">Ume 2026, PMID 42212476.</w:t>
      </w:r>
    </w:p>
  </w:footnote>
  <w:footnote w:id="2050">
    <w:p>
      <w:pPr>
        <w:pStyle w:val="FootnoteText"/>
      </w:pPr>
      <w:r>
        <w:rPr>
          <w:rStyle w:val="FootnoteReference"/>
        </w:rPr>
        <w:footnoteRef/>
      </w:r>
      <w:r>
        <w:t xml:space="preserve"> </w:t>
      </w:r>
      <w:r>
        <w:t xml:space="preserve">Cousen 2009, PMID 19575725; Thestrup-Pedersen 2011, PMID 21453640.</w:t>
      </w:r>
    </w:p>
  </w:footnote>
  <w:footnote w:id="2051">
    <w:p>
      <w:pPr>
        <w:pStyle w:val="FootnoteText"/>
      </w:pPr>
      <w:r>
        <w:rPr>
          <w:rStyle w:val="FootnoteReference"/>
        </w:rPr>
        <w:footnoteRef/>
      </w:r>
      <w:r>
        <w:t xml:space="preserve"> </w:t>
      </w:r>
      <w:r>
        <w:t xml:space="preserve">Reid 2013, PMID 23914578.</w:t>
      </w:r>
    </w:p>
  </w:footnote>
  <w:footnote w:id="2052">
    <w:p>
      <w:pPr>
        <w:pStyle w:val="FootnoteText"/>
      </w:pPr>
      <w:r>
        <w:rPr>
          <w:rStyle w:val="FootnoteReference"/>
        </w:rPr>
        <w:footnoteRef/>
      </w:r>
      <w:r>
        <w:t xml:space="preserve"> </w:t>
      </w:r>
      <w:r>
        <w:t xml:space="preserve">Paurobally 2011, PMID 21564053; Ong 2012, PMID 22724573.</w:t>
      </w:r>
    </w:p>
  </w:footnote>
  <w:footnote w:id="2053">
    <w:p>
      <w:pPr>
        <w:pStyle w:val="FootnoteText"/>
      </w:pPr>
      <w:r>
        <w:rPr>
          <w:rStyle w:val="FootnoteReference"/>
        </w:rPr>
        <w:footnoteRef/>
      </w:r>
      <w:r>
        <w:t xml:space="preserve"> </w:t>
      </w:r>
      <w:r>
        <w:t xml:space="preserve">Hjuler 2014, PMID 24355990.</w:t>
      </w:r>
    </w:p>
  </w:footnote>
  <w:footnote w:id="2054">
    <w:p>
      <w:pPr>
        <w:pStyle w:val="FootnoteText"/>
      </w:pPr>
      <w:r>
        <w:rPr>
          <w:rStyle w:val="FootnoteReference"/>
        </w:rPr>
        <w:footnoteRef/>
      </w:r>
      <w:r>
        <w:t xml:space="preserve"> </w:t>
      </w:r>
      <w:r>
        <w:t xml:space="preserve">Yassin Alsabbagh 2025, PMID 40210573.</w:t>
      </w:r>
    </w:p>
  </w:footnote>
  <w:footnote w:id="2055">
    <w:p>
      <w:pPr>
        <w:pStyle w:val="FootnoteText"/>
      </w:pPr>
      <w:r>
        <w:rPr>
          <w:rStyle w:val="FootnoteReference"/>
        </w:rPr>
        <w:footnoteRef/>
      </w:r>
      <w:r>
        <w:t xml:space="preserve"> </w:t>
      </w:r>
      <w:r>
        <w:t xml:space="preserve">Burian 2019, PMID 31119650.</w:t>
      </w:r>
    </w:p>
  </w:footnote>
  <w:footnote w:id="2056">
    <w:p>
      <w:pPr>
        <w:pStyle w:val="FootnoteText"/>
      </w:pPr>
      <w:r>
        <w:rPr>
          <w:rStyle w:val="FootnoteReference"/>
        </w:rPr>
        <w:footnoteRef/>
      </w:r>
      <w:r>
        <w:t xml:space="preserve"> </w:t>
      </w:r>
      <w:r>
        <w:t xml:space="preserve">Habbema 2017, PMID 28266027.</w:t>
      </w:r>
    </w:p>
  </w:footnote>
  <w:footnote w:id="2058">
    <w:p>
      <w:pPr>
        <w:pStyle w:val="FootnoteText"/>
      </w:pPr>
      <w:r>
        <w:rPr>
          <w:rStyle w:val="FootnoteReference"/>
        </w:rPr>
        <w:footnoteRef/>
      </w:r>
      <w:r>
        <w:t xml:space="preserve"> </w:t>
      </w:r>
      <w:r>
        <w:t xml:space="preserve">Devlin 2013, PMID 23537392; Dreyer 2019, PMID 30796078.</w:t>
      </w:r>
    </w:p>
  </w:footnote>
  <w:footnote w:id="2059">
    <w:p>
      <w:pPr>
        <w:pStyle w:val="FootnoteText"/>
      </w:pPr>
      <w:r>
        <w:rPr>
          <w:rStyle w:val="FootnoteReference"/>
        </w:rPr>
        <w:footnoteRef/>
      </w:r>
      <w:r>
        <w:t xml:space="preserve"> </w:t>
      </w:r>
      <w:r>
        <w:t xml:space="preserve">Mallory 2021, PMID 33460908.</w:t>
      </w:r>
    </w:p>
  </w:footnote>
  <w:footnote w:id="2060">
    <w:p>
      <w:pPr>
        <w:pStyle w:val="FootnoteText"/>
      </w:pPr>
      <w:r>
        <w:rPr>
          <w:rStyle w:val="FootnoteReference"/>
        </w:rPr>
        <w:footnoteRef/>
      </w:r>
      <w:r>
        <w:t xml:space="preserve"> </w:t>
      </w:r>
      <w:r>
        <w:t xml:space="preserve">Dreyer 2019, PMID 30796078.</w:t>
      </w:r>
    </w:p>
  </w:footnote>
  <w:footnote w:id="2061">
    <w:p>
      <w:pPr>
        <w:pStyle w:val="FootnoteText"/>
      </w:pPr>
      <w:r>
        <w:rPr>
          <w:rStyle w:val="FootnoteReference"/>
        </w:rPr>
        <w:footnoteRef/>
      </w:r>
      <w:r>
        <w:t xml:space="preserve"> </w:t>
      </w:r>
      <w:r>
        <w:t xml:space="preserve">Nelson 2012, PMID 23121206.</w:t>
      </w:r>
    </w:p>
  </w:footnote>
  <w:footnote w:id="2062">
    <w:p>
      <w:pPr>
        <w:pStyle w:val="FootnoteText"/>
      </w:pPr>
      <w:r>
        <w:rPr>
          <w:rStyle w:val="FootnoteReference"/>
        </w:rPr>
        <w:footnoteRef/>
      </w:r>
      <w:r>
        <w:t xml:space="preserve"> </w:t>
      </w:r>
      <w:r>
        <w:t xml:space="preserve">Peters 2020, PMID 31953620.</w:t>
      </w:r>
    </w:p>
  </w:footnote>
  <w:footnote w:id="2063">
    <w:p>
      <w:pPr>
        <w:pStyle w:val="FootnoteText"/>
      </w:pPr>
      <w:r>
        <w:rPr>
          <w:rStyle w:val="FootnoteReference"/>
        </w:rPr>
        <w:footnoteRef/>
      </w:r>
      <w:r>
        <w:t xml:space="preserve"> </w:t>
      </w:r>
      <w:r>
        <w:t xml:space="preserve">Kaski 2013, PMID 23648958.</w:t>
      </w:r>
    </w:p>
  </w:footnote>
  <w:footnote w:id="2064">
    <w:p>
      <w:pPr>
        <w:pStyle w:val="FootnoteText"/>
      </w:pPr>
      <w:r>
        <w:rPr>
          <w:rStyle w:val="FootnoteReference"/>
        </w:rPr>
        <w:footnoteRef/>
      </w:r>
      <w:r>
        <w:t xml:space="preserve"> </w:t>
      </w:r>
      <w:r>
        <w:t xml:space="preserve">Dickson 2025, PMID 41487785.</w:t>
      </w:r>
    </w:p>
  </w:footnote>
  <w:footnote w:id="2066">
    <w:p>
      <w:pPr>
        <w:pStyle w:val="FootnoteText"/>
      </w:pPr>
      <w:r>
        <w:rPr>
          <w:rStyle w:val="FootnoteReference"/>
        </w:rPr>
        <w:footnoteRef/>
      </w:r>
      <w:r>
        <w:t xml:space="preserve"> </w:t>
      </w:r>
      <w:r>
        <w:t xml:space="preserve">Breindahl 2015, PMID 24771717.</w:t>
      </w:r>
    </w:p>
  </w:footnote>
  <w:footnote w:id="2067">
    <w:p>
      <w:pPr>
        <w:pStyle w:val="FootnoteText"/>
      </w:pPr>
      <w:r>
        <w:rPr>
          <w:rStyle w:val="FootnoteReference"/>
        </w:rPr>
        <w:footnoteRef/>
      </w:r>
      <w:r>
        <w:t xml:space="preserve"> </w:t>
      </w:r>
      <w:r>
        <w:t xml:space="preserve">Deville 2024, PMID 39302005.</w:t>
      </w:r>
    </w:p>
  </w:footnote>
  <w:footnote w:id="2068">
    <w:p>
      <w:pPr>
        <w:pStyle w:val="FootnoteText"/>
      </w:pPr>
      <w:r>
        <w:rPr>
          <w:rStyle w:val="FootnoteReference"/>
        </w:rPr>
        <w:footnoteRef/>
      </w:r>
      <w:r>
        <w:t xml:space="preserve"> </w:t>
      </w:r>
      <w:r>
        <w:t xml:space="preserve">Gilhooley 2021, PMID 34464955.</w:t>
      </w:r>
    </w:p>
  </w:footnote>
  <w:footnote w:id="2071">
    <w:p>
      <w:pPr>
        <w:pStyle w:val="FootnoteText"/>
      </w:pPr>
      <w:r>
        <w:rPr>
          <w:rStyle w:val="FootnoteReference"/>
        </w:rPr>
        <w:footnoteRef/>
      </w:r>
      <w:r>
        <w:t xml:space="preserve"> </w:t>
      </w:r>
      <w:r>
        <w:t xml:space="preserve">Habbema 2017, PMID 28266027.</w:t>
      </w:r>
    </w:p>
  </w:footnote>
  <w:footnote w:id="2072">
    <w:p>
      <w:pPr>
        <w:pStyle w:val="FootnoteText"/>
      </w:pPr>
      <w:r>
        <w:rPr>
          <w:rStyle w:val="FootnoteReference"/>
        </w:rPr>
        <w:footnoteRef/>
      </w:r>
      <w:r>
        <w:t xml:space="preserve"> </w:t>
      </w:r>
      <w:r>
        <w:t xml:space="preserve">Yassin Alsabbagh 2025, PMID 40210573.</w:t>
      </w:r>
    </w:p>
  </w:footnote>
  <w:footnote w:id="2077">
    <w:p>
      <w:pPr>
        <w:pStyle w:val="FootnoteText"/>
      </w:pPr>
      <w:r>
        <w:rPr>
          <w:rStyle w:val="FootnoteReference"/>
        </w:rPr>
        <w:footnoteRef/>
      </w:r>
      <w:r>
        <w:t xml:space="preserve"> </w:t>
      </w:r>
      <w:r>
        <w:t xml:space="preserve">Hadley 2006, PMID 16412534.</w:t>
      </w:r>
    </w:p>
  </w:footnote>
  <w:footnote w:id="2078">
    <w:p>
      <w:pPr>
        <w:pStyle w:val="FootnoteText"/>
      </w:pPr>
      <w:r>
        <w:rPr>
          <w:rStyle w:val="FootnoteReference"/>
        </w:rPr>
        <w:footnoteRef/>
      </w:r>
      <w:r>
        <w:t xml:space="preserve"> </w:t>
      </w:r>
      <w:r>
        <w:t xml:space="preserve">Homey 2025, PMID 40082741.</w:t>
      </w:r>
    </w:p>
  </w:footnote>
  <w:footnote w:id="2080">
    <w:p>
      <w:pPr>
        <w:pStyle w:val="FootnoteText"/>
      </w:pPr>
      <w:r>
        <w:rPr>
          <w:rStyle w:val="FootnoteReference"/>
        </w:rPr>
        <w:footnoteRef/>
      </w:r>
      <w:r>
        <w:t xml:space="preserve"> </w:t>
      </w:r>
      <w:r>
        <w:t xml:space="preserve">Homey 2025, PMID 40082741.</w:t>
      </w:r>
    </w:p>
  </w:footnote>
  <w:footnote w:id="2081">
    <w:p>
      <w:pPr>
        <w:pStyle w:val="FootnoteText"/>
      </w:pPr>
      <w:r>
        <w:rPr>
          <w:rStyle w:val="FootnoteReference"/>
        </w:rPr>
        <w:footnoteRef/>
      </w:r>
      <w:r>
        <w:t xml:space="preserve"> </w:t>
      </w:r>
      <w:r>
        <w:t xml:space="preserve">Minder 2023, PMID 37109595.</w:t>
      </w:r>
    </w:p>
  </w:footnote>
  <w:footnote w:id="2083">
    <w:p>
      <w:pPr>
        <w:pStyle w:val="FootnoteText"/>
      </w:pPr>
      <w:r>
        <w:rPr>
          <w:rStyle w:val="FootnoteReference"/>
        </w:rPr>
        <w:footnoteRef/>
      </w:r>
      <w:r>
        <w:t xml:space="preserve"> </w:t>
      </w:r>
      <w:r>
        <w:t xml:space="preserve">Dorr 2000, PMID 11045725.</w:t>
      </w:r>
    </w:p>
  </w:footnote>
  <w:footnote w:id="2084">
    <w:p>
      <w:pPr>
        <w:pStyle w:val="FootnoteText"/>
      </w:pPr>
      <w:r>
        <w:rPr>
          <w:rStyle w:val="FootnoteReference"/>
        </w:rPr>
        <w:footnoteRef/>
      </w:r>
      <w:r>
        <w:t xml:space="preserve"> </w:t>
      </w:r>
      <w:r>
        <w:t xml:space="preserve">Dorr 2004, PMID 15262693.</w:t>
      </w:r>
    </w:p>
  </w:footnote>
  <w:footnote w:id="2085">
    <w:p>
      <w:pPr>
        <w:pStyle w:val="FootnoteText"/>
      </w:pPr>
      <w:r>
        <w:rPr>
          <w:rStyle w:val="FootnoteReference"/>
        </w:rPr>
        <w:footnoteRef/>
      </w:r>
      <w:r>
        <w:t xml:space="preserve"> </w:t>
      </w:r>
      <w:r>
        <w:t xml:space="preserve">Fitzgerald 2006, PMID 16293341.</w:t>
      </w:r>
    </w:p>
  </w:footnote>
  <w:footnote w:id="2087">
    <w:p>
      <w:pPr>
        <w:pStyle w:val="FootnoteText"/>
      </w:pPr>
      <w:r>
        <w:rPr>
          <w:rStyle w:val="FootnoteReference"/>
        </w:rPr>
        <w:footnoteRef/>
      </w:r>
      <w:r>
        <w:t xml:space="preserve"> </w:t>
      </w:r>
      <w:r>
        <w:t xml:space="preserve">Harms 2009, PMID 19656325.</w:t>
      </w:r>
    </w:p>
  </w:footnote>
  <w:footnote w:id="2088">
    <w:p>
      <w:pPr>
        <w:pStyle w:val="FootnoteText"/>
      </w:pPr>
      <w:r>
        <w:rPr>
          <w:rStyle w:val="FootnoteReference"/>
        </w:rPr>
        <w:footnoteRef/>
      </w:r>
      <w:r>
        <w:t xml:space="preserve"> </w:t>
      </w:r>
      <w:r>
        <w:t xml:space="preserve">Langendonk 2015, PMID 26132941; NCT00979745, NCT01605136.</w:t>
      </w:r>
    </w:p>
  </w:footnote>
  <w:footnote w:id="2089">
    <w:p>
      <w:pPr>
        <w:pStyle w:val="FootnoteText"/>
      </w:pPr>
      <w:r>
        <w:rPr>
          <w:rStyle w:val="FootnoteReference"/>
        </w:rPr>
        <w:footnoteRef/>
      </w:r>
      <w:r>
        <w:t xml:space="preserve"> </w:t>
      </w:r>
      <w:r>
        <w:t xml:space="preserve">Heerfordt 2023, PMID 36525819.</w:t>
      </w:r>
    </w:p>
  </w:footnote>
  <w:footnote w:id="2091">
    <w:p>
      <w:pPr>
        <w:pStyle w:val="FootnoteText"/>
      </w:pPr>
      <w:r>
        <w:rPr>
          <w:rStyle w:val="FootnoteReference"/>
        </w:rPr>
        <w:footnoteRef/>
      </w:r>
      <w:r>
        <w:t xml:space="preserve"> </w:t>
      </w:r>
      <w:r>
        <w:t xml:space="preserve">Biolcati 2015, PMID 25494545.</w:t>
      </w:r>
    </w:p>
  </w:footnote>
  <w:footnote w:id="2092">
    <w:p>
      <w:pPr>
        <w:pStyle w:val="FootnoteText"/>
      </w:pPr>
      <w:r>
        <w:rPr>
          <w:rStyle w:val="FootnoteReference"/>
        </w:rPr>
        <w:footnoteRef/>
      </w:r>
      <w:r>
        <w:t xml:space="preserve"> </w:t>
      </w:r>
      <w:r>
        <w:t xml:space="preserve">Wensink 2020, PMID 32186677.</w:t>
      </w:r>
    </w:p>
  </w:footnote>
  <w:footnote w:id="2093">
    <w:p>
      <w:pPr>
        <w:pStyle w:val="FootnoteText"/>
      </w:pPr>
      <w:r>
        <w:rPr>
          <w:rStyle w:val="FootnoteReference"/>
        </w:rPr>
        <w:footnoteRef/>
      </w:r>
      <w:r>
        <w:t xml:space="preserve"> </w:t>
      </w:r>
      <w:r>
        <w:t xml:space="preserve">Seidl-Philipp 2026, PMID 41793078.</w:t>
      </w:r>
    </w:p>
  </w:footnote>
  <w:footnote w:id="2095">
    <w:p>
      <w:pPr>
        <w:pStyle w:val="FootnoteText"/>
      </w:pPr>
      <w:r>
        <w:rPr>
          <w:rStyle w:val="FootnoteReference"/>
        </w:rPr>
        <w:footnoteRef/>
      </w:r>
      <w:r>
        <w:t xml:space="preserve"> </w:t>
      </w:r>
      <w:r>
        <w:t xml:space="preserve">Minder 2023, PMID 37109595.</w:t>
      </w:r>
    </w:p>
  </w:footnote>
  <w:footnote w:id="2096">
    <w:p>
      <w:pPr>
        <w:pStyle w:val="FootnoteText"/>
      </w:pPr>
      <w:r>
        <w:rPr>
          <w:rStyle w:val="FootnoteReference"/>
        </w:rPr>
        <w:footnoteRef/>
      </w:r>
      <w:r>
        <w:t xml:space="preserve"> </w:t>
      </w:r>
      <w:r>
        <w:t xml:space="preserve">Kluijver 2024, PMID 38634774.</w:t>
      </w:r>
    </w:p>
  </w:footnote>
  <w:footnote w:id="2097">
    <w:p>
      <w:pPr>
        <w:pStyle w:val="FootnoteText"/>
      </w:pPr>
      <w:r>
        <w:rPr>
          <w:rStyle w:val="FootnoteReference"/>
        </w:rPr>
        <w:footnoteRef/>
      </w:r>
      <w:r>
        <w:t xml:space="preserve"> </w:t>
      </w:r>
      <w:r>
        <w:t xml:space="preserve">Lengweiler 2015, PMID 25402764.</w:t>
      </w:r>
    </w:p>
  </w:footnote>
  <w:footnote w:id="2099">
    <w:p>
      <w:pPr>
        <w:pStyle w:val="FootnoteText"/>
      </w:pPr>
      <w:r>
        <w:rPr>
          <w:rStyle w:val="FootnoteReference"/>
        </w:rPr>
        <w:footnoteRef/>
      </w:r>
      <w:r>
        <w:t xml:space="preserve"> </w:t>
      </w:r>
      <w:r>
        <w:t xml:space="preserve">Grimes 2013, PMID 23407924.</w:t>
      </w:r>
    </w:p>
  </w:footnote>
  <w:footnote w:id="2100">
    <w:p>
      <w:pPr>
        <w:pStyle w:val="FootnoteText"/>
      </w:pPr>
      <w:r>
        <w:rPr>
          <w:rStyle w:val="FootnoteReference"/>
        </w:rPr>
        <w:footnoteRef/>
      </w:r>
      <w:r>
        <w:t xml:space="preserve"> </w:t>
      </w:r>
      <w:r>
        <w:t xml:space="preserve">Lim 2015, PMID 25230094; NCT01430195.</w:t>
      </w:r>
    </w:p>
  </w:footnote>
  <w:footnote w:id="2101">
    <w:p>
      <w:pPr>
        <w:pStyle w:val="FootnoteText"/>
      </w:pPr>
      <w:r>
        <w:rPr>
          <w:rStyle w:val="FootnoteReference"/>
        </w:rPr>
        <w:footnoteRef/>
      </w:r>
      <w:r>
        <w:t xml:space="preserve"> </w:t>
      </w:r>
      <w:r>
        <w:t xml:space="preserve">Passeron 2015, PMID 25607635.</w:t>
      </w:r>
    </w:p>
  </w:footnote>
  <w:footnote w:id="2102">
    <w:p>
      <w:pPr>
        <w:pStyle w:val="FootnoteText"/>
      </w:pPr>
      <w:r>
        <w:rPr>
          <w:rStyle w:val="FootnoteReference"/>
        </w:rPr>
        <w:footnoteRef/>
      </w:r>
      <w:r>
        <w:t xml:space="preserve"> </w:t>
      </w:r>
      <w:r>
        <w:t xml:space="preserve">Toh 2020, PMID 31987791.</w:t>
      </w:r>
    </w:p>
  </w:footnote>
  <w:footnote w:id="2104">
    <w:p>
      <w:pPr>
        <w:pStyle w:val="FootnoteText"/>
      </w:pPr>
      <w:r>
        <w:rPr>
          <w:rStyle w:val="FootnoteReference"/>
        </w:rPr>
        <w:footnoteRef/>
      </w:r>
      <w:r>
        <w:t xml:space="preserve"> </w:t>
      </w:r>
      <w:r>
        <w:t xml:space="preserve">Haylett 2011, PMID 20969564.</w:t>
      </w:r>
    </w:p>
  </w:footnote>
  <w:footnote w:id="2105">
    <w:p>
      <w:pPr>
        <w:pStyle w:val="FootnoteText"/>
      </w:pPr>
      <w:r>
        <w:rPr>
          <w:rStyle w:val="FootnoteReference"/>
        </w:rPr>
        <w:footnoteRef/>
      </w:r>
      <w:r>
        <w:t xml:space="preserve"> </w:t>
      </w:r>
      <w:r>
        <w:t xml:space="preserve">Böhm 2014, PMID 22845050.</w:t>
      </w:r>
    </w:p>
  </w:footnote>
  <w:footnote w:id="2106">
    <w:p>
      <w:pPr>
        <w:pStyle w:val="FootnoteText"/>
      </w:pPr>
      <w:r>
        <w:rPr>
          <w:rStyle w:val="FootnoteReference"/>
        </w:rPr>
        <w:footnoteRef/>
      </w:r>
      <w:r>
        <w:t xml:space="preserve"> </w:t>
      </w:r>
      <w:r>
        <w:t xml:space="preserve">Biolcati 2014, PMID 24256215.</w:t>
      </w:r>
    </w:p>
  </w:footnote>
  <w:footnote w:id="2107">
    <w:p>
      <w:pPr>
        <w:pStyle w:val="FootnoteText"/>
      </w:pPr>
      <w:r>
        <w:rPr>
          <w:rStyle w:val="FootnoteReference"/>
        </w:rPr>
        <w:footnoteRef/>
      </w:r>
      <w:r>
        <w:t xml:space="preserve"> </w:t>
      </w:r>
      <w:r>
        <w:t xml:space="preserve">Stanislaus 2023, PMID 37496004.</w:t>
      </w:r>
    </w:p>
  </w:footnote>
  <w:footnote w:id="2108">
    <w:p>
      <w:pPr>
        <w:pStyle w:val="FootnoteText"/>
      </w:pPr>
      <w:r>
        <w:rPr>
          <w:rStyle w:val="FootnoteReference"/>
        </w:rPr>
        <w:footnoteRef/>
      </w:r>
      <w:r>
        <w:t xml:space="preserve"> </w:t>
      </w:r>
      <w:r>
        <w:t xml:space="preserve">Griffin 2026, PMID 42678656.</w:t>
      </w:r>
    </w:p>
  </w:footnote>
  <w:footnote w:id="2111">
    <w:p>
      <w:pPr>
        <w:pStyle w:val="FootnoteText"/>
      </w:pPr>
      <w:r>
        <w:rPr>
          <w:rStyle w:val="FootnoteReference"/>
        </w:rPr>
        <w:footnoteRef/>
      </w:r>
      <w:r>
        <w:t xml:space="preserve"> </w:t>
      </w:r>
      <w:r>
        <w:t xml:space="preserve">Biolcati 2014, PMID 24256215.</w:t>
      </w:r>
    </w:p>
  </w:footnote>
  <w:footnote w:id="2112">
    <w:p>
      <w:pPr>
        <w:pStyle w:val="FootnoteText"/>
      </w:pPr>
      <w:r>
        <w:rPr>
          <w:rStyle w:val="FootnoteReference"/>
        </w:rPr>
        <w:footnoteRef/>
      </w:r>
      <w:r>
        <w:t xml:space="preserve"> </w:t>
      </w:r>
      <w:r>
        <w:t xml:space="preserve">Chawathe 2026, PMID 41547183.</w:t>
      </w:r>
    </w:p>
  </w:footnote>
  <w:footnote w:id="2114">
    <w:p>
      <w:pPr>
        <w:pStyle w:val="FootnoteText"/>
      </w:pPr>
      <w:r>
        <w:rPr>
          <w:rStyle w:val="FootnoteReference"/>
        </w:rPr>
        <w:footnoteRef/>
      </w:r>
      <w:r>
        <w:t xml:space="preserve"> </w:t>
      </w:r>
      <w:r>
        <w:t xml:space="preserve">Langendonk 2015, PMID 26132941; Wensink 2020, PMID 32186677; Biolcati 2015, PMID 25494545.</w:t>
      </w:r>
    </w:p>
  </w:footnote>
  <w:footnote w:id="2115">
    <w:p>
      <w:pPr>
        <w:pStyle w:val="FootnoteText"/>
      </w:pPr>
      <w:r>
        <w:rPr>
          <w:rStyle w:val="FootnoteReference"/>
        </w:rPr>
        <w:footnoteRef/>
      </w:r>
      <w:r>
        <w:t xml:space="preserve"> </w:t>
      </w:r>
      <w:r>
        <w:t xml:space="preserve">Arisi 2021, PMID 33721252.</w:t>
      </w:r>
    </w:p>
  </w:footnote>
  <w:footnote w:id="2116">
    <w:p>
      <w:pPr>
        <w:pStyle w:val="FootnoteText"/>
      </w:pPr>
      <w:r>
        <w:rPr>
          <w:rStyle w:val="FootnoteReference"/>
        </w:rPr>
        <w:footnoteRef/>
      </w:r>
      <w:r>
        <w:t xml:space="preserve"> </w:t>
      </w:r>
      <w:r>
        <w:t xml:space="preserve">von Bartenwerffer 2011, PMID 21597671.</w:t>
      </w:r>
    </w:p>
  </w:footnote>
  <w:footnote w:id="2117">
    <w:p>
      <w:pPr>
        <w:pStyle w:val="FootnoteText"/>
      </w:pPr>
      <w:r>
        <w:rPr>
          <w:rStyle w:val="FootnoteReference"/>
        </w:rPr>
        <w:footnoteRef/>
      </w:r>
      <w:r>
        <w:t xml:space="preserve"> </w:t>
      </w:r>
      <w:r>
        <w:t xml:space="preserve">Kluijver 2024, PMID 38634774.</w:t>
      </w:r>
    </w:p>
  </w:footnote>
  <w:footnote w:id="2119">
    <w:p>
      <w:pPr>
        <w:pStyle w:val="FootnoteText"/>
      </w:pPr>
      <w:r>
        <w:rPr>
          <w:rStyle w:val="FootnoteReference"/>
        </w:rPr>
        <w:footnoteRef/>
      </w:r>
      <w:r>
        <w:t xml:space="preserve"> </w:t>
      </w:r>
      <w:r>
        <w:t xml:space="preserve">Barman-Aksözen 2026, PMID 41885813.</w:t>
      </w:r>
    </w:p>
  </w:footnote>
  <w:footnote w:id="2120">
    <w:p>
      <w:pPr>
        <w:pStyle w:val="FootnoteText"/>
      </w:pPr>
      <w:r>
        <w:rPr>
          <w:rStyle w:val="FootnoteReference"/>
        </w:rPr>
        <w:footnoteRef/>
      </w:r>
      <w:r>
        <w:t xml:space="preserve"> </w:t>
      </w:r>
      <w:r>
        <w:t xml:space="preserve">Minder 2026, PMID 41542313.</w:t>
      </w:r>
    </w:p>
  </w:footnote>
  <w:footnote w:id="2122">
    <w:p>
      <w:pPr>
        <w:pStyle w:val="FootnoteText"/>
      </w:pPr>
      <w:r>
        <w:rPr>
          <w:rStyle w:val="FootnoteReference"/>
        </w:rPr>
        <w:footnoteRef/>
      </w:r>
      <w:r>
        <w:t xml:space="preserve"> </w:t>
      </w:r>
      <w:r>
        <w:t xml:space="preserve">Habbema 2017, PMID 28266027.</w:t>
      </w:r>
    </w:p>
  </w:footnote>
  <w:footnote w:id="2125">
    <w:p>
      <w:pPr>
        <w:pStyle w:val="FootnoteText"/>
      </w:pPr>
      <w:r>
        <w:rPr>
          <w:rStyle w:val="FootnoteReference"/>
        </w:rPr>
        <w:footnoteRef/>
      </w:r>
      <w:r>
        <w:t xml:space="preserve"> </w:t>
      </w:r>
      <w:r>
        <w:t xml:space="preserve">Homey 2025, PMID 40082741.</w:t>
      </w:r>
    </w:p>
  </w:footnote>
  <w:footnote w:id="2126">
    <w:p>
      <w:pPr>
        <w:pStyle w:val="FootnoteText"/>
      </w:pPr>
      <w:r>
        <w:rPr>
          <w:rStyle w:val="FootnoteReference"/>
        </w:rPr>
        <w:footnoteRef/>
      </w:r>
      <w:r>
        <w:t xml:space="preserve"> </w:t>
      </w:r>
      <w:r>
        <w:t xml:space="preserve">Homey 2025, PMID 40082741; Seidl-Philipp 2026, PMID 41793078.</w:t>
      </w:r>
    </w:p>
  </w:footnote>
  <w:footnote w:id="2127">
    <w:p>
      <w:pPr>
        <w:pStyle w:val="FootnoteText"/>
      </w:pPr>
      <w:r>
        <w:rPr>
          <w:rStyle w:val="FootnoteReference"/>
        </w:rPr>
        <w:footnoteRef/>
      </w:r>
      <w:r>
        <w:t xml:space="preserve"> </w:t>
      </w:r>
      <w:r>
        <w:t xml:space="preserve">Barman-Aksözen 2024, PMID 38791830.</w:t>
      </w:r>
    </w:p>
  </w:footnote>
  <w:footnote w:id="2129">
    <w:p>
      <w:pPr>
        <w:pStyle w:val="FootnoteText"/>
      </w:pPr>
      <w:r>
        <w:rPr>
          <w:rStyle w:val="FootnoteReference"/>
        </w:rPr>
        <w:footnoteRef/>
      </w:r>
      <w:r>
        <w:t xml:space="preserve"> </w:t>
      </w:r>
      <w:r>
        <w:t xml:space="preserve">NCT06109649.</w:t>
      </w:r>
    </w:p>
  </w:footnote>
  <w:footnote w:id="2130">
    <w:p>
      <w:pPr>
        <w:pStyle w:val="FootnoteText"/>
      </w:pPr>
      <w:r>
        <w:rPr>
          <w:rStyle w:val="FootnoteReference"/>
        </w:rPr>
        <w:footnoteRef/>
      </w:r>
      <w:r>
        <w:t xml:space="preserve"> </w:t>
      </w:r>
      <w:r>
        <w:t xml:space="preserve">NCT05210582.</w:t>
      </w:r>
    </w:p>
  </w:footnote>
  <w:footnote w:id="2131">
    <w:p>
      <w:pPr>
        <w:pStyle w:val="FootnoteText"/>
      </w:pPr>
      <w:r>
        <w:rPr>
          <w:rStyle w:val="FootnoteReference"/>
        </w:rPr>
        <w:footnoteRef/>
      </w:r>
      <w:r>
        <w:t xml:space="preserve"> </w:t>
      </w:r>
      <w:r>
        <w:t xml:space="preserve">NCT05370235, NCT05159752.</w:t>
      </w:r>
    </w:p>
  </w:footnote>
  <w:footnote w:id="2132">
    <w:p>
      <w:pPr>
        <w:pStyle w:val="FootnoteText"/>
      </w:pPr>
      <w:r>
        <w:rPr>
          <w:rStyle w:val="FootnoteReference"/>
        </w:rPr>
        <w:footnoteRef/>
      </w:r>
      <w:r>
        <w:t xml:space="preserve"> </w:t>
      </w:r>
      <w:r>
        <w:t xml:space="preserve">NCT06388642.</w:t>
      </w:r>
    </w:p>
  </w:footnote>
  <w:footnote w:id="2133">
    <w:p>
      <w:pPr>
        <w:pStyle w:val="FootnoteText"/>
      </w:pPr>
      <w:r>
        <w:rPr>
          <w:rStyle w:val="FootnoteReference"/>
        </w:rPr>
        <w:footnoteRef/>
      </w:r>
      <w:r>
        <w:t xml:space="preserve"> </w:t>
      </w:r>
      <w:r>
        <w:t xml:space="preserve">Barman-Aksözen 2026, PMID 41885813.</w:t>
      </w:r>
    </w:p>
  </w:footnote>
  <w:footnote w:id="2137">
    <w:p>
      <w:pPr>
        <w:pStyle w:val="FootnoteText"/>
      </w:pPr>
      <w:r>
        <w:rPr>
          <w:rStyle w:val="FootnoteReference"/>
        </w:rPr>
        <w:footnoteRef/>
      </w:r>
      <w:r>
        <w:t xml:space="preserve"> </w:t>
      </w:r>
      <w:r>
        <w:t xml:space="preserve">Lee 1996, PMID 8944003.</w:t>
      </w:r>
    </w:p>
  </w:footnote>
  <w:footnote w:id="2138">
    <w:p>
      <w:pPr>
        <w:pStyle w:val="FootnoteText"/>
      </w:pPr>
      <w:r>
        <w:rPr>
          <w:rStyle w:val="FootnoteReference"/>
        </w:rPr>
        <w:footnoteRef/>
      </w:r>
      <w:r>
        <w:t xml:space="preserve"> </w:t>
      </w:r>
      <w:r>
        <w:t xml:space="preserve">Ohtaki 2001, PMID 11385580.</w:t>
      </w:r>
    </w:p>
  </w:footnote>
  <w:footnote w:id="2140">
    <w:p>
      <w:pPr>
        <w:pStyle w:val="FootnoteText"/>
      </w:pPr>
      <w:r>
        <w:rPr>
          <w:rStyle w:val="FootnoteReference"/>
        </w:rPr>
        <w:footnoteRef/>
      </w:r>
      <w:r>
        <w:t xml:space="preserve"> </w:t>
      </w:r>
      <w:r>
        <w:t xml:space="preserve">de Roux 2003, PMID 12944565; Seminara 2003, PMID 14573733.</w:t>
      </w:r>
    </w:p>
  </w:footnote>
  <w:footnote w:id="2142">
    <w:p>
      <w:pPr>
        <w:pStyle w:val="FootnoteText"/>
      </w:pPr>
      <w:r>
        <w:rPr>
          <w:rStyle w:val="FootnoteReference"/>
        </w:rPr>
        <w:footnoteRef/>
      </w:r>
      <w:r>
        <w:t xml:space="preserve"> </w:t>
      </w:r>
      <w:r>
        <w:t xml:space="preserve">Dhillo 2005, PMID 16174713.</w:t>
      </w:r>
    </w:p>
  </w:footnote>
  <w:footnote w:id="2143">
    <w:p>
      <w:pPr>
        <w:pStyle w:val="FootnoteText"/>
      </w:pPr>
      <w:r>
        <w:rPr>
          <w:rStyle w:val="FootnoteReference"/>
        </w:rPr>
        <w:footnoteRef/>
      </w:r>
      <w:r>
        <w:t xml:space="preserve"> </w:t>
      </w:r>
      <w:r>
        <w:t xml:space="preserve">Dhillo 2007, PMID 17635940.</w:t>
      </w:r>
    </w:p>
  </w:footnote>
  <w:footnote w:id="2144">
    <w:p>
      <w:pPr>
        <w:pStyle w:val="FootnoteText"/>
      </w:pPr>
      <w:r>
        <w:rPr>
          <w:rStyle w:val="FootnoteReference"/>
        </w:rPr>
        <w:footnoteRef/>
      </w:r>
      <w:r>
        <w:t xml:space="preserve"> </w:t>
      </w:r>
      <w:r>
        <w:t xml:space="preserve">George 2011, PMID 21632807.</w:t>
      </w:r>
    </w:p>
  </w:footnote>
  <w:footnote w:id="2145">
    <w:p>
      <w:pPr>
        <w:pStyle w:val="FootnoteText"/>
      </w:pPr>
      <w:r>
        <w:rPr>
          <w:rStyle w:val="FootnoteReference"/>
        </w:rPr>
        <w:footnoteRef/>
      </w:r>
      <w:r>
        <w:t xml:space="preserve"> </w:t>
      </w:r>
      <w:r>
        <w:t xml:space="preserve">Chan 2018, PMID 29669934.</w:t>
      </w:r>
    </w:p>
  </w:footnote>
  <w:footnote w:id="2147">
    <w:p>
      <w:pPr>
        <w:pStyle w:val="FootnoteText"/>
      </w:pPr>
      <w:r>
        <w:rPr>
          <w:rStyle w:val="FootnoteReference"/>
        </w:rPr>
        <w:footnoteRef/>
      </w:r>
      <w:r>
        <w:t xml:space="preserve"> </w:t>
      </w:r>
      <w:r>
        <w:t xml:space="preserve">Jayasena 2014, PMID 25036713; NCT01667406.</w:t>
      </w:r>
    </w:p>
  </w:footnote>
  <w:footnote w:id="2148">
    <w:p>
      <w:pPr>
        <w:pStyle w:val="FootnoteText"/>
      </w:pPr>
      <w:r>
        <w:rPr>
          <w:rStyle w:val="FootnoteReference"/>
        </w:rPr>
        <w:footnoteRef/>
      </w:r>
      <w:r>
        <w:t xml:space="preserve"> </w:t>
      </w:r>
      <w:r>
        <w:t xml:space="preserve">Abbara 2015, PMID 26192876.</w:t>
      </w:r>
    </w:p>
  </w:footnote>
  <w:footnote w:id="2149">
    <w:p>
      <w:pPr>
        <w:pStyle w:val="FootnoteText"/>
      </w:pPr>
      <w:r>
        <w:rPr>
          <w:rStyle w:val="FootnoteReference"/>
        </w:rPr>
        <w:footnoteRef/>
      </w:r>
      <w:r>
        <w:t xml:space="preserve"> </w:t>
      </w:r>
      <w:r>
        <w:t xml:space="preserve">Abbara 2017, PMID 28854728.</w:t>
      </w:r>
    </w:p>
  </w:footnote>
  <w:footnote w:id="2150">
    <w:p>
      <w:pPr>
        <w:pStyle w:val="FootnoteText"/>
      </w:pPr>
      <w:r>
        <w:rPr>
          <w:rStyle w:val="FootnoteReference"/>
        </w:rPr>
        <w:footnoteRef/>
      </w:r>
      <w:r>
        <w:t xml:space="preserve"> </w:t>
      </w:r>
      <w:r>
        <w:t xml:space="preserve">Abbara 2017, PMID 28854728.</w:t>
      </w:r>
    </w:p>
  </w:footnote>
  <w:footnote w:id="2151">
    <w:p>
      <w:pPr>
        <w:pStyle w:val="FootnoteText"/>
      </w:pPr>
      <w:r>
        <w:rPr>
          <w:rStyle w:val="FootnoteReference"/>
        </w:rPr>
        <w:footnoteRef/>
      </w:r>
      <w:r>
        <w:t xml:space="preserve"> </w:t>
      </w:r>
      <w:r>
        <w:t xml:space="preserve">Abbara 2020, PMID 33196464.</w:t>
      </w:r>
    </w:p>
  </w:footnote>
  <w:footnote w:id="2152">
    <w:p>
      <w:pPr>
        <w:pStyle w:val="FootnoteText"/>
      </w:pPr>
      <w:r>
        <w:rPr>
          <w:rStyle w:val="FootnoteReference"/>
        </w:rPr>
        <w:footnoteRef/>
      </w:r>
      <w:r>
        <w:t xml:space="preserve"> </w:t>
      </w:r>
      <w:r>
        <w:t xml:space="preserve">Abbara 2024, PMID 37925096.</w:t>
      </w:r>
    </w:p>
  </w:footnote>
  <w:footnote w:id="2154">
    <w:p>
      <w:pPr>
        <w:pStyle w:val="FootnoteText"/>
      </w:pPr>
      <w:r>
        <w:rPr>
          <w:rStyle w:val="FootnoteReference"/>
        </w:rPr>
        <w:footnoteRef/>
      </w:r>
      <w:r>
        <w:t xml:space="preserve"> </w:t>
      </w:r>
      <w:r>
        <w:t xml:space="preserve">Jayasena 2009, PMID 19820030.</w:t>
      </w:r>
    </w:p>
  </w:footnote>
  <w:footnote w:id="2155">
    <w:p>
      <w:pPr>
        <w:pStyle w:val="FootnoteText"/>
      </w:pPr>
      <w:r>
        <w:rPr>
          <w:rStyle w:val="FootnoteReference"/>
        </w:rPr>
        <w:footnoteRef/>
      </w:r>
      <w:r>
        <w:t xml:space="preserve"> </w:t>
      </w:r>
      <w:r>
        <w:t xml:space="preserve">Jayasena 2010, PMID 20980998.</w:t>
      </w:r>
    </w:p>
  </w:footnote>
  <w:footnote w:id="2156">
    <w:p>
      <w:pPr>
        <w:pStyle w:val="FootnoteText"/>
      </w:pPr>
      <w:r>
        <w:rPr>
          <w:rStyle w:val="FootnoteReference"/>
        </w:rPr>
        <w:footnoteRef/>
      </w:r>
      <w:r>
        <w:t xml:space="preserve"> </w:t>
      </w:r>
      <w:r>
        <w:t xml:space="preserve">Jayasena 2014, PMID 24517142.</w:t>
      </w:r>
    </w:p>
  </w:footnote>
  <w:footnote w:id="2157">
    <w:p>
      <w:pPr>
        <w:pStyle w:val="FootnoteText"/>
      </w:pPr>
      <w:r>
        <w:rPr>
          <w:rStyle w:val="FootnoteReference"/>
        </w:rPr>
        <w:footnoteRef/>
      </w:r>
      <w:r>
        <w:t xml:space="preserve"> </w:t>
      </w:r>
      <w:r>
        <w:t xml:space="preserve">Young 2013, PMID 22377698.</w:t>
      </w:r>
    </w:p>
  </w:footnote>
  <w:footnote w:id="2158">
    <w:p>
      <w:pPr>
        <w:pStyle w:val="FootnoteText"/>
      </w:pPr>
      <w:r>
        <w:rPr>
          <w:rStyle w:val="FootnoteReference"/>
        </w:rPr>
        <w:footnoteRef/>
      </w:r>
      <w:r>
        <w:t xml:space="preserve"> </w:t>
      </w:r>
      <w:r>
        <w:t xml:space="preserve">Romero-Ruiz 2019, PMID 31820802.</w:t>
      </w:r>
    </w:p>
  </w:footnote>
  <w:footnote w:id="2160">
    <w:p>
      <w:pPr>
        <w:pStyle w:val="FootnoteText"/>
      </w:pPr>
      <w:r>
        <w:rPr>
          <w:rStyle w:val="FootnoteReference"/>
        </w:rPr>
        <w:footnoteRef/>
      </w:r>
      <w:r>
        <w:t xml:space="preserve"> </w:t>
      </w:r>
      <w:r>
        <w:t xml:space="preserve">George 2013, PMID 23153270.</w:t>
      </w:r>
    </w:p>
  </w:footnote>
  <w:footnote w:id="2161">
    <w:p>
      <w:pPr>
        <w:pStyle w:val="FootnoteText"/>
      </w:pPr>
      <w:r>
        <w:rPr>
          <w:rStyle w:val="FootnoteReference"/>
        </w:rPr>
        <w:footnoteRef/>
      </w:r>
      <w:r>
        <w:t xml:space="preserve"> </w:t>
      </w:r>
      <w:r>
        <w:t xml:space="preserve">Yeung 2026, PMID 42549827.</w:t>
      </w:r>
    </w:p>
  </w:footnote>
  <w:footnote w:id="2163">
    <w:p>
      <w:pPr>
        <w:pStyle w:val="FootnoteText"/>
      </w:pPr>
      <w:r>
        <w:rPr>
          <w:rStyle w:val="FootnoteReference"/>
        </w:rPr>
        <w:footnoteRef/>
      </w:r>
      <w:r>
        <w:t xml:space="preserve"> </w:t>
      </w:r>
      <w:r>
        <w:t xml:space="preserve">Mills 2023, PMID 36735255.</w:t>
      </w:r>
    </w:p>
  </w:footnote>
  <w:footnote w:id="2164">
    <w:p>
      <w:pPr>
        <w:pStyle w:val="FootnoteText"/>
      </w:pPr>
      <w:r>
        <w:rPr>
          <w:rStyle w:val="FootnoteReference"/>
        </w:rPr>
        <w:footnoteRef/>
      </w:r>
      <w:r>
        <w:t xml:space="preserve"> </w:t>
      </w:r>
      <w:r>
        <w:t xml:space="preserve">Thurston 2022, PMID 36287566.</w:t>
      </w:r>
    </w:p>
  </w:footnote>
  <w:footnote w:id="2165">
    <w:p>
      <w:pPr>
        <w:pStyle w:val="FootnoteText"/>
      </w:pPr>
      <w:r>
        <w:rPr>
          <w:rStyle w:val="FootnoteReference"/>
        </w:rPr>
        <w:footnoteRef/>
      </w:r>
      <w:r>
        <w:t xml:space="preserve"> </w:t>
      </w:r>
      <w:r>
        <w:t xml:space="preserve">Mills 2025, PMID 40036336.</w:t>
      </w:r>
    </w:p>
  </w:footnote>
  <w:footnote w:id="2167">
    <w:p>
      <w:pPr>
        <w:pStyle w:val="FootnoteText"/>
      </w:pPr>
      <w:r>
        <w:rPr>
          <w:rStyle w:val="FootnoteReference"/>
        </w:rPr>
        <w:footnoteRef/>
      </w:r>
      <w:r>
        <w:t xml:space="preserve"> </w:t>
      </w:r>
      <w:r>
        <w:t xml:space="preserve">Mills 2025, PMID 40215751.</w:t>
      </w:r>
    </w:p>
  </w:footnote>
  <w:footnote w:id="2169">
    <w:p>
      <w:pPr>
        <w:pStyle w:val="FootnoteText"/>
      </w:pPr>
      <w:r>
        <w:rPr>
          <w:rStyle w:val="FootnoteReference"/>
        </w:rPr>
        <w:footnoteRef/>
      </w:r>
      <w:r>
        <w:t xml:space="preserve"> </w:t>
      </w:r>
      <w:r>
        <w:t xml:space="preserve">Comninos 2022, PMID 35244717.</w:t>
      </w:r>
    </w:p>
  </w:footnote>
  <w:footnote w:id="2170">
    <w:p>
      <w:pPr>
        <w:pStyle w:val="FootnoteText"/>
      </w:pPr>
      <w:r>
        <w:rPr>
          <w:rStyle w:val="FootnoteReference"/>
        </w:rPr>
        <w:footnoteRef/>
      </w:r>
      <w:r>
        <w:t xml:space="preserve"> </w:t>
      </w:r>
      <w:r>
        <w:t xml:space="preserve">Izzi-Engbeaya 2018, PMID 29974637.</w:t>
      </w:r>
    </w:p>
  </w:footnote>
  <w:footnote w:id="2171">
    <w:p>
      <w:pPr>
        <w:pStyle w:val="FootnoteText"/>
      </w:pPr>
      <w:r>
        <w:rPr>
          <w:rStyle w:val="FootnoteReference"/>
        </w:rPr>
        <w:footnoteRef/>
      </w:r>
      <w:r>
        <w:t xml:space="preserve"> </w:t>
      </w:r>
      <w:r>
        <w:t xml:space="preserve">Galbiati 2025, PMID 39965102.</w:t>
      </w:r>
    </w:p>
  </w:footnote>
  <w:footnote w:id="2173">
    <w:p>
      <w:pPr>
        <w:pStyle w:val="FootnoteText"/>
      </w:pPr>
      <w:r>
        <w:rPr>
          <w:rStyle w:val="FootnoteReference"/>
        </w:rPr>
        <w:footnoteRef/>
      </w:r>
      <w:r>
        <w:t xml:space="preserve"> </w:t>
      </w:r>
      <w:r>
        <w:t xml:space="preserve">MacLean 2014, PMID 24762108.</w:t>
      </w:r>
    </w:p>
  </w:footnote>
  <w:footnote w:id="2174">
    <w:p>
      <w:pPr>
        <w:pStyle w:val="FootnoteText"/>
      </w:pPr>
      <w:r>
        <w:rPr>
          <w:rStyle w:val="FootnoteReference"/>
        </w:rPr>
        <w:footnoteRef/>
      </w:r>
      <w:r>
        <w:t xml:space="preserve"> </w:t>
      </w:r>
      <w:r>
        <w:t xml:space="preserve">NCT02369796, NCT02381288.</w:t>
      </w:r>
    </w:p>
  </w:footnote>
  <w:footnote w:id="2177">
    <w:p>
      <w:pPr>
        <w:pStyle w:val="FootnoteText"/>
      </w:pPr>
      <w:r>
        <w:rPr>
          <w:rStyle w:val="FootnoteReference"/>
        </w:rPr>
        <w:footnoteRef/>
      </w:r>
      <w:r>
        <w:t xml:space="preserve"> </w:t>
      </w:r>
      <w:r>
        <w:t xml:space="preserve">Seminara 2003, PMID 14573733.</w:t>
      </w:r>
    </w:p>
  </w:footnote>
  <w:footnote w:id="2178">
    <w:p>
      <w:pPr>
        <w:pStyle w:val="FootnoteText"/>
      </w:pPr>
      <w:r>
        <w:rPr>
          <w:rStyle w:val="FootnoteReference"/>
        </w:rPr>
        <w:footnoteRef/>
      </w:r>
      <w:r>
        <w:t xml:space="preserve"> </w:t>
      </w:r>
      <w:r>
        <w:t xml:space="preserve">Lee 1996, PMID 8944003; Ohtaki 2001, PMID 11385580.</w:t>
      </w:r>
    </w:p>
  </w:footnote>
  <w:footnote w:id="2179">
    <w:p>
      <w:pPr>
        <w:pStyle w:val="FootnoteText"/>
      </w:pPr>
      <w:r>
        <w:rPr>
          <w:rStyle w:val="FootnoteReference"/>
        </w:rPr>
        <w:footnoteRef/>
      </w:r>
      <w:r>
        <w:t xml:space="preserve"> </w:t>
      </w:r>
      <w:r>
        <w:t xml:space="preserve">Romero-Ruiz 2019, PMID 31820802.</w:t>
      </w:r>
    </w:p>
  </w:footnote>
  <w:footnote w:id="2180">
    <w:p>
      <w:pPr>
        <w:pStyle w:val="FootnoteText"/>
      </w:pPr>
      <w:r>
        <w:rPr>
          <w:rStyle w:val="FootnoteReference"/>
        </w:rPr>
        <w:footnoteRef/>
      </w:r>
      <w:r>
        <w:t xml:space="preserve"> </w:t>
      </w:r>
      <w:r>
        <w:t xml:space="preserve">Koysombat 2025, PMID 39813600.</w:t>
      </w:r>
    </w:p>
  </w:footnote>
  <w:footnote w:id="2182">
    <w:p>
      <w:pPr>
        <w:pStyle w:val="FootnoteText"/>
      </w:pPr>
      <w:r>
        <w:rPr>
          <w:rStyle w:val="FootnoteReference"/>
        </w:rPr>
        <w:footnoteRef/>
      </w:r>
      <w:r>
        <w:t xml:space="preserve"> </w:t>
      </w:r>
      <w:r>
        <w:t xml:space="preserve">Jayasena 2010, PMID 20980998; Thurston 2022, PMID 36287566; Mills 2025, PMID 40215751.</w:t>
      </w:r>
    </w:p>
  </w:footnote>
  <w:footnote w:id="2183">
    <w:p>
      <w:pPr>
        <w:pStyle w:val="FootnoteText"/>
      </w:pPr>
      <w:r>
        <w:rPr>
          <w:rStyle w:val="FootnoteReference"/>
        </w:rPr>
        <w:footnoteRef/>
      </w:r>
      <w:r>
        <w:t xml:space="preserve"> </w:t>
      </w:r>
      <w:r>
        <w:t xml:space="preserve">Jayasena 2014, PMID 24863252.</w:t>
      </w:r>
    </w:p>
  </w:footnote>
  <w:footnote w:id="2184">
    <w:p>
      <w:pPr>
        <w:pStyle w:val="FootnoteText"/>
      </w:pPr>
      <w:r>
        <w:rPr>
          <w:rStyle w:val="FootnoteReference"/>
        </w:rPr>
        <w:footnoteRef/>
      </w:r>
      <w:r>
        <w:t xml:space="preserve"> </w:t>
      </w:r>
      <w:r>
        <w:t xml:space="preserve">Mills 2025, PMID 40036336.</w:t>
      </w:r>
    </w:p>
  </w:footnote>
  <w:footnote w:id="2185">
    <w:p>
      <w:pPr>
        <w:pStyle w:val="FootnoteText"/>
      </w:pPr>
      <w:r>
        <w:rPr>
          <w:rStyle w:val="FootnoteReference"/>
        </w:rPr>
        <w:footnoteRef/>
      </w:r>
      <w:r>
        <w:t xml:space="preserve"> </w:t>
      </w:r>
      <w:r>
        <w:t xml:space="preserve">MacLean 2014, PMID 24762108.</w:t>
      </w:r>
    </w:p>
  </w:footnote>
  <w:footnote w:id="2191">
    <w:p>
      <w:pPr>
        <w:pStyle w:val="FootnoteText"/>
      </w:pPr>
      <w:r>
        <w:rPr>
          <w:rStyle w:val="FootnoteReference"/>
        </w:rPr>
        <w:footnoteRef/>
      </w:r>
      <w:r>
        <w:t xml:space="preserve"> </w:t>
      </w:r>
      <w:r>
        <w:t xml:space="preserve">NCT07224490.</w:t>
      </w:r>
    </w:p>
  </w:footnote>
  <w:footnote w:id="2192">
    <w:p>
      <w:pPr>
        <w:pStyle w:val="FootnoteText"/>
      </w:pPr>
      <w:r>
        <w:rPr>
          <w:rStyle w:val="FootnoteReference"/>
        </w:rPr>
        <w:footnoteRef/>
      </w:r>
      <w:r>
        <w:t xml:space="preserve"> </w:t>
      </w:r>
      <w:r>
        <w:t xml:space="preserve">NCT04648969.</w:t>
      </w:r>
    </w:p>
  </w:footnote>
  <w:footnote w:id="2198">
    <w:p>
      <w:pPr>
        <w:pStyle w:val="FootnoteText"/>
      </w:pPr>
      <w:r>
        <w:rPr>
          <w:rStyle w:val="FootnoteReference"/>
        </w:rPr>
        <w:footnoteRef/>
      </w:r>
      <w:r>
        <w:t xml:space="preserve"> </w:t>
      </w:r>
      <w:r>
        <w:t xml:space="preserve">Leng 2016, PMID 26049207.</w:t>
      </w:r>
    </w:p>
  </w:footnote>
  <w:footnote w:id="2199">
    <w:p>
      <w:pPr>
        <w:pStyle w:val="FootnoteText"/>
      </w:pPr>
      <w:r>
        <w:rPr>
          <w:rStyle w:val="FootnoteReference"/>
        </w:rPr>
        <w:footnoteRef/>
      </w:r>
      <w:r>
        <w:t xml:space="preserve"> </w:t>
      </w:r>
      <w:r>
        <w:t xml:space="preserve">Lee 2018, PMID 28289281.</w:t>
      </w:r>
    </w:p>
  </w:footnote>
  <w:footnote w:id="2200">
    <w:p>
      <w:pPr>
        <w:pStyle w:val="FootnoteText"/>
      </w:pPr>
      <w:r>
        <w:rPr>
          <w:rStyle w:val="FootnoteReference"/>
        </w:rPr>
        <w:footnoteRef/>
      </w:r>
      <w:r>
        <w:t xml:space="preserve"> </w:t>
      </w:r>
      <w:r>
        <w:t xml:space="preserve">Lee 2020, PMID 32494001.</w:t>
      </w:r>
    </w:p>
  </w:footnote>
  <w:footnote w:id="2201">
    <w:p>
      <w:pPr>
        <w:pStyle w:val="FootnoteText"/>
      </w:pPr>
      <w:r>
        <w:rPr>
          <w:rStyle w:val="FootnoteReference"/>
        </w:rPr>
        <w:footnoteRef/>
      </w:r>
      <w:r>
        <w:t xml:space="preserve"> </w:t>
      </w:r>
      <w:r>
        <w:t xml:space="preserve">Martins 2020, PMID 32127545.</w:t>
      </w:r>
    </w:p>
  </w:footnote>
  <w:footnote w:id="2202">
    <w:p>
      <w:pPr>
        <w:pStyle w:val="FootnoteText"/>
      </w:pPr>
      <w:r>
        <w:rPr>
          <w:rStyle w:val="FootnoteReference"/>
        </w:rPr>
        <w:footnoteRef/>
      </w:r>
      <w:r>
        <w:t xml:space="preserve"> </w:t>
      </w:r>
      <w:r>
        <w:t xml:space="preserve">Valstad 2017, PMID 28442403.</w:t>
      </w:r>
    </w:p>
  </w:footnote>
  <w:footnote w:id="2203">
    <w:p>
      <w:pPr>
        <w:pStyle w:val="FootnoteText"/>
      </w:pPr>
      <w:r>
        <w:rPr>
          <w:rStyle w:val="FootnoteReference"/>
        </w:rPr>
        <w:footnoteRef/>
      </w:r>
      <w:r>
        <w:t xml:space="preserve"> </w:t>
      </w:r>
      <w:r>
        <w:t xml:space="preserve">Leng 2016, PMID 26049207.</w:t>
      </w:r>
    </w:p>
  </w:footnote>
  <w:footnote w:id="2204">
    <w:p>
      <w:pPr>
        <w:pStyle w:val="FootnoteText"/>
      </w:pPr>
      <w:r>
        <w:rPr>
          <w:rStyle w:val="FootnoteReference"/>
        </w:rPr>
        <w:footnoteRef/>
      </w:r>
      <w:r>
        <w:t xml:space="preserve"> </w:t>
      </w:r>
      <w:r>
        <w:t xml:space="preserve">Quintana 2021, PMID 32807845.</w:t>
      </w:r>
    </w:p>
  </w:footnote>
  <w:footnote w:id="2206">
    <w:p>
      <w:pPr>
        <w:pStyle w:val="FootnoteText"/>
      </w:pPr>
      <w:r>
        <w:rPr>
          <w:rStyle w:val="FootnoteReference"/>
        </w:rPr>
        <w:footnoteRef/>
      </w:r>
      <w:r>
        <w:t xml:space="preserve"> </w:t>
      </w:r>
      <w:r>
        <w:t xml:space="preserve">Salati 2019, PMID 31032882.</w:t>
      </w:r>
    </w:p>
  </w:footnote>
  <w:footnote w:id="2209">
    <w:p>
      <w:pPr>
        <w:pStyle w:val="FootnoteText"/>
      </w:pPr>
      <w:r>
        <w:rPr>
          <w:rStyle w:val="FootnoteReference"/>
        </w:rPr>
        <w:footnoteRef/>
      </w:r>
      <w:r>
        <w:t xml:space="preserve"> </w:t>
      </w:r>
      <w:r>
        <w:t xml:space="preserve">Kosfeld 2005, PMID 15931222.</w:t>
      </w:r>
    </w:p>
  </w:footnote>
  <w:footnote w:id="2210">
    <w:p>
      <w:pPr>
        <w:pStyle w:val="FootnoteText"/>
      </w:pPr>
      <w:r>
        <w:rPr>
          <w:rStyle w:val="FootnoteReference"/>
        </w:rPr>
        <w:footnoteRef/>
      </w:r>
      <w:r>
        <w:t xml:space="preserve"> </w:t>
      </w:r>
      <w:r>
        <w:t xml:space="preserve">Heinrichs 2003, PMID 14675803.</w:t>
      </w:r>
    </w:p>
  </w:footnote>
  <w:footnote w:id="2211">
    <w:p>
      <w:pPr>
        <w:pStyle w:val="FootnoteText"/>
      </w:pPr>
      <w:r>
        <w:rPr>
          <w:rStyle w:val="FootnoteReference"/>
        </w:rPr>
        <w:footnoteRef/>
      </w:r>
      <w:r>
        <w:t xml:space="preserve"> </w:t>
      </w:r>
      <w:r>
        <w:t xml:space="preserve">Leppanen 2017, PMID 28467893.</w:t>
      </w:r>
    </w:p>
  </w:footnote>
  <w:footnote w:id="2213">
    <w:p>
      <w:pPr>
        <w:pStyle w:val="FootnoteText"/>
      </w:pPr>
      <w:r>
        <w:rPr>
          <w:rStyle w:val="FootnoteReference"/>
        </w:rPr>
        <w:footnoteRef/>
      </w:r>
      <w:r>
        <w:t xml:space="preserve"> </w:t>
      </w:r>
      <w:r>
        <w:t xml:space="preserve">Nave 2015, PMID 26581735.</w:t>
      </w:r>
    </w:p>
  </w:footnote>
  <w:footnote w:id="2214">
    <w:p>
      <w:pPr>
        <w:pStyle w:val="FootnoteText"/>
      </w:pPr>
      <w:r>
        <w:rPr>
          <w:rStyle w:val="FootnoteReference"/>
        </w:rPr>
        <w:footnoteRef/>
      </w:r>
      <w:r>
        <w:t xml:space="preserve"> </w:t>
      </w:r>
      <w:r>
        <w:t xml:space="preserve">Walum 2016, PMID 26210057.</w:t>
      </w:r>
    </w:p>
  </w:footnote>
  <w:footnote w:id="2215">
    <w:p>
      <w:pPr>
        <w:pStyle w:val="FootnoteText"/>
      </w:pPr>
      <w:r>
        <w:rPr>
          <w:rStyle w:val="FootnoteReference"/>
        </w:rPr>
        <w:footnoteRef/>
      </w:r>
      <w:r>
        <w:t xml:space="preserve"> </w:t>
      </w:r>
      <w:r>
        <w:t xml:space="preserve">Declerck 2020, PMID 32514040.</w:t>
      </w:r>
    </w:p>
  </w:footnote>
  <w:footnote w:id="2216">
    <w:p>
      <w:pPr>
        <w:pStyle w:val="FootnoteText"/>
      </w:pPr>
      <w:r>
        <w:rPr>
          <w:rStyle w:val="FootnoteReference"/>
        </w:rPr>
        <w:footnoteRef/>
      </w:r>
      <w:r>
        <w:t xml:space="preserve"> </w:t>
      </w:r>
      <w:r>
        <w:t xml:space="preserve">Vogt 2026, PMID 42561025.</w:t>
      </w:r>
    </w:p>
  </w:footnote>
  <w:footnote w:id="2217">
    <w:p>
      <w:pPr>
        <w:pStyle w:val="FootnoteText"/>
      </w:pPr>
      <w:r>
        <w:rPr>
          <w:rStyle w:val="FootnoteReference"/>
        </w:rPr>
        <w:footnoteRef/>
      </w:r>
      <w:r>
        <w:t xml:space="preserve"> </w:t>
      </w:r>
      <w:r>
        <w:t xml:space="preserve">Iversen 2026, PMID 41389446.</w:t>
      </w:r>
    </w:p>
  </w:footnote>
  <w:footnote w:id="2219">
    <w:p>
      <w:pPr>
        <w:pStyle w:val="FootnoteText"/>
      </w:pPr>
      <w:r>
        <w:rPr>
          <w:rStyle w:val="FootnoteReference"/>
        </w:rPr>
        <w:footnoteRef/>
      </w:r>
      <w:r>
        <w:t xml:space="preserve"> </w:t>
      </w:r>
      <w:r>
        <w:t xml:space="preserve">Sikich 2021, PMID 34644471.</w:t>
      </w:r>
    </w:p>
  </w:footnote>
  <w:footnote w:id="2220">
    <w:p>
      <w:pPr>
        <w:pStyle w:val="FootnoteText"/>
      </w:pPr>
      <w:r>
        <w:rPr>
          <w:rStyle w:val="FootnoteReference"/>
        </w:rPr>
        <w:footnoteRef/>
      </w:r>
      <w:r>
        <w:t xml:space="preserve"> </w:t>
      </w:r>
      <w:r>
        <w:t xml:space="preserve">Preti 2014, PMID 24679173.</w:t>
      </w:r>
    </w:p>
  </w:footnote>
  <w:footnote w:id="2221">
    <w:p>
      <w:pPr>
        <w:pStyle w:val="FootnoteText"/>
      </w:pPr>
      <w:r>
        <w:rPr>
          <w:rStyle w:val="FootnoteReference"/>
        </w:rPr>
        <w:footnoteRef/>
      </w:r>
      <w:r>
        <w:t xml:space="preserve"> </w:t>
      </w:r>
      <w:r>
        <w:t xml:space="preserve">Sikich 2021, PMID 34644471; NCT01944046.</w:t>
      </w:r>
    </w:p>
  </w:footnote>
  <w:footnote w:id="2222">
    <w:p>
      <w:pPr>
        <w:pStyle w:val="FootnoteText"/>
      </w:pPr>
      <w:r>
        <w:rPr>
          <w:rStyle w:val="FootnoteReference"/>
        </w:rPr>
        <w:footnoteRef/>
      </w:r>
      <w:r>
        <w:t xml:space="preserve"> </w:t>
      </w:r>
      <w:r>
        <w:t xml:space="preserve">Yatawara 2016, PMID 26503762.</w:t>
      </w:r>
    </w:p>
  </w:footnote>
  <w:footnote w:id="2223">
    <w:p>
      <w:pPr>
        <w:pStyle w:val="FootnoteText"/>
      </w:pPr>
      <w:r>
        <w:rPr>
          <w:rStyle w:val="FootnoteReference"/>
        </w:rPr>
        <w:footnoteRef/>
      </w:r>
      <w:r>
        <w:t xml:space="preserve"> </w:t>
      </w:r>
      <w:r>
        <w:t xml:space="preserve">Guastella 2023, PMID 36302965.</w:t>
      </w:r>
    </w:p>
  </w:footnote>
  <w:footnote w:id="2224">
    <w:p>
      <w:pPr>
        <w:pStyle w:val="FootnoteText"/>
      </w:pPr>
      <w:r>
        <w:rPr>
          <w:rStyle w:val="FootnoteReference"/>
        </w:rPr>
        <w:footnoteRef/>
      </w:r>
      <w:r>
        <w:t xml:space="preserve"> </w:t>
      </w:r>
      <w:r>
        <w:t xml:space="preserve">Guastella 2015, PMID 25087908.</w:t>
      </w:r>
    </w:p>
  </w:footnote>
  <w:footnote w:id="2225">
    <w:p>
      <w:pPr>
        <w:pStyle w:val="FootnoteText"/>
      </w:pPr>
      <w:r>
        <w:rPr>
          <w:rStyle w:val="FootnoteReference"/>
        </w:rPr>
        <w:footnoteRef/>
      </w:r>
      <w:r>
        <w:t xml:space="preserve"> </w:t>
      </w:r>
      <w:r>
        <w:t xml:space="preserve">Moerkerke 2024, PMID 38167302.</w:t>
      </w:r>
    </w:p>
  </w:footnote>
  <w:footnote w:id="2226">
    <w:p>
      <w:pPr>
        <w:pStyle w:val="FootnoteText"/>
      </w:pPr>
      <w:r>
        <w:rPr>
          <w:rStyle w:val="FootnoteReference"/>
        </w:rPr>
        <w:footnoteRef/>
      </w:r>
      <w:r>
        <w:t xml:space="preserve"> </w:t>
      </w:r>
      <w:r>
        <w:t xml:space="preserve">Moerkerke 2024, PMID 39709442.</w:t>
      </w:r>
    </w:p>
  </w:footnote>
  <w:footnote w:id="2227">
    <w:p>
      <w:pPr>
        <w:pStyle w:val="FootnoteText"/>
      </w:pPr>
      <w:r>
        <w:rPr>
          <w:rStyle w:val="FootnoteReference"/>
        </w:rPr>
        <w:footnoteRef/>
      </w:r>
      <w:r>
        <w:t xml:space="preserve"> </w:t>
      </w:r>
      <w:r>
        <w:t xml:space="preserve">Keech 2018, PMID 29032324.</w:t>
      </w:r>
    </w:p>
  </w:footnote>
  <w:footnote w:id="2228">
    <w:p>
      <w:pPr>
        <w:pStyle w:val="FootnoteText"/>
      </w:pPr>
      <w:r>
        <w:rPr>
          <w:rStyle w:val="FootnoteReference"/>
        </w:rPr>
        <w:footnoteRef/>
      </w:r>
      <w:r>
        <w:t xml:space="preserve"> </w:t>
      </w:r>
      <w:r>
        <w:t xml:space="preserve">Huang 2021, PMID 33400920.</w:t>
      </w:r>
    </w:p>
  </w:footnote>
  <w:footnote w:id="2229">
    <w:p>
      <w:pPr>
        <w:pStyle w:val="FootnoteText"/>
      </w:pPr>
      <w:r>
        <w:rPr>
          <w:rStyle w:val="FootnoteReference"/>
        </w:rPr>
        <w:footnoteRef/>
      </w:r>
      <w:r>
        <w:t xml:space="preserve"> </w:t>
      </w:r>
      <w:r>
        <w:t xml:space="preserve">Bonnieux 2026, PMID 42134427.</w:t>
      </w:r>
    </w:p>
  </w:footnote>
  <w:footnote w:id="2230">
    <w:p>
      <w:pPr>
        <w:pStyle w:val="FootnoteText"/>
      </w:pPr>
      <w:r>
        <w:rPr>
          <w:rStyle w:val="FootnoteReference"/>
        </w:rPr>
        <w:footnoteRef/>
      </w:r>
      <w:r>
        <w:t xml:space="preserve"> </w:t>
      </w:r>
      <w:r>
        <w:t xml:space="preserve">Boulton 2026, PMID 42144048.</w:t>
      </w:r>
    </w:p>
  </w:footnote>
  <w:footnote w:id="2232">
    <w:p>
      <w:pPr>
        <w:pStyle w:val="FootnoteText"/>
      </w:pPr>
      <w:r>
        <w:rPr>
          <w:rStyle w:val="FootnoteReference"/>
        </w:rPr>
        <w:footnoteRef/>
      </w:r>
      <w:r>
        <w:t xml:space="preserve"> </w:t>
      </w:r>
      <w:r>
        <w:t xml:space="preserve">Jarskog 2017, PMID 28094169.</w:t>
      </w:r>
    </w:p>
  </w:footnote>
  <w:footnote w:id="2233">
    <w:p>
      <w:pPr>
        <w:pStyle w:val="FootnoteText"/>
      </w:pPr>
      <w:r>
        <w:rPr>
          <w:rStyle w:val="FootnoteReference"/>
        </w:rPr>
        <w:footnoteRef/>
      </w:r>
      <w:r>
        <w:t xml:space="preserve"> </w:t>
      </w:r>
      <w:r>
        <w:t xml:space="preserve">Sabe 2021, PMID 33890987.</w:t>
      </w:r>
    </w:p>
  </w:footnote>
  <w:footnote w:id="2234">
    <w:p>
      <w:pPr>
        <w:pStyle w:val="FootnoteText"/>
      </w:pPr>
      <w:r>
        <w:rPr>
          <w:rStyle w:val="FootnoteReference"/>
        </w:rPr>
        <w:footnoteRef/>
      </w:r>
      <w:r>
        <w:t xml:space="preserve"> </w:t>
      </w:r>
      <w:r>
        <w:t xml:space="preserve">Bonnieux 2026, PMID 42134427.</w:t>
      </w:r>
    </w:p>
  </w:footnote>
  <w:footnote w:id="2235">
    <w:p>
      <w:pPr>
        <w:pStyle w:val="FootnoteText"/>
      </w:pPr>
      <w:r>
        <w:rPr>
          <w:rStyle w:val="FootnoteReference"/>
        </w:rPr>
        <w:footnoteRef/>
      </w:r>
      <w:r>
        <w:t xml:space="preserve"> </w:t>
      </w:r>
      <w:r>
        <w:t xml:space="preserve">Melby 2019, PMID 30784955.</w:t>
      </w:r>
    </w:p>
  </w:footnote>
  <w:footnote w:id="2236">
    <w:p>
      <w:pPr>
        <w:pStyle w:val="FootnoteText"/>
      </w:pPr>
      <w:r>
        <w:rPr>
          <w:rStyle w:val="FootnoteReference"/>
        </w:rPr>
        <w:footnoteRef/>
      </w:r>
      <w:r>
        <w:t xml:space="preserve"> </w:t>
      </w:r>
      <w:r>
        <w:t xml:space="preserve">Santos 2026, PMID 42335670.</w:t>
      </w:r>
    </w:p>
  </w:footnote>
  <w:footnote w:id="2237">
    <w:p>
      <w:pPr>
        <w:pStyle w:val="FootnoteText"/>
      </w:pPr>
      <w:r>
        <w:rPr>
          <w:rStyle w:val="FootnoteReference"/>
        </w:rPr>
        <w:footnoteRef/>
      </w:r>
      <w:r>
        <w:t xml:space="preserve"> </w:t>
      </w:r>
      <w:r>
        <w:t xml:space="preserve">Pérez-Arqueros 2025, PMID 39366103.</w:t>
      </w:r>
    </w:p>
  </w:footnote>
  <w:footnote w:id="2238">
    <w:p>
      <w:pPr>
        <w:pStyle w:val="FootnoteText"/>
      </w:pPr>
      <w:r>
        <w:rPr>
          <w:rStyle w:val="FootnoteReference"/>
        </w:rPr>
        <w:footnoteRef/>
      </w:r>
      <w:r>
        <w:t xml:space="preserve"> </w:t>
      </w:r>
      <w:r>
        <w:t xml:space="preserve">Riem 2025, PMID 40614394.</w:t>
      </w:r>
    </w:p>
  </w:footnote>
  <w:footnote w:id="2240">
    <w:p>
      <w:pPr>
        <w:pStyle w:val="FootnoteText"/>
      </w:pPr>
      <w:r>
        <w:rPr>
          <w:rStyle w:val="FootnoteReference"/>
        </w:rPr>
        <w:footnoteRef/>
      </w:r>
      <w:r>
        <w:t xml:space="preserve"> </w:t>
      </w:r>
      <w:r>
        <w:t xml:space="preserve">Chen 2021, PMID 34600216.</w:t>
      </w:r>
    </w:p>
  </w:footnote>
  <w:footnote w:id="2241">
    <w:p>
      <w:pPr>
        <w:pStyle w:val="FootnoteText"/>
      </w:pPr>
      <w:r>
        <w:rPr>
          <w:rStyle w:val="FootnoteReference"/>
        </w:rPr>
        <w:footnoteRef/>
      </w:r>
      <w:r>
        <w:t xml:space="preserve"> </w:t>
      </w:r>
      <w:r>
        <w:t xml:space="preserve">Plessow 2024, PMID 38815173.</w:t>
      </w:r>
    </w:p>
  </w:footnote>
  <w:footnote w:id="2242">
    <w:p>
      <w:pPr>
        <w:pStyle w:val="FootnoteText"/>
      </w:pPr>
      <w:r>
        <w:rPr>
          <w:rStyle w:val="FootnoteReference"/>
        </w:rPr>
        <w:footnoteRef/>
      </w:r>
      <w:r>
        <w:t xml:space="preserve"> </w:t>
      </w:r>
      <w:r>
        <w:t xml:space="preserve">Espinoza 2021, PMID 34029521.</w:t>
      </w:r>
    </w:p>
  </w:footnote>
  <w:footnote w:id="2243">
    <w:p>
      <w:pPr>
        <w:pStyle w:val="FootnoteText"/>
      </w:pPr>
      <w:r>
        <w:rPr>
          <w:rStyle w:val="FootnoteReference"/>
        </w:rPr>
        <w:footnoteRef/>
      </w:r>
      <w:r>
        <w:t xml:space="preserve"> </w:t>
      </w:r>
      <w:r>
        <w:t xml:space="preserve">Shalma 2023, PMID 36774885.</w:t>
      </w:r>
    </w:p>
  </w:footnote>
  <w:footnote w:id="2244">
    <w:p>
      <w:pPr>
        <w:pStyle w:val="FootnoteText"/>
      </w:pPr>
      <w:r>
        <w:rPr>
          <w:rStyle w:val="FootnoteReference"/>
        </w:rPr>
        <w:footnoteRef/>
      </w:r>
      <w:r>
        <w:t xml:space="preserve"> </w:t>
      </w:r>
      <w:r>
        <w:t xml:space="preserve">Hollander 2021, PMID 33190843.</w:t>
      </w:r>
    </w:p>
  </w:footnote>
  <w:footnote w:id="2245">
    <w:p>
      <w:pPr>
        <w:pStyle w:val="FootnoteText"/>
      </w:pPr>
      <w:r>
        <w:rPr>
          <w:rStyle w:val="FootnoteReference"/>
        </w:rPr>
        <w:footnoteRef/>
      </w:r>
      <w:r>
        <w:t xml:space="preserve"> </w:t>
      </w:r>
      <w:r>
        <w:t xml:space="preserve">Lopes 2023, PMID 36463692.</w:t>
      </w:r>
    </w:p>
  </w:footnote>
  <w:footnote w:id="2247">
    <w:p>
      <w:pPr>
        <w:pStyle w:val="FootnoteText"/>
      </w:pPr>
      <w:r>
        <w:rPr>
          <w:rStyle w:val="FootnoteReference"/>
        </w:rPr>
        <w:footnoteRef/>
      </w:r>
      <w:r>
        <w:t xml:space="preserve"> </w:t>
      </w:r>
      <w:r>
        <w:t xml:space="preserve">Burri 2008, PMID 18375074.</w:t>
      </w:r>
    </w:p>
  </w:footnote>
  <w:footnote w:id="2248">
    <w:p>
      <w:pPr>
        <w:pStyle w:val="FootnoteText"/>
      </w:pPr>
      <w:r>
        <w:rPr>
          <w:rStyle w:val="FootnoteReference"/>
        </w:rPr>
        <w:footnoteRef/>
      </w:r>
      <w:r>
        <w:t xml:space="preserve"> </w:t>
      </w:r>
      <w:r>
        <w:t xml:space="preserve">Weinberger 2018, PMID 29995725.</w:t>
      </w:r>
    </w:p>
  </w:footnote>
  <w:footnote w:id="2250">
    <w:p>
      <w:pPr>
        <w:pStyle w:val="FootnoteText"/>
      </w:pPr>
      <w:r>
        <w:rPr>
          <w:rStyle w:val="FootnoteReference"/>
        </w:rPr>
        <w:footnoteRef/>
      </w:r>
      <w:r>
        <w:t xml:space="preserve"> </w:t>
      </w:r>
      <w:r>
        <w:t xml:space="preserve">Atila 2023, PMID 37192642.</w:t>
      </w:r>
    </w:p>
  </w:footnote>
  <w:footnote w:id="2251">
    <w:p>
      <w:pPr>
        <w:pStyle w:val="FootnoteText"/>
      </w:pPr>
      <w:r>
        <w:rPr>
          <w:rStyle w:val="FootnoteReference"/>
        </w:rPr>
        <w:footnoteRef/>
      </w:r>
      <w:r>
        <w:t xml:space="preserve"> </w:t>
      </w:r>
      <w:r>
        <w:t xml:space="preserve">NCT06036004.</w:t>
      </w:r>
    </w:p>
  </w:footnote>
  <w:footnote w:id="2254">
    <w:p>
      <w:pPr>
        <w:pStyle w:val="FootnoteText"/>
      </w:pPr>
      <w:r>
        <w:rPr>
          <w:rStyle w:val="FootnoteReference"/>
        </w:rPr>
        <w:footnoteRef/>
      </w:r>
      <w:r>
        <w:t xml:space="preserve"> </w:t>
      </w:r>
      <w:r>
        <w:t xml:space="preserve">Minakova 2019, PMID 30629642.</w:t>
      </w:r>
    </w:p>
  </w:footnote>
  <w:footnote w:id="2255">
    <w:p>
      <w:pPr>
        <w:pStyle w:val="FootnoteText"/>
      </w:pPr>
      <w:r>
        <w:rPr>
          <w:rStyle w:val="FootnoteReference"/>
        </w:rPr>
        <w:footnoteRef/>
      </w:r>
      <w:r>
        <w:t xml:space="preserve"> </w:t>
      </w:r>
      <w:r>
        <w:t xml:space="preserve">Lee 2020, PMID 32494001.</w:t>
      </w:r>
    </w:p>
  </w:footnote>
  <w:footnote w:id="2257">
    <w:p>
      <w:pPr>
        <w:pStyle w:val="FootnoteText"/>
      </w:pPr>
      <w:r>
        <w:rPr>
          <w:rStyle w:val="FootnoteReference"/>
        </w:rPr>
        <w:footnoteRef/>
      </w:r>
      <w:r>
        <w:t xml:space="preserve"> </w:t>
      </w:r>
      <w:r>
        <w:t xml:space="preserve">MacDonald 2011, PMID 21429671.</w:t>
      </w:r>
    </w:p>
  </w:footnote>
  <w:footnote w:id="2258">
    <w:p>
      <w:pPr>
        <w:pStyle w:val="FootnoteText"/>
      </w:pPr>
      <w:r>
        <w:rPr>
          <w:rStyle w:val="FootnoteReference"/>
        </w:rPr>
        <w:footnoteRef/>
      </w:r>
      <w:r>
        <w:t xml:space="preserve"> </w:t>
      </w:r>
      <w:r>
        <w:t xml:space="preserve">Sikich 2021, PMID 34644471.</w:t>
      </w:r>
    </w:p>
  </w:footnote>
  <w:footnote w:id="2259">
    <w:p>
      <w:pPr>
        <w:pStyle w:val="FootnoteText"/>
      </w:pPr>
      <w:r>
        <w:rPr>
          <w:rStyle w:val="FootnoteReference"/>
        </w:rPr>
        <w:footnoteRef/>
      </w:r>
      <w:r>
        <w:t xml:space="preserve"> </w:t>
      </w:r>
      <w:r>
        <w:t xml:space="preserve">Rung 2021, PMID 33982141.</w:t>
      </w:r>
    </w:p>
  </w:footnote>
  <w:footnote w:id="2260">
    <w:p>
      <w:pPr>
        <w:pStyle w:val="FootnoteText"/>
      </w:pPr>
      <w:r>
        <w:rPr>
          <w:rStyle w:val="FootnoteReference"/>
        </w:rPr>
        <w:footnoteRef/>
      </w:r>
      <w:r>
        <w:t xml:space="preserve"> </w:t>
      </w:r>
      <w:r>
        <w:t xml:space="preserve">Yatawara 2016, PMID 26503762.</w:t>
      </w:r>
    </w:p>
  </w:footnote>
  <w:footnote w:id="2262">
    <w:p>
      <w:pPr>
        <w:pStyle w:val="FootnoteText"/>
      </w:pPr>
      <w:r>
        <w:rPr>
          <w:rStyle w:val="FootnoteReference"/>
        </w:rPr>
        <w:footnoteRef/>
      </w:r>
      <w:r>
        <w:t xml:space="preserve"> </w:t>
      </w:r>
      <w:r>
        <w:t xml:space="preserve">Mayer-Hubner 1996, PMID 8596357.</w:t>
      </w:r>
    </w:p>
  </w:footnote>
  <w:footnote w:id="2263">
    <w:p>
      <w:pPr>
        <w:pStyle w:val="FootnoteText"/>
      </w:pPr>
      <w:r>
        <w:rPr>
          <w:rStyle w:val="FootnoteReference"/>
        </w:rPr>
        <w:footnoteRef/>
      </w:r>
      <w:r>
        <w:t xml:space="preserve"> </w:t>
      </w:r>
      <w:r>
        <w:t xml:space="preserve">Meusel 2021, PMID 33296278.</w:t>
      </w:r>
    </w:p>
  </w:footnote>
  <w:footnote w:id="2268">
    <w:p>
      <w:pPr>
        <w:pStyle w:val="FootnoteText"/>
      </w:pPr>
      <w:r>
        <w:rPr>
          <w:rStyle w:val="FootnoteReference"/>
        </w:rPr>
        <w:footnoteRef/>
      </w:r>
      <w:r>
        <w:t xml:space="preserve"> </w:t>
      </w:r>
      <w:r>
        <w:t xml:space="preserve">NCT04903002.</w:t>
      </w:r>
    </w:p>
  </w:footnote>
  <w:footnote w:id="2269">
    <w:p>
      <w:pPr>
        <w:pStyle w:val="FootnoteText"/>
      </w:pPr>
      <w:r>
        <w:rPr>
          <w:rStyle w:val="FootnoteReference"/>
        </w:rPr>
        <w:footnoteRef/>
      </w:r>
      <w:r>
        <w:t xml:space="preserve"> </w:t>
      </w:r>
      <w:r>
        <w:t xml:space="preserve">NCT06036004.</w:t>
      </w:r>
    </w:p>
  </w:footnote>
  <w:footnote w:id="2270">
    <w:p>
      <w:pPr>
        <w:pStyle w:val="FootnoteText"/>
      </w:pPr>
      <w:r>
        <w:rPr>
          <w:rStyle w:val="FootnoteReference"/>
        </w:rPr>
        <w:footnoteRef/>
      </w:r>
      <w:r>
        <w:t xml:space="preserve"> </w:t>
      </w:r>
      <w:r>
        <w:t xml:space="preserve">NCT05754073.</w:t>
      </w:r>
    </w:p>
  </w:footnote>
  <w:footnote w:id="2271">
    <w:p>
      <w:pPr>
        <w:pStyle w:val="FootnoteText"/>
      </w:pPr>
      <w:r>
        <w:rPr>
          <w:rStyle w:val="FootnoteReference"/>
        </w:rPr>
        <w:footnoteRef/>
      </w:r>
      <w:r>
        <w:t xml:space="preserve"> </w:t>
      </w:r>
      <w:r>
        <w:t xml:space="preserve">NCT05664516.</w:t>
      </w:r>
    </w:p>
  </w:footnote>
  <w:footnote w:id="2272">
    <w:p>
      <w:pPr>
        <w:pStyle w:val="FootnoteText"/>
      </w:pPr>
      <w:r>
        <w:rPr>
          <w:rStyle w:val="FootnoteReference"/>
        </w:rPr>
        <w:footnoteRef/>
      </w:r>
      <w:r>
        <w:t xml:space="preserve"> </w:t>
      </w:r>
      <w:r>
        <w:t xml:space="preserve">NCT07730294.</w:t>
      </w:r>
    </w:p>
  </w:footnote>
  <w:footnote w:id="2278">
    <w:p>
      <w:pPr>
        <w:pStyle w:val="FootnoteText"/>
      </w:pPr>
      <w:r>
        <w:rPr>
          <w:rStyle w:val="FootnoteReference"/>
        </w:rPr>
        <w:footnoteRef/>
      </w:r>
      <w:r>
        <w:t xml:space="preserve"> </w:t>
      </w:r>
      <w:r>
        <w:t xml:space="preserve">Steg 1985, PMID 2934695.</w:t>
      </w:r>
    </w:p>
  </w:footnote>
  <w:footnote w:id="2279">
    <w:p>
      <w:pPr>
        <w:pStyle w:val="FootnoteText"/>
      </w:pPr>
      <w:r>
        <w:rPr>
          <w:rStyle w:val="FootnoteReference"/>
        </w:rPr>
        <w:footnoteRef/>
      </w:r>
      <w:r>
        <w:t xml:space="preserve"> </w:t>
      </w:r>
      <w:r>
        <w:t xml:space="preserve">Segarra 1996, PMID 8773342; Falkenbach 1997, PMID 9189734.</w:t>
      </w:r>
    </w:p>
  </w:footnote>
  <w:footnote w:id="2280">
    <w:p>
      <w:pPr>
        <w:pStyle w:val="FootnoteText"/>
      </w:pPr>
      <w:r>
        <w:rPr>
          <w:rStyle w:val="FootnoteReference"/>
        </w:rPr>
        <w:footnoteRef/>
      </w:r>
      <w:r>
        <w:t xml:space="preserve"> </w:t>
      </w:r>
      <w:r>
        <w:t xml:space="preserve">Kandemir 2011, PMID 21448328.</w:t>
      </w:r>
    </w:p>
  </w:footnote>
  <w:footnote w:id="2281">
    <w:p>
      <w:pPr>
        <w:pStyle w:val="FootnoteText"/>
      </w:pPr>
      <w:r>
        <w:rPr>
          <w:rStyle w:val="FootnoteReference"/>
        </w:rPr>
        <w:footnoteRef/>
      </w:r>
      <w:r>
        <w:t xml:space="preserve"> </w:t>
      </w:r>
      <w:r>
        <w:t xml:space="preserve">Ab Rahim 2020, PMID 32871650.</w:t>
      </w:r>
    </w:p>
  </w:footnote>
  <w:footnote w:id="2282">
    <w:p>
      <w:pPr>
        <w:pStyle w:val="FootnoteText"/>
      </w:pPr>
      <w:r>
        <w:rPr>
          <w:rStyle w:val="FootnoteReference"/>
        </w:rPr>
        <w:footnoteRef/>
      </w:r>
      <w:r>
        <w:t xml:space="preserve"> </w:t>
      </w:r>
      <w:r>
        <w:t xml:space="preserve">Chioma 2025, PMID 41384863.</w:t>
      </w:r>
    </w:p>
  </w:footnote>
  <w:footnote w:id="2284">
    <w:p>
      <w:pPr>
        <w:pStyle w:val="FootnoteText"/>
      </w:pPr>
      <w:r>
        <w:rPr>
          <w:rStyle w:val="FootnoteReference"/>
        </w:rPr>
        <w:footnoteRef/>
      </w:r>
      <w:r>
        <w:t xml:space="preserve"> </w:t>
      </w:r>
      <w:r>
        <w:t xml:space="preserve">Quaas 2022, PMID 36378460.</w:t>
      </w:r>
    </w:p>
  </w:footnote>
  <w:footnote w:id="2285">
    <w:p>
      <w:pPr>
        <w:pStyle w:val="FootnoteText"/>
      </w:pPr>
      <w:r>
        <w:rPr>
          <w:rStyle w:val="FootnoteReference"/>
        </w:rPr>
        <w:footnoteRef/>
      </w:r>
      <w:r>
        <w:t xml:space="preserve"> </w:t>
      </w:r>
      <w:r>
        <w:t xml:space="preserve">Filicori 1994, PMID 7962297.</w:t>
      </w:r>
    </w:p>
  </w:footnote>
  <w:footnote w:id="2286">
    <w:p>
      <w:pPr>
        <w:pStyle w:val="FootnoteText"/>
      </w:pPr>
      <w:r>
        <w:rPr>
          <w:rStyle w:val="FootnoteReference"/>
        </w:rPr>
        <w:footnoteRef/>
      </w:r>
      <w:r>
        <w:t xml:space="preserve"> </w:t>
      </w:r>
      <w:r>
        <w:t xml:space="preserve">Santoro 1990, PMID 2122733.</w:t>
      </w:r>
    </w:p>
  </w:footnote>
  <w:footnote w:id="2287">
    <w:p>
      <w:pPr>
        <w:pStyle w:val="FootnoteText"/>
      </w:pPr>
      <w:r>
        <w:rPr>
          <w:rStyle w:val="FootnoteReference"/>
        </w:rPr>
        <w:footnoteRef/>
      </w:r>
      <w:r>
        <w:t xml:space="preserve"> </w:t>
      </w:r>
      <w:r>
        <w:t xml:space="preserve">Christin-Maitre 2007, PMID 17293247.</w:t>
      </w:r>
    </w:p>
  </w:footnote>
  <w:footnote w:id="2288">
    <w:p>
      <w:pPr>
        <w:pStyle w:val="FootnoteText"/>
      </w:pPr>
      <w:r>
        <w:rPr>
          <w:rStyle w:val="FootnoteReference"/>
        </w:rPr>
        <w:footnoteRef/>
      </w:r>
      <w:r>
        <w:t xml:space="preserve"> </w:t>
      </w:r>
      <w:r>
        <w:t xml:space="preserve">Quaas 2022, PMID 36378460.</w:t>
      </w:r>
    </w:p>
  </w:footnote>
  <w:footnote w:id="2290">
    <w:p>
      <w:pPr>
        <w:pStyle w:val="FootnoteText"/>
      </w:pPr>
      <w:r>
        <w:rPr>
          <w:rStyle w:val="FootnoteReference"/>
        </w:rPr>
        <w:footnoteRef/>
      </w:r>
      <w:r>
        <w:t xml:space="preserve"> </w:t>
      </w:r>
      <w:r>
        <w:t xml:space="preserve">Kliesch 1994, PMID 7921222.</w:t>
      </w:r>
    </w:p>
  </w:footnote>
  <w:footnote w:id="2291">
    <w:p>
      <w:pPr>
        <w:pStyle w:val="FootnoteText"/>
      </w:pPr>
      <w:r>
        <w:rPr>
          <w:rStyle w:val="FootnoteReference"/>
        </w:rPr>
        <w:footnoteRef/>
      </w:r>
      <w:r>
        <w:t xml:space="preserve"> </w:t>
      </w:r>
      <w:r>
        <w:t xml:space="preserve">Gong 2015, PMID 25978110.</w:t>
      </w:r>
    </w:p>
  </w:footnote>
  <w:footnote w:id="2292">
    <w:p>
      <w:pPr>
        <w:pStyle w:val="FootnoteText"/>
      </w:pPr>
      <w:r>
        <w:rPr>
          <w:rStyle w:val="FootnoteReference"/>
        </w:rPr>
        <w:footnoteRef/>
      </w:r>
      <w:r>
        <w:t xml:space="preserve"> </w:t>
      </w:r>
      <w:r>
        <w:t xml:space="preserve">Dwyer 2013, PMID 24037890.</w:t>
      </w:r>
    </w:p>
  </w:footnote>
  <w:footnote w:id="2294">
    <w:p>
      <w:pPr>
        <w:pStyle w:val="FootnoteText"/>
      </w:pPr>
      <w:r>
        <w:rPr>
          <w:rStyle w:val="FootnoteReference"/>
        </w:rPr>
        <w:footnoteRef/>
      </w:r>
      <w:r>
        <w:t xml:space="preserve"> </w:t>
      </w:r>
      <w:r>
        <w:t xml:space="preserve">Spinelli 2014, PMID 25106891.</w:t>
      </w:r>
    </w:p>
  </w:footnote>
  <w:footnote w:id="2295">
    <w:p>
      <w:pPr>
        <w:pStyle w:val="FootnoteText"/>
      </w:pPr>
      <w:r>
        <w:rPr>
          <w:rStyle w:val="FootnoteReference"/>
        </w:rPr>
        <w:footnoteRef/>
      </w:r>
      <w:r>
        <w:t xml:space="preserve"> </w:t>
      </w:r>
      <w:r>
        <w:t xml:space="preserve">Fiala 2022, PMID 35691791.</w:t>
      </w:r>
    </w:p>
  </w:footnote>
  <w:footnote w:id="2299">
    <w:p>
      <w:pPr>
        <w:pStyle w:val="FootnoteText"/>
      </w:pPr>
      <w:r>
        <w:rPr>
          <w:rStyle w:val="FootnoteReference"/>
        </w:rPr>
        <w:footnoteRef/>
      </w:r>
      <w:r>
        <w:t xml:space="preserve"> </w:t>
      </w:r>
      <w:r>
        <w:t xml:space="preserve">Santoro 1990, PMID 2122733; Christin-Maitre 2007, PMID 17293247.</w:t>
      </w:r>
    </w:p>
  </w:footnote>
  <w:footnote w:id="2303">
    <w:p>
      <w:pPr>
        <w:pStyle w:val="FootnoteText"/>
      </w:pPr>
      <w:r>
        <w:rPr>
          <w:rStyle w:val="FootnoteReference"/>
        </w:rPr>
        <w:footnoteRef/>
      </w:r>
      <w:r>
        <w:t xml:space="preserve"> </w:t>
      </w:r>
      <w:r>
        <w:t xml:space="preserve">Smit 2026, PMID 42644333.</w:t>
      </w:r>
    </w:p>
  </w:footnote>
  <w:footnote w:id="2304">
    <w:p>
      <w:pPr>
        <w:pStyle w:val="FootnoteText"/>
      </w:pPr>
      <w:r>
        <w:rPr>
          <w:rStyle w:val="FootnoteReference"/>
        </w:rPr>
        <w:footnoteRef/>
      </w:r>
      <w:r>
        <w:t xml:space="preserve"> </w:t>
      </w:r>
      <w:r>
        <w:t xml:space="preserve">Smit 2021, PMID 33550376.</w:t>
      </w:r>
    </w:p>
  </w:footnote>
  <w:footnote w:id="2305">
    <w:p>
      <w:pPr>
        <w:pStyle w:val="FootnoteText"/>
      </w:pPr>
      <w:r>
        <w:rPr>
          <w:rStyle w:val="FootnoteReference"/>
        </w:rPr>
        <w:footnoteRef/>
      </w:r>
      <w:r>
        <w:t xml:space="preserve"> </w:t>
      </w:r>
      <w:r>
        <w:t xml:space="preserve">Torrini 2023, PMID 36858006.</w:t>
      </w:r>
    </w:p>
  </w:footnote>
  <w:footnote w:id="2308">
    <w:p>
      <w:pPr>
        <w:pStyle w:val="FootnoteText"/>
      </w:pPr>
      <w:r>
        <w:rPr>
          <w:rStyle w:val="FootnoteReference"/>
        </w:rPr>
        <w:footnoteRef/>
      </w:r>
      <w:r>
        <w:t xml:space="preserve"> </w:t>
      </w:r>
      <w:r>
        <w:t xml:space="preserve">NCT07152730.</w:t>
      </w:r>
    </w:p>
  </w:footnote>
  <w:footnote w:id="2309">
    <w:p>
      <w:pPr>
        <w:pStyle w:val="FootnoteText"/>
      </w:pPr>
      <w:r>
        <w:rPr>
          <w:rStyle w:val="FootnoteReference"/>
        </w:rPr>
        <w:footnoteRef/>
      </w:r>
      <w:r>
        <w:t xml:space="preserve"> </w:t>
      </w:r>
      <w:r>
        <w:t xml:space="preserve">NCT02310074.</w:t>
      </w:r>
    </w:p>
  </w:footnote>
  <w:footnote w:id="2310">
    <w:p>
      <w:pPr>
        <w:pStyle w:val="FootnoteText"/>
      </w:pPr>
      <w:r>
        <w:rPr>
          <w:rStyle w:val="FootnoteReference"/>
        </w:rPr>
        <w:footnoteRef/>
      </w:r>
      <w:r>
        <w:t xml:space="preserve"> </w:t>
      </w:r>
      <w:r>
        <w:t xml:space="preserve">NCT03989024.</w:t>
      </w:r>
    </w:p>
  </w:footnote>
  <w:footnote w:id="2315">
    <w:p>
      <w:pPr>
        <w:pStyle w:val="FootnoteText"/>
      </w:pPr>
      <w:r>
        <w:rPr>
          <w:rStyle w:val="FootnoteReference"/>
        </w:rPr>
        <w:footnoteRef/>
      </w:r>
      <w:r>
        <w:t xml:space="preserve"> </w:t>
      </w:r>
      <w:r>
        <w:t xml:space="preserve">Myung 2025, PMID 40324552.</w:t>
      </w:r>
    </w:p>
  </w:footnote>
  <w:footnote w:id="2321">
    <w:p>
      <w:pPr>
        <w:pStyle w:val="FootnoteText"/>
      </w:pPr>
      <w:r>
        <w:rPr>
          <w:rStyle w:val="FootnoteReference"/>
        </w:rPr>
        <w:footnoteRef/>
      </w:r>
      <w:r>
        <w:t xml:space="preserve"> </w:t>
      </w:r>
      <w:r>
        <w:t xml:space="preserve">Iwai 2005, PMID 16076145.</w:t>
      </w:r>
    </w:p>
  </w:footnote>
  <w:footnote w:id="2322">
    <w:p>
      <w:pPr>
        <w:pStyle w:val="FootnoteText"/>
      </w:pPr>
      <w:r>
        <w:rPr>
          <w:rStyle w:val="FootnoteReference"/>
        </w:rPr>
        <w:footnoteRef/>
      </w:r>
      <w:r>
        <w:t xml:space="preserve"> </w:t>
      </w:r>
      <w:r>
        <w:t xml:space="preserve">Yamamoto 2016, PMID 26934933.</w:t>
      </w:r>
    </w:p>
  </w:footnote>
  <w:footnote w:id="2323">
    <w:p>
      <w:pPr>
        <w:pStyle w:val="FootnoteText"/>
      </w:pPr>
      <w:r>
        <w:rPr>
          <w:rStyle w:val="FootnoteReference"/>
        </w:rPr>
        <w:footnoteRef/>
      </w:r>
      <w:r>
        <w:t xml:space="preserve"> </w:t>
      </w:r>
      <w:r>
        <w:t xml:space="preserve">Shaw 2017, PMID 27852613.</w:t>
      </w:r>
    </w:p>
  </w:footnote>
  <w:footnote w:id="2324">
    <w:p>
      <w:pPr>
        <w:pStyle w:val="FootnoteText"/>
      </w:pPr>
      <w:r>
        <w:rPr>
          <w:rStyle w:val="FootnoteReference"/>
        </w:rPr>
        <w:footnoteRef/>
      </w:r>
      <w:r>
        <w:t xml:space="preserve"> </w:t>
      </w:r>
      <w:r>
        <w:t xml:space="preserve">Stenbæk 2016, PMID 26655163.</w:t>
      </w:r>
    </w:p>
  </w:footnote>
  <w:footnote w:id="2326">
    <w:p>
      <w:pPr>
        <w:pStyle w:val="FootnoteText"/>
      </w:pPr>
      <w:r>
        <w:rPr>
          <w:rStyle w:val="FootnoteReference"/>
        </w:rPr>
        <w:footnoteRef/>
      </w:r>
      <w:r>
        <w:t xml:space="preserve"> </w:t>
      </w:r>
      <w:r>
        <w:t xml:space="preserve">Hexsel 2017, PMID 28786550.</w:t>
      </w:r>
    </w:p>
  </w:footnote>
  <w:footnote w:id="2327">
    <w:p>
      <w:pPr>
        <w:pStyle w:val="FootnoteText"/>
      </w:pPr>
      <w:r>
        <w:rPr>
          <w:rStyle w:val="FootnoteReference"/>
        </w:rPr>
        <w:footnoteRef/>
      </w:r>
      <w:r>
        <w:t xml:space="preserve"> </w:t>
      </w:r>
      <w:r>
        <w:t xml:space="preserve">Sugihara 2018, PMID 30061579.</w:t>
      </w:r>
    </w:p>
  </w:footnote>
  <w:footnote w:id="2329">
    <w:p>
      <w:pPr>
        <w:pStyle w:val="FootnoteText"/>
      </w:pPr>
      <w:r>
        <w:rPr>
          <w:rStyle w:val="FootnoteReference"/>
        </w:rPr>
        <w:footnoteRef/>
      </w:r>
      <w:r>
        <w:t xml:space="preserve"> </w:t>
      </w:r>
      <w:r>
        <w:t xml:space="preserve">de Miranda 2021, PMID 33742704.</w:t>
      </w:r>
    </w:p>
  </w:footnote>
  <w:footnote w:id="2330">
    <w:p>
      <w:pPr>
        <w:pStyle w:val="FootnoteText"/>
      </w:pPr>
      <w:r>
        <w:rPr>
          <w:rStyle w:val="FootnoteReference"/>
        </w:rPr>
        <w:footnoteRef/>
      </w:r>
      <w:r>
        <w:t xml:space="preserve"> </w:t>
      </w:r>
      <w:r>
        <w:t xml:space="preserve">Pu 2023, PMID 37432180.</w:t>
      </w:r>
    </w:p>
  </w:footnote>
  <w:footnote w:id="2331">
    <w:p>
      <w:pPr>
        <w:pStyle w:val="FootnoteText"/>
      </w:pPr>
      <w:r>
        <w:rPr>
          <w:rStyle w:val="FootnoteReference"/>
        </w:rPr>
        <w:footnoteRef/>
      </w:r>
      <w:r>
        <w:t xml:space="preserve"> </w:t>
      </w:r>
      <w:r>
        <w:t xml:space="preserve">Danessa 2025, PMID 40826844.</w:t>
      </w:r>
    </w:p>
  </w:footnote>
  <w:footnote w:id="2332">
    <w:p>
      <w:pPr>
        <w:pStyle w:val="FootnoteText"/>
      </w:pPr>
      <w:r>
        <w:rPr>
          <w:rStyle w:val="FootnoteReference"/>
        </w:rPr>
        <w:footnoteRef/>
      </w:r>
      <w:r>
        <w:t xml:space="preserve"> </w:t>
      </w:r>
      <w:r>
        <w:t xml:space="preserve">Myung 2025, PMID 40324552.</w:t>
      </w:r>
    </w:p>
  </w:footnote>
  <w:footnote w:id="2334">
    <w:p>
      <w:pPr>
        <w:pStyle w:val="FootnoteText"/>
      </w:pPr>
      <w:r>
        <w:rPr>
          <w:rStyle w:val="FootnoteReference"/>
        </w:rPr>
        <w:footnoteRef/>
      </w:r>
      <w:r>
        <w:t xml:space="preserve"> </w:t>
      </w:r>
      <w:r>
        <w:t xml:space="preserve">García-Coronado 2019, PMID 30368550.</w:t>
      </w:r>
    </w:p>
  </w:footnote>
  <w:footnote w:id="2335">
    <w:p>
      <w:pPr>
        <w:pStyle w:val="FootnoteText"/>
      </w:pPr>
      <w:r>
        <w:rPr>
          <w:rStyle w:val="FootnoteReference"/>
        </w:rPr>
        <w:footnoteRef/>
      </w:r>
      <w:r>
        <w:t xml:space="preserve"> </w:t>
      </w:r>
      <w:r>
        <w:t xml:space="preserve">Liang 2024, PMID 38218227.</w:t>
      </w:r>
    </w:p>
  </w:footnote>
  <w:footnote w:id="2336">
    <w:p>
      <w:pPr>
        <w:pStyle w:val="FootnoteText"/>
      </w:pPr>
      <w:r>
        <w:rPr>
          <w:rStyle w:val="FootnoteReference"/>
        </w:rPr>
        <w:footnoteRef/>
      </w:r>
      <w:r>
        <w:t xml:space="preserve"> </w:t>
      </w:r>
      <w:r>
        <w:t xml:space="preserve">Lin 2023, PMID 37717022.</w:t>
      </w:r>
    </w:p>
  </w:footnote>
  <w:footnote w:id="2337">
    <w:p>
      <w:pPr>
        <w:pStyle w:val="FootnoteText"/>
      </w:pPr>
      <w:r>
        <w:rPr>
          <w:rStyle w:val="FootnoteReference"/>
        </w:rPr>
        <w:footnoteRef/>
      </w:r>
      <w:r>
        <w:t xml:space="preserve"> </w:t>
      </w:r>
      <w:r>
        <w:t xml:space="preserve">Simental-Mendía 2025, PMID 39212129.</w:t>
      </w:r>
    </w:p>
  </w:footnote>
  <w:footnote w:id="2338">
    <w:p>
      <w:pPr>
        <w:pStyle w:val="FootnoteText"/>
      </w:pPr>
      <w:r>
        <w:rPr>
          <w:rStyle w:val="FootnoteReference"/>
        </w:rPr>
        <w:footnoteRef/>
      </w:r>
      <w:r>
        <w:t xml:space="preserve"> </w:t>
      </w:r>
      <w:r>
        <w:t xml:space="preserve">Liu 2018, PMID 29018060.</w:t>
      </w:r>
    </w:p>
  </w:footnote>
  <w:footnote w:id="2340">
    <w:p>
      <w:pPr>
        <w:pStyle w:val="FootnoteText"/>
      </w:pPr>
      <w:r>
        <w:rPr>
          <w:rStyle w:val="FootnoteReference"/>
        </w:rPr>
        <w:footnoteRef/>
      </w:r>
      <w:r>
        <w:t xml:space="preserve"> </w:t>
      </w:r>
      <w:r>
        <w:t xml:space="preserve">Trentham 1993, PMID 8378772.</w:t>
      </w:r>
    </w:p>
  </w:footnote>
  <w:footnote w:id="2341">
    <w:p>
      <w:pPr>
        <w:pStyle w:val="FootnoteText"/>
      </w:pPr>
      <w:r>
        <w:rPr>
          <w:rStyle w:val="FootnoteReference"/>
        </w:rPr>
        <w:footnoteRef/>
      </w:r>
      <w:r>
        <w:t xml:space="preserve"> </w:t>
      </w:r>
      <w:r>
        <w:t xml:space="preserve">Barnett 1998, PMID 9485087.</w:t>
      </w:r>
    </w:p>
  </w:footnote>
  <w:footnote w:id="2344">
    <w:p>
      <w:pPr>
        <w:pStyle w:val="FootnoteText"/>
      </w:pPr>
      <w:r>
        <w:rPr>
          <w:rStyle w:val="FootnoteReference"/>
        </w:rPr>
        <w:footnoteRef/>
      </w:r>
      <w:r>
        <w:t xml:space="preserve"> </w:t>
      </w:r>
      <w:r>
        <w:t xml:space="preserve">Zdzieblik 2015, PMID 26353786.</w:t>
      </w:r>
    </w:p>
  </w:footnote>
  <w:footnote w:id="2345">
    <w:p>
      <w:pPr>
        <w:pStyle w:val="FootnoteText"/>
      </w:pPr>
      <w:r>
        <w:rPr>
          <w:rStyle w:val="FootnoteReference"/>
        </w:rPr>
        <w:footnoteRef/>
      </w:r>
      <w:r>
        <w:t xml:space="preserve"> </w:t>
      </w:r>
      <w:r>
        <w:t xml:space="preserve">Oikawa 2020, PMID 31919527.</w:t>
      </w:r>
    </w:p>
  </w:footnote>
  <w:footnote w:id="2346">
    <w:p>
      <w:pPr>
        <w:pStyle w:val="FootnoteText"/>
      </w:pPr>
      <w:r>
        <w:rPr>
          <w:rStyle w:val="FootnoteReference"/>
        </w:rPr>
        <w:footnoteRef/>
      </w:r>
      <w:r>
        <w:t xml:space="preserve"> </w:t>
      </w:r>
      <w:r>
        <w:t xml:space="preserve">Jacinto 2022, PMID 35042187.</w:t>
      </w:r>
    </w:p>
  </w:footnote>
  <w:footnote w:id="2347">
    <w:p>
      <w:pPr>
        <w:pStyle w:val="FootnoteText"/>
      </w:pPr>
      <w:r>
        <w:rPr>
          <w:rStyle w:val="FootnoteReference"/>
        </w:rPr>
        <w:footnoteRef/>
      </w:r>
      <w:r>
        <w:t xml:space="preserve"> </w:t>
      </w:r>
      <w:r>
        <w:t xml:space="preserve">Kirmse 2024, PMID 39086044.</w:t>
      </w:r>
    </w:p>
  </w:footnote>
  <w:footnote w:id="2348">
    <w:p>
      <w:pPr>
        <w:pStyle w:val="FootnoteText"/>
      </w:pPr>
      <w:r>
        <w:rPr>
          <w:rStyle w:val="FootnoteReference"/>
        </w:rPr>
        <w:footnoteRef/>
      </w:r>
      <w:r>
        <w:t xml:space="preserve"> </w:t>
      </w:r>
      <w:r>
        <w:t xml:space="preserve">Bischof 2024, PMID 39060741.</w:t>
      </w:r>
    </w:p>
  </w:footnote>
  <w:footnote w:id="2349">
    <w:p>
      <w:pPr>
        <w:pStyle w:val="FootnoteText"/>
      </w:pPr>
      <w:r>
        <w:rPr>
          <w:rStyle w:val="FootnoteReference"/>
        </w:rPr>
        <w:footnoteRef/>
      </w:r>
      <w:r>
        <w:t xml:space="preserve"> </w:t>
      </w:r>
      <w:r>
        <w:t xml:space="preserve">Khatri 2021, PMID 34491424.</w:t>
      </w:r>
    </w:p>
  </w:footnote>
  <w:footnote w:id="2351">
    <w:p>
      <w:pPr>
        <w:pStyle w:val="FootnoteText"/>
      </w:pPr>
      <w:r>
        <w:rPr>
          <w:rStyle w:val="FootnoteReference"/>
        </w:rPr>
        <w:footnoteRef/>
      </w:r>
      <w:r>
        <w:t xml:space="preserve"> </w:t>
      </w:r>
      <w:r>
        <w:t xml:space="preserve">Jalili 2023, PMID 35658958.</w:t>
      </w:r>
    </w:p>
  </w:footnote>
  <w:footnote w:id="2354">
    <w:p>
      <w:pPr>
        <w:pStyle w:val="FootnoteText"/>
      </w:pPr>
      <w:r>
        <w:rPr>
          <w:rStyle w:val="FootnoteReference"/>
        </w:rPr>
        <w:footnoteRef/>
      </w:r>
      <w:r>
        <w:t xml:space="preserve"> </w:t>
      </w:r>
      <w:r>
        <w:t xml:space="preserve">Asserin 2015, PMID 26362110.</w:t>
      </w:r>
    </w:p>
  </w:footnote>
  <w:footnote w:id="2355">
    <w:p>
      <w:pPr>
        <w:pStyle w:val="FootnoteText"/>
      </w:pPr>
      <w:r>
        <w:rPr>
          <w:rStyle w:val="FootnoteReference"/>
        </w:rPr>
        <w:footnoteRef/>
      </w:r>
      <w:r>
        <w:t xml:space="preserve"> </w:t>
      </w:r>
      <w:r>
        <w:t xml:space="preserve">Inacio 2024, PMID 38892477.</w:t>
      </w:r>
    </w:p>
  </w:footnote>
  <w:footnote w:id="2356">
    <w:p>
      <w:pPr>
        <w:pStyle w:val="FootnoteText"/>
      </w:pPr>
      <w:r>
        <w:rPr>
          <w:rStyle w:val="FootnoteReference"/>
        </w:rPr>
        <w:footnoteRef/>
      </w:r>
      <w:r>
        <w:t xml:space="preserve"> </w:t>
      </w:r>
      <w:r>
        <w:t xml:space="preserve">Bischof 2026, PMID 41168365.</w:t>
      </w:r>
    </w:p>
  </w:footnote>
  <w:footnote w:id="2358">
    <w:p>
      <w:pPr>
        <w:pStyle w:val="FootnoteText"/>
      </w:pPr>
      <w:r>
        <w:rPr>
          <w:rStyle w:val="FootnoteReference"/>
        </w:rPr>
        <w:footnoteRef/>
      </w:r>
      <w:r>
        <w:t xml:space="preserve"> </w:t>
      </w:r>
      <w:r>
        <w:t xml:space="preserve">Liang 2024, PMID 38218227.</w:t>
      </w:r>
    </w:p>
  </w:footnote>
  <w:footnote w:id="2359">
    <w:p>
      <w:pPr>
        <w:pStyle w:val="FootnoteText"/>
      </w:pPr>
      <w:r>
        <w:rPr>
          <w:rStyle w:val="FootnoteReference"/>
        </w:rPr>
        <w:footnoteRef/>
      </w:r>
      <w:r>
        <w:t xml:space="preserve"> </w:t>
      </w:r>
      <w:r>
        <w:t xml:space="preserve">Knight 2006, PMID 17021603.</w:t>
      </w:r>
    </w:p>
  </w:footnote>
  <w:footnote w:id="2362">
    <w:p>
      <w:pPr>
        <w:pStyle w:val="FootnoteText"/>
      </w:pPr>
      <w:r>
        <w:rPr>
          <w:rStyle w:val="FootnoteReference"/>
        </w:rPr>
        <w:footnoteRef/>
      </w:r>
      <w:r>
        <w:t xml:space="preserve"> </w:t>
      </w:r>
      <w:r>
        <w:t xml:space="preserve">NCT04998188.</w:t>
      </w:r>
    </w:p>
  </w:footnote>
  <w:footnote w:id="2363">
    <w:p>
      <w:pPr>
        <w:pStyle w:val="FootnoteText"/>
      </w:pPr>
      <w:r>
        <w:rPr>
          <w:rStyle w:val="FootnoteReference"/>
        </w:rPr>
        <w:footnoteRef/>
      </w:r>
      <w:r>
        <w:t xml:space="preserve"> </w:t>
      </w:r>
      <w:r>
        <w:t xml:space="preserve">NCT07800780.</w:t>
      </w:r>
    </w:p>
  </w:footnote>
  <w:footnote w:id="2364">
    <w:p>
      <w:pPr>
        <w:pStyle w:val="FootnoteText"/>
      </w:pPr>
      <w:r>
        <w:rPr>
          <w:rStyle w:val="FootnoteReference"/>
        </w:rPr>
        <w:footnoteRef/>
      </w:r>
      <w:r>
        <w:t xml:space="preserve"> </w:t>
      </w:r>
      <w:r>
        <w:t xml:space="preserve">NCT05823727.</w:t>
      </w:r>
    </w:p>
  </w:footnote>
  <w:footnote w:id="2365">
    <w:p>
      <w:pPr>
        <w:pStyle w:val="FootnoteText"/>
      </w:pPr>
      <w:r>
        <w:rPr>
          <w:rStyle w:val="FootnoteReference"/>
        </w:rPr>
        <w:footnoteRef/>
      </w:r>
      <w:r>
        <w:t xml:space="preserve"> </w:t>
      </w:r>
      <w:r>
        <w:t xml:space="preserve">NCT07473037.</w:t>
      </w:r>
    </w:p>
  </w:footnote>
  <w:footnote w:id="2366">
    <w:p>
      <w:pPr>
        <w:pStyle w:val="FootnoteText"/>
      </w:pPr>
      <w:r>
        <w:rPr>
          <w:rStyle w:val="FootnoteReference"/>
        </w:rPr>
        <w:footnoteRef/>
      </w:r>
      <w:r>
        <w:t xml:space="preserve"> </w:t>
      </w:r>
      <w:r>
        <w:t xml:space="preserve">NCT07456449.</w:t>
      </w:r>
    </w:p>
  </w:footnote>
  <w:footnote w:id="2367">
    <w:p>
      <w:pPr>
        <w:pStyle w:val="FootnoteText"/>
      </w:pPr>
      <w:r>
        <w:rPr>
          <w:rStyle w:val="FootnoteReference"/>
        </w:rPr>
        <w:footnoteRef/>
      </w:r>
      <w:r>
        <w:t xml:space="preserve"> </w:t>
      </w:r>
      <w:r>
        <w:t xml:space="preserve">NCT07229014.</w:t>
      </w:r>
    </w:p>
  </w:footnote>
  <w:footnote w:id="2368">
    <w:p>
      <w:pPr>
        <w:pStyle w:val="FootnoteText"/>
      </w:pPr>
      <w:r>
        <w:rPr>
          <w:rStyle w:val="FootnoteReference"/>
        </w:rPr>
        <w:footnoteRef/>
      </w:r>
      <w:r>
        <w:t xml:space="preserve"> </w:t>
      </w:r>
      <w:r>
        <w:t xml:space="preserve">Myung 2025, PMID 40324552.</w:t>
      </w:r>
    </w:p>
  </w:footnote>
  <w:footnote w:id="2373">
    <w:p>
      <w:pPr>
        <w:pStyle w:val="FootnoteText"/>
      </w:pPr>
      <w:r>
        <w:rPr>
          <w:rStyle w:val="FootnoteReference"/>
        </w:rPr>
        <w:footnoteRef/>
      </w:r>
      <w:r>
        <w:t xml:space="preserve"> </w:t>
      </w:r>
      <w:r>
        <w:t xml:space="preserve">Nakamura 1995, PMID 7673515.</w:t>
      </w:r>
    </w:p>
  </w:footnote>
  <w:footnote w:id="2374">
    <w:p>
      <w:pPr>
        <w:pStyle w:val="FootnoteText"/>
      </w:pPr>
      <w:r>
        <w:rPr>
          <w:rStyle w:val="FootnoteReference"/>
        </w:rPr>
        <w:footnoteRef/>
      </w:r>
      <w:r>
        <w:t xml:space="preserve"> </w:t>
      </w:r>
      <w:r>
        <w:t xml:space="preserve">Foltz 2007, PMID 17374660.</w:t>
      </w:r>
    </w:p>
  </w:footnote>
  <w:footnote w:id="2375">
    <w:p>
      <w:pPr>
        <w:pStyle w:val="FootnoteText"/>
      </w:pPr>
      <w:r>
        <w:rPr>
          <w:rStyle w:val="FootnoteReference"/>
        </w:rPr>
        <w:footnoteRef/>
      </w:r>
      <w:r>
        <w:t xml:space="preserve"> </w:t>
      </w:r>
      <w:r>
        <w:t xml:space="preserve">Wuerzner 2009, PMID 19506528.</w:t>
      </w:r>
    </w:p>
  </w:footnote>
  <w:footnote w:id="2378">
    <w:p>
      <w:pPr>
        <w:pStyle w:val="FootnoteText"/>
      </w:pPr>
      <w:r>
        <w:rPr>
          <w:rStyle w:val="FootnoteReference"/>
        </w:rPr>
        <w:footnoteRef/>
      </w:r>
      <w:r>
        <w:t xml:space="preserve"> </w:t>
      </w:r>
      <w:r>
        <w:t xml:space="preserve">Geleijnse 2010, PMID 19884823.</w:t>
      </w:r>
    </w:p>
  </w:footnote>
  <w:footnote w:id="2380">
    <w:p>
      <w:pPr>
        <w:pStyle w:val="FootnoteText"/>
      </w:pPr>
      <w:r>
        <w:rPr>
          <w:rStyle w:val="FootnoteReference"/>
        </w:rPr>
        <w:footnoteRef/>
      </w:r>
      <w:r>
        <w:t xml:space="preserve"> </w:t>
      </w:r>
      <w:r>
        <w:t xml:space="preserve">Jauhiainen 2012, PMID 22617279.</w:t>
      </w:r>
    </w:p>
  </w:footnote>
  <w:footnote w:id="2381">
    <w:p>
      <w:pPr>
        <w:pStyle w:val="FootnoteText"/>
      </w:pPr>
      <w:r>
        <w:rPr>
          <w:rStyle w:val="FootnoteReference"/>
        </w:rPr>
        <w:footnoteRef/>
      </w:r>
      <w:r>
        <w:t xml:space="preserve"> </w:t>
      </w:r>
      <w:r>
        <w:t xml:space="preserve">Turpeinen 2012, PMID 22398753.</w:t>
      </w:r>
    </w:p>
  </w:footnote>
  <w:footnote w:id="2382">
    <w:p>
      <w:pPr>
        <w:pStyle w:val="FootnoteText"/>
      </w:pPr>
      <w:r>
        <w:rPr>
          <w:rStyle w:val="FootnoteReference"/>
        </w:rPr>
        <w:footnoteRef/>
      </w:r>
      <w:r>
        <w:t xml:space="preserve"> </w:t>
      </w:r>
      <w:r>
        <w:t xml:space="preserve">Cicero 2011, PMID 21753776; Cicero 2016, PMID 26683986.</w:t>
      </w:r>
    </w:p>
  </w:footnote>
  <w:footnote w:id="2383">
    <w:p>
      <w:pPr>
        <w:pStyle w:val="FootnoteText"/>
      </w:pPr>
      <w:r>
        <w:rPr>
          <w:rStyle w:val="FootnoteReference"/>
        </w:rPr>
        <w:footnoteRef/>
      </w:r>
      <w:r>
        <w:t xml:space="preserve"> </w:t>
      </w:r>
      <w:r>
        <w:t xml:space="preserve">Germino 2010, PMID 20433527.</w:t>
      </w:r>
    </w:p>
  </w:footnote>
  <w:footnote w:id="2384">
    <w:p>
      <w:pPr>
        <w:pStyle w:val="FootnoteText"/>
      </w:pPr>
      <w:r>
        <w:rPr>
          <w:rStyle w:val="FootnoteReference"/>
        </w:rPr>
        <w:footnoteRef/>
      </w:r>
      <w:r>
        <w:t xml:space="preserve"> </w:t>
      </w:r>
      <w:r>
        <w:t xml:space="preserve">per es. Akazawa 2018, PMID 29703414.</w:t>
      </w:r>
    </w:p>
  </w:footnote>
  <w:footnote w:id="2386">
    <w:p>
      <w:pPr>
        <w:pStyle w:val="FootnoteText"/>
      </w:pPr>
      <w:r>
        <w:rPr>
          <w:rStyle w:val="FootnoteReference"/>
        </w:rPr>
        <w:footnoteRef/>
      </w:r>
      <w:r>
        <w:t xml:space="preserve"> </w:t>
      </w:r>
      <w:r>
        <w:t xml:space="preserve">Fekete 2015, PMID 25608938.</w:t>
      </w:r>
    </w:p>
  </w:footnote>
  <w:footnote w:id="2389">
    <w:p>
      <w:pPr>
        <w:pStyle w:val="FootnoteText"/>
      </w:pPr>
      <w:r>
        <w:rPr>
          <w:rStyle w:val="FootnoteReference"/>
        </w:rPr>
        <w:footnoteRef/>
      </w:r>
      <w:r>
        <w:t xml:space="preserve"> </w:t>
      </w:r>
      <w:r>
        <w:t xml:space="preserve">Nakamura 1995, PMID 7673515.</w:t>
      </w:r>
    </w:p>
  </w:footnote>
  <w:footnote w:id="2390">
    <w:p>
      <w:pPr>
        <w:pStyle w:val="FootnoteText"/>
      </w:pPr>
      <w:r>
        <w:rPr>
          <w:rStyle w:val="FootnoteReference"/>
        </w:rPr>
        <w:footnoteRef/>
      </w:r>
      <w:r>
        <w:t xml:space="preserve"> </w:t>
      </w:r>
      <w:r>
        <w:t xml:space="preserve">Hirota 2011, PMID 21221598.</w:t>
      </w:r>
    </w:p>
  </w:footnote>
  <w:footnote w:id="2391">
    <w:p>
      <w:pPr>
        <w:pStyle w:val="FootnoteText"/>
      </w:pPr>
      <w:r>
        <w:rPr>
          <w:rStyle w:val="FootnoteReference"/>
        </w:rPr>
        <w:footnoteRef/>
      </w:r>
      <w:r>
        <w:t xml:space="preserve"> </w:t>
      </w:r>
      <w:r>
        <w:t xml:space="preserve">Foltz 2007, PMID 17374660.</w:t>
      </w:r>
    </w:p>
  </w:footnote>
  <w:footnote w:id="2392">
    <w:p>
      <w:pPr>
        <w:pStyle w:val="FootnoteText"/>
      </w:pPr>
      <w:r>
        <w:rPr>
          <w:rStyle w:val="FootnoteReference"/>
        </w:rPr>
        <w:footnoteRef/>
      </w:r>
      <w:r>
        <w:t xml:space="preserve"> </w:t>
      </w:r>
      <w:r>
        <w:t xml:space="preserve">Gregory 2024, PMID 37904282.</w:t>
      </w:r>
    </w:p>
  </w:footnote>
  <w:footnote w:id="2393">
    <w:p>
      <w:pPr>
        <w:pStyle w:val="FootnoteText"/>
      </w:pPr>
      <w:r>
        <w:rPr>
          <w:rStyle w:val="FootnoteReference"/>
        </w:rPr>
        <w:footnoteRef/>
      </w:r>
      <w:r>
        <w:t xml:space="preserve"> </w:t>
      </w:r>
      <w:r>
        <w:t xml:space="preserve">Dent 2007, PMID 17383063.</w:t>
      </w:r>
    </w:p>
  </w:footnote>
  <w:footnote w:id="2394">
    <w:p>
      <w:pPr>
        <w:pStyle w:val="FootnoteText"/>
      </w:pPr>
      <w:r>
        <w:rPr>
          <w:rStyle w:val="FootnoteReference"/>
        </w:rPr>
        <w:footnoteRef/>
      </w:r>
      <w:r>
        <w:t xml:space="preserve"> </w:t>
      </w:r>
      <w:r>
        <w:t xml:space="preserve">Ponstein-Simarro Doorten 2009, PMID 18955104.</w:t>
      </w:r>
    </w:p>
  </w:footnote>
  <w:footnote w:id="2396">
    <w:p>
      <w:pPr>
        <w:pStyle w:val="FootnoteText"/>
      </w:pPr>
      <w:r>
        <w:rPr>
          <w:rStyle w:val="FootnoteReference"/>
        </w:rPr>
        <w:footnoteRef/>
      </w:r>
      <w:r>
        <w:t xml:space="preserve"> </w:t>
      </w:r>
      <w:r>
        <w:t xml:space="preserve">per es. Jauhiainen 2005, PMID 16364832.</w:t>
      </w:r>
    </w:p>
  </w:footnote>
  <w:footnote w:id="2399">
    <w:p>
      <w:pPr>
        <w:pStyle w:val="FootnoteText"/>
      </w:pPr>
      <w:r>
        <w:rPr>
          <w:rStyle w:val="FootnoteReference"/>
        </w:rPr>
        <w:footnoteRef/>
      </w:r>
      <w:r>
        <w:t xml:space="preserve"> </w:t>
      </w:r>
      <w:r>
        <w:t xml:space="preserve">NCT00924157.</w:t>
      </w:r>
    </w:p>
  </w:footnote>
  <w:footnote w:id="2404">
    <w:p>
      <w:pPr>
        <w:pStyle w:val="FootnoteText"/>
      </w:pPr>
      <w:r>
        <w:rPr>
          <w:rStyle w:val="FootnoteReference"/>
        </w:rPr>
        <w:footnoteRef/>
      </w:r>
      <w:r>
        <w:t xml:space="preserve"> </w:t>
      </w:r>
      <w:r>
        <w:t xml:space="preserve">Baguet 2010, PMID 20671038.</w:t>
      </w:r>
    </w:p>
  </w:footnote>
  <w:footnote w:id="2405">
    <w:p>
      <w:pPr>
        <w:pStyle w:val="FootnoteText"/>
      </w:pPr>
      <w:r>
        <w:rPr>
          <w:rStyle w:val="FootnoteReference"/>
        </w:rPr>
        <w:footnoteRef/>
      </w:r>
      <w:r>
        <w:t xml:space="preserve"> </w:t>
      </w:r>
      <w:r>
        <w:t xml:space="preserve">Gardner 1991, PMID 1910085.</w:t>
      </w:r>
    </w:p>
  </w:footnote>
  <w:footnote w:id="2406">
    <w:p>
      <w:pPr>
        <w:pStyle w:val="FootnoteText"/>
      </w:pPr>
      <w:r>
        <w:rPr>
          <w:rStyle w:val="FootnoteReference"/>
        </w:rPr>
        <w:footnoteRef/>
      </w:r>
      <w:r>
        <w:t xml:space="preserve"> </w:t>
      </w:r>
      <w:r>
        <w:t xml:space="preserve">Baba 2024, PMID 39215872.</w:t>
      </w:r>
    </w:p>
  </w:footnote>
  <w:footnote w:id="2408">
    <w:p>
      <w:pPr>
        <w:pStyle w:val="FootnoteText"/>
      </w:pPr>
      <w:r>
        <w:rPr>
          <w:rStyle w:val="FootnoteReference"/>
        </w:rPr>
        <w:footnoteRef/>
      </w:r>
      <w:r>
        <w:t xml:space="preserve"> </w:t>
      </w:r>
      <w:r>
        <w:t xml:space="preserve">Harris 2006, PMID 16554972.</w:t>
      </w:r>
    </w:p>
  </w:footnote>
  <w:footnote w:id="2409">
    <w:p>
      <w:pPr>
        <w:pStyle w:val="FootnoteText"/>
      </w:pPr>
      <w:r>
        <w:rPr>
          <w:rStyle w:val="FootnoteReference"/>
        </w:rPr>
        <w:footnoteRef/>
      </w:r>
      <w:r>
        <w:t xml:space="preserve"> </w:t>
      </w:r>
      <w:r>
        <w:t xml:space="preserve">Yamaguchi 2021, PMID 33148972.</w:t>
      </w:r>
    </w:p>
  </w:footnote>
  <w:footnote w:id="2410">
    <w:p>
      <w:pPr>
        <w:pStyle w:val="FootnoteText"/>
      </w:pPr>
      <w:r>
        <w:rPr>
          <w:rStyle w:val="FootnoteReference"/>
        </w:rPr>
        <w:footnoteRef/>
      </w:r>
      <w:r>
        <w:t xml:space="preserve"> </w:t>
      </w:r>
      <w:r>
        <w:t xml:space="preserve">Rezende 2020, PMID 32922303.</w:t>
      </w:r>
    </w:p>
  </w:footnote>
  <w:footnote w:id="2413">
    <w:p>
      <w:pPr>
        <w:pStyle w:val="FootnoteText"/>
      </w:pPr>
      <w:r>
        <w:rPr>
          <w:rStyle w:val="FootnoteReference"/>
        </w:rPr>
        <w:footnoteRef/>
      </w:r>
      <w:r>
        <w:t xml:space="preserve"> </w:t>
      </w:r>
      <w:r>
        <w:t xml:space="preserve">Saunders 2017, PMID 27797728.</w:t>
      </w:r>
    </w:p>
  </w:footnote>
  <w:footnote w:id="2414">
    <w:p>
      <w:pPr>
        <w:pStyle w:val="FootnoteText"/>
      </w:pPr>
      <w:r>
        <w:rPr>
          <w:rStyle w:val="FootnoteReference"/>
        </w:rPr>
        <w:footnoteRef/>
      </w:r>
      <w:r>
        <w:t xml:space="preserve"> </w:t>
      </w:r>
      <w:r>
        <w:t xml:space="preserve">Derave 2007, PMID 17690198.</w:t>
      </w:r>
    </w:p>
  </w:footnote>
  <w:footnote w:id="2415">
    <w:p>
      <w:pPr>
        <w:pStyle w:val="FootnoteText"/>
      </w:pPr>
      <w:r>
        <w:rPr>
          <w:rStyle w:val="FootnoteReference"/>
        </w:rPr>
        <w:footnoteRef/>
      </w:r>
      <w:r>
        <w:t xml:space="preserve"> </w:t>
      </w:r>
      <w:r>
        <w:t xml:space="preserve">Chung 2014, PMID 24457999.</w:t>
      </w:r>
    </w:p>
  </w:footnote>
  <w:footnote w:id="2416">
    <w:p>
      <w:pPr>
        <w:pStyle w:val="FootnoteText"/>
      </w:pPr>
      <w:r>
        <w:rPr>
          <w:rStyle w:val="FootnoteReference"/>
        </w:rPr>
        <w:footnoteRef/>
      </w:r>
      <w:r>
        <w:t xml:space="preserve"> </w:t>
      </w:r>
      <w:r>
        <w:t xml:space="preserve">O’Toole 2026, PMID 42308284.</w:t>
      </w:r>
    </w:p>
  </w:footnote>
  <w:footnote w:id="2418">
    <w:p>
      <w:pPr>
        <w:pStyle w:val="FootnoteText"/>
      </w:pPr>
      <w:r>
        <w:rPr>
          <w:rStyle w:val="FootnoteReference"/>
        </w:rPr>
        <w:footnoteRef/>
      </w:r>
      <w:r>
        <w:t xml:space="preserve"> </w:t>
      </w:r>
      <w:r>
        <w:t xml:space="preserve">Peng 2020, PMID 31987255.</w:t>
      </w:r>
    </w:p>
  </w:footnote>
  <w:footnote w:id="2419">
    <w:p>
      <w:pPr>
        <w:pStyle w:val="FootnoteText"/>
      </w:pPr>
      <w:r>
        <w:rPr>
          <w:rStyle w:val="FootnoteReference"/>
        </w:rPr>
        <w:footnoteRef/>
      </w:r>
      <w:r>
        <w:t xml:space="preserve"> </w:t>
      </w:r>
      <w:r>
        <w:t xml:space="preserve">Matthews 2021, PMID 34333586.</w:t>
      </w:r>
    </w:p>
  </w:footnote>
  <w:footnote w:id="2420">
    <w:p>
      <w:pPr>
        <w:pStyle w:val="FootnoteText"/>
      </w:pPr>
      <w:r>
        <w:rPr>
          <w:rStyle w:val="FootnoteReference"/>
        </w:rPr>
        <w:footnoteRef/>
      </w:r>
      <w:r>
        <w:t xml:space="preserve"> </w:t>
      </w:r>
      <w:r>
        <w:t xml:space="preserve">Li 2025, PMID 40999397.</w:t>
      </w:r>
    </w:p>
  </w:footnote>
  <w:footnote w:id="2422">
    <w:p>
      <w:pPr>
        <w:pStyle w:val="FootnoteText"/>
      </w:pPr>
      <w:r>
        <w:rPr>
          <w:rStyle w:val="FootnoteReference"/>
        </w:rPr>
        <w:footnoteRef/>
      </w:r>
      <w:r>
        <w:t xml:space="preserve"> </w:t>
      </w:r>
      <w:r>
        <w:t xml:space="preserve">Saadati 2024, PMID 38086332.</w:t>
      </w:r>
    </w:p>
  </w:footnote>
  <w:footnote w:id="2424">
    <w:p>
      <w:pPr>
        <w:pStyle w:val="FootnoteText"/>
      </w:pPr>
      <w:r>
        <w:rPr>
          <w:rStyle w:val="FootnoteReference"/>
        </w:rPr>
        <w:footnoteRef/>
      </w:r>
      <w:r>
        <w:t xml:space="preserve"> </w:t>
      </w:r>
      <w:r>
        <w:t xml:space="preserve">Hisatsune 2016, PMID 26682691.</w:t>
      </w:r>
    </w:p>
  </w:footnote>
  <w:footnote w:id="2425">
    <w:p>
      <w:pPr>
        <w:pStyle w:val="FootnoteText"/>
      </w:pPr>
      <w:r>
        <w:rPr>
          <w:rStyle w:val="FootnoteReference"/>
        </w:rPr>
        <w:footnoteRef/>
      </w:r>
      <w:r>
        <w:t xml:space="preserve"> </w:t>
      </w:r>
      <w:r>
        <w:t xml:space="preserve">Masuoka 2019, PMID 31319510.</w:t>
      </w:r>
    </w:p>
  </w:footnote>
  <w:footnote w:id="2426">
    <w:p>
      <w:pPr>
        <w:pStyle w:val="FootnoteText"/>
      </w:pPr>
      <w:r>
        <w:rPr>
          <w:rStyle w:val="FootnoteReference"/>
        </w:rPr>
        <w:footnoteRef/>
      </w:r>
      <w:r>
        <w:t xml:space="preserve"> </w:t>
      </w:r>
      <w:r>
        <w:t xml:space="preserve">O’Toole 2025, PMID 39919936.</w:t>
      </w:r>
    </w:p>
  </w:footnote>
  <w:footnote w:id="2427">
    <w:p>
      <w:pPr>
        <w:pStyle w:val="FootnoteText"/>
      </w:pPr>
      <w:r>
        <w:rPr>
          <w:rStyle w:val="FootnoteReference"/>
        </w:rPr>
        <w:footnoteRef/>
      </w:r>
      <w:r>
        <w:t xml:space="preserve"> </w:t>
      </w:r>
      <w:r>
        <w:t xml:space="preserve">Hsiao 2026, PMID 42123986.</w:t>
      </w:r>
    </w:p>
  </w:footnote>
  <w:footnote w:id="2428">
    <w:p>
      <w:pPr>
        <w:pStyle w:val="FootnoteText"/>
      </w:pPr>
      <w:r>
        <w:rPr>
          <w:rStyle w:val="FootnoteReference"/>
        </w:rPr>
        <w:footnoteRef/>
      </w:r>
      <w:r>
        <w:t xml:space="preserve"> </w:t>
      </w:r>
      <w:r>
        <w:t xml:space="preserve">Kabthymer 2025, PMID 38545720.</w:t>
      </w:r>
    </w:p>
  </w:footnote>
  <w:footnote w:id="2429">
    <w:p>
      <w:pPr>
        <w:pStyle w:val="FootnoteText"/>
      </w:pPr>
      <w:r>
        <w:rPr>
          <w:rStyle w:val="FootnoteReference"/>
        </w:rPr>
        <w:footnoteRef/>
      </w:r>
      <w:r>
        <w:t xml:space="preserve"> </w:t>
      </w:r>
      <w:r>
        <w:t xml:space="preserve">Chez 2002, PMID 12585724.</w:t>
      </w:r>
    </w:p>
  </w:footnote>
  <w:footnote w:id="2430">
    <w:p>
      <w:pPr>
        <w:pStyle w:val="FootnoteText"/>
      </w:pPr>
      <w:r>
        <w:rPr>
          <w:rStyle w:val="FootnoteReference"/>
        </w:rPr>
        <w:footnoteRef/>
      </w:r>
      <w:r>
        <w:t xml:space="preserve"> </w:t>
      </w:r>
      <w:r>
        <w:t xml:space="preserve">Abraham 2020, PMID 33170378.</w:t>
      </w:r>
    </w:p>
  </w:footnote>
  <w:footnote w:id="2432">
    <w:p>
      <w:pPr>
        <w:pStyle w:val="FootnoteText"/>
      </w:pPr>
      <w:r>
        <w:rPr>
          <w:rStyle w:val="FootnoteReference"/>
        </w:rPr>
        <w:footnoteRef/>
      </w:r>
      <w:r>
        <w:t xml:space="preserve"> </w:t>
      </w:r>
      <w:r>
        <w:t xml:space="preserve">Yehia 2019, PMID 30592963.</w:t>
      </w:r>
    </w:p>
  </w:footnote>
  <w:footnote w:id="2433">
    <w:p>
      <w:pPr>
        <w:pStyle w:val="FootnoteText"/>
      </w:pPr>
      <w:r>
        <w:rPr>
          <w:rStyle w:val="FootnoteReference"/>
        </w:rPr>
        <w:footnoteRef/>
      </w:r>
      <w:r>
        <w:t xml:space="preserve"> </w:t>
      </w:r>
      <w:r>
        <w:t xml:space="preserve">Lombardi 2015, PMID 25287762.</w:t>
      </w:r>
    </w:p>
  </w:footnote>
  <w:footnote w:id="2434">
    <w:p>
      <w:pPr>
        <w:pStyle w:val="FootnoteText"/>
      </w:pPr>
      <w:r>
        <w:rPr>
          <w:rStyle w:val="FootnoteReference"/>
        </w:rPr>
        <w:footnoteRef/>
      </w:r>
      <w:r>
        <w:t xml:space="preserve"> </w:t>
      </w:r>
      <w:r>
        <w:t xml:space="preserve">Baraniuk 2013, PMID 23618477.</w:t>
      </w:r>
    </w:p>
  </w:footnote>
  <w:footnote w:id="2435">
    <w:p>
      <w:pPr>
        <w:pStyle w:val="FootnoteText"/>
      </w:pPr>
      <w:r>
        <w:rPr>
          <w:rStyle w:val="FootnoteReference"/>
        </w:rPr>
        <w:footnoteRef/>
      </w:r>
      <w:r>
        <w:t xml:space="preserve"> </w:t>
      </w:r>
      <w:r>
        <w:t xml:space="preserve">Babizhayev 2012, PMID 21756141.</w:t>
      </w:r>
    </w:p>
  </w:footnote>
  <w:footnote w:id="2437">
    <w:p>
      <w:pPr>
        <w:pStyle w:val="FootnoteText"/>
      </w:pPr>
      <w:r>
        <w:rPr>
          <w:rStyle w:val="FootnoteReference"/>
        </w:rPr>
        <w:footnoteRef/>
      </w:r>
      <w:r>
        <w:t xml:space="preserve"> </w:t>
      </w:r>
      <w:r>
        <w:t xml:space="preserve">Shen 2022, PMID 35999163.</w:t>
      </w:r>
    </w:p>
  </w:footnote>
  <w:footnote w:id="2438">
    <w:p>
      <w:pPr>
        <w:pStyle w:val="FootnoteText"/>
      </w:pPr>
      <w:r>
        <w:rPr>
          <w:rStyle w:val="FootnoteReference"/>
        </w:rPr>
        <w:footnoteRef/>
      </w:r>
      <w:r>
        <w:t xml:space="preserve"> </w:t>
      </w:r>
      <w:r>
        <w:t xml:space="preserve">Dubois 2017, PMID 28245346.</w:t>
      </w:r>
    </w:p>
  </w:footnote>
  <w:footnote w:id="2441">
    <w:p>
      <w:pPr>
        <w:pStyle w:val="FootnoteText"/>
      </w:pPr>
      <w:r>
        <w:rPr>
          <w:rStyle w:val="FootnoteReference"/>
        </w:rPr>
        <w:footnoteRef/>
      </w:r>
      <w:r>
        <w:t xml:space="preserve"> </w:t>
      </w:r>
      <w:r>
        <w:t xml:space="preserve">Matthews 2021, PMID 34333586.</w:t>
      </w:r>
    </w:p>
  </w:footnote>
  <w:footnote w:id="2442">
    <w:p>
      <w:pPr>
        <w:pStyle w:val="FootnoteText"/>
      </w:pPr>
      <w:r>
        <w:rPr>
          <w:rStyle w:val="FootnoteReference"/>
        </w:rPr>
        <w:footnoteRef/>
      </w:r>
      <w:r>
        <w:t xml:space="preserve"> </w:t>
      </w:r>
      <w:r>
        <w:t xml:space="preserve">Qiu 2020, PMID 32803273.</w:t>
      </w:r>
    </w:p>
  </w:footnote>
  <w:footnote w:id="2444">
    <w:p>
      <w:pPr>
        <w:pStyle w:val="FootnoteText"/>
      </w:pPr>
      <w:r>
        <w:rPr>
          <w:rStyle w:val="FootnoteReference"/>
        </w:rPr>
        <w:footnoteRef/>
      </w:r>
      <w:r>
        <w:t xml:space="preserve"> </w:t>
      </w:r>
      <w:r>
        <w:t xml:space="preserve">Baba 2024, PMID 39215872.</w:t>
      </w:r>
    </w:p>
  </w:footnote>
  <w:footnote w:id="2445">
    <w:p>
      <w:pPr>
        <w:pStyle w:val="FootnoteText"/>
      </w:pPr>
      <w:r>
        <w:rPr>
          <w:rStyle w:val="FootnoteReference"/>
        </w:rPr>
        <w:footnoteRef/>
      </w:r>
      <w:r>
        <w:t xml:space="preserve"> </w:t>
      </w:r>
      <w:r>
        <w:t xml:space="preserve">Dolan 2019, PMID 30980076.</w:t>
      </w:r>
    </w:p>
  </w:footnote>
  <w:footnote w:id="2448">
    <w:p>
      <w:pPr>
        <w:pStyle w:val="FootnoteText"/>
      </w:pPr>
      <w:r>
        <w:rPr>
          <w:rStyle w:val="FootnoteReference"/>
        </w:rPr>
        <w:footnoteRef/>
      </w:r>
      <w:r>
        <w:t xml:space="preserve"> </w:t>
      </w:r>
      <w:r>
        <w:t xml:space="preserve">NCT06480760.</w:t>
      </w:r>
    </w:p>
  </w:footnote>
  <w:footnote w:id="2449">
    <w:p>
      <w:pPr>
        <w:pStyle w:val="FootnoteText"/>
      </w:pPr>
      <w:r>
        <w:rPr>
          <w:rStyle w:val="FootnoteReference"/>
        </w:rPr>
        <w:footnoteRef/>
      </w:r>
      <w:r>
        <w:t xml:space="preserve"> </w:t>
      </w:r>
      <w:r>
        <w:t xml:space="preserve">NCT07475546.</w:t>
      </w:r>
    </w:p>
  </w:footnote>
  <w:footnote w:id="2450">
    <w:p>
      <w:pPr>
        <w:pStyle w:val="FootnoteText"/>
      </w:pPr>
      <w:r>
        <w:rPr>
          <w:rStyle w:val="FootnoteReference"/>
        </w:rPr>
        <w:footnoteRef/>
      </w:r>
      <w:r>
        <w:t xml:space="preserve"> </w:t>
      </w:r>
      <w:r>
        <w:t xml:space="preserve">NCT03314987.</w:t>
      </w:r>
    </w:p>
  </w:footnote>
  <w:footnote w:id="2454">
    <w:p>
      <w:pPr>
        <w:pStyle w:val="FootnoteText"/>
      </w:pPr>
      <w:r>
        <w:rPr>
          <w:rStyle w:val="FootnoteReference"/>
        </w:rPr>
        <w:footnoteRef/>
      </w:r>
      <w:r>
        <w:t xml:space="preserve"> </w:t>
      </w:r>
      <w:r>
        <w:t xml:space="preserve">Pickart 1973, PMID 4349963.</w:t>
      </w:r>
    </w:p>
  </w:footnote>
  <w:footnote w:id="2456">
    <w:p>
      <w:pPr>
        <w:pStyle w:val="FootnoteText"/>
      </w:pPr>
      <w:r>
        <w:rPr>
          <w:rStyle w:val="FootnoteReference"/>
        </w:rPr>
        <w:footnoteRef/>
      </w:r>
      <w:r>
        <w:t xml:space="preserve"> </w:t>
      </w:r>
      <w:r>
        <w:t xml:space="preserve">Pickart 1980, PMID 7453802.</w:t>
      </w:r>
    </w:p>
  </w:footnote>
  <w:footnote w:id="2457">
    <w:p>
      <w:pPr>
        <w:pStyle w:val="FootnoteText"/>
      </w:pPr>
      <w:r>
        <w:rPr>
          <w:rStyle w:val="FootnoteReference"/>
        </w:rPr>
        <w:footnoteRef/>
      </w:r>
      <w:r>
        <w:t xml:space="preserve"> </w:t>
      </w:r>
      <w:r>
        <w:t xml:space="preserve">Maquart 1988, PMID 3169264.</w:t>
      </w:r>
    </w:p>
  </w:footnote>
  <w:footnote w:id="2458">
    <w:p>
      <w:pPr>
        <w:pStyle w:val="FootnoteText"/>
      </w:pPr>
      <w:r>
        <w:rPr>
          <w:rStyle w:val="FootnoteReference"/>
        </w:rPr>
        <w:footnoteRef/>
      </w:r>
      <w:r>
        <w:t xml:space="preserve"> </w:t>
      </w:r>
      <w:r>
        <w:t xml:space="preserve">Pickart 2015, PMID 26236730; Pickart 2018, PMID 29986520.</w:t>
      </w:r>
    </w:p>
  </w:footnote>
  <w:footnote w:id="2459">
    <w:p>
      <w:pPr>
        <w:pStyle w:val="FootnoteText"/>
      </w:pPr>
      <w:r>
        <w:rPr>
          <w:rStyle w:val="FootnoteReference"/>
        </w:rPr>
        <w:footnoteRef/>
      </w:r>
      <w:r>
        <w:t xml:space="preserve"> </w:t>
      </w:r>
      <w:r>
        <w:t xml:space="preserve">Mortazavi 2025, PMID 39963574.</w:t>
      </w:r>
    </w:p>
  </w:footnote>
  <w:footnote w:id="2460">
    <w:p>
      <w:pPr>
        <w:pStyle w:val="FootnoteText"/>
      </w:pPr>
      <w:r>
        <w:rPr>
          <w:rStyle w:val="FootnoteReference"/>
        </w:rPr>
        <w:footnoteRef/>
      </w:r>
      <w:r>
        <w:t xml:space="preserve"> </w:t>
      </w:r>
      <w:r>
        <w:t xml:space="preserve">Trzaska 2026, PMID 42790608.</w:t>
      </w:r>
    </w:p>
  </w:footnote>
  <w:footnote w:id="2463">
    <w:p>
      <w:pPr>
        <w:pStyle w:val="FootnoteText"/>
      </w:pPr>
      <w:r>
        <w:rPr>
          <w:rStyle w:val="FootnoteReference"/>
        </w:rPr>
        <w:footnoteRef/>
      </w:r>
      <w:r>
        <w:t xml:space="preserve"> </w:t>
      </w:r>
      <w:r>
        <w:t xml:space="preserve">Nukaly 2026, PMID 41924746.</w:t>
      </w:r>
    </w:p>
  </w:footnote>
  <w:footnote w:id="2464">
    <w:p>
      <w:pPr>
        <w:pStyle w:val="FootnoteText"/>
      </w:pPr>
      <w:r>
        <w:rPr>
          <w:rStyle w:val="FootnoteReference"/>
        </w:rPr>
        <w:footnoteRef/>
      </w:r>
      <w:r>
        <w:t xml:space="preserve"> </w:t>
      </w:r>
      <w:r>
        <w:t xml:space="preserve">Mayfield 2026, PMID 41476424.</w:t>
      </w:r>
    </w:p>
  </w:footnote>
  <w:footnote w:id="2465">
    <w:p>
      <w:pPr>
        <w:pStyle w:val="FootnoteText"/>
      </w:pPr>
      <w:r>
        <w:rPr>
          <w:rStyle w:val="FootnoteReference"/>
        </w:rPr>
        <w:footnoteRef/>
      </w:r>
      <w:r>
        <w:t xml:space="preserve"> </w:t>
      </w:r>
      <w:r>
        <w:t xml:space="preserve">Mendias 2026, PMID 41966639.</w:t>
      </w:r>
    </w:p>
  </w:footnote>
  <w:footnote w:id="2467">
    <w:p>
      <w:pPr>
        <w:pStyle w:val="FootnoteText"/>
      </w:pPr>
      <w:r>
        <w:rPr>
          <w:rStyle w:val="FootnoteReference"/>
        </w:rPr>
        <w:footnoteRef/>
      </w:r>
      <w:r>
        <w:t xml:space="preserve"> </w:t>
      </w:r>
      <w:r>
        <w:t xml:space="preserve">Maquart 1988, PMID 3169264.</w:t>
      </w:r>
    </w:p>
  </w:footnote>
  <w:footnote w:id="2468">
    <w:p>
      <w:pPr>
        <w:pStyle w:val="FootnoteText"/>
      </w:pPr>
      <w:r>
        <w:rPr>
          <w:rStyle w:val="FootnoteReference"/>
        </w:rPr>
        <w:footnoteRef/>
      </w:r>
      <w:r>
        <w:t xml:space="preserve"> </w:t>
      </w:r>
      <w:r>
        <w:t xml:space="preserve">Canapp 2003, PMID 14648529.</w:t>
      </w:r>
    </w:p>
  </w:footnote>
  <w:footnote w:id="2469">
    <w:p>
      <w:pPr>
        <w:pStyle w:val="FootnoteText"/>
      </w:pPr>
      <w:r>
        <w:rPr>
          <w:rStyle w:val="FootnoteReference"/>
        </w:rPr>
        <w:footnoteRef/>
      </w:r>
      <w:r>
        <w:t xml:space="preserve"> </w:t>
      </w:r>
      <w:r>
        <w:t xml:space="preserve">Wang 2017, PMID 28370978.</w:t>
      </w:r>
    </w:p>
  </w:footnote>
  <w:footnote w:id="2470">
    <w:p>
      <w:pPr>
        <w:pStyle w:val="FootnoteText"/>
      </w:pPr>
      <w:r>
        <w:rPr>
          <w:rStyle w:val="FootnoteReference"/>
        </w:rPr>
        <w:footnoteRef/>
      </w:r>
      <w:r>
        <w:t xml:space="preserve"> </w:t>
      </w:r>
      <w:r>
        <w:t xml:space="preserve">Ma 2020, PMID 31809714.</w:t>
      </w:r>
    </w:p>
  </w:footnote>
  <w:footnote w:id="2471">
    <w:p>
      <w:pPr>
        <w:pStyle w:val="FootnoteText"/>
      </w:pPr>
      <w:r>
        <w:rPr>
          <w:rStyle w:val="FootnoteReference"/>
        </w:rPr>
        <w:footnoteRef/>
      </w:r>
      <w:r>
        <w:t xml:space="preserve"> </w:t>
      </w:r>
      <w:r>
        <w:t xml:space="preserve">Fu 2015, PMID 25731775.</w:t>
      </w:r>
    </w:p>
  </w:footnote>
  <w:footnote w:id="2472">
    <w:p>
      <w:pPr>
        <w:pStyle w:val="FootnoteText"/>
      </w:pPr>
      <w:r>
        <w:rPr>
          <w:rStyle w:val="FootnoteReference"/>
        </w:rPr>
        <w:footnoteRef/>
      </w:r>
      <w:r>
        <w:t xml:space="preserve"> </w:t>
      </w:r>
      <w:r>
        <w:t xml:space="preserve">Mazzola 2026, PMID 42245779.</w:t>
      </w:r>
    </w:p>
  </w:footnote>
  <w:footnote w:id="2474">
    <w:p>
      <w:pPr>
        <w:pStyle w:val="FootnoteText"/>
      </w:pPr>
      <w:r>
        <w:rPr>
          <w:rStyle w:val="FootnoteReference"/>
        </w:rPr>
        <w:footnoteRef/>
      </w:r>
      <w:r>
        <w:t xml:space="preserve"> </w:t>
      </w:r>
      <w:r>
        <w:t xml:space="preserve">Pickart 1980, PMID 7453802.</w:t>
      </w:r>
    </w:p>
  </w:footnote>
  <w:footnote w:id="2475">
    <w:p>
      <w:pPr>
        <w:pStyle w:val="FootnoteText"/>
      </w:pPr>
      <w:r>
        <w:rPr>
          <w:rStyle w:val="FootnoteReference"/>
        </w:rPr>
        <w:footnoteRef/>
      </w:r>
      <w:r>
        <w:t xml:space="preserve"> </w:t>
      </w:r>
      <w:r>
        <w:t xml:space="preserve">Moiz 2026, PMID 42757290.</w:t>
      </w:r>
    </w:p>
  </w:footnote>
  <w:footnote w:id="2478">
    <w:p>
      <w:pPr>
        <w:pStyle w:val="FootnoteText"/>
      </w:pPr>
      <w:r>
        <w:rPr>
          <w:rStyle w:val="FootnoteReference"/>
        </w:rPr>
        <w:footnoteRef/>
      </w:r>
      <w:r>
        <w:t xml:space="preserve"> </w:t>
      </w:r>
      <w:r>
        <w:t xml:space="preserve">NCT07706361.</w:t>
      </w:r>
    </w:p>
  </w:footnote>
  <w:footnote w:id="2483">
    <w:p>
      <w:pPr>
        <w:pStyle w:val="FootnoteText"/>
      </w:pPr>
      <w:r>
        <w:rPr>
          <w:rStyle w:val="FootnoteReference"/>
        </w:rPr>
        <w:footnoteRef/>
      </w:r>
      <w:r>
        <w:t xml:space="preserve"> </w:t>
      </w:r>
      <w:r>
        <w:t xml:space="preserve">Katayama 1993, PMID 8486721.</w:t>
      </w:r>
    </w:p>
  </w:footnote>
  <w:footnote w:id="2484">
    <w:p>
      <w:pPr>
        <w:pStyle w:val="FootnoteText"/>
      </w:pPr>
      <w:r>
        <w:rPr>
          <w:rStyle w:val="FootnoteReference"/>
        </w:rPr>
        <w:footnoteRef/>
      </w:r>
      <w:r>
        <w:t xml:space="preserve"> </w:t>
      </w:r>
      <w:r>
        <w:t xml:space="preserve">Jones 2013, PMID 23320752.</w:t>
      </w:r>
    </w:p>
  </w:footnote>
  <w:footnote w:id="2485">
    <w:p>
      <w:pPr>
        <w:pStyle w:val="FootnoteText"/>
      </w:pPr>
      <w:r>
        <w:rPr>
          <w:rStyle w:val="FootnoteReference"/>
        </w:rPr>
        <w:footnoteRef/>
      </w:r>
      <w:r>
        <w:t xml:space="preserve"> </w:t>
      </w:r>
      <w:r>
        <w:t xml:space="preserve">Trzaska 2026, PMID 42790608.</w:t>
      </w:r>
    </w:p>
  </w:footnote>
  <w:footnote w:id="2487">
    <w:p>
      <w:pPr>
        <w:pStyle w:val="FootnoteText"/>
      </w:pPr>
      <w:r>
        <w:rPr>
          <w:rStyle w:val="FootnoteReference"/>
        </w:rPr>
        <w:footnoteRef/>
      </w:r>
      <w:r>
        <w:t xml:space="preserve"> </w:t>
      </w:r>
      <w:r>
        <w:t xml:space="preserve">Kaczvinsky 2009, PMID 19735523.</w:t>
      </w:r>
    </w:p>
  </w:footnote>
  <w:footnote w:id="2488">
    <w:p>
      <w:pPr>
        <w:pStyle w:val="FootnoteText"/>
      </w:pPr>
      <w:r>
        <w:rPr>
          <w:rStyle w:val="FootnoteReference"/>
        </w:rPr>
        <w:footnoteRef/>
      </w:r>
      <w:r>
        <w:t xml:space="preserve"> </w:t>
      </w:r>
      <w:r>
        <w:t xml:space="preserve">Nukaly 2026, PMID 41924746.</w:t>
      </w:r>
    </w:p>
  </w:footnote>
  <w:footnote w:id="2490">
    <w:p>
      <w:pPr>
        <w:pStyle w:val="FootnoteText"/>
      </w:pPr>
      <w:r>
        <w:rPr>
          <w:rStyle w:val="FootnoteReference"/>
        </w:rPr>
        <w:footnoteRef/>
      </w:r>
      <w:r>
        <w:t xml:space="preserve"> </w:t>
      </w:r>
      <w:r>
        <w:t xml:space="preserve">Katayama 1993, PMID 8486721; Jones 2013, PMID 23320752.</w:t>
      </w:r>
    </w:p>
  </w:footnote>
  <w:footnote w:id="2491">
    <w:p>
      <w:pPr>
        <w:pStyle w:val="FootnoteText"/>
      </w:pPr>
      <w:r>
        <w:rPr>
          <w:rStyle w:val="FootnoteReference"/>
        </w:rPr>
        <w:footnoteRef/>
      </w:r>
      <w:r>
        <w:t xml:space="preserve"> </w:t>
      </w:r>
      <w:r>
        <w:t xml:space="preserve">Park 2017, PMID 30603464.</w:t>
      </w:r>
    </w:p>
  </w:footnote>
  <w:footnote w:id="2492">
    <w:p>
      <w:pPr>
        <w:pStyle w:val="FootnoteText"/>
      </w:pPr>
      <w:r>
        <w:rPr>
          <w:rStyle w:val="FootnoteReference"/>
        </w:rPr>
        <w:footnoteRef/>
      </w:r>
      <w:r>
        <w:t xml:space="preserve"> </w:t>
      </w:r>
      <w:r>
        <w:t xml:space="preserve">Kachooeian 2022, PMID 35874243.</w:t>
      </w:r>
    </w:p>
  </w:footnote>
  <w:footnote w:id="2494">
    <w:p>
      <w:pPr>
        <w:pStyle w:val="FootnoteText"/>
      </w:pPr>
      <w:r>
        <w:rPr>
          <w:rStyle w:val="FootnoteReference"/>
        </w:rPr>
        <w:footnoteRef/>
      </w:r>
      <w:r>
        <w:t xml:space="preserve"> </w:t>
      </w:r>
      <w:r>
        <w:t xml:space="preserve">Röper 2004, PMID 15127162.</w:t>
      </w:r>
    </w:p>
  </w:footnote>
  <w:footnote w:id="2495">
    <w:p>
      <w:pPr>
        <w:pStyle w:val="FootnoteText"/>
      </w:pPr>
      <w:r>
        <w:rPr>
          <w:rStyle w:val="FootnoteReference"/>
        </w:rPr>
        <w:footnoteRef/>
      </w:r>
      <w:r>
        <w:t xml:space="preserve"> </w:t>
      </w:r>
      <w:r>
        <w:t xml:space="preserve">Bjerke 2026, PMID 41953401.</w:t>
      </w:r>
    </w:p>
  </w:footnote>
  <w:footnote w:id="2502">
    <w:p>
      <w:pPr>
        <w:pStyle w:val="FootnoteText"/>
      </w:pPr>
      <w:r>
        <w:rPr>
          <w:rStyle w:val="FootnoteReference"/>
        </w:rPr>
        <w:footnoteRef/>
      </w:r>
      <w:r>
        <w:t xml:space="preserve"> </w:t>
      </w:r>
      <w:r>
        <w:t xml:space="preserve">Blanes-Mira 2002, PMID 18498523.</w:t>
      </w:r>
    </w:p>
  </w:footnote>
  <w:footnote w:id="2503">
    <w:p>
      <w:pPr>
        <w:pStyle w:val="FootnoteText"/>
      </w:pPr>
      <w:r>
        <w:rPr>
          <w:rStyle w:val="FootnoteReference"/>
        </w:rPr>
        <w:footnoteRef/>
      </w:r>
      <w:r>
        <w:t xml:space="preserve"> </w:t>
      </w:r>
      <w:r>
        <w:t xml:space="preserve">Kraeling 2015, PMID 24754410.</w:t>
      </w:r>
    </w:p>
  </w:footnote>
  <w:footnote w:id="2504">
    <w:p>
      <w:pPr>
        <w:pStyle w:val="FootnoteText"/>
      </w:pPr>
      <w:r>
        <w:rPr>
          <w:rStyle w:val="FootnoteReference"/>
        </w:rPr>
        <w:footnoteRef/>
      </w:r>
      <w:r>
        <w:t xml:space="preserve"> </w:t>
      </w:r>
      <w:r>
        <w:t xml:space="preserve">Zdrada-Nowak 2025, PMID 40565185.</w:t>
      </w:r>
    </w:p>
  </w:footnote>
  <w:footnote w:id="2506">
    <w:p>
      <w:pPr>
        <w:pStyle w:val="FootnoteText"/>
      </w:pPr>
      <w:r>
        <w:rPr>
          <w:rStyle w:val="FootnoteReference"/>
        </w:rPr>
        <w:footnoteRef/>
      </w:r>
      <w:r>
        <w:t xml:space="preserve"> </w:t>
      </w:r>
      <w:r>
        <w:t xml:space="preserve">Wang 2013, PMID 23607739.</w:t>
      </w:r>
    </w:p>
  </w:footnote>
  <w:footnote w:id="2507">
    <w:p>
      <w:pPr>
        <w:pStyle w:val="FootnoteText"/>
      </w:pPr>
      <w:r>
        <w:rPr>
          <w:rStyle w:val="FootnoteReference"/>
        </w:rPr>
        <w:footnoteRef/>
      </w:r>
      <w:r>
        <w:t xml:space="preserve"> </w:t>
      </w:r>
      <w:r>
        <w:t xml:space="preserve">NCT01750346.</w:t>
      </w:r>
    </w:p>
  </w:footnote>
  <w:footnote w:id="2508">
    <w:p>
      <w:pPr>
        <w:pStyle w:val="FootnoteText"/>
      </w:pPr>
      <w:r>
        <w:rPr>
          <w:rStyle w:val="FootnoteReference"/>
        </w:rPr>
        <w:footnoteRef/>
      </w:r>
      <w:r>
        <w:t xml:space="preserve"> </w:t>
      </w:r>
      <w:r>
        <w:t xml:space="preserve">An 2019, PMID 33911590.</w:t>
      </w:r>
    </w:p>
  </w:footnote>
  <w:footnote w:id="2509">
    <w:p>
      <w:pPr>
        <w:pStyle w:val="FootnoteText"/>
      </w:pPr>
      <w:r>
        <w:rPr>
          <w:rStyle w:val="FootnoteReference"/>
        </w:rPr>
        <w:footnoteRef/>
      </w:r>
      <w:r>
        <w:t xml:space="preserve"> </w:t>
      </w:r>
      <w:r>
        <w:t xml:space="preserve">NCT02597777.</w:t>
      </w:r>
    </w:p>
  </w:footnote>
  <w:footnote w:id="2510">
    <w:p>
      <w:pPr>
        <w:pStyle w:val="FootnoteText"/>
      </w:pPr>
      <w:r>
        <w:rPr>
          <w:rStyle w:val="FootnoteReference"/>
        </w:rPr>
        <w:footnoteRef/>
      </w:r>
      <w:r>
        <w:t xml:space="preserve"> </w:t>
      </w:r>
      <w:r>
        <w:t xml:space="preserve">NCT01381484.</w:t>
      </w:r>
    </w:p>
  </w:footnote>
  <w:footnote w:id="2513">
    <w:p>
      <w:pPr>
        <w:pStyle w:val="FootnoteText"/>
      </w:pPr>
      <w:r>
        <w:rPr>
          <w:rStyle w:val="FootnoteReference"/>
        </w:rPr>
        <w:footnoteRef/>
      </w:r>
      <w:r>
        <w:t xml:space="preserve"> </w:t>
      </w:r>
      <w:r>
        <w:t xml:space="preserve">Blanes-Mira 2002, PMID 18498523.</w:t>
      </w:r>
    </w:p>
  </w:footnote>
  <w:footnote w:id="2514">
    <w:p>
      <w:pPr>
        <w:pStyle w:val="FootnoteText"/>
      </w:pPr>
      <w:r>
        <w:rPr>
          <w:rStyle w:val="FootnoteReference"/>
        </w:rPr>
        <w:footnoteRef/>
      </w:r>
      <w:r>
        <w:t xml:space="preserve"> </w:t>
      </w:r>
      <w:r>
        <w:t xml:space="preserve">Grosicki 2014, PMID 24644551.</w:t>
      </w:r>
    </w:p>
  </w:footnote>
  <w:footnote w:id="2515">
    <w:p>
      <w:pPr>
        <w:pStyle w:val="FootnoteText"/>
      </w:pPr>
      <w:r>
        <w:rPr>
          <w:rStyle w:val="FootnoteReference"/>
        </w:rPr>
        <w:footnoteRef/>
      </w:r>
      <w:r>
        <w:t xml:space="preserve"> </w:t>
      </w:r>
      <w:r>
        <w:t xml:space="preserve">Wang 2013, PMID 23464592.</w:t>
      </w:r>
    </w:p>
  </w:footnote>
  <w:footnote w:id="2516">
    <w:p>
      <w:pPr>
        <w:pStyle w:val="FootnoteText"/>
      </w:pPr>
      <w:r>
        <w:rPr>
          <w:rStyle w:val="FootnoteReference"/>
        </w:rPr>
        <w:footnoteRef/>
      </w:r>
      <w:r>
        <w:t xml:space="preserve"> </w:t>
      </w:r>
      <w:r>
        <w:t xml:space="preserve">Kraeling 2015, PMID 24754410.</w:t>
      </w:r>
    </w:p>
  </w:footnote>
  <w:footnote w:id="2518">
    <w:p>
      <w:pPr>
        <w:pStyle w:val="FootnoteText"/>
      </w:pPr>
      <w:r>
        <w:rPr>
          <w:rStyle w:val="FootnoteReference"/>
        </w:rPr>
        <w:footnoteRef/>
      </w:r>
      <w:r>
        <w:t xml:space="preserve"> </w:t>
      </w:r>
      <w:r>
        <w:t xml:space="preserve">Johnson 2025, PMID 40673537.</w:t>
      </w:r>
    </w:p>
  </w:footnote>
  <w:footnote w:id="2519">
    <w:p>
      <w:pPr>
        <w:pStyle w:val="FootnoteText"/>
      </w:pPr>
      <w:r>
        <w:rPr>
          <w:rStyle w:val="FootnoteReference"/>
        </w:rPr>
        <w:footnoteRef/>
      </w:r>
      <w:r>
        <w:t xml:space="preserve"> </w:t>
      </w:r>
      <w:r>
        <w:t xml:space="preserve">Chen 2021, PMID 33748252.</w:t>
      </w:r>
    </w:p>
  </w:footnote>
  <w:footnote w:id="2540">
    <w:p>
      <w:pPr>
        <w:pStyle w:val="FootnoteText"/>
      </w:pPr>
      <w:r>
        <w:rPr>
          <w:rStyle w:val="FootnoteReference"/>
        </w:rPr>
        <w:footnoteRef/>
      </w:r>
      <w:r>
        <w:t xml:space="preserve"> </w:t>
      </w:r>
      <w:r>
        <w:t xml:space="preserve">Gao 2026, PMID 42251595.</w:t>
      </w:r>
    </w:p>
  </w:footnote>
  <w:footnote w:id="2541">
    <w:p>
      <w:pPr>
        <w:pStyle w:val="FootnoteText"/>
      </w:pPr>
      <w:r>
        <w:rPr>
          <w:rStyle w:val="FootnoteReference"/>
        </w:rPr>
        <w:footnoteRef/>
      </w:r>
      <w:r>
        <w:t xml:space="preserve"> </w:t>
      </w:r>
      <w:r>
        <w:t xml:space="preserve">NCT06662383.</w:t>
      </w:r>
    </w:p>
  </w:footnote>
  <w:footnote w:id="2543">
    <w:p>
      <w:pPr>
        <w:pStyle w:val="FootnoteText"/>
      </w:pPr>
      <w:r>
        <w:rPr>
          <w:rStyle w:val="FootnoteReference"/>
        </w:rPr>
        <w:footnoteRef/>
      </w:r>
      <w:r>
        <w:t xml:space="preserve"> </w:t>
      </w:r>
      <w:r>
        <w:t xml:space="preserve">Rubino 2021, PMID 33755728.</w:t>
      </w:r>
    </w:p>
  </w:footnote>
  <w:footnote w:id="2544">
    <w:p>
      <w:pPr>
        <w:pStyle w:val="FootnoteText"/>
      </w:pPr>
      <w:r>
        <w:rPr>
          <w:rStyle w:val="FootnoteReference"/>
        </w:rPr>
        <w:footnoteRef/>
      </w:r>
      <w:r>
        <w:t xml:space="preserve"> </w:t>
      </w:r>
      <w:r>
        <w:t xml:space="preserve">Aronne 2024, PMID 38078870.</w:t>
      </w:r>
    </w:p>
  </w:footnote>
  <w:footnote w:id="2547">
    <w:p>
      <w:pPr>
        <w:pStyle w:val="FootnoteText"/>
      </w:pPr>
      <w:r>
        <w:rPr>
          <w:rStyle w:val="FootnoteReference"/>
        </w:rPr>
        <w:footnoteRef/>
      </w:r>
      <w:r>
        <w:t xml:space="preserve"> </w:t>
      </w:r>
      <w:r>
        <w:t xml:space="preserve">Edelman 2006, PMID 17003291.</w:t>
      </w:r>
    </w:p>
  </w:footnote>
  <w:footnote w:id="2549">
    <w:p>
      <w:pPr>
        <w:pStyle w:val="FootnoteText"/>
      </w:pPr>
      <w:r>
        <w:rPr>
          <w:rStyle w:val="FootnoteReference"/>
        </w:rPr>
        <w:footnoteRef/>
      </w:r>
      <w:r>
        <w:t xml:space="preserve"> </w:t>
      </w:r>
      <w:r>
        <w:t xml:space="preserve">Kristensen 2019, PMID 31422062.</w:t>
      </w:r>
    </w:p>
  </w:footnote>
  <w:footnote w:id="2550">
    <w:p>
      <w:pPr>
        <w:pStyle w:val="FootnoteText"/>
      </w:pPr>
      <w:r>
        <w:rPr>
          <w:rStyle w:val="FootnoteReference"/>
        </w:rPr>
        <w:footnoteRef/>
      </w:r>
      <w:r>
        <w:t xml:space="preserve"> </w:t>
      </w:r>
      <w:r>
        <w:t xml:space="preserve">Kosiborod 2023, PMID 37622681.</w:t>
      </w:r>
    </w:p>
  </w:footnote>
  <w:footnote w:id="2551">
    <w:p>
      <w:pPr>
        <w:pStyle w:val="FootnoteText"/>
      </w:pPr>
      <w:r>
        <w:rPr>
          <w:rStyle w:val="FootnoteReference"/>
        </w:rPr>
        <w:footnoteRef/>
      </w:r>
      <w:r>
        <w:t xml:space="preserve"> </w:t>
      </w:r>
      <w:r>
        <w:t xml:space="preserve">NCT05556512.</w:t>
      </w:r>
    </w:p>
  </w:footnote>
  <w:footnote w:id="2552">
    <w:p>
      <w:pPr>
        <w:pStyle w:val="FootnoteText"/>
      </w:pPr>
      <w:r>
        <w:rPr>
          <w:rStyle w:val="FootnoteReference"/>
        </w:rPr>
        <w:footnoteRef/>
      </w:r>
      <w:r>
        <w:t xml:space="preserve"> </w:t>
      </w:r>
      <w:r>
        <w:t xml:space="preserve">NCT06383390.</w:t>
      </w:r>
    </w:p>
  </w:footnote>
  <w:footnote w:id="2553">
    <w:p>
      <w:pPr>
        <w:pStyle w:val="FootnoteText"/>
      </w:pPr>
      <w:r>
        <w:rPr>
          <w:rStyle w:val="FootnoteReference"/>
        </w:rPr>
        <w:footnoteRef/>
      </w:r>
      <w:r>
        <w:t xml:space="preserve"> </w:t>
      </w:r>
      <w:r>
        <w:t xml:space="preserve">NCT05669755.</w:t>
      </w:r>
    </w:p>
  </w:footnote>
  <w:footnote w:id="2554">
    <w:p>
      <w:pPr>
        <w:pStyle w:val="FootnoteText"/>
      </w:pPr>
      <w:r>
        <w:rPr>
          <w:rStyle w:val="FootnoteReference"/>
        </w:rPr>
        <w:footnoteRef/>
      </w:r>
      <w:r>
        <w:t xml:space="preserve"> </w:t>
      </w:r>
      <w:r>
        <w:t xml:space="preserve">NCT07037433.</w:t>
      </w:r>
    </w:p>
  </w:footnote>
  <w:footnote w:id="2555">
    <w:p>
      <w:pPr>
        <w:pStyle w:val="FootnoteText"/>
      </w:pPr>
      <w:r>
        <w:rPr>
          <w:rStyle w:val="FootnoteReference"/>
        </w:rPr>
        <w:footnoteRef/>
      </w:r>
      <w:r>
        <w:t xml:space="preserve"> </w:t>
      </w:r>
      <w:r>
        <w:t xml:space="preserve">NCT07241390.</w:t>
      </w:r>
    </w:p>
  </w:footnote>
  <w:footnote w:id="2557">
    <w:p>
      <w:pPr>
        <w:pStyle w:val="FootnoteText"/>
      </w:pPr>
      <w:r>
        <w:rPr>
          <w:rStyle w:val="FootnoteReference"/>
        </w:rPr>
        <w:footnoteRef/>
      </w:r>
      <w:r>
        <w:t xml:space="preserve"> </w:t>
      </w:r>
      <w:r>
        <w:t xml:space="preserve">Perkovic 2024, PMID 38785209.</w:t>
      </w:r>
    </w:p>
  </w:footnote>
  <w:footnote w:id="2558">
    <w:p>
      <w:pPr>
        <w:pStyle w:val="FootnoteText"/>
      </w:pPr>
      <w:r>
        <w:rPr>
          <w:rStyle w:val="FootnoteReference"/>
        </w:rPr>
        <w:footnoteRef/>
      </w:r>
      <w:r>
        <w:t xml:space="preserve"> </w:t>
      </w:r>
      <w:r>
        <w:t xml:space="preserve">Mann 2017, PMID 28854085.</w:t>
      </w:r>
    </w:p>
  </w:footnote>
  <w:footnote w:id="2559">
    <w:p>
      <w:pPr>
        <w:pStyle w:val="FootnoteText"/>
      </w:pPr>
      <w:r>
        <w:rPr>
          <w:rStyle w:val="FootnoteReference"/>
        </w:rPr>
        <w:footnoteRef/>
      </w:r>
      <w:r>
        <w:t xml:space="preserve"> </w:t>
      </w:r>
      <w:r>
        <w:t xml:space="preserve">Gerstein 2019, PMID 31189509.</w:t>
      </w:r>
    </w:p>
  </w:footnote>
  <w:footnote w:id="2560">
    <w:p>
      <w:pPr>
        <w:pStyle w:val="FootnoteText"/>
      </w:pPr>
      <w:r>
        <w:rPr>
          <w:rStyle w:val="FootnoteReference"/>
        </w:rPr>
        <w:footnoteRef/>
      </w:r>
      <w:r>
        <w:t xml:space="preserve"> </w:t>
      </w:r>
      <w:r>
        <w:t xml:space="preserve">Kristensen 2019, PMID 31422062.</w:t>
      </w:r>
    </w:p>
  </w:footnote>
  <w:footnote w:id="2561">
    <w:p>
      <w:pPr>
        <w:pStyle w:val="FootnoteText"/>
      </w:pPr>
      <w:r>
        <w:rPr>
          <w:rStyle w:val="FootnoteReference"/>
        </w:rPr>
        <w:footnoteRef/>
      </w:r>
      <w:r>
        <w:t xml:space="preserve"> </w:t>
      </w:r>
      <w:r>
        <w:t xml:space="preserve">McGuire 2025, PMID 40162642.</w:t>
      </w:r>
    </w:p>
  </w:footnote>
  <w:footnote w:id="2562">
    <w:p>
      <w:pPr>
        <w:pStyle w:val="FootnoteText"/>
      </w:pPr>
      <w:r>
        <w:rPr>
          <w:rStyle w:val="FootnoteReference"/>
        </w:rPr>
        <w:footnoteRef/>
      </w:r>
      <w:r>
        <w:t xml:space="preserve"> </w:t>
      </w:r>
      <w:r>
        <w:t xml:space="preserve">NCT06632444.</w:t>
      </w:r>
    </w:p>
  </w:footnote>
  <w:footnote w:id="2563">
    <w:p>
      <w:pPr>
        <w:pStyle w:val="FootnoteText"/>
      </w:pPr>
      <w:r>
        <w:rPr>
          <w:rStyle w:val="FootnoteReference"/>
        </w:rPr>
        <w:footnoteRef/>
      </w:r>
      <w:r>
        <w:t xml:space="preserve"> </w:t>
      </w:r>
      <w:r>
        <w:t xml:space="preserve">NCT06632457.</w:t>
      </w:r>
    </w:p>
  </w:footnote>
  <w:footnote w:id="2565">
    <w:p>
      <w:pPr>
        <w:pStyle w:val="FootnoteText"/>
      </w:pPr>
      <w:r>
        <w:rPr>
          <w:rStyle w:val="FootnoteReference"/>
        </w:rPr>
        <w:footnoteRef/>
      </w:r>
      <w:r>
        <w:t xml:space="preserve"> </w:t>
      </w:r>
      <w:r>
        <w:t xml:space="preserve">Buse 2013, PMID 23141817.</w:t>
      </w:r>
    </w:p>
  </w:footnote>
  <w:footnote w:id="2566">
    <w:p>
      <w:pPr>
        <w:pStyle w:val="FootnoteText"/>
      </w:pPr>
      <w:r>
        <w:rPr>
          <w:rStyle w:val="FootnoteReference"/>
        </w:rPr>
        <w:footnoteRef/>
      </w:r>
      <w:r>
        <w:t xml:space="preserve"> </w:t>
      </w:r>
      <w:r>
        <w:t xml:space="preserve">Rubino 2022, PMID 35015037.</w:t>
      </w:r>
    </w:p>
  </w:footnote>
  <w:footnote w:id="2567">
    <w:p>
      <w:pPr>
        <w:pStyle w:val="FootnoteText"/>
      </w:pPr>
      <w:r>
        <w:rPr>
          <w:rStyle w:val="FootnoteReference"/>
        </w:rPr>
        <w:footnoteRef/>
      </w:r>
      <w:r>
        <w:t xml:space="preserve"> </w:t>
      </w:r>
      <w:r>
        <w:t xml:space="preserve">Frías 2021, PMID 34170647.</w:t>
      </w:r>
    </w:p>
  </w:footnote>
  <w:footnote w:id="2568">
    <w:p>
      <w:pPr>
        <w:pStyle w:val="FootnoteText"/>
      </w:pPr>
      <w:r>
        <w:rPr>
          <w:rStyle w:val="FootnoteReference"/>
        </w:rPr>
        <w:footnoteRef/>
      </w:r>
      <w:r>
        <w:t xml:space="preserve"> </w:t>
      </w:r>
      <w:r>
        <w:t xml:space="preserve">Yamauchi 2026, PMID 42009015.</w:t>
      </w:r>
    </w:p>
  </w:footnote>
  <w:footnote w:id="2569">
    <w:p>
      <w:pPr>
        <w:pStyle w:val="FootnoteText"/>
      </w:pPr>
      <w:r>
        <w:rPr>
          <w:rStyle w:val="FootnoteReference"/>
        </w:rPr>
        <w:footnoteRef/>
      </w:r>
      <w:r>
        <w:t xml:space="preserve"> </w:t>
      </w:r>
      <w:r>
        <w:t xml:space="preserve">Hsia 2026, PMID 42628555.</w:t>
      </w:r>
    </w:p>
  </w:footnote>
  <w:footnote w:id="2570">
    <w:p>
      <w:pPr>
        <w:pStyle w:val="FootnoteText"/>
      </w:pPr>
      <w:r>
        <w:rPr>
          <w:rStyle w:val="FootnoteReference"/>
        </w:rPr>
        <w:footnoteRef/>
      </w:r>
      <w:r>
        <w:t xml:space="preserve"> </w:t>
      </w:r>
      <w:r>
        <w:t xml:space="preserve">Kristensen 2019, PMID 31422062.</w:t>
      </w:r>
    </w:p>
  </w:footnote>
  <w:footnote w:id="2571">
    <w:p>
      <w:pPr>
        <w:pStyle w:val="FootnoteText"/>
      </w:pPr>
      <w:r>
        <w:rPr>
          <w:rStyle w:val="FootnoteReference"/>
        </w:rPr>
        <w:footnoteRef/>
      </w:r>
      <w:r>
        <w:t xml:space="preserve"> </w:t>
      </w:r>
      <w:r>
        <w:t xml:space="preserve">Sodhi 2023, PMID 37796527.</w:t>
      </w:r>
    </w:p>
  </w:footnote>
  <w:footnote w:id="2572">
    <w:p>
      <w:pPr>
        <w:pStyle w:val="FootnoteText"/>
      </w:pPr>
      <w:r>
        <w:rPr>
          <w:rStyle w:val="FootnoteReference"/>
        </w:rPr>
        <w:footnoteRef/>
      </w:r>
      <w:r>
        <w:t xml:space="preserve"> </w:t>
      </w:r>
      <w:r>
        <w:t xml:space="preserve">Silverii 2025, PMID 40437949.</w:t>
      </w:r>
    </w:p>
  </w:footnote>
  <w:footnote w:id="2573">
    <w:p>
      <w:pPr>
        <w:pStyle w:val="FootnoteText"/>
      </w:pPr>
      <w:r>
        <w:rPr>
          <w:rStyle w:val="FootnoteReference"/>
        </w:rPr>
        <w:footnoteRef/>
      </w:r>
      <w:r>
        <w:t xml:space="preserve"> </w:t>
      </w:r>
      <w:r>
        <w:t xml:space="preserve">Simonsen 2025, PMID 40098249.</w:t>
      </w:r>
    </w:p>
  </w:footnote>
  <w:footnote w:id="2574">
    <w:p>
      <w:pPr>
        <w:pStyle w:val="FootnoteText"/>
      </w:pPr>
      <w:r>
        <w:rPr>
          <w:rStyle w:val="FootnoteReference"/>
        </w:rPr>
        <w:footnoteRef/>
      </w:r>
      <w:r>
        <w:t xml:space="preserve"> </w:t>
      </w:r>
      <w:r>
        <w:t xml:space="preserve">Look 2025, PMID 39996356.</w:t>
      </w:r>
    </w:p>
  </w:footnote>
  <w:footnote w:id="2576">
    <w:p>
      <w:pPr>
        <w:pStyle w:val="FootnoteText"/>
      </w:pPr>
      <w:r>
        <w:rPr>
          <w:rStyle w:val="FootnoteReference"/>
        </w:rPr>
        <w:footnoteRef/>
      </w:r>
      <w:r>
        <w:t xml:space="preserve"> </w:t>
      </w:r>
      <w:r>
        <w:t xml:space="preserve">NCT06662383.</w:t>
      </w:r>
    </w:p>
  </w:footnote>
  <w:footnote w:id="2577">
    <w:p>
      <w:pPr>
        <w:pStyle w:val="FootnoteText"/>
      </w:pPr>
      <w:r>
        <w:rPr>
          <w:rStyle w:val="FootnoteReference"/>
        </w:rPr>
        <w:footnoteRef/>
      </w:r>
      <w:r>
        <w:t xml:space="preserve"> </w:t>
      </w:r>
      <w:r>
        <w:t xml:space="preserve">NCT06184568, NCT06884293.</w:t>
      </w:r>
    </w:p>
  </w:footnote>
  <w:footnote w:id="2582">
    <w:p>
      <w:pPr>
        <w:pStyle w:val="FootnoteText"/>
      </w:pPr>
      <w:r>
        <w:rPr>
          <w:rStyle w:val="FootnoteReference"/>
        </w:rPr>
        <w:footnoteRef/>
      </w:r>
      <w:r>
        <w:t xml:space="preserve"> </w:t>
      </w:r>
      <w:r>
        <w:t xml:space="preserve">Porsteinsson 2025, PMID 41393340.</w:t>
      </w:r>
    </w:p>
  </w:footnote>
  <w:footnote w:id="2584">
    <w:p>
      <w:pPr>
        <w:pStyle w:val="FootnoteText"/>
      </w:pPr>
      <w:r>
        <w:rPr>
          <w:rStyle w:val="FootnoteReference"/>
        </w:rPr>
        <w:footnoteRef/>
      </w:r>
      <w:r>
        <w:t xml:space="preserve"> </w:t>
      </w:r>
      <w:r>
        <w:t xml:space="preserve">Nass 2008, PMID 18981485.</w:t>
      </w:r>
    </w:p>
  </w:footnote>
  <w:footnote w:id="2586">
    <w:p>
      <w:pPr>
        <w:pStyle w:val="FootnoteText"/>
      </w:pPr>
      <w:r>
        <w:rPr>
          <w:rStyle w:val="FootnoteReference"/>
        </w:rPr>
        <w:footnoteRef/>
      </w:r>
      <w:r>
        <w:t xml:space="preserve"> </w:t>
      </w:r>
      <w:r>
        <w:t xml:space="preserve">Gajda 2019, PMID 30136411.</w:t>
      </w:r>
    </w:p>
  </w:footnote>
  <w:footnote w:id="2588">
    <w:p>
      <w:pPr>
        <w:pStyle w:val="FootnoteText"/>
      </w:pPr>
      <w:r>
        <w:rPr>
          <w:rStyle w:val="FootnoteReference"/>
        </w:rPr>
        <w:footnoteRef/>
      </w:r>
      <w:r>
        <w:t xml:space="preserve"> </w:t>
      </w:r>
      <w:r>
        <w:t xml:space="preserve">Beck 2014, PMID 25331030.</w:t>
      </w:r>
    </w:p>
  </w:footnote>
  <w:footnote w:id="2589">
    <w:p>
      <w:pPr>
        <w:pStyle w:val="FootnoteText"/>
      </w:pPr>
      <w:r>
        <w:rPr>
          <w:rStyle w:val="FootnoteReference"/>
        </w:rPr>
        <w:footnoteRef/>
      </w:r>
      <w:r>
        <w:t xml:space="preserve"> </w:t>
      </w:r>
      <w:r>
        <w:t xml:space="preserve">Leal 2014, PMID 24619793.</w:t>
      </w:r>
    </w:p>
  </w:footnote>
  <w:footnote w:id="2590">
    <w:p>
      <w:pPr>
        <w:pStyle w:val="FootnoteText"/>
      </w:pPr>
      <w:r>
        <w:rPr>
          <w:rStyle w:val="FootnoteReference"/>
        </w:rPr>
        <w:footnoteRef/>
      </w:r>
      <w:r>
        <w:t xml:space="preserve"> </w:t>
      </w:r>
      <w:r>
        <w:t xml:space="preserve">Myung 2025, PMID 40324552.</w:t>
      </w:r>
    </w:p>
  </w:footnote>
  <w:footnote w:id="2593">
    <w:p>
      <w:pPr>
        <w:pStyle w:val="FootnoteText"/>
      </w:pPr>
      <w:r>
        <w:rPr>
          <w:rStyle w:val="FootnoteReference"/>
        </w:rPr>
        <w:footnoteRef/>
      </w:r>
      <w:r>
        <w:t xml:space="preserve"> </w:t>
      </w:r>
      <w:r>
        <w:t xml:space="preserve">Breindahl 2015, PMID 24771717.</w:t>
      </w:r>
    </w:p>
  </w:footnote>
  <w:footnote w:id="2605">
    <w:p>
      <w:pPr>
        <w:pStyle w:val="FootnoteText"/>
      </w:pPr>
      <w:r>
        <w:rPr>
          <w:rStyle w:val="FootnoteReference"/>
        </w:rPr>
        <w:footnoteRef/>
      </w:r>
      <w:r>
        <w:t xml:space="preserve"> </w:t>
      </w:r>
      <w:r>
        <w:t xml:space="preserve">Simonsen 2025, PMID 40098249.</w:t>
      </w:r>
    </w:p>
  </w:footnote>
  <w:footnote w:id="2606">
    <w:p>
      <w:pPr>
        <w:pStyle w:val="FootnoteText"/>
      </w:pPr>
      <w:r>
        <w:rPr>
          <w:rStyle w:val="FootnoteReference"/>
        </w:rPr>
        <w:footnoteRef/>
      </w:r>
      <w:r>
        <w:t xml:space="preserve"> </w:t>
      </w:r>
      <w:r>
        <w:t xml:space="preserve">Yang 2026, PMID 41915388.</w:t>
      </w:r>
    </w:p>
  </w:footnote>
  <w:footnote w:id="2607">
    <w:p>
      <w:pPr>
        <w:pStyle w:val="FootnoteText"/>
      </w:pPr>
      <w:r>
        <w:rPr>
          <w:rStyle w:val="FootnoteReference"/>
        </w:rPr>
        <w:footnoteRef/>
      </w:r>
      <w:r>
        <w:t xml:space="preserve"> </w:t>
      </w:r>
      <w:r>
        <w:t xml:space="preserve">Ismaiel 2025, PMID 40804463.</w:t>
      </w:r>
    </w:p>
  </w:footnote>
  <w:footnote w:id="2608">
    <w:p>
      <w:pPr>
        <w:pStyle w:val="FootnoteText"/>
      </w:pPr>
      <w:r>
        <w:rPr>
          <w:rStyle w:val="FootnoteReference"/>
        </w:rPr>
        <w:footnoteRef/>
      </w:r>
      <w:r>
        <w:t xml:space="preserve"> </w:t>
      </w:r>
      <w:r>
        <w:t xml:space="preserve">Sanyal 2024, PMID 38847460.</w:t>
      </w:r>
    </w:p>
  </w:footnote>
  <w:footnote w:id="2609">
    <w:p>
      <w:pPr>
        <w:pStyle w:val="FootnoteText"/>
      </w:pPr>
      <w:r>
        <w:rPr>
          <w:rStyle w:val="FootnoteReference"/>
        </w:rPr>
        <w:footnoteRef/>
      </w:r>
      <w:r>
        <w:t xml:space="preserve"> </w:t>
      </w:r>
      <w:r>
        <w:t xml:space="preserve">Clayton 2022, PMID 35147466.</w:t>
      </w:r>
    </w:p>
  </w:footnote>
  <w:footnote w:id="2610">
    <w:p>
      <w:pPr>
        <w:pStyle w:val="FootnoteText"/>
      </w:pPr>
      <w:r>
        <w:rPr>
          <w:rStyle w:val="FootnoteReference"/>
        </w:rPr>
        <w:footnoteRef/>
      </w:r>
      <w:r>
        <w:t xml:space="preserve"> </w:t>
      </w:r>
      <w:r>
        <w:t xml:space="preserve">Edelman 2006, PMID 17003291.</w:t>
      </w:r>
    </w:p>
  </w:footnote>
  <w:footnote w:id="2611">
    <w:p>
      <w:pPr>
        <w:pStyle w:val="FootnoteText"/>
      </w:pPr>
      <w:r>
        <w:rPr>
          <w:rStyle w:val="FootnoteReference"/>
        </w:rPr>
        <w:footnoteRef/>
      </w:r>
      <w:r>
        <w:t xml:space="preserve"> </w:t>
      </w:r>
      <w:r>
        <w:t xml:space="preserve">Sridharan 2026, PMID 39924461.</w:t>
      </w:r>
    </w:p>
  </w:footnote>
  <w:footnote w:id="2612">
    <w:p>
      <w:pPr>
        <w:pStyle w:val="FootnoteText"/>
      </w:pPr>
      <w:r>
        <w:rPr>
          <w:rStyle w:val="FootnoteReference"/>
        </w:rPr>
        <w:footnoteRef/>
      </w:r>
      <w:r>
        <w:t xml:space="preserve"> </w:t>
      </w:r>
      <w:r>
        <w:t xml:space="preserve">Sodhi 2023, PMID 37796527.</w:t>
      </w:r>
    </w:p>
  </w:footnote>
  <w:footnote w:id="2613">
    <w:p>
      <w:pPr>
        <w:pStyle w:val="FootnoteText"/>
      </w:pPr>
      <w:r>
        <w:rPr>
          <w:rStyle w:val="FootnoteReference"/>
        </w:rPr>
        <w:footnoteRef/>
      </w:r>
      <w:r>
        <w:t xml:space="preserve"> </w:t>
      </w:r>
      <w:r>
        <w:t xml:space="preserve">Chiang 2025, PMID 40499738.</w:t>
      </w:r>
    </w:p>
  </w:footnote>
  <w:footnote w:id="2614">
    <w:p>
      <w:pPr>
        <w:pStyle w:val="FootnoteText"/>
      </w:pPr>
      <w:r>
        <w:rPr>
          <w:rStyle w:val="FootnoteReference"/>
        </w:rPr>
        <w:footnoteRef/>
      </w:r>
      <w:r>
        <w:t xml:space="preserve"> </w:t>
      </w:r>
      <w:r>
        <w:t xml:space="preserve">Crisafulli 2026, PMID 41183330.</w:t>
      </w:r>
    </w:p>
  </w:footnote>
  <w:footnote w:id="2616">
    <w:p>
      <w:pPr>
        <w:pStyle w:val="FootnoteText"/>
      </w:pPr>
      <w:r>
        <w:rPr>
          <w:rStyle w:val="FootnoteReference"/>
        </w:rPr>
        <w:footnoteRef/>
      </w:r>
      <w:r>
        <w:t xml:space="preserve"> </w:t>
      </w:r>
      <w:r>
        <w:t xml:space="preserve">He 2022, PMID 35344001.</w:t>
      </w:r>
    </w:p>
  </w:footnote>
  <w:footnote w:id="2617">
    <w:p>
      <w:pPr>
        <w:pStyle w:val="FootnoteText"/>
      </w:pPr>
      <w:r>
        <w:rPr>
          <w:rStyle w:val="FootnoteReference"/>
        </w:rPr>
        <w:footnoteRef/>
      </w:r>
      <w:r>
        <w:t xml:space="preserve"> </w:t>
      </w:r>
      <w:r>
        <w:t xml:space="preserve">Weghuber 2022, PMID 36322838.</w:t>
      </w:r>
    </w:p>
  </w:footnote>
  <w:footnote w:id="2618">
    <w:p>
      <w:pPr>
        <w:pStyle w:val="FootnoteText"/>
      </w:pPr>
      <w:r>
        <w:rPr>
          <w:rStyle w:val="FootnoteReference"/>
        </w:rPr>
        <w:footnoteRef/>
      </w:r>
      <w:r>
        <w:t xml:space="preserve"> </w:t>
      </w:r>
      <w:r>
        <w:t xml:space="preserve">Wen 2025, PMID 40988099.</w:t>
      </w:r>
    </w:p>
  </w:footnote>
  <w:footnote w:id="2620">
    <w:p>
      <w:pPr>
        <w:pStyle w:val="FootnoteText"/>
      </w:pPr>
      <w:r>
        <w:rPr>
          <w:rStyle w:val="FootnoteReference"/>
        </w:rPr>
        <w:footnoteRef/>
      </w:r>
      <w:r>
        <w:t xml:space="preserve"> </w:t>
      </w:r>
      <w:r>
        <w:t xml:space="preserve">Hegedüs 2018, PMID 29279300.</w:t>
      </w:r>
    </w:p>
  </w:footnote>
  <w:footnote w:id="2622">
    <w:p>
      <w:pPr>
        <w:pStyle w:val="FootnoteText"/>
      </w:pPr>
      <w:r>
        <w:rPr>
          <w:rStyle w:val="FootnoteReference"/>
        </w:rPr>
        <w:footnoteRef/>
      </w:r>
      <w:r>
        <w:t xml:space="preserve"> </w:t>
      </w:r>
      <w:r>
        <w:t xml:space="preserve">Marso 2016, PMID 27633186.</w:t>
      </w:r>
    </w:p>
  </w:footnote>
  <w:footnote w:id="2623">
    <w:p>
      <w:pPr>
        <w:pStyle w:val="FootnoteText"/>
      </w:pPr>
      <w:r>
        <w:rPr>
          <w:rStyle w:val="FootnoteReference"/>
        </w:rPr>
        <w:footnoteRef/>
      </w:r>
      <w:r>
        <w:t xml:space="preserve"> </w:t>
      </w:r>
      <w:r>
        <w:t xml:space="preserve">Natividade 2025, PMID 40810985.</w:t>
      </w:r>
    </w:p>
  </w:footnote>
  <w:footnote w:id="2624">
    <w:p>
      <w:pPr>
        <w:pStyle w:val="FootnoteText"/>
      </w:pPr>
      <w:r>
        <w:rPr>
          <w:rStyle w:val="FootnoteReference"/>
        </w:rPr>
        <w:footnoteRef/>
      </w:r>
      <w:r>
        <w:t xml:space="preserve"> </w:t>
      </w:r>
      <w:r>
        <w:t xml:space="preserve">Hathaway 2024, PMID 38958939.</w:t>
      </w:r>
    </w:p>
  </w:footnote>
  <w:footnote w:id="2625">
    <w:p>
      <w:pPr>
        <w:pStyle w:val="FootnoteText"/>
      </w:pPr>
      <w:r>
        <w:rPr>
          <w:rStyle w:val="FootnoteReference"/>
        </w:rPr>
        <w:footnoteRef/>
      </w:r>
      <w:r>
        <w:t xml:space="preserve"> </w:t>
      </w:r>
      <w:r>
        <w:t xml:space="preserve">Simonsen 2025, PMID 40098249.</w:t>
      </w:r>
    </w:p>
  </w:footnote>
  <w:footnote w:id="2626">
    <w:p>
      <w:pPr>
        <w:pStyle w:val="FootnoteText"/>
      </w:pPr>
      <w:r>
        <w:rPr>
          <w:rStyle w:val="FootnoteReference"/>
        </w:rPr>
        <w:footnoteRef/>
      </w:r>
      <w:r>
        <w:t xml:space="preserve"> </w:t>
      </w:r>
      <w:r>
        <w:t xml:space="preserve">Wang 2025, PMID 40788646.</w:t>
      </w:r>
    </w:p>
  </w:footnote>
  <w:footnote w:id="2627">
    <w:p>
      <w:pPr>
        <w:pStyle w:val="FootnoteText"/>
      </w:pPr>
      <w:r>
        <w:rPr>
          <w:rStyle w:val="FootnoteReference"/>
        </w:rPr>
        <w:footnoteRef/>
      </w:r>
      <w:r>
        <w:t xml:space="preserve"> </w:t>
      </w:r>
      <w:r>
        <w:t xml:space="preserve">Chou 2025, PMID 39491755.</w:t>
      </w:r>
    </w:p>
  </w:footnote>
  <w:footnote w:id="2628">
    <w:p>
      <w:pPr>
        <w:pStyle w:val="FootnoteText"/>
      </w:pPr>
      <w:r>
        <w:rPr>
          <w:rStyle w:val="FootnoteReference"/>
        </w:rPr>
        <w:footnoteRef/>
      </w:r>
      <w:r>
        <w:t xml:space="preserve"> </w:t>
      </w:r>
      <w:r>
        <w:t xml:space="preserve">Liu 2026, PMID 41475544.</w:t>
      </w:r>
    </w:p>
  </w:footnote>
  <w:footnote w:id="2630">
    <w:p>
      <w:pPr>
        <w:pStyle w:val="FootnoteText"/>
      </w:pPr>
      <w:r>
        <w:rPr>
          <w:rStyle w:val="FootnoteReference"/>
        </w:rPr>
        <w:footnoteRef/>
      </w:r>
      <w:r>
        <w:t xml:space="preserve"> </w:t>
      </w:r>
      <w:r>
        <w:t xml:space="preserve">Marso 2016, PMID 27633186.</w:t>
      </w:r>
    </w:p>
  </w:footnote>
  <w:footnote w:id="2631">
    <w:p>
      <w:pPr>
        <w:pStyle w:val="FootnoteText"/>
      </w:pPr>
      <w:r>
        <w:rPr>
          <w:rStyle w:val="FootnoteReference"/>
        </w:rPr>
        <w:footnoteRef/>
      </w:r>
      <w:r>
        <w:t xml:space="preserve"> </w:t>
      </w:r>
      <w:r>
        <w:t xml:space="preserve">Bellido 2026, PMID 42810372.</w:t>
      </w:r>
    </w:p>
  </w:footnote>
  <w:footnote w:id="2632">
    <w:p>
      <w:pPr>
        <w:pStyle w:val="FootnoteText"/>
      </w:pPr>
      <w:r>
        <w:rPr>
          <w:rStyle w:val="FootnoteReference"/>
        </w:rPr>
        <w:footnoteRef/>
      </w:r>
      <w:r>
        <w:t xml:space="preserve"> </w:t>
      </w:r>
      <w:r>
        <w:t xml:space="preserve">Liu 2007, PMID 17227934.</w:t>
      </w:r>
    </w:p>
  </w:footnote>
  <w:footnote w:id="2633">
    <w:p>
      <w:pPr>
        <w:pStyle w:val="FootnoteText"/>
      </w:pPr>
      <w:r>
        <w:rPr>
          <w:rStyle w:val="FootnoteReference"/>
        </w:rPr>
        <w:footnoteRef/>
      </w:r>
      <w:r>
        <w:t xml:space="preserve"> </w:t>
      </w:r>
      <w:r>
        <w:t xml:space="preserve">Adunsky 2011, PMID 21067829.</w:t>
      </w:r>
    </w:p>
  </w:footnote>
  <w:footnote w:id="2634">
    <w:p>
      <w:pPr>
        <w:pStyle w:val="FootnoteText"/>
      </w:pPr>
      <w:r>
        <w:rPr>
          <w:rStyle w:val="FootnoteReference"/>
        </w:rPr>
        <w:footnoteRef/>
      </w:r>
      <w:r>
        <w:t xml:space="preserve"> </w:t>
      </w:r>
      <w:r>
        <w:t xml:space="preserve">White 2017, PMID 27977473.</w:t>
      </w:r>
    </w:p>
  </w:footnote>
  <w:footnote w:id="2635">
    <w:p>
      <w:pPr>
        <w:pStyle w:val="FootnoteText"/>
      </w:pPr>
      <w:r>
        <w:rPr>
          <w:rStyle w:val="FootnoteReference"/>
        </w:rPr>
        <w:footnoteRef/>
      </w:r>
      <w:r>
        <w:t xml:space="preserve"> </w:t>
      </w:r>
      <w:r>
        <w:t xml:space="preserve">Lissy 2021, PMID 32961034.</w:t>
      </w:r>
    </w:p>
  </w:footnote>
  <w:footnote w:id="2636">
    <w:p>
      <w:pPr>
        <w:pStyle w:val="FootnoteText"/>
      </w:pPr>
      <w:r>
        <w:rPr>
          <w:rStyle w:val="FootnoteReference"/>
        </w:rPr>
        <w:footnoteRef/>
      </w:r>
      <w:r>
        <w:t xml:space="preserve"> </w:t>
      </w:r>
      <w:r>
        <w:t xml:space="preserve">Mayer-Hubner 1996, PMID 8596357.</w:t>
      </w:r>
    </w:p>
  </w:footnote>
  <w:footnote w:id="2637">
    <w:p>
      <w:pPr>
        <w:pStyle w:val="FootnoteText"/>
      </w:pPr>
      <w:r>
        <w:rPr>
          <w:rStyle w:val="FootnoteReference"/>
        </w:rPr>
        <w:footnoteRef/>
      </w:r>
      <w:r>
        <w:t xml:space="preserve"> </w:t>
      </w:r>
      <w:r>
        <w:t xml:space="preserve">Nelson 2012, PMID 23121206.</w:t>
      </w:r>
    </w:p>
  </w:footnote>
  <w:footnote w:id="2639">
    <w:p>
      <w:pPr>
        <w:pStyle w:val="FootnoteText"/>
      </w:pPr>
      <w:r>
        <w:rPr>
          <w:rStyle w:val="FootnoteReference"/>
        </w:rPr>
        <w:footnoteRef/>
      </w:r>
      <w:r>
        <w:t xml:space="preserve"> </w:t>
      </w:r>
      <w:r>
        <w:t xml:space="preserve">Han 2026, PMID 41852258.</w:t>
      </w:r>
    </w:p>
  </w:footnote>
  <w:footnote w:id="2640">
    <w:p>
      <w:pPr>
        <w:pStyle w:val="FootnoteText"/>
      </w:pPr>
      <w:r>
        <w:rPr>
          <w:rStyle w:val="FootnoteReference"/>
        </w:rPr>
        <w:footnoteRef/>
      </w:r>
      <w:r>
        <w:t xml:space="preserve"> </w:t>
      </w:r>
      <w:r>
        <w:t xml:space="preserve">Ueda 2024, PMID 39226030.</w:t>
      </w:r>
    </w:p>
  </w:footnote>
  <w:footnote w:id="2641">
    <w:p>
      <w:pPr>
        <w:pStyle w:val="FootnoteText"/>
      </w:pPr>
      <w:r>
        <w:rPr>
          <w:rStyle w:val="FootnoteReference"/>
        </w:rPr>
        <w:footnoteRef/>
      </w:r>
      <w:r>
        <w:t xml:space="preserve"> </w:t>
      </w:r>
      <w:r>
        <w:t xml:space="preserve">Wadden 2026, PMID 41537305.</w:t>
      </w:r>
    </w:p>
  </w:footnote>
  <w:footnote w:id="2642">
    <w:p>
      <w:pPr>
        <w:pStyle w:val="FootnoteText"/>
      </w:pPr>
      <w:r>
        <w:rPr>
          <w:rStyle w:val="FootnoteReference"/>
        </w:rPr>
        <w:footnoteRef/>
      </w:r>
      <w:r>
        <w:t xml:space="preserve"> </w:t>
      </w:r>
      <w:r>
        <w:t xml:space="preserve">Silva 2026, PMID 42115753.</w:t>
      </w:r>
    </w:p>
  </w:footnote>
  <w:footnote w:id="2644">
    <w:p>
      <w:pPr>
        <w:pStyle w:val="FootnoteText"/>
      </w:pPr>
      <w:r>
        <w:rPr>
          <w:rStyle w:val="FootnoteReference"/>
        </w:rPr>
        <w:footnoteRef/>
      </w:r>
      <w:r>
        <w:t xml:space="preserve"> </w:t>
      </w:r>
      <w:r>
        <w:t xml:space="preserve">Sridharan 2026, PMID 39924461.</w:t>
      </w:r>
    </w:p>
  </w:footnote>
  <w:footnote w:id="2645">
    <w:p>
      <w:pPr>
        <w:pStyle w:val="FootnoteText"/>
      </w:pPr>
      <w:r>
        <w:rPr>
          <w:rStyle w:val="FootnoteReference"/>
        </w:rPr>
        <w:footnoteRef/>
      </w:r>
      <w:r>
        <w:t xml:space="preserve"> </w:t>
      </w:r>
      <w:r>
        <w:t xml:space="preserve">Kanti 2021, PMID 34058738.</w:t>
      </w:r>
    </w:p>
  </w:footnote>
  <w:footnote w:id="2646">
    <w:p>
      <w:pPr>
        <w:pStyle w:val="FootnoteText"/>
      </w:pPr>
      <w:r>
        <w:rPr>
          <w:rStyle w:val="FootnoteReference"/>
        </w:rPr>
        <w:footnoteRef/>
      </w:r>
      <w:r>
        <w:t xml:space="preserve"> </w:t>
      </w:r>
      <w:r>
        <w:t xml:space="preserve">Clayton 2022, PMID 35147466.</w:t>
      </w:r>
    </w:p>
  </w:footnote>
  <w:footnote w:id="2647">
    <w:p>
      <w:pPr>
        <w:pStyle w:val="FootnoteText"/>
      </w:pPr>
      <w:r>
        <w:rPr>
          <w:rStyle w:val="FootnoteReference"/>
        </w:rPr>
        <w:footnoteRef/>
      </w:r>
      <w:r>
        <w:t xml:space="preserve"> </w:t>
      </w:r>
      <w:r>
        <w:t xml:space="preserve">Burian 2019, PMID 31119650.</w:t>
      </w:r>
    </w:p>
  </w:footnote>
  <w:footnote w:id="2648">
    <w:p>
      <w:pPr>
        <w:pStyle w:val="FootnoteText"/>
      </w:pPr>
      <w:r>
        <w:rPr>
          <w:rStyle w:val="FootnoteReference"/>
        </w:rPr>
        <w:footnoteRef/>
      </w:r>
      <w:r>
        <w:t xml:space="preserve"> </w:t>
      </w:r>
      <w:r>
        <w:t xml:space="preserve">Gupta 2026, PMID 42930571.</w:t>
      </w:r>
    </w:p>
  </w:footnote>
  <w:footnote w:id="2649">
    <w:p>
      <w:pPr>
        <w:pStyle w:val="FootnoteText"/>
      </w:pPr>
      <w:r>
        <w:rPr>
          <w:rStyle w:val="FootnoteReference"/>
        </w:rPr>
        <w:footnoteRef/>
      </w:r>
      <w:r>
        <w:t xml:space="preserve"> </w:t>
      </w:r>
      <w:r>
        <w:t xml:space="preserve">Bellido 2026, PMID 42810372.</w:t>
      </w:r>
    </w:p>
  </w:footnote>
  <w:footnote w:id="2650">
    <w:p>
      <w:pPr>
        <w:pStyle w:val="FootnoteText"/>
      </w:pPr>
      <w:r>
        <w:rPr>
          <w:rStyle w:val="FootnoteReference"/>
        </w:rPr>
        <w:footnoteRef/>
      </w:r>
      <w:r>
        <w:t xml:space="preserve"> </w:t>
      </w:r>
      <w:r>
        <w:t xml:space="preserve">Dolkar 2018, PMID 29665030.</w:t>
      </w:r>
    </w:p>
  </w:footnote>
  <w:footnote w:id="2652">
    <w:p>
      <w:pPr>
        <w:pStyle w:val="FootnoteText"/>
      </w:pPr>
      <w:r>
        <w:rPr>
          <w:rStyle w:val="FootnoteReference"/>
        </w:rPr>
        <w:footnoteRef/>
      </w:r>
      <w:r>
        <w:t xml:space="preserve"> </w:t>
      </w:r>
      <w:r>
        <w:t xml:space="preserve">Arimura 2016, PMID 27020037.</w:t>
      </w:r>
    </w:p>
  </w:footnote>
  <w:footnote w:id="2653">
    <w:p>
      <w:pPr>
        <w:pStyle w:val="FootnoteText"/>
      </w:pPr>
      <w:r>
        <w:rPr>
          <w:rStyle w:val="FootnoteReference"/>
        </w:rPr>
        <w:footnoteRef/>
      </w:r>
      <w:r>
        <w:t xml:space="preserve"> </w:t>
      </w:r>
      <w:r>
        <w:t xml:space="preserve">MacLean 2014, PMID 24762108.</w:t>
      </w:r>
    </w:p>
  </w:footnote>
  <w:footnote w:id="2654">
    <w:p>
      <w:pPr>
        <w:pStyle w:val="FootnoteText"/>
      </w:pPr>
      <w:r>
        <w:rPr>
          <w:rStyle w:val="FootnoteReference"/>
        </w:rPr>
        <w:footnoteRef/>
      </w:r>
      <w:r>
        <w:t xml:space="preserve"> </w:t>
      </w:r>
      <w:r>
        <w:t xml:space="preserve">Liu 2007, PMID 17227934.</w:t>
      </w:r>
    </w:p>
  </w:footnote>
  <w:footnote w:id="2656">
    <w:p>
      <w:pPr>
        <w:pStyle w:val="FootnoteText"/>
      </w:pPr>
      <w:r>
        <w:rPr>
          <w:rStyle w:val="FootnoteReference"/>
        </w:rPr>
        <w:footnoteRef/>
      </w:r>
      <w:r>
        <w:t xml:space="preserve"> </w:t>
      </w:r>
      <w:r>
        <w:t xml:space="preserve">Chernausek 2007, PMID 17192294.</w:t>
      </w:r>
    </w:p>
  </w:footnote>
  <w:footnote w:id="2657">
    <w:p>
      <w:pPr>
        <w:pStyle w:val="FootnoteText"/>
      </w:pPr>
      <w:r>
        <w:rPr>
          <w:rStyle w:val="FootnoteReference"/>
        </w:rPr>
        <w:footnoteRef/>
      </w:r>
      <w:r>
        <w:t xml:space="preserve"> </w:t>
      </w:r>
      <w:r>
        <w:t xml:space="preserve">Edelman 2006, PMID 17003291.</w:t>
      </w:r>
    </w:p>
  </w:footnote>
  <w:footnote w:id="2658">
    <w:p>
      <w:pPr>
        <w:pStyle w:val="FootnoteText"/>
      </w:pPr>
      <w:r>
        <w:rPr>
          <w:rStyle w:val="FootnoteReference"/>
        </w:rPr>
        <w:footnoteRef/>
      </w:r>
      <w:r>
        <w:t xml:space="preserve"> </w:t>
      </w:r>
      <w:r>
        <w:t xml:space="preserve">Kendall 2005, PMID 15855571.</w:t>
      </w:r>
    </w:p>
  </w:footnote>
  <w:footnote w:id="2659">
    <w:p>
      <w:pPr>
        <w:pStyle w:val="FootnoteText"/>
      </w:pPr>
      <w:r>
        <w:rPr>
          <w:rStyle w:val="FootnoteReference"/>
        </w:rPr>
        <w:footnoteRef/>
      </w:r>
      <w:r>
        <w:t xml:space="preserve"> </w:t>
      </w:r>
      <w:r>
        <w:t xml:space="preserve">Nass 2008, PMID 18981485.</w:t>
      </w:r>
    </w:p>
  </w:footnote>
  <w:footnote w:id="2660">
    <w:p>
      <w:pPr>
        <w:pStyle w:val="FootnoteText"/>
      </w:pPr>
      <w:r>
        <w:rPr>
          <w:rStyle w:val="FootnoteReference"/>
        </w:rPr>
        <w:footnoteRef/>
      </w:r>
      <w:r>
        <w:t xml:space="preserve"> </w:t>
      </w:r>
      <w:r>
        <w:t xml:space="preserve">Liu 2007, PMID 17227934.</w:t>
      </w:r>
    </w:p>
  </w:footnote>
  <w:footnote w:id="2664">
    <w:p>
      <w:pPr>
        <w:pStyle w:val="FootnoteText"/>
      </w:pPr>
      <w:r>
        <w:rPr>
          <w:rStyle w:val="FootnoteReference"/>
        </w:rPr>
        <w:footnoteRef/>
      </w:r>
      <w:r>
        <w:t xml:space="preserve"> </w:t>
      </w:r>
      <w:r>
        <w:t xml:space="preserve">Silverii 2025, PMID 40437949.</w:t>
      </w:r>
    </w:p>
  </w:footnote>
  <w:footnote w:id="2666">
    <w:p>
      <w:pPr>
        <w:pStyle w:val="FootnoteText"/>
      </w:pPr>
      <w:r>
        <w:rPr>
          <w:rStyle w:val="FootnoteReference"/>
        </w:rPr>
        <w:footnoteRef/>
      </w:r>
      <w:r>
        <w:t xml:space="preserve"> </w:t>
      </w:r>
      <w:r>
        <w:t xml:space="preserve">Renehan 2004, PMID 15110491.</w:t>
      </w:r>
    </w:p>
  </w:footnote>
  <w:footnote w:id="2667">
    <w:p>
      <w:pPr>
        <w:pStyle w:val="FootnoteText"/>
      </w:pPr>
      <w:r>
        <w:rPr>
          <w:rStyle w:val="FootnoteReference"/>
        </w:rPr>
        <w:footnoteRef/>
      </w:r>
      <w:r>
        <w:t xml:space="preserve"> </w:t>
      </w:r>
      <w:r>
        <w:t xml:space="preserve">Murphy 2020, PMID 32169310.</w:t>
      </w:r>
    </w:p>
  </w:footnote>
  <w:footnote w:id="2668">
    <w:p>
      <w:pPr>
        <w:pStyle w:val="FootnoteText"/>
      </w:pPr>
      <w:r>
        <w:rPr>
          <w:rStyle w:val="FootnoteReference"/>
        </w:rPr>
        <w:footnoteRef/>
      </w:r>
      <w:r>
        <w:t xml:space="preserve"> </w:t>
      </w:r>
      <w:r>
        <w:t xml:space="preserve">Murphy 2020, PMID 31884074.</w:t>
      </w:r>
    </w:p>
  </w:footnote>
  <w:footnote w:id="2669">
    <w:p>
      <w:pPr>
        <w:pStyle w:val="FootnoteText"/>
      </w:pPr>
      <w:r>
        <w:rPr>
          <w:rStyle w:val="FootnoteReference"/>
        </w:rPr>
        <w:footnoteRef/>
      </w:r>
      <w:r>
        <w:t xml:space="preserve"> </w:t>
      </w:r>
      <w:r>
        <w:t xml:space="preserve">Murphy 2020, PMID 32169310.</w:t>
      </w:r>
    </w:p>
  </w:footnote>
  <w:footnote w:id="2670">
    <w:p>
      <w:pPr>
        <w:pStyle w:val="FootnoteText"/>
      </w:pPr>
      <w:r>
        <w:rPr>
          <w:rStyle w:val="FootnoteReference"/>
        </w:rPr>
        <w:footnoteRef/>
      </w:r>
      <w:r>
        <w:t xml:space="preserve"> </w:t>
      </w:r>
      <w:r>
        <w:t xml:space="preserve">Dal 2018, PMID 29590449.</w:t>
      </w:r>
    </w:p>
  </w:footnote>
  <w:footnote w:id="2671">
    <w:p>
      <w:pPr>
        <w:pStyle w:val="FootnoteText"/>
      </w:pPr>
      <w:r>
        <w:rPr>
          <w:rStyle w:val="FootnoteReference"/>
        </w:rPr>
        <w:footnoteRef/>
      </w:r>
      <w:r>
        <w:t xml:space="preserve"> </w:t>
      </w:r>
      <w:r>
        <w:t xml:space="preserve">Guevara-Aguirre 2011, PMID 21325617.</w:t>
      </w:r>
    </w:p>
  </w:footnote>
  <w:footnote w:id="2672">
    <w:p>
      <w:pPr>
        <w:pStyle w:val="FootnoteText"/>
      </w:pPr>
      <w:r>
        <w:rPr>
          <w:rStyle w:val="FootnoteReference"/>
        </w:rPr>
        <w:footnoteRef/>
      </w:r>
      <w:r>
        <w:t xml:space="preserve"> </w:t>
      </w:r>
      <w:r>
        <w:t xml:space="preserve">Swerdlow 2017, PMID 28187225.</w:t>
      </w:r>
    </w:p>
  </w:footnote>
  <w:footnote w:id="2673">
    <w:p>
      <w:pPr>
        <w:pStyle w:val="FootnoteText"/>
      </w:pPr>
      <w:r>
        <w:rPr>
          <w:rStyle w:val="FootnoteReference"/>
        </w:rPr>
        <w:footnoteRef/>
      </w:r>
      <w:r>
        <w:t xml:space="preserve"> </w:t>
      </w:r>
      <w:r>
        <w:t xml:space="preserve">Child 2015, PMID 25810462.</w:t>
      </w:r>
    </w:p>
  </w:footnote>
  <w:footnote w:id="2674">
    <w:p>
      <w:pPr>
        <w:pStyle w:val="FootnoteText"/>
      </w:pPr>
      <w:r>
        <w:rPr>
          <w:rStyle w:val="FootnoteReference"/>
        </w:rPr>
        <w:footnoteRef/>
      </w:r>
      <w:r>
        <w:t xml:space="preserve"> </w:t>
      </w:r>
      <w:r>
        <w:t xml:space="preserve">Nass 2008, PMID 18981485.</w:t>
      </w:r>
    </w:p>
  </w:footnote>
  <w:footnote w:id="2676">
    <w:p>
      <w:pPr>
        <w:pStyle w:val="FootnoteText"/>
      </w:pPr>
      <w:r>
        <w:rPr>
          <w:rStyle w:val="FootnoteReference"/>
        </w:rPr>
        <w:footnoteRef/>
      </w:r>
      <w:r>
        <w:t xml:space="preserve"> </w:t>
      </w:r>
      <w:r>
        <w:t xml:space="preserve">Hsieh 2017, PMID 27847966.</w:t>
      </w:r>
    </w:p>
  </w:footnote>
  <w:footnote w:id="2677">
    <w:p>
      <w:pPr>
        <w:pStyle w:val="FootnoteText"/>
      </w:pPr>
      <w:r>
        <w:rPr>
          <w:rStyle w:val="FootnoteReference"/>
        </w:rPr>
        <w:footnoteRef/>
      </w:r>
      <w:r>
        <w:t xml:space="preserve"> </w:t>
      </w:r>
      <w:r>
        <w:t xml:space="preserve">Sikiric 2025, PMID 40573323.</w:t>
      </w:r>
    </w:p>
  </w:footnote>
  <w:footnote w:id="2678">
    <w:p>
      <w:pPr>
        <w:pStyle w:val="FootnoteText"/>
      </w:pPr>
      <w:r>
        <w:rPr>
          <w:rStyle w:val="FootnoteReference"/>
        </w:rPr>
        <w:footnoteRef/>
      </w:r>
      <w:r>
        <w:t xml:space="preserve"> </w:t>
      </w:r>
      <w:r>
        <w:t xml:space="preserve">Wang 2016, PMID 27596300.</w:t>
      </w:r>
    </w:p>
  </w:footnote>
  <w:footnote w:id="2679">
    <w:p>
      <w:pPr>
        <w:pStyle w:val="FootnoteText"/>
      </w:pPr>
      <w:r>
        <w:rPr>
          <w:rStyle w:val="FootnoteReference"/>
        </w:rPr>
        <w:footnoteRef/>
      </w:r>
      <w:r>
        <w:t xml:space="preserve"> </w:t>
      </w:r>
      <w:r>
        <w:t xml:space="preserve">Larsson 2007, PMID 17495241.</w:t>
      </w:r>
    </w:p>
  </w:footnote>
  <w:footnote w:id="2680">
    <w:p>
      <w:pPr>
        <w:pStyle w:val="FootnoteText"/>
      </w:pPr>
      <w:r>
        <w:rPr>
          <w:rStyle w:val="FootnoteReference"/>
        </w:rPr>
        <w:footnoteRef/>
      </w:r>
      <w:r>
        <w:t xml:space="preserve"> </w:t>
      </w:r>
      <w:r>
        <w:t xml:space="preserve">Moreno Ayala 2020, PMID 32444831.</w:t>
      </w:r>
    </w:p>
  </w:footnote>
  <w:footnote w:id="2681">
    <w:p>
      <w:pPr>
        <w:pStyle w:val="FootnoteText"/>
      </w:pPr>
      <w:r>
        <w:rPr>
          <w:rStyle w:val="FootnoteReference"/>
        </w:rPr>
        <w:footnoteRef/>
      </w:r>
      <w:r>
        <w:t xml:space="preserve"> </w:t>
      </w:r>
      <w:r>
        <w:t xml:space="preserve">Al-Dulaimi 2025, PMID 40908429.</w:t>
      </w:r>
    </w:p>
  </w:footnote>
  <w:footnote w:id="2682">
    <w:p>
      <w:pPr>
        <w:pStyle w:val="FootnoteText"/>
      </w:pPr>
      <w:r>
        <w:rPr>
          <w:rStyle w:val="FootnoteReference"/>
        </w:rPr>
        <w:footnoteRef/>
      </w:r>
      <w:r>
        <w:t xml:space="preserve"> </w:t>
      </w:r>
      <w:r>
        <w:t xml:space="preserve">Anisimov 2003, PMID 14501183.</w:t>
      </w:r>
    </w:p>
  </w:footnote>
  <w:footnote w:id="2683">
    <w:p>
      <w:pPr>
        <w:pStyle w:val="FootnoteText"/>
      </w:pPr>
      <w:r>
        <w:rPr>
          <w:rStyle w:val="FootnoteReference"/>
        </w:rPr>
        <w:footnoteRef/>
      </w:r>
      <w:r>
        <w:t xml:space="preserve"> </w:t>
      </w:r>
      <w:r>
        <w:t xml:space="preserve">Chen 2018, PMID 29843147.</w:t>
      </w:r>
    </w:p>
  </w:footnote>
  <w:footnote w:id="2684">
    <w:p>
      <w:pPr>
        <w:pStyle w:val="FootnoteText"/>
      </w:pPr>
      <w:r>
        <w:rPr>
          <w:rStyle w:val="FootnoteReference"/>
        </w:rPr>
        <w:footnoteRef/>
      </w:r>
      <w:r>
        <w:t xml:space="preserve"> </w:t>
      </w:r>
      <w:r>
        <w:t xml:space="preserve">Wright 2015, PMID 25649658.</w:t>
      </w:r>
    </w:p>
  </w:footnote>
  <w:footnote w:id="2686">
    <w:p>
      <w:pPr>
        <w:pStyle w:val="FootnoteText"/>
      </w:pPr>
      <w:r>
        <w:rPr>
          <w:rStyle w:val="FootnoteReference"/>
        </w:rPr>
        <w:footnoteRef/>
      </w:r>
      <w:r>
        <w:t xml:space="preserve"> </w:t>
      </w:r>
      <w:r>
        <w:t xml:space="preserve">Habbema 2017, PMID 28266027.</w:t>
      </w:r>
    </w:p>
  </w:footnote>
  <w:footnote w:id="2687">
    <w:p>
      <w:pPr>
        <w:pStyle w:val="FootnoteText"/>
      </w:pPr>
      <w:r>
        <w:rPr>
          <w:rStyle w:val="FootnoteReference"/>
        </w:rPr>
        <w:footnoteRef/>
      </w:r>
      <w:r>
        <w:t xml:space="preserve"> </w:t>
      </w:r>
      <w:r>
        <w:t xml:space="preserve">Burian 2019, PMID 31119650.</w:t>
      </w:r>
    </w:p>
  </w:footnote>
  <w:footnote w:id="2688">
    <w:p>
      <w:pPr>
        <w:pStyle w:val="FootnoteText"/>
      </w:pPr>
      <w:r>
        <w:rPr>
          <w:rStyle w:val="FootnoteReference"/>
        </w:rPr>
        <w:footnoteRef/>
      </w:r>
      <w:r>
        <w:t xml:space="preserve"> </w:t>
      </w:r>
      <w:r>
        <w:t xml:space="preserve">Arisi 2021, PMID 33721252.</w:t>
      </w:r>
    </w:p>
  </w:footnote>
  <w:footnote w:id="2689">
    <w:p>
      <w:pPr>
        <w:pStyle w:val="FootnoteText"/>
      </w:pPr>
      <w:r>
        <w:rPr>
          <w:rStyle w:val="FootnoteReference"/>
        </w:rPr>
        <w:footnoteRef/>
      </w:r>
      <w:r>
        <w:t xml:space="preserve"> </w:t>
      </w:r>
      <w:r>
        <w:t xml:space="preserve">Kanti 2021, PMID 34058738.</w:t>
      </w:r>
    </w:p>
  </w:footnote>
  <w:footnote w:id="2691">
    <w:p>
      <w:pPr>
        <w:pStyle w:val="FootnoteText"/>
      </w:pPr>
      <w:r>
        <w:rPr>
          <w:rStyle w:val="FootnoteReference"/>
        </w:rPr>
        <w:footnoteRef/>
      </w:r>
      <w:r>
        <w:t xml:space="preserve"> </w:t>
      </w:r>
      <w:r>
        <w:t xml:space="preserve">Bjerre Knudsen 2010, PMID 20203154.</w:t>
      </w:r>
    </w:p>
  </w:footnote>
  <w:footnote w:id="2692">
    <w:p>
      <w:pPr>
        <w:pStyle w:val="FootnoteText"/>
      </w:pPr>
      <w:r>
        <w:rPr>
          <w:rStyle w:val="FootnoteReference"/>
        </w:rPr>
        <w:footnoteRef/>
      </w:r>
      <w:r>
        <w:t xml:space="preserve"> </w:t>
      </w:r>
      <w:r>
        <w:t xml:space="preserve">Gier 2012, PMID 22031513.</w:t>
      </w:r>
    </w:p>
  </w:footnote>
  <w:footnote w:id="2693">
    <w:p>
      <w:pPr>
        <w:pStyle w:val="FootnoteText"/>
      </w:pPr>
      <w:r>
        <w:rPr>
          <w:rStyle w:val="FootnoteReference"/>
        </w:rPr>
        <w:footnoteRef/>
      </w:r>
      <w:r>
        <w:t xml:space="preserve"> </w:t>
      </w:r>
      <w:r>
        <w:t xml:space="preserve">Hegedüs 2018, PMID 29279300.</w:t>
      </w:r>
    </w:p>
  </w:footnote>
  <w:footnote w:id="2694">
    <w:p>
      <w:pPr>
        <w:pStyle w:val="FootnoteText"/>
      </w:pPr>
      <w:r>
        <w:rPr>
          <w:rStyle w:val="FootnoteReference"/>
        </w:rPr>
        <w:footnoteRef/>
      </w:r>
      <w:r>
        <w:t xml:space="preserve"> </w:t>
      </w:r>
      <w:r>
        <w:t xml:space="preserve">Bezin 2023, PMID 36356111.</w:t>
      </w:r>
    </w:p>
  </w:footnote>
  <w:footnote w:id="2695">
    <w:p>
      <w:pPr>
        <w:pStyle w:val="FootnoteText"/>
      </w:pPr>
      <w:r>
        <w:rPr>
          <w:rStyle w:val="FootnoteReference"/>
        </w:rPr>
        <w:footnoteRef/>
      </w:r>
      <w:r>
        <w:t xml:space="preserve"> </w:t>
      </w:r>
      <w:r>
        <w:t xml:space="preserve">Pasternak 2024, PMID 38683947.</w:t>
      </w:r>
    </w:p>
  </w:footnote>
  <w:footnote w:id="2696">
    <w:p>
      <w:pPr>
        <w:pStyle w:val="FootnoteText"/>
      </w:pPr>
      <w:r>
        <w:rPr>
          <w:rStyle w:val="FootnoteReference"/>
        </w:rPr>
        <w:footnoteRef/>
      </w:r>
      <w:r>
        <w:t xml:space="preserve"> </w:t>
      </w:r>
      <w:r>
        <w:t xml:space="preserve">Silverii 2025, PMID 40437949.</w:t>
      </w:r>
    </w:p>
  </w:footnote>
  <w:footnote w:id="2698">
    <w:p>
      <w:pPr>
        <w:pStyle w:val="FootnoteText"/>
      </w:pPr>
      <w:r>
        <w:rPr>
          <w:rStyle w:val="FootnoteReference"/>
        </w:rPr>
        <w:footnoteRef/>
      </w:r>
      <w:r>
        <w:t xml:space="preserve"> </w:t>
      </w:r>
      <w:r>
        <w:t xml:space="preserve">Wen 2025, PMID 40988099.</w:t>
      </w:r>
    </w:p>
  </w:footnote>
  <w:footnote w:id="2699">
    <w:p>
      <w:pPr>
        <w:pStyle w:val="FootnoteText"/>
      </w:pPr>
      <w:r>
        <w:rPr>
          <w:rStyle w:val="FootnoteReference"/>
        </w:rPr>
        <w:footnoteRef/>
      </w:r>
      <w:r>
        <w:t xml:space="preserve"> </w:t>
      </w:r>
      <w:r>
        <w:t xml:space="preserve">Wang 2024, PMID 38967919.</w:t>
      </w:r>
    </w:p>
  </w:footnote>
  <w:footnote w:id="2700">
    <w:p>
      <w:pPr>
        <w:pStyle w:val="FootnoteText"/>
      </w:pPr>
      <w:r>
        <w:rPr>
          <w:rStyle w:val="FootnoteReference"/>
        </w:rPr>
        <w:footnoteRef/>
      </w:r>
      <w:r>
        <w:t xml:space="preserve"> </w:t>
      </w:r>
      <w:r>
        <w:t xml:space="preserve">Rajan 2026, PMID 42541759.</w:t>
      </w:r>
    </w:p>
  </w:footnote>
  <w:footnote w:id="2705">
    <w:p>
      <w:pPr>
        <w:pStyle w:val="FootnoteText"/>
      </w:pPr>
      <w:r>
        <w:rPr>
          <w:rStyle w:val="FootnoteReference"/>
        </w:rPr>
        <w:footnoteRef/>
      </w:r>
      <w:r>
        <w:t xml:space="preserve"> </w:t>
      </w:r>
      <w:r>
        <w:t xml:space="preserve">Shankar 2014, PMID 24764037.</w:t>
      </w:r>
    </w:p>
  </w:footnote>
  <w:footnote w:id="2707">
    <w:p>
      <w:pPr>
        <w:pStyle w:val="FootnoteText"/>
      </w:pPr>
      <w:r>
        <w:rPr>
          <w:rStyle w:val="FootnoteReference"/>
        </w:rPr>
        <w:footnoteRef/>
      </w:r>
      <w:r>
        <w:t xml:space="preserve"> </w:t>
      </w:r>
      <w:r>
        <w:t xml:space="preserve">Buse 2011, PMID 21450987.</w:t>
      </w:r>
    </w:p>
  </w:footnote>
  <w:footnote w:id="2708">
    <w:p>
      <w:pPr>
        <w:pStyle w:val="FootnoteText"/>
      </w:pPr>
      <w:r>
        <w:rPr>
          <w:rStyle w:val="FootnoteReference"/>
        </w:rPr>
        <w:footnoteRef/>
      </w:r>
      <w:r>
        <w:t xml:space="preserve"> </w:t>
      </w:r>
      <w:r>
        <w:t xml:space="preserve">Mullins 2024, PMID 37700637.</w:t>
      </w:r>
    </w:p>
  </w:footnote>
  <w:footnote w:id="2710">
    <w:p>
      <w:pPr>
        <w:pStyle w:val="FootnoteText"/>
      </w:pPr>
      <w:r>
        <w:rPr>
          <w:rStyle w:val="FootnoteReference"/>
        </w:rPr>
        <w:footnoteRef/>
      </w:r>
      <w:r>
        <w:t xml:space="preserve"> </w:t>
      </w:r>
      <w:r>
        <w:t xml:space="preserve">Taj 2026, PMID 41395692.</w:t>
      </w:r>
    </w:p>
  </w:footnote>
  <w:footnote w:id="2711">
    <w:p>
      <w:pPr>
        <w:pStyle w:val="FootnoteText"/>
      </w:pPr>
      <w:r>
        <w:rPr>
          <w:rStyle w:val="FootnoteReference"/>
        </w:rPr>
        <w:footnoteRef/>
      </w:r>
      <w:r>
        <w:t xml:space="preserve"> </w:t>
      </w:r>
      <w:r>
        <w:t xml:space="preserve">Wysham 2015, PMID 25744115.</w:t>
      </w:r>
    </w:p>
  </w:footnote>
  <w:footnote w:id="2712">
    <w:p>
      <w:pPr>
        <w:pStyle w:val="FootnoteText"/>
      </w:pPr>
      <w:r>
        <w:rPr>
          <w:rStyle w:val="FootnoteReference"/>
        </w:rPr>
        <w:footnoteRef/>
      </w:r>
      <w:r>
        <w:t xml:space="preserve"> </w:t>
      </w:r>
      <w:r>
        <w:t xml:space="preserve">Chen 2021, PMID 33748252.</w:t>
      </w:r>
    </w:p>
  </w:footnote>
  <w:footnote w:id="2714">
    <w:p>
      <w:pPr>
        <w:pStyle w:val="FootnoteText"/>
      </w:pPr>
      <w:r>
        <w:rPr>
          <w:rStyle w:val="FootnoteReference"/>
        </w:rPr>
        <w:footnoteRef/>
      </w:r>
      <w:r>
        <w:t xml:space="preserve"> </w:t>
      </w:r>
      <w:r>
        <w:t xml:space="preserve">Anthony 2024, PMID 38363873.</w:t>
      </w:r>
    </w:p>
  </w:footnote>
  <w:footnote w:id="2715">
    <w:p>
      <w:pPr>
        <w:pStyle w:val="FootnoteText"/>
      </w:pPr>
      <w:r>
        <w:rPr>
          <w:rStyle w:val="FootnoteReference"/>
        </w:rPr>
        <w:footnoteRef/>
      </w:r>
      <w:r>
        <w:t xml:space="preserve"> </w:t>
      </w:r>
      <w:r>
        <w:t xml:space="preserve">Pradhan 2022, PMID 35136902.</w:t>
      </w:r>
    </w:p>
  </w:footnote>
  <w:footnote w:id="2716">
    <w:p>
      <w:pPr>
        <w:pStyle w:val="FootnoteText"/>
      </w:pPr>
      <w:r>
        <w:rPr>
          <w:rStyle w:val="FootnoteReference"/>
        </w:rPr>
        <w:footnoteRef/>
      </w:r>
      <w:r>
        <w:t xml:space="preserve"> </w:t>
      </w:r>
      <w:r>
        <w:t xml:space="preserve">Ornelas 2018, PMID 30350785.</w:t>
      </w:r>
    </w:p>
  </w:footnote>
  <w:footnote w:id="2717">
    <w:p>
      <w:pPr>
        <w:pStyle w:val="FootnoteText"/>
      </w:pPr>
      <w:r>
        <w:rPr>
          <w:rStyle w:val="FootnoteReference"/>
        </w:rPr>
        <w:footnoteRef/>
      </w:r>
      <w:r>
        <w:t xml:space="preserve"> </w:t>
      </w:r>
      <w:r>
        <w:t xml:space="preserve">Shamriz 2019, PMID 31296642.</w:t>
      </w:r>
    </w:p>
  </w:footnote>
  <w:footnote w:id="2718">
    <w:p>
      <w:pPr>
        <w:pStyle w:val="FootnoteText"/>
      </w:pPr>
      <w:r>
        <w:rPr>
          <w:rStyle w:val="FootnoteReference"/>
        </w:rPr>
        <w:footnoteRef/>
      </w:r>
      <w:r>
        <w:t xml:space="preserve"> </w:t>
      </w:r>
      <w:r>
        <w:t xml:space="preserve">He 2023, PMID 38186543.</w:t>
      </w:r>
    </w:p>
  </w:footnote>
  <w:footnote w:id="2719">
    <w:p>
      <w:pPr>
        <w:pStyle w:val="FootnoteText"/>
      </w:pPr>
      <w:r>
        <w:rPr>
          <w:rStyle w:val="FootnoteReference"/>
        </w:rPr>
        <w:footnoteRef/>
      </w:r>
      <w:r>
        <w:t xml:space="preserve"> </w:t>
      </w:r>
      <w:r>
        <w:t xml:space="preserve">Kraft 2026, PMID 42194666.</w:t>
      </w:r>
    </w:p>
  </w:footnote>
  <w:footnote w:id="2720">
    <w:p>
      <w:pPr>
        <w:pStyle w:val="FootnoteText"/>
      </w:pPr>
      <w:r>
        <w:rPr>
          <w:rStyle w:val="FootnoteReference"/>
        </w:rPr>
        <w:footnoteRef/>
      </w:r>
      <w:r>
        <w:t xml:space="preserve"> </w:t>
      </w:r>
      <w:r>
        <w:t xml:space="preserve">Trimmel 2024, PMID 39055722.</w:t>
      </w:r>
    </w:p>
  </w:footnote>
  <w:footnote w:id="2721">
    <w:p>
      <w:pPr>
        <w:pStyle w:val="FootnoteText"/>
      </w:pPr>
      <w:r>
        <w:rPr>
          <w:rStyle w:val="FootnoteReference"/>
        </w:rPr>
        <w:footnoteRef/>
      </w:r>
      <w:r>
        <w:t xml:space="preserve"> </w:t>
      </w:r>
      <w:r>
        <w:t xml:space="preserve">Röper 2004, PMID 15127162.</w:t>
      </w:r>
    </w:p>
  </w:footnote>
  <w:footnote w:id="2723">
    <w:p>
      <w:pPr>
        <w:pStyle w:val="FootnoteText"/>
      </w:pPr>
      <w:r>
        <w:rPr>
          <w:rStyle w:val="FootnoteReference"/>
        </w:rPr>
        <w:footnoteRef/>
      </w:r>
      <w:r>
        <w:t xml:space="preserve"> </w:t>
      </w:r>
      <w:r>
        <w:t xml:space="preserve">Lande 2007, PMID 17873860.</w:t>
      </w:r>
    </w:p>
  </w:footnote>
  <w:footnote w:id="2724">
    <w:p>
      <w:pPr>
        <w:pStyle w:val="FootnoteText"/>
      </w:pPr>
      <w:r>
        <w:rPr>
          <w:rStyle w:val="FootnoteReference"/>
        </w:rPr>
        <w:footnoteRef/>
      </w:r>
      <w:r>
        <w:t xml:space="preserve"> </w:t>
      </w:r>
      <w:r>
        <w:t xml:space="preserve">Lande 2014, PMID 25470744.</w:t>
      </w:r>
    </w:p>
  </w:footnote>
  <w:footnote w:id="2725">
    <w:p>
      <w:pPr>
        <w:pStyle w:val="FootnoteText"/>
      </w:pPr>
      <w:r>
        <w:rPr>
          <w:rStyle w:val="FootnoteReference"/>
        </w:rPr>
        <w:footnoteRef/>
      </w:r>
      <w:r>
        <w:t xml:space="preserve"> </w:t>
      </w:r>
      <w:r>
        <w:t xml:space="preserve">Dolkar 2018, PMID 29665030.</w:t>
      </w:r>
    </w:p>
  </w:footnote>
  <w:footnote w:id="2726">
    <w:p>
      <w:pPr>
        <w:pStyle w:val="FootnoteText"/>
      </w:pPr>
      <w:r>
        <w:rPr>
          <w:rStyle w:val="FootnoteReference"/>
        </w:rPr>
        <w:footnoteRef/>
      </w:r>
      <w:r>
        <w:t xml:space="preserve"> </w:t>
      </w:r>
      <w:r>
        <w:t xml:space="preserve">Gupta 2026, PMID 42930571.</w:t>
      </w:r>
    </w:p>
  </w:footnote>
  <w:footnote w:id="2728">
    <w:p>
      <w:pPr>
        <w:pStyle w:val="FootnoteText"/>
      </w:pPr>
      <w:r>
        <w:rPr>
          <w:rStyle w:val="FootnoteReference"/>
        </w:rPr>
        <w:footnoteRef/>
      </w:r>
      <w:r>
        <w:t xml:space="preserve"> </w:t>
      </w:r>
      <w:r>
        <w:t xml:space="preserve">De Groot 2023, PMID 37467878.</w:t>
      </w:r>
    </w:p>
  </w:footnote>
  <w:footnote w:id="2729">
    <w:p>
      <w:pPr>
        <w:pStyle w:val="FootnoteText"/>
      </w:pPr>
      <w:r>
        <w:rPr>
          <w:rStyle w:val="FootnoteReference"/>
        </w:rPr>
        <w:footnoteRef/>
      </w:r>
      <w:r>
        <w:t xml:space="preserve"> </w:t>
      </w:r>
      <w:r>
        <w:t xml:space="preserve">Mattei 2025, PMID 41445733.</w:t>
      </w:r>
    </w:p>
  </w:footnote>
  <w:footnote w:id="2730">
    <w:p>
      <w:pPr>
        <w:pStyle w:val="FootnoteText"/>
      </w:pPr>
      <w:r>
        <w:rPr>
          <w:rStyle w:val="FootnoteReference"/>
        </w:rPr>
        <w:footnoteRef/>
      </w:r>
      <w:r>
        <w:t xml:space="preserve"> </w:t>
      </w:r>
      <w:r>
        <w:t xml:space="preserve">Hach 2024, PMID 39379664.</w:t>
      </w:r>
    </w:p>
  </w:footnote>
  <w:footnote w:id="2731">
    <w:p>
      <w:pPr>
        <w:pStyle w:val="FootnoteText"/>
      </w:pPr>
      <w:r>
        <w:rPr>
          <w:rStyle w:val="FootnoteReference"/>
        </w:rPr>
        <w:footnoteRef/>
      </w:r>
      <w:r>
        <w:t xml:space="preserve"> </w:t>
      </w:r>
      <w:r>
        <w:t xml:space="preserve">Tang 2025, PMID 40398094.</w:t>
      </w:r>
    </w:p>
  </w:footnote>
  <w:footnote w:id="2732">
    <w:p>
      <w:pPr>
        <w:pStyle w:val="FootnoteText"/>
      </w:pPr>
      <w:r>
        <w:rPr>
          <w:rStyle w:val="FootnoteReference"/>
        </w:rPr>
        <w:footnoteRef/>
      </w:r>
      <w:r>
        <w:t xml:space="preserve"> </w:t>
      </w:r>
      <w:r>
        <w:t xml:space="preserve">Janvier 2018, PMID 28941153.</w:t>
      </w:r>
    </w:p>
  </w:footnote>
  <w:footnote w:id="2736">
    <w:p>
      <w:pPr>
        <w:pStyle w:val="FootnoteText"/>
      </w:pPr>
      <w:r>
        <w:rPr>
          <w:rStyle w:val="FootnoteReference"/>
        </w:rPr>
        <w:footnoteRef/>
      </w:r>
      <w:r>
        <w:t xml:space="preserve"> </w:t>
      </w:r>
      <w:r>
        <w:t xml:space="preserve">Vanhee 2015, PMID 26003685.</w:t>
      </w:r>
    </w:p>
  </w:footnote>
  <w:footnote w:id="2738">
    <w:p>
      <w:pPr>
        <w:pStyle w:val="FootnoteText"/>
      </w:pPr>
      <w:r>
        <w:rPr>
          <w:rStyle w:val="FootnoteReference"/>
        </w:rPr>
        <w:footnoteRef/>
      </w:r>
      <w:r>
        <w:t xml:space="preserve"> </w:t>
      </w:r>
      <w:r>
        <w:t xml:space="preserve">Høj 2021, PMID 33686802.</w:t>
      </w:r>
    </w:p>
  </w:footnote>
  <w:footnote w:id="2739">
    <w:p>
      <w:pPr>
        <w:pStyle w:val="FootnoteText"/>
      </w:pPr>
      <w:r>
        <w:rPr>
          <w:rStyle w:val="FootnoteReference"/>
        </w:rPr>
        <w:footnoteRef/>
      </w:r>
      <w:r>
        <w:t xml:space="preserve"> </w:t>
      </w:r>
      <w:r>
        <w:t xml:space="preserve">Venhuis 2016, PMID 26456392.</w:t>
      </w:r>
    </w:p>
  </w:footnote>
  <w:footnote w:id="2740">
    <w:p>
      <w:pPr>
        <w:pStyle w:val="FootnoteText"/>
      </w:pPr>
      <w:r>
        <w:rPr>
          <w:rStyle w:val="FootnoteReference"/>
        </w:rPr>
        <w:footnoteRef/>
      </w:r>
      <w:r>
        <w:t xml:space="preserve"> </w:t>
      </w:r>
      <w:r>
        <w:t xml:space="preserve">Vanhee 2017, PMID 27390261.</w:t>
      </w:r>
    </w:p>
  </w:footnote>
  <w:footnote w:id="2741">
    <w:p>
      <w:pPr>
        <w:pStyle w:val="FootnoteText"/>
      </w:pPr>
      <w:r>
        <w:rPr>
          <w:rStyle w:val="FootnoteReference"/>
        </w:rPr>
        <w:footnoteRef/>
      </w:r>
      <w:r>
        <w:t xml:space="preserve"> </w:t>
      </w:r>
      <w:r>
        <w:t xml:space="preserve">Delcourt 2023, PMID 36482504.</w:t>
      </w:r>
    </w:p>
  </w:footnote>
  <w:footnote w:id="2742">
    <w:p>
      <w:pPr>
        <w:pStyle w:val="FootnoteText"/>
      </w:pPr>
      <w:r>
        <w:rPr>
          <w:rStyle w:val="FootnoteReference"/>
        </w:rPr>
        <w:footnoteRef/>
      </w:r>
      <w:r>
        <w:t xml:space="preserve"> </w:t>
      </w:r>
      <w:r>
        <w:t xml:space="preserve">Van Wagoner 2017, PMID 29183075.</w:t>
      </w:r>
    </w:p>
  </w:footnote>
  <w:footnote w:id="2744">
    <w:p>
      <w:pPr>
        <w:pStyle w:val="FootnoteText"/>
      </w:pPr>
      <w:r>
        <w:rPr>
          <w:rStyle w:val="FootnoteReference"/>
        </w:rPr>
        <w:footnoteRef/>
      </w:r>
      <w:r>
        <w:t xml:space="preserve"> </w:t>
      </w:r>
      <w:r>
        <w:t xml:space="preserve">Van Wagoner 2017, PMID 29183075.</w:t>
      </w:r>
    </w:p>
  </w:footnote>
  <w:footnote w:id="2745">
    <w:p>
      <w:pPr>
        <w:pStyle w:val="FootnoteText"/>
      </w:pPr>
      <w:r>
        <w:rPr>
          <w:rStyle w:val="FootnoteReference"/>
        </w:rPr>
        <w:footnoteRef/>
      </w:r>
      <w:r>
        <w:t xml:space="preserve"> </w:t>
      </w:r>
      <w:r>
        <w:t xml:space="preserve">Fabresse 2021, PMID 33838562.</w:t>
      </w:r>
    </w:p>
  </w:footnote>
  <w:footnote w:id="2746">
    <w:p>
      <w:pPr>
        <w:pStyle w:val="FootnoteText"/>
      </w:pPr>
      <w:r>
        <w:rPr>
          <w:rStyle w:val="FootnoteReference"/>
        </w:rPr>
        <w:footnoteRef/>
      </w:r>
      <w:r>
        <w:t xml:space="preserve"> </w:t>
      </w:r>
      <w:r>
        <w:t xml:space="preserve">Barrios 2025, PMID 40551438.</w:t>
      </w:r>
    </w:p>
  </w:footnote>
  <w:footnote w:id="2748">
    <w:p>
      <w:pPr>
        <w:pStyle w:val="FootnoteText"/>
      </w:pPr>
      <w:r>
        <w:rPr>
          <w:rStyle w:val="FootnoteReference"/>
        </w:rPr>
        <w:footnoteRef/>
      </w:r>
      <w:r>
        <w:t xml:space="preserve"> </w:t>
      </w:r>
      <w:r>
        <w:t xml:space="preserve">Janvier 2018, PMID 30029448.</w:t>
      </w:r>
    </w:p>
  </w:footnote>
  <w:footnote w:id="2749">
    <w:p>
      <w:pPr>
        <w:pStyle w:val="FootnoteText"/>
      </w:pPr>
      <w:r>
        <w:rPr>
          <w:rStyle w:val="FootnoteReference"/>
        </w:rPr>
        <w:footnoteRef/>
      </w:r>
      <w:r>
        <w:t xml:space="preserve"> </w:t>
      </w:r>
      <w:r>
        <w:t xml:space="preserve">Mongongu 2021, PMID 33587816.</w:t>
      </w:r>
    </w:p>
  </w:footnote>
  <w:footnote w:id="2750">
    <w:p>
      <w:pPr>
        <w:pStyle w:val="FootnoteText"/>
      </w:pPr>
      <w:r>
        <w:rPr>
          <w:rStyle w:val="FootnoteReference"/>
        </w:rPr>
        <w:footnoteRef/>
      </w:r>
      <w:r>
        <w:t xml:space="preserve"> </w:t>
      </w:r>
      <w:r>
        <w:t xml:space="preserve">Deville 2024, PMID 39302005.</w:t>
      </w:r>
    </w:p>
  </w:footnote>
  <w:footnote w:id="2751">
    <w:p>
      <w:pPr>
        <w:pStyle w:val="FootnoteText"/>
      </w:pPr>
      <w:r>
        <w:rPr>
          <w:rStyle w:val="FootnoteReference"/>
        </w:rPr>
        <w:footnoteRef/>
      </w:r>
      <w:r>
        <w:t xml:space="preserve"> </w:t>
      </w:r>
      <w:r>
        <w:t xml:space="preserve">Gajda 2019, PMID 30136411.</w:t>
      </w:r>
    </w:p>
  </w:footnote>
  <w:footnote w:id="2753">
    <w:p>
      <w:pPr>
        <w:pStyle w:val="FootnoteText"/>
      </w:pPr>
      <w:r>
        <w:rPr>
          <w:rStyle w:val="FootnoteReference"/>
        </w:rPr>
        <w:footnoteRef/>
      </w:r>
      <w:r>
        <w:t xml:space="preserve"> </w:t>
      </w:r>
      <w:r>
        <w:t xml:space="preserve">Janvier 2018, PMID 30029448.</w:t>
      </w:r>
    </w:p>
  </w:footnote>
  <w:footnote w:id="2754">
    <w:p>
      <w:pPr>
        <w:pStyle w:val="FootnoteText"/>
      </w:pPr>
      <w:r>
        <w:rPr>
          <w:rStyle w:val="FootnoteReference"/>
        </w:rPr>
        <w:footnoteRef/>
      </w:r>
      <w:r>
        <w:t xml:space="preserve"> </w:t>
      </w:r>
      <w:r>
        <w:t xml:space="preserve">Janvier 2018, PMID 28941153.</w:t>
      </w:r>
    </w:p>
  </w:footnote>
  <w:footnote w:id="2755">
    <w:p>
      <w:pPr>
        <w:pStyle w:val="FootnoteText"/>
      </w:pPr>
      <w:r>
        <w:rPr>
          <w:rStyle w:val="FootnoteReference"/>
        </w:rPr>
        <w:footnoteRef/>
      </w:r>
      <w:r>
        <w:t xml:space="preserve"> </w:t>
      </w:r>
      <w:r>
        <w:t xml:space="preserve">Ashraf 2024, PMID 39509151.</w:t>
      </w:r>
    </w:p>
  </w:footnote>
  <w:footnote w:id="2758">
    <w:p>
      <w:pPr>
        <w:pStyle w:val="FootnoteText"/>
      </w:pPr>
      <w:r>
        <w:rPr>
          <w:rStyle w:val="FootnoteReference"/>
        </w:rPr>
        <w:footnoteRef/>
      </w:r>
      <w:r>
        <w:t xml:space="preserve"> </w:t>
      </w:r>
      <w:r>
        <w:t xml:space="preserve">Deconinck 2021, PMID 33453144.</w:t>
      </w:r>
    </w:p>
  </w:footnote>
  <w:footnote w:id="2759">
    <w:p>
      <w:pPr>
        <w:pStyle w:val="FootnoteText"/>
      </w:pPr>
      <w:r>
        <w:rPr>
          <w:rStyle w:val="FootnoteReference"/>
        </w:rPr>
        <w:footnoteRef/>
      </w:r>
      <w:r>
        <w:t xml:space="preserve"> </w:t>
      </w:r>
      <w:r>
        <w:t xml:space="preserve">Vanhee 2015, PMID 25535022.</w:t>
      </w:r>
    </w:p>
  </w:footnote>
  <w:footnote w:id="2760">
    <w:p>
      <w:pPr>
        <w:pStyle w:val="FootnoteText"/>
      </w:pPr>
      <w:r>
        <w:rPr>
          <w:rStyle w:val="FootnoteReference"/>
        </w:rPr>
        <w:footnoteRef/>
      </w:r>
      <w:r>
        <w:t xml:space="preserve"> </w:t>
      </w:r>
      <w:r>
        <w:t xml:space="preserve">Vanhee 2020, PMID 31667971.</w:t>
      </w:r>
    </w:p>
  </w:footnote>
  <w:footnote w:id="2761">
    <w:p>
      <w:pPr>
        <w:pStyle w:val="FootnoteText"/>
      </w:pPr>
      <w:r>
        <w:rPr>
          <w:rStyle w:val="FootnoteReference"/>
        </w:rPr>
        <w:footnoteRef/>
      </w:r>
      <w:r>
        <w:t xml:space="preserve"> </w:t>
      </w:r>
      <w:r>
        <w:t xml:space="preserve">White 2026, PMID 41480958.</w:t>
      </w:r>
    </w:p>
  </w:footnote>
  <w:footnote w:id="2762">
    <w:p>
      <w:pPr>
        <w:pStyle w:val="FootnoteText"/>
      </w:pPr>
      <w:r>
        <w:rPr>
          <w:rStyle w:val="FootnoteReference"/>
        </w:rPr>
        <w:footnoteRef/>
      </w:r>
      <w:r>
        <w:t xml:space="preserve"> </w:t>
      </w:r>
      <w:r>
        <w:t xml:space="preserve">Barrios 2025, PMID 40551438.</w:t>
      </w:r>
    </w:p>
  </w:footnote>
  <w:footnote w:id="2765">
    <w:p>
      <w:pPr>
        <w:pStyle w:val="FootnoteText"/>
      </w:pPr>
      <w:r>
        <w:rPr>
          <w:rStyle w:val="FootnoteReference"/>
        </w:rPr>
        <w:footnoteRef/>
      </w:r>
      <w:r>
        <w:t xml:space="preserve"> </w:t>
      </w:r>
      <w:r>
        <w:t xml:space="preserve">Gaw 2024, PMID 38421490.</w:t>
      </w:r>
    </w:p>
  </w:footnote>
  <w:footnote w:id="2766">
    <w:p>
      <w:pPr>
        <w:pStyle w:val="FootnoteText"/>
      </w:pPr>
      <w:r>
        <w:rPr>
          <w:rStyle w:val="FootnoteReference"/>
        </w:rPr>
        <w:footnoteRef/>
      </w:r>
      <w:r>
        <w:t xml:space="preserve"> </w:t>
      </w:r>
      <w:r>
        <w:t xml:space="preserve">Senthilkumar 2026, PMID 41784916.</w:t>
      </w:r>
    </w:p>
  </w:footnote>
  <w:footnote w:id="2767">
    <w:p>
      <w:pPr>
        <w:pStyle w:val="FootnoteText"/>
      </w:pPr>
      <w:r>
        <w:rPr>
          <w:rStyle w:val="FootnoteReference"/>
        </w:rPr>
        <w:footnoteRef/>
      </w:r>
      <w:r>
        <w:t xml:space="preserve"> </w:t>
      </w:r>
      <w:r>
        <w:t xml:space="preserve">Gaw 2024, PMID 38421490; Ho 2025, PMID 40371098.</w:t>
      </w:r>
    </w:p>
  </w:footnote>
  <w:footnote w:id="2768">
    <w:p>
      <w:pPr>
        <w:pStyle w:val="FootnoteText"/>
      </w:pPr>
      <w:r>
        <w:rPr>
          <w:rStyle w:val="FootnoteReference"/>
        </w:rPr>
        <w:footnoteRef/>
      </w:r>
      <w:r>
        <w:t xml:space="preserve"> </w:t>
      </w:r>
      <w:r>
        <w:t xml:space="preserve">Marshall 2024, PMID 38861153.</w:t>
      </w:r>
    </w:p>
  </w:footnote>
  <w:footnote w:id="2769">
    <w:p>
      <w:pPr>
        <w:pStyle w:val="FootnoteText"/>
      </w:pPr>
      <w:r>
        <w:rPr>
          <w:rStyle w:val="FootnoteReference"/>
        </w:rPr>
        <w:footnoteRef/>
      </w:r>
      <w:r>
        <w:t xml:space="preserve"> </w:t>
      </w:r>
      <w:r>
        <w:t xml:space="preserve">Ho 2025, PMID 40371098.</w:t>
      </w:r>
    </w:p>
  </w:footnote>
  <w:footnote w:id="2770">
    <w:p>
      <w:pPr>
        <w:pStyle w:val="FootnoteText"/>
      </w:pPr>
      <w:r>
        <w:rPr>
          <w:rStyle w:val="FootnoteReference"/>
        </w:rPr>
        <w:footnoteRef/>
      </w:r>
      <w:r>
        <w:t xml:space="preserve"> </w:t>
      </w:r>
      <w:r>
        <w:t xml:space="preserve">Gaw 2024, PMID 38421490; Senthilkumar 2026, PMID 41784916.</w:t>
      </w:r>
    </w:p>
  </w:footnote>
  <w:footnote w:id="2771">
    <w:p>
      <w:pPr>
        <w:pStyle w:val="FootnoteText"/>
      </w:pPr>
      <w:r>
        <w:rPr>
          <w:rStyle w:val="FootnoteReference"/>
        </w:rPr>
        <w:footnoteRef/>
      </w:r>
      <w:r>
        <w:t xml:space="preserve"> </w:t>
      </w:r>
      <w:r>
        <w:t xml:space="preserve">Muschler 2025, PMID 39803696.</w:t>
      </w:r>
    </w:p>
  </w:footnote>
  <w:footnote w:id="2772">
    <w:p>
      <w:pPr>
        <w:pStyle w:val="FootnoteText"/>
      </w:pPr>
      <w:r>
        <w:rPr>
          <w:rStyle w:val="FootnoteReference"/>
        </w:rPr>
        <w:footnoteRef/>
      </w:r>
      <w:r>
        <w:t xml:space="preserve"> </w:t>
      </w:r>
      <w:r>
        <w:t xml:space="preserve">Ho 2025, PMID 40371098.</w:t>
      </w:r>
    </w:p>
  </w:footnote>
  <w:footnote w:id="2773">
    <w:p>
      <w:pPr>
        <w:pStyle w:val="FootnoteText"/>
      </w:pPr>
      <w:r>
        <w:rPr>
          <w:rStyle w:val="FootnoteReference"/>
        </w:rPr>
        <w:footnoteRef/>
      </w:r>
      <w:r>
        <w:t xml:space="preserve"> </w:t>
      </w:r>
      <w:r>
        <w:t xml:space="preserve">Marshall 2024, PMID 38861153.</w:t>
      </w:r>
    </w:p>
  </w:footnote>
  <w:footnote w:id="2774">
    <w:p>
      <w:pPr>
        <w:pStyle w:val="FootnoteText"/>
      </w:pPr>
      <w:r>
        <w:rPr>
          <w:rStyle w:val="FootnoteReference"/>
        </w:rPr>
        <w:footnoteRef/>
      </w:r>
      <w:r>
        <w:t xml:space="preserve"> </w:t>
      </w:r>
      <w:r>
        <w:t xml:space="preserve">Kraft 2026, PMID 42194666.</w:t>
      </w:r>
    </w:p>
  </w:footnote>
  <w:footnote w:id="2775">
    <w:p>
      <w:pPr>
        <w:pStyle w:val="FootnoteText"/>
      </w:pPr>
      <w:r>
        <w:rPr>
          <w:rStyle w:val="FootnoteReference"/>
        </w:rPr>
        <w:footnoteRef/>
      </w:r>
      <w:r>
        <w:t xml:space="preserve"> </w:t>
      </w:r>
      <w:r>
        <w:t xml:space="preserve">Senthilkumar 2026, PMID 41784916.</w:t>
      </w:r>
    </w:p>
  </w:footnote>
  <w:footnote w:id="2780">
    <w:p>
      <w:pPr>
        <w:pStyle w:val="FootnoteText"/>
      </w:pPr>
      <w:r>
        <w:rPr>
          <w:rStyle w:val="FootnoteReference"/>
        </w:rPr>
        <w:footnoteRef/>
      </w:r>
      <w:r>
        <w:t xml:space="preserve"> </w:t>
      </w:r>
      <w:r>
        <w:t xml:space="preserve">Cesta 2024, PMID 38079178.</w:t>
      </w:r>
    </w:p>
  </w:footnote>
  <w:footnote w:id="2781">
    <w:p>
      <w:pPr>
        <w:pStyle w:val="FootnoteText"/>
      </w:pPr>
      <w:r>
        <w:rPr>
          <w:rStyle w:val="FootnoteReference"/>
        </w:rPr>
        <w:footnoteRef/>
      </w:r>
      <w:r>
        <w:t xml:space="preserve"> </w:t>
      </w:r>
      <w:r>
        <w:t xml:space="preserve">Dao 2024, PMID 38663923.</w:t>
      </w:r>
    </w:p>
  </w:footnote>
  <w:footnote w:id="2782">
    <w:p>
      <w:pPr>
        <w:pStyle w:val="FootnoteText"/>
      </w:pPr>
      <w:r>
        <w:rPr>
          <w:rStyle w:val="FootnoteReference"/>
        </w:rPr>
        <w:footnoteRef/>
      </w:r>
      <w:r>
        <w:t xml:space="preserve"> </w:t>
      </w:r>
      <w:r>
        <w:t xml:space="preserve">Brown 2026, PMID 42258827.</w:t>
      </w:r>
    </w:p>
  </w:footnote>
  <w:footnote w:id="2783">
    <w:p>
      <w:pPr>
        <w:pStyle w:val="FootnoteText"/>
      </w:pPr>
      <w:r>
        <w:rPr>
          <w:rStyle w:val="FootnoteReference"/>
        </w:rPr>
        <w:footnoteRef/>
      </w:r>
      <w:r>
        <w:t xml:space="preserve"> </w:t>
      </w:r>
      <w:r>
        <w:t xml:space="preserve">Uysal 2026, PMID 42420519.</w:t>
      </w:r>
    </w:p>
  </w:footnote>
  <w:footnote w:id="2784">
    <w:p>
      <w:pPr>
        <w:pStyle w:val="FootnoteText"/>
      </w:pPr>
      <w:r>
        <w:rPr>
          <w:rStyle w:val="FootnoteReference"/>
        </w:rPr>
        <w:footnoteRef/>
      </w:r>
      <w:r>
        <w:t xml:space="preserve"> </w:t>
      </w:r>
      <w:r>
        <w:t xml:space="preserve">NCT06867835.</w:t>
      </w:r>
    </w:p>
  </w:footnote>
  <w:footnote w:id="2786">
    <w:p>
      <w:pPr>
        <w:pStyle w:val="FootnoteText"/>
      </w:pPr>
      <w:r>
        <w:rPr>
          <w:rStyle w:val="FootnoteReference"/>
        </w:rPr>
        <w:footnoteRef/>
      </w:r>
      <w:r>
        <w:t xml:space="preserve"> </w:t>
      </w:r>
      <w:r>
        <w:t xml:space="preserve">Kapitza 2015, PMID 25475122.</w:t>
      </w:r>
    </w:p>
  </w:footnote>
  <w:footnote w:id="2787">
    <w:p>
      <w:pPr>
        <w:pStyle w:val="FootnoteText"/>
      </w:pPr>
      <w:r>
        <w:rPr>
          <w:rStyle w:val="FootnoteReference"/>
        </w:rPr>
        <w:footnoteRef/>
      </w:r>
      <w:r>
        <w:t xml:space="preserve"> </w:t>
      </w:r>
      <w:r>
        <w:t xml:space="preserve">Skelley 2024, PMID 37940101.</w:t>
      </w:r>
    </w:p>
  </w:footnote>
  <w:footnote w:id="2788">
    <w:p>
      <w:pPr>
        <w:pStyle w:val="FootnoteText"/>
      </w:pPr>
      <w:r>
        <w:rPr>
          <w:rStyle w:val="FootnoteReference"/>
        </w:rPr>
        <w:footnoteRef/>
      </w:r>
      <w:r>
        <w:t xml:space="preserve"> </w:t>
      </w:r>
      <w:r>
        <w:t xml:space="preserve">Clayton 2022, PMID 35147466.</w:t>
      </w:r>
    </w:p>
  </w:footnote>
  <w:footnote w:id="2789">
    <w:p>
      <w:pPr>
        <w:pStyle w:val="FootnoteText"/>
      </w:pPr>
      <w:r>
        <w:rPr>
          <w:rStyle w:val="FootnoteReference"/>
        </w:rPr>
        <w:footnoteRef/>
      </w:r>
      <w:r>
        <w:t xml:space="preserve"> </w:t>
      </w:r>
      <w:r>
        <w:t xml:space="preserve">Lissy 2021, PMID 32961034.</w:t>
      </w:r>
    </w:p>
  </w:footnote>
  <w:footnote w:id="2791">
    <w:p>
      <w:pPr>
        <w:pStyle w:val="FootnoteText"/>
      </w:pPr>
      <w:r>
        <w:rPr>
          <w:rStyle w:val="FootnoteReference"/>
        </w:rPr>
        <w:footnoteRef/>
      </w:r>
      <w:r>
        <w:t xml:space="preserve"> </w:t>
      </w:r>
      <w:r>
        <w:t xml:space="preserve">Baig 2025, PMID 39694296.</w:t>
      </w:r>
    </w:p>
  </w:footnote>
  <w:footnote w:id="2792">
    <w:p>
      <w:pPr>
        <w:pStyle w:val="FootnoteText"/>
      </w:pPr>
      <w:r>
        <w:rPr>
          <w:rStyle w:val="FootnoteReference"/>
        </w:rPr>
        <w:footnoteRef/>
      </w:r>
      <w:r>
        <w:t xml:space="preserve"> </w:t>
      </w:r>
      <w:r>
        <w:t xml:space="preserve">Vlaeminck 2026, PMID 41631344.</w:t>
      </w:r>
    </w:p>
  </w:footnote>
  <w:footnote w:id="2793">
    <w:p>
      <w:pPr>
        <w:pStyle w:val="FootnoteText"/>
      </w:pPr>
      <w:r>
        <w:rPr>
          <w:rStyle w:val="FootnoteReference"/>
        </w:rPr>
        <w:footnoteRef/>
      </w:r>
      <w:r>
        <w:t xml:space="preserve"> </w:t>
      </w:r>
      <w:r>
        <w:t xml:space="preserve">Wu 2026, PMID 40940281.</w:t>
      </w:r>
    </w:p>
  </w:footnote>
  <w:footnote w:id="2794">
    <w:p>
      <w:pPr>
        <w:pStyle w:val="FootnoteText"/>
      </w:pPr>
      <w:r>
        <w:rPr>
          <w:rStyle w:val="FootnoteReference"/>
        </w:rPr>
        <w:footnoteRef/>
      </w:r>
      <w:r>
        <w:t xml:space="preserve"> </w:t>
      </w:r>
      <w:r>
        <w:t xml:space="preserve">NCT07276763.</w:t>
      </w:r>
    </w:p>
  </w:footnote>
  <w:footnote w:id="2796">
    <w:p>
      <w:pPr>
        <w:pStyle w:val="FootnoteText"/>
      </w:pPr>
      <w:r>
        <w:rPr>
          <w:rStyle w:val="FootnoteReference"/>
        </w:rPr>
        <w:footnoteRef/>
      </w:r>
      <w:r>
        <w:t xml:space="preserve"> </w:t>
      </w:r>
      <w:r>
        <w:t xml:space="preserve">Kendall 2005, PMID 15855571.</w:t>
      </w:r>
    </w:p>
  </w:footnote>
  <w:footnote w:id="2797">
    <w:p>
      <w:pPr>
        <w:pStyle w:val="FootnoteText"/>
      </w:pPr>
      <w:r>
        <w:rPr>
          <w:rStyle w:val="FootnoteReference"/>
        </w:rPr>
        <w:footnoteRef/>
      </w:r>
      <w:r>
        <w:t xml:space="preserve"> </w:t>
      </w:r>
      <w:r>
        <w:t xml:space="preserve">Edelman 2006, PMID 17003291.</w:t>
      </w:r>
    </w:p>
  </w:footnote>
  <w:footnote w:id="2799">
    <w:p>
      <w:pPr>
        <w:pStyle w:val="FootnoteText"/>
      </w:pPr>
      <w:r>
        <w:rPr>
          <w:rStyle w:val="FootnoteReference"/>
        </w:rPr>
        <w:footnoteRef/>
      </w:r>
      <w:r>
        <w:t xml:space="preserve"> </w:t>
      </w:r>
      <w:r>
        <w:t xml:space="preserve">Kelly 2020, PMID 32233338.</w:t>
      </w:r>
    </w:p>
  </w:footnote>
  <w:footnote w:id="2800">
    <w:p>
      <w:pPr>
        <w:pStyle w:val="FootnoteText"/>
      </w:pPr>
      <w:r>
        <w:rPr>
          <w:rStyle w:val="FootnoteReference"/>
        </w:rPr>
        <w:footnoteRef/>
      </w:r>
      <w:r>
        <w:t xml:space="preserve"> </w:t>
      </w:r>
      <w:r>
        <w:t xml:space="preserve">Silva 2026, PMID 42115753.</w:t>
      </w:r>
    </w:p>
  </w:footnote>
  <w:footnote w:id="2801">
    <w:p>
      <w:pPr>
        <w:pStyle w:val="FootnoteText"/>
      </w:pPr>
      <w:r>
        <w:rPr>
          <w:rStyle w:val="FootnoteReference"/>
        </w:rPr>
        <w:footnoteRef/>
      </w:r>
      <w:r>
        <w:t xml:space="preserve"> </w:t>
      </w:r>
      <w:r>
        <w:t xml:space="preserve">Senthilkumar 2026, PMID 41784916.</w:t>
      </w:r>
    </w:p>
  </w:footnote>
  <w:footnote w:id="2802">
    <w:p>
      <w:pPr>
        <w:pStyle w:val="FootnoteText"/>
      </w:pPr>
      <w:r>
        <w:rPr>
          <w:rStyle w:val="FootnoteReference"/>
        </w:rPr>
        <w:footnoteRef/>
      </w:r>
      <w:r>
        <w:t xml:space="preserve"> </w:t>
      </w:r>
      <w:r>
        <w:t xml:space="preserve">Coutinho 2026, PMID 41880199.</w:t>
      </w:r>
    </w:p>
  </w:footnote>
  <w:footnote w:id="2804">
    <w:p>
      <w:pPr>
        <w:pStyle w:val="FootnoteText"/>
      </w:pPr>
      <w:r>
        <w:rPr>
          <w:rStyle w:val="FootnoteReference"/>
        </w:rPr>
        <w:footnoteRef/>
      </w:r>
      <w:r>
        <w:t xml:space="preserve"> </w:t>
      </w:r>
      <w:r>
        <w:t xml:space="preserve">Liu 2007, PMID 17227934.</w:t>
      </w:r>
    </w:p>
  </w:footnote>
  <w:footnote w:id="2805">
    <w:p>
      <w:pPr>
        <w:pStyle w:val="FootnoteText"/>
      </w:pPr>
      <w:r>
        <w:rPr>
          <w:rStyle w:val="FootnoteReference"/>
        </w:rPr>
        <w:footnoteRef/>
      </w:r>
      <w:r>
        <w:t xml:space="preserve"> </w:t>
      </w:r>
      <w:r>
        <w:t xml:space="preserve">Adunsky 2011, PMID 21067829.</w:t>
      </w:r>
    </w:p>
  </w:footnote>
  <w:footnote w:id="2807">
    <w:p>
      <w:pPr>
        <w:pStyle w:val="FootnoteText"/>
      </w:pPr>
      <w:r>
        <w:rPr>
          <w:rStyle w:val="FootnoteReference"/>
        </w:rPr>
        <w:footnoteRef/>
      </w:r>
      <w:r>
        <w:t xml:space="preserve"> </w:t>
      </w:r>
      <w:r>
        <w:t xml:space="preserve">Look 2025, PMID 39996356.</w:t>
      </w:r>
    </w:p>
  </w:footnote>
  <w:footnote w:id="2808">
    <w:p>
      <w:pPr>
        <w:pStyle w:val="FootnoteText"/>
      </w:pPr>
      <w:r>
        <w:rPr>
          <w:rStyle w:val="FootnoteReference"/>
        </w:rPr>
        <w:footnoteRef/>
      </w:r>
      <w:r>
        <w:t xml:space="preserve"> </w:t>
      </w:r>
      <w:r>
        <w:t xml:space="preserve">Karakasis 2025, PMID 39719170.</w:t>
      </w:r>
    </w:p>
  </w:footnote>
  <w:footnote w:id="2809">
    <w:p>
      <w:pPr>
        <w:pStyle w:val="FootnoteText"/>
      </w:pPr>
      <w:r>
        <w:rPr>
          <w:rStyle w:val="FootnoteReference"/>
        </w:rPr>
        <w:footnoteRef/>
      </w:r>
      <w:r>
        <w:t xml:space="preserve"> </w:t>
      </w:r>
      <w:r>
        <w:t xml:space="preserve">Batsis 2026, PMID 41996180.</w:t>
      </w:r>
    </w:p>
  </w:footnote>
  <w:footnote w:id="2810">
    <w:p>
      <w:pPr>
        <w:pStyle w:val="FootnoteText"/>
      </w:pPr>
      <w:r>
        <w:rPr>
          <w:rStyle w:val="FootnoteReference"/>
        </w:rPr>
        <w:footnoteRef/>
      </w:r>
      <w:r>
        <w:t xml:space="preserve"> </w:t>
      </w:r>
      <w:r>
        <w:t xml:space="preserve">Laverde 2026, PMID 42321502.</w:t>
      </w:r>
    </w:p>
  </w:footnote>
  <w:footnote w:id="2812">
    <w:p>
      <w:pPr>
        <w:pStyle w:val="FootnoteText"/>
      </w:pPr>
      <w:r>
        <w:rPr>
          <w:rStyle w:val="FootnoteReference"/>
        </w:rPr>
        <w:footnoteRef/>
      </w:r>
      <w:r>
        <w:t xml:space="preserve"> </w:t>
      </w:r>
      <w:r>
        <w:t xml:space="preserve">Guerdjikova 2024, PMID 38329147.</w:t>
      </w:r>
    </w:p>
  </w:footnote>
  <w:footnote w:id="2813">
    <w:p>
      <w:pPr>
        <w:pStyle w:val="FootnoteText"/>
      </w:pPr>
      <w:r>
        <w:rPr>
          <w:rStyle w:val="FootnoteReference"/>
        </w:rPr>
        <w:footnoteRef/>
      </w:r>
      <w:r>
        <w:t xml:space="preserve"> </w:t>
      </w:r>
      <w:r>
        <w:t xml:space="preserve">Peiper 2026, PMID 42340738.</w:t>
      </w:r>
    </w:p>
  </w:footnote>
  <w:footnote w:id="2814">
    <w:p>
      <w:pPr>
        <w:pStyle w:val="FootnoteText"/>
      </w:pPr>
      <w:r>
        <w:rPr>
          <w:rStyle w:val="FootnoteReference"/>
        </w:rPr>
        <w:footnoteRef/>
      </w:r>
      <w:r>
        <w:t xml:space="preserve"> </w:t>
      </w:r>
      <w:r>
        <w:t xml:space="preserve">Keshen 2026, PMID 42742590.</w:t>
      </w:r>
    </w:p>
  </w:footnote>
  <w:footnote w:id="2815">
    <w:p>
      <w:pPr>
        <w:pStyle w:val="FootnoteText"/>
      </w:pPr>
      <w:r>
        <w:rPr>
          <w:rStyle w:val="FootnoteReference"/>
        </w:rPr>
        <w:footnoteRef/>
      </w:r>
      <w:r>
        <w:t xml:space="preserve"> </w:t>
      </w:r>
      <w:r>
        <w:t xml:space="preserve">Keshen 2026, PMID 42742590.</w:t>
      </w:r>
    </w:p>
  </w:footnote>
  <w:footnote w:id="2817">
    <w:p>
      <w:pPr>
        <w:pStyle w:val="FootnoteText"/>
      </w:pPr>
      <w:r>
        <w:rPr>
          <w:rStyle w:val="FootnoteReference"/>
        </w:rPr>
        <w:footnoteRef/>
      </w:r>
      <w:r>
        <w:t xml:space="preserve"> </w:t>
      </w:r>
      <w:r>
        <w:t xml:space="preserve">Borschel 2026, PMID 42874322.</w:t>
      </w:r>
    </w:p>
  </w:footnote>
  <w:footnote w:id="2818">
    <w:p>
      <w:pPr>
        <w:pStyle w:val="FootnoteText"/>
      </w:pPr>
      <w:r>
        <w:rPr>
          <w:rStyle w:val="FootnoteReference"/>
        </w:rPr>
        <w:footnoteRef/>
      </w:r>
      <w:r>
        <w:t xml:space="preserve"> </w:t>
      </w:r>
      <w:r>
        <w:t xml:space="preserve">Barrios 2025, PMID 40551438.</w:t>
      </w:r>
    </w:p>
  </w:footnote>
  <w:footnote w:id="2819">
    <w:p>
      <w:pPr>
        <w:pStyle w:val="FootnoteText"/>
      </w:pPr>
      <w:r>
        <w:rPr>
          <w:rStyle w:val="FootnoteReference"/>
        </w:rPr>
        <w:footnoteRef/>
      </w:r>
      <w:r>
        <w:t xml:space="preserve"> </w:t>
      </w:r>
      <w:r>
        <w:t xml:space="preserve">Gajda 2019, PMID 30136411.</w:t>
      </w:r>
    </w:p>
  </w:footnote>
  <w:footnote w:id="2820">
    <w:p>
      <w:pPr>
        <w:pStyle w:val="FootnoteText"/>
      </w:pPr>
      <w:r>
        <w:rPr>
          <w:rStyle w:val="FootnoteReference"/>
        </w:rPr>
        <w:footnoteRef/>
      </w:r>
      <w:r>
        <w:t xml:space="preserve"> </w:t>
      </w:r>
      <w:r>
        <w:t xml:space="preserve">La Vignera 2026, PMID 42511463.</w:t>
      </w:r>
    </w:p>
  </w:footnote>
  <w:footnote w:id="2821">
    <w:p>
      <w:pPr>
        <w:pStyle w:val="FootnoteText"/>
      </w:pPr>
      <w:r>
        <w:rPr>
          <w:rStyle w:val="FootnoteReference"/>
        </w:rPr>
        <w:footnoteRef/>
      </w:r>
      <w:r>
        <w:t xml:space="preserve"> </w:t>
      </w:r>
      <w:r>
        <w:t xml:space="preserve">Villegas Meza 2026, PMID 42160466.</w:t>
      </w:r>
    </w:p>
  </w:footnote>
  <w:footnote w:id="2826">
    <w:p>
      <w:pPr>
        <w:pStyle w:val="FootnoteText"/>
      </w:pPr>
      <w:r>
        <w:rPr>
          <w:rStyle w:val="FootnoteReference"/>
        </w:rPr>
        <w:footnoteRef/>
      </w:r>
      <w:r>
        <w:t xml:space="preserve"> </w:t>
      </w:r>
      <w:r>
        <w:t xml:space="preserve">NCT07543458.</w:t>
      </w:r>
    </w:p>
  </w:footnote>
  <w:footnote w:id="2827">
    <w:p>
      <w:pPr>
        <w:pStyle w:val="FootnoteText"/>
      </w:pPr>
      <w:r>
        <w:rPr>
          <w:rStyle w:val="FootnoteReference"/>
        </w:rPr>
        <w:footnoteRef/>
      </w:r>
      <w:r>
        <w:t xml:space="preserve"> </w:t>
      </w:r>
      <w:r>
        <w:t xml:space="preserve">NCT04020055, NCT06904261.</w:t>
      </w:r>
    </w:p>
  </w:footnote>
  <w:footnote w:id="2829">
    <w:p>
      <w:pPr>
        <w:pStyle w:val="FootnoteText"/>
      </w:pPr>
      <w:r>
        <w:rPr>
          <w:rStyle w:val="FootnoteReference"/>
        </w:rPr>
        <w:footnoteRef/>
      </w:r>
      <w:r>
        <w:t xml:space="preserve"> </w:t>
      </w:r>
      <w:r>
        <w:t xml:space="preserve">NCT05086614.</w:t>
      </w:r>
    </w:p>
  </w:footnote>
  <w:footnote w:id="2830">
    <w:p>
      <w:pPr>
        <w:pStyle w:val="FootnoteText"/>
      </w:pPr>
      <w:r>
        <w:rPr>
          <w:rStyle w:val="FootnoteReference"/>
        </w:rPr>
        <w:footnoteRef/>
      </w:r>
      <w:r>
        <w:t xml:space="preserve"> </w:t>
      </w:r>
      <w:r>
        <w:t xml:space="preserve">NCT05555589.</w:t>
      </w:r>
    </w:p>
  </w:footnote>
  <w:footnote w:id="2831">
    <w:p>
      <w:pPr>
        <w:pStyle w:val="FootnoteText"/>
      </w:pPr>
      <w:r>
        <w:rPr>
          <w:rStyle w:val="FootnoteReference"/>
        </w:rPr>
        <w:footnoteRef/>
      </w:r>
      <w:r>
        <w:t xml:space="preserve"> </w:t>
      </w:r>
      <w:r>
        <w:t xml:space="preserve">NCT06373731.</w:t>
      </w:r>
    </w:p>
  </w:footnote>
  <w:footnote w:id="2832">
    <w:p>
      <w:pPr>
        <w:pStyle w:val="FootnoteText"/>
      </w:pPr>
      <w:r>
        <w:rPr>
          <w:rStyle w:val="FootnoteReference"/>
        </w:rPr>
        <w:footnoteRef/>
      </w:r>
      <w:r>
        <w:t xml:space="preserve"> </w:t>
      </w:r>
      <w:r>
        <w:t xml:space="preserve">NCT06109649.</w:t>
      </w:r>
    </w:p>
  </w:footnote>
  <w:footnote w:id="2833">
    <w:p>
      <w:pPr>
        <w:pStyle w:val="FootnoteText"/>
      </w:pPr>
      <w:r>
        <w:rPr>
          <w:rStyle w:val="FootnoteReference"/>
        </w:rPr>
        <w:footnoteRef/>
      </w:r>
      <w:r>
        <w:t xml:space="preserve"> </w:t>
      </w:r>
      <w:r>
        <w:t xml:space="preserve">NCT06948214.</w:t>
      </w:r>
    </w:p>
  </w:footnote>
  <w:footnote w:id="2834">
    <w:p>
      <w:pPr>
        <w:pStyle w:val="FootnoteText"/>
      </w:pPr>
      <w:r>
        <w:rPr>
          <w:rStyle w:val="FootnoteReference"/>
        </w:rPr>
        <w:footnoteRef/>
      </w:r>
      <w:r>
        <w:t xml:space="preserve"> </w:t>
      </w:r>
      <w:r>
        <w:t xml:space="preserve">NCT04903002.</w:t>
      </w:r>
    </w:p>
  </w:footnote>
  <w:footnote w:id="2835">
    <w:p>
      <w:pPr>
        <w:pStyle w:val="FootnoteText"/>
      </w:pPr>
      <w:r>
        <w:rPr>
          <w:rStyle w:val="FootnoteReference"/>
        </w:rPr>
        <w:footnoteRef/>
      </w:r>
      <w:r>
        <w:t xml:space="preserve"> </w:t>
      </w:r>
      <w:r>
        <w:t xml:space="preserve">NCT07675980.</w:t>
      </w:r>
    </w:p>
  </w:footnote>
  <w:footnote w:id="2838">
    <w:p>
      <w:pPr>
        <w:pStyle w:val="FootnoteText"/>
      </w:pPr>
      <w:r>
        <w:rPr>
          <w:rStyle w:val="FootnoteReference"/>
        </w:rPr>
        <w:footnoteRef/>
      </w:r>
      <w:r>
        <w:t xml:space="preserve"> </w:t>
      </w:r>
      <w:r>
        <w:t xml:space="preserve">NCT06662383.</w:t>
      </w:r>
    </w:p>
  </w:footnote>
  <w:footnote w:id="2839">
    <w:p>
      <w:pPr>
        <w:pStyle w:val="FootnoteText"/>
      </w:pPr>
      <w:r>
        <w:rPr>
          <w:rStyle w:val="FootnoteReference"/>
        </w:rPr>
        <w:footnoteRef/>
      </w:r>
      <w:r>
        <w:t xml:space="preserve"> </w:t>
      </w:r>
      <w:r>
        <w:t xml:space="preserve">NCT07889648.</w:t>
      </w:r>
    </w:p>
  </w:footnote>
  <w:footnote w:id="2840">
    <w:p>
      <w:pPr>
        <w:pStyle w:val="FootnoteText"/>
      </w:pPr>
      <w:r>
        <w:rPr>
          <w:rStyle w:val="FootnoteReference"/>
        </w:rPr>
        <w:footnoteRef/>
      </w:r>
      <w:r>
        <w:t xml:space="preserve"> </w:t>
      </w:r>
      <w:r>
        <w:t xml:space="preserve">NCT06780449.</w:t>
      </w:r>
    </w:p>
  </w:footnote>
  <w:footnote w:id="2841">
    <w:p>
      <w:pPr>
        <w:pStyle w:val="FootnoteText"/>
      </w:pPr>
      <w:r>
        <w:rPr>
          <w:rStyle w:val="FootnoteReference"/>
        </w:rPr>
        <w:footnoteRef/>
      </w:r>
      <w:r>
        <w:t xml:space="preserve"> </w:t>
      </w:r>
      <w:r>
        <w:t xml:space="preserve">NCT07575399.</w:t>
      </w:r>
    </w:p>
  </w:footnote>
  <w:footnote w:id="2842">
    <w:p>
      <w:pPr>
        <w:pStyle w:val="FootnoteText"/>
      </w:pPr>
      <w:r>
        <w:rPr>
          <w:rStyle w:val="FootnoteReference"/>
        </w:rPr>
        <w:footnoteRef/>
      </w:r>
      <w:r>
        <w:t xml:space="preserve"> </w:t>
      </w:r>
      <w:r>
        <w:t xml:space="preserve">NCT07845500.</w:t>
      </w:r>
    </w:p>
  </w:footnote>
  <w:footnote w:id="2843">
    <w:p>
      <w:pPr>
        <w:pStyle w:val="FootnoteText"/>
      </w:pPr>
      <w:r>
        <w:rPr>
          <w:rStyle w:val="FootnoteReference"/>
        </w:rPr>
        <w:footnoteRef/>
      </w:r>
      <w:r>
        <w:t xml:space="preserve"> </w:t>
      </w:r>
      <w:r>
        <w:t xml:space="preserve">Aronne 2024, PMID 38078870.</w:t>
      </w:r>
    </w:p>
  </w:footnote>
  <w:footnote w:id="2844">
    <w:p>
      <w:pPr>
        <w:pStyle w:val="FootnoteText"/>
      </w:pPr>
      <w:r>
        <w:rPr>
          <w:rStyle w:val="FootnoteReference"/>
        </w:rPr>
        <w:footnoteRef/>
      </w:r>
      <w:r>
        <w:t xml:space="preserve"> </w:t>
      </w:r>
      <w:r>
        <w:t xml:space="preserve">NCT06257966.</w:t>
      </w:r>
    </w:p>
  </w:footnote>
  <w:footnote w:id="2845">
    <w:p>
      <w:pPr>
        <w:pStyle w:val="FootnoteText"/>
      </w:pPr>
      <w:r>
        <w:rPr>
          <w:rStyle w:val="FootnoteReference"/>
        </w:rPr>
        <w:footnoteRef/>
      </w:r>
      <w:r>
        <w:t xml:space="preserve"> </w:t>
      </w:r>
      <w:r>
        <w:t xml:space="preserve">NCT06439277, NCT07817875.</w:t>
      </w:r>
    </w:p>
  </w:footnote>
  <w:footnote w:id="2846">
    <w:p>
      <w:pPr>
        <w:pStyle w:val="FootnoteText"/>
      </w:pPr>
      <w:r>
        <w:rPr>
          <w:rStyle w:val="FootnoteReference"/>
        </w:rPr>
        <w:footnoteRef/>
      </w:r>
      <w:r>
        <w:t xml:space="preserve"> </w:t>
      </w:r>
      <w:r>
        <w:t xml:space="preserve">NCT06672939.</w:t>
      </w:r>
    </w:p>
  </w:footnote>
  <w:footnote w:id="2848">
    <w:p>
      <w:pPr>
        <w:pStyle w:val="FootnoteText"/>
      </w:pPr>
      <w:r>
        <w:rPr>
          <w:rStyle w:val="FootnoteReference"/>
        </w:rPr>
        <w:footnoteRef/>
      </w:r>
      <w:r>
        <w:t xml:space="preserve"> </w:t>
      </w:r>
      <w:r>
        <w:t xml:space="preserve">Jastreboff 2023, PMID 37366315.</w:t>
      </w:r>
    </w:p>
  </w:footnote>
  <w:footnote w:id="2849">
    <w:p>
      <w:pPr>
        <w:pStyle w:val="FootnoteText"/>
      </w:pPr>
      <w:r>
        <w:rPr>
          <w:rStyle w:val="FootnoteReference"/>
        </w:rPr>
        <w:footnoteRef/>
      </w:r>
      <w:r>
        <w:t xml:space="preserve"> </w:t>
      </w:r>
      <w:r>
        <w:t xml:space="preserve">Jastreboff 2026, PMID 42814954.</w:t>
      </w:r>
    </w:p>
  </w:footnote>
  <w:footnote w:id="2850">
    <w:p>
      <w:pPr>
        <w:pStyle w:val="FootnoteText"/>
      </w:pPr>
      <w:r>
        <w:rPr>
          <w:rStyle w:val="FootnoteReference"/>
        </w:rPr>
        <w:footnoteRef/>
      </w:r>
      <w:r>
        <w:t xml:space="preserve"> </w:t>
      </w:r>
      <w:r>
        <w:t xml:space="preserve">NCT06383390.</w:t>
      </w:r>
    </w:p>
  </w:footnote>
  <w:footnote w:id="2852">
    <w:p>
      <w:pPr>
        <w:pStyle w:val="FootnoteText"/>
      </w:pPr>
      <w:r>
        <w:rPr>
          <w:rStyle w:val="FootnoteReference"/>
        </w:rPr>
        <w:footnoteRef/>
      </w:r>
      <w:r>
        <w:t xml:space="preserve"> </w:t>
      </w:r>
      <w:r>
        <w:t xml:space="preserve">Garvey 2025, PMID 40544433.</w:t>
      </w:r>
    </w:p>
  </w:footnote>
  <w:footnote w:id="2853">
    <w:p>
      <w:pPr>
        <w:pStyle w:val="FootnoteText"/>
      </w:pPr>
      <w:r>
        <w:rPr>
          <w:rStyle w:val="FootnoteReference"/>
        </w:rPr>
        <w:footnoteRef/>
      </w:r>
      <w:r>
        <w:t xml:space="preserve"> </w:t>
      </w:r>
      <w:r>
        <w:t xml:space="preserve">Dahl 2025, PMID 40550231.</w:t>
      </w:r>
    </w:p>
  </w:footnote>
  <w:footnote w:id="2854">
    <w:p>
      <w:pPr>
        <w:pStyle w:val="FootnoteText"/>
      </w:pPr>
      <w:r>
        <w:rPr>
          <w:rStyle w:val="FootnoteReference"/>
        </w:rPr>
        <w:footnoteRef/>
      </w:r>
      <w:r>
        <w:t xml:space="preserve"> </w:t>
      </w:r>
      <w:r>
        <w:t xml:space="preserve">Billings 2025, PMID 41207310.</w:t>
      </w:r>
    </w:p>
  </w:footnote>
  <w:footnote w:id="2855">
    <w:p>
      <w:pPr>
        <w:pStyle w:val="FootnoteText"/>
      </w:pPr>
      <w:r>
        <w:rPr>
          <w:rStyle w:val="FootnoteReference"/>
        </w:rPr>
        <w:footnoteRef/>
      </w:r>
      <w:r>
        <w:t xml:space="preserve"> </w:t>
      </w:r>
      <w:r>
        <w:t xml:space="preserve">Garvey 2026, PMID 42810355.</w:t>
      </w:r>
    </w:p>
  </w:footnote>
  <w:footnote w:id="2857">
    <w:p>
      <w:pPr>
        <w:pStyle w:val="FootnoteText"/>
      </w:pPr>
      <w:r>
        <w:rPr>
          <w:rStyle w:val="FootnoteReference"/>
        </w:rPr>
        <w:footnoteRef/>
      </w:r>
      <w:r>
        <w:t xml:space="preserve"> </w:t>
      </w:r>
      <w:r>
        <w:t xml:space="preserve">Yie 2026, PMID 42592044.</w:t>
      </w:r>
    </w:p>
  </w:footnote>
  <w:footnote w:id="2858">
    <w:p>
      <w:pPr>
        <w:pStyle w:val="FootnoteText"/>
      </w:pPr>
      <w:r>
        <w:rPr>
          <w:rStyle w:val="FootnoteReference"/>
        </w:rPr>
        <w:footnoteRef/>
      </w:r>
      <w:r>
        <w:t xml:space="preserve"> </w:t>
      </w:r>
      <w:r>
        <w:t xml:space="preserve">Jastreboff 2025, PMID 40549887.</w:t>
      </w:r>
    </w:p>
  </w:footnote>
  <w:footnote w:id="2860">
    <w:p>
      <w:pPr>
        <w:pStyle w:val="FootnoteText"/>
      </w:pPr>
      <w:r>
        <w:rPr>
          <w:rStyle w:val="FootnoteReference"/>
        </w:rPr>
        <w:footnoteRef/>
      </w:r>
      <w:r>
        <w:t xml:space="preserve"> </w:t>
      </w:r>
      <w:r>
        <w:t xml:space="preserve">Heymsfield 2021, PMID 33439265.</w:t>
      </w:r>
    </w:p>
  </w:footnote>
  <w:footnote w:id="2861">
    <w:p>
      <w:pPr>
        <w:pStyle w:val="FootnoteText"/>
      </w:pPr>
      <w:r>
        <w:rPr>
          <w:rStyle w:val="FootnoteReference"/>
        </w:rPr>
        <w:footnoteRef/>
      </w:r>
      <w:r>
        <w:t xml:space="preserve"> </w:t>
      </w:r>
      <w:r>
        <w:t xml:space="preserve">Heymsfield 2026, PMID 41772149.</w:t>
      </w:r>
    </w:p>
  </w:footnote>
  <w:footnote w:id="2862">
    <w:p>
      <w:pPr>
        <w:pStyle w:val="FootnoteText"/>
      </w:pPr>
      <w:r>
        <w:rPr>
          <w:rStyle w:val="FootnoteReference"/>
        </w:rPr>
        <w:footnoteRef/>
      </w:r>
      <w:r>
        <w:t xml:space="preserve"> </w:t>
      </w:r>
      <w:r>
        <w:t xml:space="preserve">NCT05933499.</w:t>
      </w:r>
    </w:p>
  </w:footnote>
  <w:footnote w:id="2868">
    <w:p>
      <w:pPr>
        <w:pStyle w:val="FootnoteText"/>
      </w:pPr>
      <w:r>
        <w:rPr>
          <w:rStyle w:val="FootnoteReference"/>
        </w:rPr>
        <w:footnoteRef/>
      </w:r>
      <w:r>
        <w:t xml:space="preserve"> </w:t>
      </w:r>
      <w:r>
        <w:t xml:space="preserve">Drucker 2020, PMID 31848464.</w:t>
      </w:r>
    </w:p>
  </w:footnote>
  <w:footnote w:id="2869">
    <w:p>
      <w:pPr>
        <w:pStyle w:val="FootnoteText"/>
      </w:pPr>
      <w:r>
        <w:rPr>
          <w:rStyle w:val="FootnoteReference"/>
        </w:rPr>
        <w:footnoteRef/>
      </w:r>
      <w:r>
        <w:t xml:space="preserve"> </w:t>
      </w:r>
      <w:r>
        <w:t xml:space="preserve">Vahora 2026, PMID 42687069.</w:t>
      </w:r>
    </w:p>
  </w:footnote>
  <w:footnote w:id="2871">
    <w:p>
      <w:pPr>
        <w:pStyle w:val="FootnoteText"/>
      </w:pPr>
      <w:r>
        <w:rPr>
          <w:rStyle w:val="FootnoteReference"/>
        </w:rPr>
        <w:footnoteRef/>
      </w:r>
      <w:r>
        <w:t xml:space="preserve"> </w:t>
      </w:r>
      <w:r>
        <w:t xml:space="preserve">Levi 2026, PMID 42437874.</w:t>
      </w:r>
    </w:p>
  </w:footnote>
  <w:footnote w:id="2873">
    <w:p>
      <w:pPr>
        <w:pStyle w:val="FootnoteText"/>
      </w:pPr>
      <w:r>
        <w:rPr>
          <w:rStyle w:val="FootnoteReference"/>
        </w:rPr>
        <w:footnoteRef/>
      </w:r>
      <w:r>
        <w:t xml:space="preserve"> </w:t>
      </w:r>
      <w:r>
        <w:t xml:space="preserve">McGuire 2025, PMID 40162642.</w:t>
      </w:r>
    </w:p>
  </w:footnote>
  <w:footnote w:id="2875">
    <w:p>
      <w:pPr>
        <w:pStyle w:val="FootnoteText"/>
      </w:pPr>
      <w:r>
        <w:rPr>
          <w:rStyle w:val="FootnoteReference"/>
        </w:rPr>
        <w:footnoteRef/>
      </w:r>
      <w:r>
        <w:t xml:space="preserve"> </w:t>
      </w:r>
      <w:r>
        <w:t xml:space="preserve">Mora 2026, PMID 42532079.</w:t>
      </w:r>
    </w:p>
  </w:footnote>
  <w:footnote w:id="2876">
    <w:p>
      <w:pPr>
        <w:pStyle w:val="FootnoteText"/>
      </w:pPr>
      <w:r>
        <w:rPr>
          <w:rStyle w:val="FootnoteReference"/>
        </w:rPr>
        <w:footnoteRef/>
      </w:r>
      <w:r>
        <w:t xml:space="preserve"> </w:t>
      </w:r>
      <w:r>
        <w:t xml:space="preserve">NCT07815067.</w:t>
      </w:r>
    </w:p>
  </w:footnote>
  <w:footnote w:id="2878">
    <w:p>
      <w:pPr>
        <w:pStyle w:val="FootnoteText"/>
      </w:pPr>
      <w:r>
        <w:rPr>
          <w:rStyle w:val="FootnoteReference"/>
        </w:rPr>
        <w:footnoteRef/>
      </w:r>
      <w:r>
        <w:t xml:space="preserve"> </w:t>
      </w:r>
      <w:r>
        <w:t xml:space="preserve">Johns 2023, PMID 37125593.</w:t>
      </w:r>
    </w:p>
  </w:footnote>
  <w:footnote w:id="2879">
    <w:p>
      <w:pPr>
        <w:pStyle w:val="FootnoteText"/>
      </w:pPr>
      <w:r>
        <w:rPr>
          <w:rStyle w:val="FootnoteReference"/>
        </w:rPr>
        <w:footnoteRef/>
      </w:r>
      <w:r>
        <w:t xml:space="preserve"> </w:t>
      </w:r>
      <w:r>
        <w:t xml:space="preserve">Navar 2026, PMID 41879224.</w:t>
      </w:r>
    </w:p>
  </w:footnote>
  <w:footnote w:id="2880">
    <w:p>
      <w:pPr>
        <w:pStyle w:val="FootnoteText"/>
      </w:pPr>
      <w:r>
        <w:rPr>
          <w:rStyle w:val="FootnoteReference"/>
        </w:rPr>
        <w:footnoteRef/>
      </w:r>
      <w:r>
        <w:t xml:space="preserve"> </w:t>
      </w:r>
      <w:r>
        <w:t xml:space="preserve">Bissonnette 2025, PMID 41191940.</w:t>
      </w:r>
    </w:p>
  </w:footnote>
  <w:footnote w:id="2881">
    <w:p>
      <w:pPr>
        <w:pStyle w:val="FootnoteText"/>
      </w:pPr>
      <w:r>
        <w:rPr>
          <w:rStyle w:val="FootnoteReference"/>
        </w:rPr>
        <w:footnoteRef/>
      </w:r>
      <w:r>
        <w:t xml:space="preserve"> </w:t>
      </w:r>
      <w:r>
        <w:t xml:space="preserve">Knight 2025, PMID 40629250.</w:t>
      </w:r>
    </w:p>
  </w:footnote>
  <w:footnote w:id="2884">
    <w:p>
      <w:pPr>
        <w:pStyle w:val="FootnoteText"/>
      </w:pPr>
      <w:r>
        <w:rPr>
          <w:rStyle w:val="FootnoteReference"/>
        </w:rPr>
        <w:footnoteRef/>
      </w:r>
      <w:r>
        <w:t xml:space="preserve"> </w:t>
      </w:r>
      <w:r>
        <w:t xml:space="preserve">Rosenstock 2026, PMID 41765029.</w:t>
      </w:r>
    </w:p>
  </w:footnote>
  <w:footnote w:id="2885">
    <w:p>
      <w:pPr>
        <w:pStyle w:val="FootnoteText"/>
      </w:pPr>
      <w:r>
        <w:rPr>
          <w:rStyle w:val="FootnoteReference"/>
        </w:rPr>
        <w:footnoteRef/>
      </w:r>
      <w:r>
        <w:t xml:space="preserve"> </w:t>
      </w:r>
      <w:r>
        <w:t xml:space="preserve">Wharton 2025, PMID 40960239.</w:t>
      </w:r>
    </w:p>
  </w:footnote>
  <w:footnote w:id="2886">
    <w:p>
      <w:pPr>
        <w:pStyle w:val="FootnoteText"/>
      </w:pPr>
      <w:r>
        <w:rPr>
          <w:rStyle w:val="FootnoteReference"/>
        </w:rPr>
        <w:footnoteRef/>
      </w:r>
      <w:r>
        <w:t xml:space="preserve"> </w:t>
      </w:r>
      <w:r>
        <w:t xml:space="preserve">Rosenstock 2026, PMID 41765029.</w:t>
      </w:r>
    </w:p>
  </w:footnote>
  <w:footnote w:id="2887">
    <w:p>
      <w:pPr>
        <w:pStyle w:val="FootnoteText"/>
      </w:pPr>
      <w:r>
        <w:rPr>
          <w:rStyle w:val="FootnoteReference"/>
        </w:rPr>
        <w:footnoteRef/>
      </w:r>
      <w:r>
        <w:t xml:space="preserve"> </w:t>
      </w:r>
      <w:r>
        <w:t xml:space="preserve">Aronne 2026, PMID 42120723.</w:t>
      </w:r>
    </w:p>
  </w:footnote>
  <w:footnote w:id="2888">
    <w:p>
      <w:pPr>
        <w:pStyle w:val="FootnoteText"/>
      </w:pPr>
      <w:r>
        <w:rPr>
          <w:rStyle w:val="FootnoteReference"/>
        </w:rPr>
        <w:footnoteRef/>
      </w:r>
      <w:r>
        <w:t xml:space="preserve"> </w:t>
      </w:r>
      <w:r>
        <w:t xml:space="preserve">Wharton 2026, PMID 42338042.</w:t>
      </w:r>
    </w:p>
  </w:footnote>
  <w:footnote w:id="2890">
    <w:p>
      <w:pPr>
        <w:pStyle w:val="FootnoteText"/>
      </w:pPr>
      <w:r>
        <w:rPr>
          <w:rStyle w:val="FootnoteReference"/>
        </w:rPr>
        <w:footnoteRef/>
      </w:r>
      <w:r>
        <w:t xml:space="preserve"> </w:t>
      </w:r>
      <w:r>
        <w:t xml:space="preserve">Buckeridge 2025, PMID 40539310.</w:t>
      </w:r>
    </w:p>
  </w:footnote>
  <w:footnote w:id="2893">
    <w:p>
      <w:pPr>
        <w:pStyle w:val="FootnoteText"/>
      </w:pPr>
      <w:r>
        <w:rPr>
          <w:rStyle w:val="FootnoteReference"/>
        </w:rPr>
        <w:footnoteRef/>
      </w:r>
      <w:r>
        <w:t xml:space="preserve"> </w:t>
      </w:r>
      <w:r>
        <w:t xml:space="preserve">Michalak 2026, PMID 42225305.</w:t>
      </w:r>
    </w:p>
  </w:footnote>
  <w:footnote w:id="2895">
    <w:p>
      <w:pPr>
        <w:pStyle w:val="FootnoteText"/>
      </w:pPr>
      <w:r>
        <w:rPr>
          <w:rStyle w:val="FootnoteReference"/>
        </w:rPr>
        <w:footnoteRef/>
      </w:r>
      <w:r>
        <w:t xml:space="preserve"> </w:t>
      </w:r>
      <w:r>
        <w:t xml:space="preserve">Vahora 2026, PMID 42687069.</w:t>
      </w:r>
    </w:p>
  </w:footnote>
  <w:footnote w:id="2896">
    <w:p>
      <w:pPr>
        <w:pStyle w:val="FootnoteText"/>
      </w:pPr>
      <w:r>
        <w:rPr>
          <w:rStyle w:val="FootnoteReference"/>
        </w:rPr>
        <w:footnoteRef/>
      </w:r>
      <w:r>
        <w:t xml:space="preserve"> </w:t>
      </w:r>
      <w:r>
        <w:t xml:space="preserve">NCT07241390.</w:t>
      </w:r>
    </w:p>
  </w:footnote>
  <w:footnote w:id="2897">
    <w:p>
      <w:pPr>
        <w:pStyle w:val="FootnoteText"/>
      </w:pPr>
      <w:r>
        <w:rPr>
          <w:rStyle w:val="FootnoteReference"/>
        </w:rPr>
        <w:footnoteRef/>
      </w:r>
      <w:r>
        <w:t xml:space="preserve"> </w:t>
      </w:r>
      <w:r>
        <w:t xml:space="preserve">Levi 2026, PMID 42437874.</w:t>
      </w:r>
    </w:p>
  </w:footnote>
  <w:footnote w:id="2898">
    <w:p>
      <w:pPr>
        <w:pStyle w:val="FootnoteText"/>
      </w:pPr>
      <w:r>
        <w:rPr>
          <w:rStyle w:val="FootnoteReference"/>
        </w:rPr>
        <w:footnoteRef/>
      </w:r>
      <w:r>
        <w:t xml:space="preserve"> </w:t>
      </w:r>
      <w:r>
        <w:t xml:space="preserve">Belcourt 2026, PMID 41689811.</w:t>
      </w:r>
    </w:p>
  </w:footnote>
  <w:footnote w:id="2899">
    <w:p>
      <w:pPr>
        <w:pStyle w:val="FootnoteText"/>
      </w:pPr>
      <w:r>
        <w:rPr>
          <w:rStyle w:val="FootnoteReference"/>
        </w:rPr>
        <w:footnoteRef/>
      </w:r>
      <w:r>
        <w:t xml:space="preserve"> </w:t>
      </w:r>
      <w:r>
        <w:t xml:space="preserve">Hach 2024, PMID 39379664.</w:t>
      </w:r>
    </w:p>
  </w:footnote>
  <w:footnote w:id="2904">
    <w:p>
      <w:pPr>
        <w:pStyle w:val="FootnoteText"/>
      </w:pPr>
      <w:r>
        <w:rPr>
          <w:rStyle w:val="FootnoteReference"/>
        </w:rPr>
        <w:footnoteRef/>
      </w:r>
      <w:r>
        <w:t xml:space="preserve"> </w:t>
      </w:r>
      <w:r>
        <w:t xml:space="preserve">Hach 2024, PMID 39379664.</w:t>
      </w:r>
    </w:p>
  </w:footnote>
  <w:footnote w:id="2906">
    <w:p>
      <w:pPr>
        <w:pStyle w:val="FootnoteText"/>
      </w:pPr>
      <w:r>
        <w:rPr>
          <w:rStyle w:val="FootnoteReference"/>
        </w:rPr>
        <w:footnoteRef/>
      </w:r>
      <w:r>
        <w:t xml:space="preserve"> </w:t>
      </w:r>
      <w:r>
        <w:t xml:space="preserve">Rubino 2022, PMID 35015037.</w:t>
      </w:r>
    </w:p>
  </w:footnote>
  <w:footnote w:id="2908">
    <w:p>
      <w:pPr>
        <w:pStyle w:val="FootnoteText"/>
      </w:pPr>
      <w:r>
        <w:rPr>
          <w:rStyle w:val="FootnoteReference"/>
        </w:rPr>
        <w:footnoteRef/>
      </w:r>
      <w:r>
        <w:t xml:space="preserve"> </w:t>
      </w:r>
      <w:r>
        <w:t xml:space="preserve">Levi 2026, PMID 42437874.</w:t>
      </w:r>
    </w:p>
  </w:footnote>
  <w:footnote w:id="2909">
    <w:p>
      <w:pPr>
        <w:pStyle w:val="FootnoteText"/>
      </w:pPr>
      <w:r>
        <w:rPr>
          <w:rStyle w:val="FootnoteReference"/>
        </w:rPr>
        <w:footnoteRef/>
      </w:r>
      <w:r>
        <w:t xml:space="preserve"> </w:t>
      </w:r>
      <w:r>
        <w:t xml:space="preserve">Mohan 2026, PMID 42747945.</w:t>
      </w:r>
    </w:p>
  </w:footnote>
  <w:footnote w:id="2910">
    <w:p>
      <w:pPr>
        <w:pStyle w:val="FootnoteText"/>
      </w:pPr>
      <w:r>
        <w:rPr>
          <w:rStyle w:val="FootnoteReference"/>
        </w:rPr>
        <w:footnoteRef/>
      </w:r>
      <w:r>
        <w:t xml:space="preserve"> </w:t>
      </w:r>
      <w:r>
        <w:t xml:space="preserve">Mani 2025, PMID 41358329.</w:t>
      </w:r>
    </w:p>
  </w:footnote>
  <w:footnote w:id="2911">
    <w:p>
      <w:pPr>
        <w:pStyle w:val="FootnoteText"/>
      </w:pPr>
      <w:r>
        <w:rPr>
          <w:rStyle w:val="FootnoteReference"/>
        </w:rPr>
        <w:footnoteRef/>
      </w:r>
      <w:r>
        <w:t xml:space="preserve"> </w:t>
      </w:r>
      <w:r>
        <w:t xml:space="preserve">Celletti 2026, PMID 41324410.</w:t>
      </w:r>
    </w:p>
  </w:footnote>
  <w:footnote w:id="2914">
    <w:p>
      <w:pPr>
        <w:pStyle w:val="FootnoteText"/>
      </w:pPr>
      <w:r>
        <w:rPr>
          <w:rStyle w:val="FootnoteReference"/>
        </w:rPr>
        <w:footnoteRef/>
      </w:r>
      <w:r>
        <w:t xml:space="preserve"> </w:t>
      </w:r>
      <w:r>
        <w:t xml:space="preserve">DiStefano 2025, PMID 39776466.</w:t>
      </w:r>
    </w:p>
  </w:footnote>
  <w:footnote w:id="2915">
    <w:p>
      <w:pPr>
        <w:pStyle w:val="FootnoteText"/>
      </w:pPr>
      <w:r>
        <w:rPr>
          <w:rStyle w:val="FootnoteReference"/>
        </w:rPr>
        <w:footnoteRef/>
      </w:r>
      <w:r>
        <w:t xml:space="preserve"> </w:t>
      </w:r>
      <w:r>
        <w:t xml:space="preserve">Belcourt 2026, PMID 41689811.</w:t>
      </w:r>
    </w:p>
  </w:footnote>
  <w:footnote w:id="2916">
    <w:p>
      <w:pPr>
        <w:pStyle w:val="FootnoteText"/>
      </w:pPr>
      <w:r>
        <w:rPr>
          <w:rStyle w:val="FootnoteReference"/>
        </w:rPr>
        <w:footnoteRef/>
      </w:r>
      <w:r>
        <w:t xml:space="preserve"> </w:t>
      </w:r>
      <w:r>
        <w:t xml:space="preserve">Jordan 2026, PMID 42010938.</w:t>
      </w:r>
    </w:p>
  </w:footnote>
  <w:footnote w:id="2918">
    <w:p>
      <w:pPr>
        <w:pStyle w:val="FootnoteText"/>
      </w:pPr>
      <w:r>
        <w:rPr>
          <w:rStyle w:val="FootnoteReference"/>
        </w:rPr>
        <w:footnoteRef/>
      </w:r>
      <w:r>
        <w:t xml:space="preserve"> </w:t>
      </w:r>
      <w:r>
        <w:t xml:space="preserve">Mailhac 2024, PMID 38685990.</w:t>
      </w:r>
    </w:p>
  </w:footnote>
  <w:footnote w:id="2919">
    <w:p>
      <w:pPr>
        <w:pStyle w:val="FootnoteText"/>
      </w:pPr>
      <w:r>
        <w:rPr>
          <w:rStyle w:val="FootnoteReference"/>
        </w:rPr>
        <w:footnoteRef/>
      </w:r>
      <w:r>
        <w:t xml:space="preserve"> </w:t>
      </w:r>
      <w:r>
        <w:t xml:space="preserve">Gasoyan 2025, PMID 41039650.</w:t>
      </w:r>
    </w:p>
  </w:footnote>
  <w:footnote w:id="2921">
    <w:p>
      <w:pPr>
        <w:pStyle w:val="FootnoteText"/>
      </w:pPr>
      <w:r>
        <w:rPr>
          <w:rStyle w:val="FootnoteReference"/>
        </w:rPr>
        <w:footnoteRef/>
      </w:r>
      <w:r>
        <w:t xml:space="preserve"> </w:t>
      </w:r>
      <w:r>
        <w:t xml:space="preserve">Hwang 2025, PMID 40085108.</w:t>
      </w:r>
    </w:p>
  </w:footnote>
  <w:footnote w:id="2922">
    <w:p>
      <w:pPr>
        <w:pStyle w:val="FootnoteText"/>
      </w:pPr>
      <w:r>
        <w:rPr>
          <w:rStyle w:val="FootnoteReference"/>
        </w:rPr>
        <w:footnoteRef/>
      </w:r>
      <w:r>
        <w:t xml:space="preserve"> </w:t>
      </w:r>
      <w:r>
        <w:t xml:space="preserve">Dhippayom 2026, PMID 41365841.</w:t>
      </w:r>
    </w:p>
  </w:footnote>
  <w:footnote w:id="2923">
    <w:p>
      <w:pPr>
        <w:pStyle w:val="FootnoteText"/>
      </w:pPr>
      <w:r>
        <w:rPr>
          <w:rStyle w:val="FootnoteReference"/>
        </w:rPr>
        <w:footnoteRef/>
      </w:r>
      <w:r>
        <w:t xml:space="preserve"> </w:t>
      </w:r>
      <w:r>
        <w:t xml:space="preserve">Hennessy 2026, PMID 41637062.</w:t>
      </w:r>
    </w:p>
  </w:footnote>
  <w:footnote w:id="2924">
    <w:p>
      <w:pPr>
        <w:pStyle w:val="FootnoteText"/>
      </w:pPr>
      <w:r>
        <w:rPr>
          <w:rStyle w:val="FootnoteReference"/>
        </w:rPr>
        <w:footnoteRef/>
      </w:r>
      <w:r>
        <w:t xml:space="preserve"> </w:t>
      </w:r>
      <w:r>
        <w:t xml:space="preserve">Scannell 2026, PMID 42640207.</w:t>
      </w:r>
    </w:p>
  </w:footnote>
  <w:footnote w:id="2927">
    <w:p>
      <w:pPr>
        <w:pStyle w:val="FootnoteText"/>
      </w:pPr>
      <w:r>
        <w:rPr>
          <w:rStyle w:val="FootnoteReference"/>
        </w:rPr>
        <w:footnoteRef/>
      </w:r>
      <w:r>
        <w:t xml:space="preserve"> </w:t>
      </w:r>
      <w:r>
        <w:t xml:space="preserve">Wilding 2022, PMID 35441470.</w:t>
      </w:r>
    </w:p>
  </w:footnote>
  <w:footnote w:id="2931">
    <w:p>
      <w:pPr>
        <w:pStyle w:val="FootnoteText"/>
      </w:pPr>
      <w:r>
        <w:rPr>
          <w:rStyle w:val="FootnoteReference"/>
        </w:rPr>
        <w:footnoteRef/>
      </w:r>
      <w:r>
        <w:t xml:space="preserve"> </w:t>
      </w:r>
      <w:r>
        <w:t xml:space="preserve">Cummings 2026, PMID 41865758.</w:t>
      </w:r>
    </w:p>
  </w:footnote>
  <w:footnote w:id="2932">
    <w:p>
      <w:pPr>
        <w:pStyle w:val="FootnoteText"/>
      </w:pPr>
      <w:r>
        <w:rPr>
          <w:rStyle w:val="FootnoteReference"/>
        </w:rPr>
        <w:footnoteRef/>
      </w:r>
      <w:r>
        <w:t xml:space="preserve"> </w:t>
      </w:r>
      <w:r>
        <w:t xml:space="preserve">Vijiaratnam 2025, PMID 39919773.</w:t>
      </w:r>
    </w:p>
  </w:footnote>
  <w:footnote w:id="2933">
    <w:p>
      <w:pPr>
        <w:pStyle w:val="FootnoteText"/>
      </w:pPr>
      <w:r>
        <w:rPr>
          <w:rStyle w:val="FootnoteReference"/>
        </w:rPr>
        <w:footnoteRef/>
      </w:r>
      <w:r>
        <w:t xml:space="preserve"> </w:t>
      </w:r>
      <w:r>
        <w:t xml:space="preserve">NCT05556512.</w:t>
      </w:r>
    </w:p>
  </w:footnote>
  <w:footnote w:id="2934">
    <w:p>
      <w:pPr>
        <w:pStyle w:val="FootnoteText"/>
      </w:pPr>
      <w:r>
        <w:rPr>
          <w:rStyle w:val="FootnoteReference"/>
        </w:rPr>
        <w:footnoteRef/>
      </w:r>
      <w:r>
        <w:t xml:space="preserve"> </w:t>
      </w:r>
      <w:r>
        <w:t xml:space="preserve">NCT05669755.</w:t>
      </w:r>
    </w:p>
  </w:footnote>
  <w:footnote w:id="2935">
    <w:p>
      <w:pPr>
        <w:pStyle w:val="FootnoteText"/>
      </w:pPr>
      <w:r>
        <w:rPr>
          <w:rStyle w:val="FootnoteReference"/>
        </w:rPr>
        <w:footnoteRef/>
      </w:r>
      <w:r>
        <w:t xml:space="preserve"> </w:t>
      </w:r>
      <w:r>
        <w:t xml:space="preserve">NCT06383390.</w:t>
      </w:r>
    </w:p>
  </w:footnote>
  <w:footnote w:id="2936">
    <w:p>
      <w:pPr>
        <w:pStyle w:val="FootnoteText"/>
      </w:pPr>
      <w:r>
        <w:rPr>
          <w:rStyle w:val="FootnoteReference"/>
        </w:rPr>
        <w:footnoteRef/>
      </w:r>
      <w:r>
        <w:t xml:space="preserve"> </w:t>
      </w:r>
      <w:r>
        <w:t xml:space="preserve">NCT06632457.</w:t>
      </w:r>
    </w:p>
  </w:footnote>
  <w:footnote w:id="2937">
    <w:p>
      <w:pPr>
        <w:pStyle w:val="FootnoteText"/>
      </w:pPr>
      <w:r>
        <w:rPr>
          <w:rStyle w:val="FootnoteReference"/>
        </w:rPr>
        <w:footnoteRef/>
      </w:r>
      <w:r>
        <w:t xml:space="preserve"> </w:t>
      </w:r>
      <w:r>
        <w:t xml:space="preserve">NCT07037433, NCT07037459.</w:t>
      </w:r>
    </w:p>
  </w:footnote>
  <w:footnote w:id="2938">
    <w:p>
      <w:pPr>
        <w:pStyle w:val="FootnoteText"/>
      </w:pPr>
      <w:r>
        <w:rPr>
          <w:rStyle w:val="FootnoteReference"/>
        </w:rPr>
        <w:footnoteRef/>
      </w:r>
      <w:r>
        <w:t xml:space="preserve"> </w:t>
      </w:r>
      <w:r>
        <w:t xml:space="preserve">NCT07861100.</w:t>
      </w:r>
    </w:p>
  </w:footnote>
  <w:footnote w:id="2939">
    <w:p>
      <w:pPr>
        <w:pStyle w:val="FootnoteText"/>
      </w:pPr>
      <w:r>
        <w:rPr>
          <w:rStyle w:val="FootnoteReference"/>
        </w:rPr>
        <w:footnoteRef/>
      </w:r>
      <w:r>
        <w:t xml:space="preserve"> </w:t>
      </w:r>
      <w:r>
        <w:t xml:space="preserve">NCT07241390.</w:t>
      </w:r>
    </w:p>
  </w:footnote>
  <w:footnote w:id="2940">
    <w:p>
      <w:pPr>
        <w:pStyle w:val="FootnoteText"/>
      </w:pPr>
      <w:r>
        <w:rPr>
          <w:rStyle w:val="FootnoteReference"/>
        </w:rPr>
        <w:footnoteRef/>
      </w:r>
      <w:r>
        <w:t xml:space="preserve"> </w:t>
      </w:r>
      <w:r>
        <w:t xml:space="preserve">NCT07165028.</w:t>
      </w:r>
    </w:p>
  </w:footnote>
  <w:footnote w:id="2941">
    <w:p>
      <w:pPr>
        <w:pStyle w:val="FootnoteText"/>
      </w:pPr>
      <w:r>
        <w:rPr>
          <w:rStyle w:val="FootnoteReference"/>
        </w:rPr>
        <w:footnoteRef/>
      </w:r>
      <w:r>
        <w:t xml:space="preserve"> </w:t>
      </w:r>
      <w:r>
        <w:t xml:space="preserve">Levi 2026, PMID 42437874.</w:t>
      </w:r>
    </w:p>
  </w:footnote>
  <w:footnote w:id="2943">
    <w:p>
      <w:pPr>
        <w:pStyle w:val="FootnoteText"/>
      </w:pPr>
      <w:r>
        <w:rPr>
          <w:rStyle w:val="FootnoteReference"/>
        </w:rPr>
        <w:footnoteRef/>
      </w:r>
      <w:r>
        <w:t xml:space="preserve"> </w:t>
      </w:r>
      <w:r>
        <w:t xml:space="preserve">NCT05086614.</w:t>
      </w:r>
    </w:p>
  </w:footnote>
  <w:footnote w:id="2944">
    <w:p>
      <w:pPr>
        <w:pStyle w:val="FootnoteText"/>
      </w:pPr>
      <w:r>
        <w:rPr>
          <w:rStyle w:val="FootnoteReference"/>
        </w:rPr>
        <w:footnoteRef/>
      </w:r>
      <w:r>
        <w:t xml:space="preserve"> </w:t>
      </w:r>
      <w:r>
        <w:t xml:space="preserve">NCT05555589.</w:t>
      </w:r>
    </w:p>
  </w:footnote>
  <w:footnote w:id="2946">
    <w:p>
      <w:pPr>
        <w:pStyle w:val="FootnoteText"/>
      </w:pPr>
      <w:r>
        <w:rPr>
          <w:rStyle w:val="FootnoteReference"/>
        </w:rPr>
        <w:footnoteRef/>
      </w:r>
      <w:r>
        <w:t xml:space="preserve"> </w:t>
      </w:r>
      <w:r>
        <w:t xml:space="preserve">NCT00903110.</w:t>
      </w:r>
    </w:p>
  </w:footnote>
  <w:footnote w:id="2948">
    <w:p>
      <w:pPr>
        <w:pStyle w:val="FootnoteText"/>
      </w:pPr>
      <w:r>
        <w:rPr>
          <w:rStyle w:val="FootnoteReference"/>
        </w:rPr>
        <w:footnoteRef/>
      </w:r>
      <w:r>
        <w:t xml:space="preserve"> </w:t>
      </w:r>
      <w:r>
        <w:t xml:space="preserve">NCT06373731.</w:t>
      </w:r>
    </w:p>
  </w:footnote>
  <w:footnote w:id="2949">
    <w:p>
      <w:pPr>
        <w:pStyle w:val="FootnoteText"/>
      </w:pPr>
      <w:r>
        <w:rPr>
          <w:rStyle w:val="FootnoteReference"/>
        </w:rPr>
        <w:footnoteRef/>
      </w:r>
      <w:r>
        <w:t xml:space="preserve"> </w:t>
      </w:r>
      <w:r>
        <w:t xml:space="preserve">NCT05755997.</w:t>
      </w:r>
    </w:p>
  </w:footnote>
  <w:footnote w:id="2950">
    <w:p>
      <w:pPr>
        <w:pStyle w:val="FootnoteText"/>
      </w:pPr>
      <w:r>
        <w:rPr>
          <w:rStyle w:val="FootnoteReference"/>
        </w:rPr>
        <w:footnoteRef/>
      </w:r>
      <w:r>
        <w:t xml:space="preserve"> </w:t>
      </w:r>
      <w:r>
        <w:t xml:space="preserve">NCT07888595.</w:t>
      </w:r>
    </w:p>
  </w:footnote>
  <w:footnote w:id="2952">
    <w:p>
      <w:pPr>
        <w:pStyle w:val="FootnoteText"/>
      </w:pPr>
      <w:r>
        <w:rPr>
          <w:rStyle w:val="FootnoteReference"/>
        </w:rPr>
        <w:footnoteRef/>
      </w:r>
      <w:r>
        <w:t xml:space="preserve"> </w:t>
      </w:r>
      <w:r>
        <w:t xml:space="preserve">NCT06109649.</w:t>
      </w:r>
    </w:p>
  </w:footnote>
  <w:footnote w:id="2955">
    <w:p>
      <w:pPr>
        <w:pStyle w:val="FootnoteText"/>
      </w:pPr>
      <w:r>
        <w:rPr>
          <w:rStyle w:val="FootnoteReference"/>
        </w:rPr>
        <w:footnoteRef/>
      </w:r>
      <w:r>
        <w:t xml:space="preserve"> </w:t>
      </w:r>
      <w:r>
        <w:t xml:space="preserve">Celletti 2026, PMID 41324410.</w:t>
      </w:r>
    </w:p>
  </w:footnote>
  <w:footnote w:id="2957">
    <w:p>
      <w:pPr>
        <w:pStyle w:val="FootnoteText"/>
      </w:pPr>
      <w:r>
        <w:rPr>
          <w:rStyle w:val="FootnoteReference"/>
        </w:rPr>
        <w:footnoteRef/>
      </w:r>
      <w:r>
        <w:t xml:space="preserve"> </w:t>
      </w:r>
      <w:r>
        <w:t xml:space="preserve">Wilding 2022, PMID 35441470.</w:t>
      </w:r>
    </w:p>
  </w:footnote>
  <w:footnote w:id="2958">
    <w:p>
      <w:pPr>
        <w:pStyle w:val="FootnoteText"/>
      </w:pPr>
      <w:r>
        <w:rPr>
          <w:rStyle w:val="FootnoteReference"/>
        </w:rPr>
        <w:footnoteRef/>
      </w:r>
      <w:r>
        <w:t xml:space="preserve"> </w:t>
      </w:r>
      <w:r>
        <w:t xml:space="preserve">Aronne 2024, PMID 38078870.</w:t>
      </w:r>
    </w:p>
  </w:footnote>
  <w:footnote w:id="2959">
    <w:p>
      <w:pPr>
        <w:pStyle w:val="FootnoteText"/>
      </w:pPr>
      <w:r>
        <w:rPr>
          <w:rStyle w:val="FootnoteReference"/>
        </w:rPr>
        <w:footnoteRef/>
      </w:r>
      <w:r>
        <w:t xml:space="preserve"> </w:t>
      </w:r>
      <w:r>
        <w:t xml:space="preserve">Aronne 2026, PMID 42120723.</w:t>
      </w:r>
    </w:p>
  </w:footnote>
  <w:footnote w:id="2960">
    <w:p>
      <w:pPr>
        <w:pStyle w:val="FootnoteText"/>
      </w:pPr>
      <w:r>
        <w:rPr>
          <w:rStyle w:val="FootnoteReference"/>
        </w:rPr>
        <w:footnoteRef/>
      </w:r>
      <w:r>
        <w:t xml:space="preserve"> </w:t>
      </w:r>
      <w:r>
        <w:t xml:space="preserve">Cengiz 2025, PMID 39950222.</w:t>
      </w:r>
    </w:p>
  </w:footnote>
  <w:footnote w:id="2962">
    <w:p>
      <w:pPr>
        <w:pStyle w:val="FootnoteText"/>
      </w:pPr>
      <w:r>
        <w:rPr>
          <w:rStyle w:val="FootnoteReference"/>
        </w:rPr>
        <w:footnoteRef/>
      </w:r>
      <w:r>
        <w:t xml:space="preserve"> </w:t>
      </w:r>
      <w:r>
        <w:t xml:space="preserve">Celletti 2026, PMID 41324410.</w:t>
      </w:r>
    </w:p>
  </w:footnote>
  <w:footnote w:id="2964">
    <w:p>
      <w:pPr>
        <w:pStyle w:val="FootnoteText"/>
      </w:pPr>
      <w:r>
        <w:rPr>
          <w:rStyle w:val="FootnoteReference"/>
        </w:rPr>
        <w:footnoteRef/>
      </w:r>
      <w:r>
        <w:t xml:space="preserve"> </w:t>
      </w:r>
      <w:r>
        <w:t xml:space="preserve">Rubin 2026, PMID 42853576.</w:t>
      </w:r>
    </w:p>
  </w:footnote>
  <w:footnote w:id="2965">
    <w:p>
      <w:pPr>
        <w:pStyle w:val="FootnoteText"/>
      </w:pPr>
      <w:r>
        <w:rPr>
          <w:rStyle w:val="FootnoteReference"/>
        </w:rPr>
        <w:footnoteRef/>
      </w:r>
      <w:r>
        <w:t xml:space="preserve"> </w:t>
      </w:r>
      <w:r>
        <w:t xml:space="preserve">Belcourt 2026, PMID 41689811.</w:t>
      </w:r>
    </w:p>
  </w:footnote>
  <w:footnote w:id="2966">
    <w:p>
      <w:pPr>
        <w:pStyle w:val="FootnoteText"/>
      </w:pPr>
      <w:r>
        <w:rPr>
          <w:rStyle w:val="FootnoteReference"/>
        </w:rPr>
        <w:footnoteRef/>
      </w:r>
      <w:r>
        <w:t xml:space="preserve"> </w:t>
      </w:r>
      <w:r>
        <w:t xml:space="preserve">Willis 2026, PMID 42752426.</w:t>
      </w:r>
    </w:p>
  </w:footnote>
  <w:footnote w:id="2968">
    <w:p>
      <w:pPr>
        <w:pStyle w:val="FootnoteText"/>
      </w:pPr>
      <w:r>
        <w:rPr>
          <w:rStyle w:val="FootnoteReference"/>
        </w:rPr>
        <w:footnoteRef/>
      </w:r>
      <w:r>
        <w:t xml:space="preserve"> </w:t>
      </w:r>
      <w:r>
        <w:t xml:space="preserve">Wei 2025, PMID 40787887.</w:t>
      </w:r>
    </w:p>
  </w:footnote>
  <w:footnote w:id="2969">
    <w:p>
      <w:pPr>
        <w:pStyle w:val="FootnoteText"/>
      </w:pPr>
      <w:r>
        <w:rPr>
          <w:rStyle w:val="FootnoteReference"/>
        </w:rPr>
        <w:footnoteRef/>
      </w:r>
      <w:r>
        <w:t xml:space="preserve"> </w:t>
      </w:r>
      <w:r>
        <w:t xml:space="preserve">Rettie 2025, PMID 40542165.</w:t>
      </w:r>
    </w:p>
  </w:footnote>
  <w:footnote w:id="2970">
    <w:p>
      <w:pPr>
        <w:pStyle w:val="FootnoteText"/>
      </w:pPr>
      <w:r>
        <w:rPr>
          <w:rStyle w:val="FootnoteReference"/>
        </w:rPr>
        <w:footnoteRef/>
      </w:r>
      <w:r>
        <w:t xml:space="preserve"> </w:t>
      </w:r>
      <w:r>
        <w:t xml:space="preserve">Wang 2025, PMID 39825096.</w:t>
      </w:r>
    </w:p>
  </w:footnote>
  <w:footnote w:id="2971">
    <w:p>
      <w:pPr>
        <w:pStyle w:val="FootnoteText"/>
      </w:pPr>
      <w:r>
        <w:rPr>
          <w:rStyle w:val="FootnoteReference"/>
        </w:rPr>
        <w:footnoteRef/>
      </w:r>
      <w:r>
        <w:t xml:space="preserve"> </w:t>
      </w:r>
      <w:r>
        <w:t xml:space="preserve">Johns 2023, PMID 37125593; NCT06008756.</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58 peptidi, dalla semaglutide al BPC-157: cosa mostrano davvero gli studi sull’uomo, quali rischi sono noti, qual è il quadro normativo e dove va la ricerca.</dc:description>
  <dc:language>it-IT</dc:language>
  <dc:subject/>
  <cp:keywords/>
  <dcterms:created xsi:type="dcterms:W3CDTF">2026-10-29T19:55:49Z</dcterms:created>
  <dcterms:modified xsi:type="dcterms:W3CDTF">2026-10-29T19:55:49Z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
  </property>
  <property fmtid="{D5CDD505-2E9C-101B-9397-08002B2CF9AE}" pid="3" name="date">
    <vt:lpwstr>2026-11</vt:lpwstr>
  </property>
  <property fmtid="{D5CDD505-2E9C-101B-9397-08002B2CF9AE}" pid="4" name="rights">
    <vt:lpwstr>© 2026 Josef Gallab. Tutti i diritti riservati.</vt:lpwstr>
  </property>
  <property fmtid="{D5CDD505-2E9C-101B-9397-08002B2CF9AE}" pid="5" name="toc-title">
    <vt:lpwstr>Indice</vt:lpwstr>
  </property>
</Properties>
</file>